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BA3CE" w14:textId="77777777" w:rsidR="008B1169" w:rsidRDefault="008B1169" w:rsidP="008B1169">
      <w:pPr>
        <w:pStyle w:val="Author"/>
        <w:spacing w:line="240" w:lineRule="auto"/>
        <w:outlineLvl w:val="0"/>
        <w:rPr>
          <w:rFonts w:ascii="Arial" w:hAnsi="Arial" w:cs="Arial"/>
          <w:bCs/>
          <w:i/>
          <w:iCs/>
          <w:kern w:val="28"/>
          <w:sz w:val="36"/>
          <w:u w:val="single"/>
        </w:rPr>
      </w:pPr>
      <w:r>
        <w:rPr>
          <w:rFonts w:ascii="Arial" w:hAnsi="Arial" w:cs="Arial"/>
          <w:bCs/>
          <w:i/>
          <w:iCs/>
          <w:kern w:val="28"/>
          <w:sz w:val="36"/>
          <w:u w:val="single"/>
        </w:rPr>
        <w:t xml:space="preserve">Review </w:t>
      </w:r>
      <w:r w:rsidRPr="00D52414">
        <w:rPr>
          <w:rFonts w:ascii="Arial" w:hAnsi="Arial" w:cs="Arial"/>
          <w:bCs/>
          <w:i/>
          <w:iCs/>
          <w:kern w:val="28"/>
          <w:sz w:val="36"/>
          <w:u w:val="single"/>
        </w:rPr>
        <w:t>Article</w:t>
      </w:r>
    </w:p>
    <w:p w14:paraId="2BB68C38" w14:textId="77777777" w:rsidR="008B1169" w:rsidRPr="006D641C" w:rsidRDefault="008B1169" w:rsidP="008B1169">
      <w:pPr>
        <w:pStyle w:val="Author"/>
        <w:spacing w:line="240" w:lineRule="auto"/>
        <w:outlineLvl w:val="0"/>
        <w:rPr>
          <w:rFonts w:ascii="Arial" w:hAnsi="Arial" w:cs="Arial"/>
          <w:bCs/>
          <w:i/>
          <w:iCs/>
          <w:kern w:val="28"/>
          <w:sz w:val="36"/>
          <w:u w:val="single"/>
        </w:rPr>
      </w:pPr>
    </w:p>
    <w:p w14:paraId="5B54A4E3" w14:textId="1EF8183A" w:rsidR="00153A91" w:rsidRDefault="00000000">
      <w:pPr>
        <w:keepNext/>
        <w:jc w:val="center"/>
        <w:rPr>
          <w:b/>
          <w:color w:val="1F4E79"/>
          <w:sz w:val="32"/>
        </w:rPr>
      </w:pPr>
      <w:r>
        <w:rPr>
          <w:b/>
          <w:color w:val="1F4E79"/>
          <w:sz w:val="32"/>
        </w:rPr>
        <w:t>Integrating Multi-Omics and Artificial Intelligence for Next-Generation Crop Improvement: Advances, Constraints and Future Directions</w:t>
      </w:r>
    </w:p>
    <w:p w14:paraId="0532EB24" w14:textId="77777777" w:rsidR="003E223C" w:rsidRDefault="003E223C">
      <w:pPr>
        <w:keepNext/>
        <w:jc w:val="center"/>
      </w:pPr>
    </w:p>
    <w:p w14:paraId="594688DB" w14:textId="77777777" w:rsidR="00153A91" w:rsidRDefault="00000000">
      <w:pPr>
        <w:pStyle w:val="BodyTextAcademic"/>
      </w:pPr>
      <w:r>
        <w:t>ABSTRACT</w:t>
      </w:r>
      <w:r>
        <w:br/>
        <w:t xml:space="preserve">Crop improvement increasingly depends on extracting useful breeding signals from data that span DNA sequence variation, gene regulation, molecular phenotypes, high-throughput field measurements and environmental exposure. Multi-omics can connect genotype to phenotype through intermediate biological layers, while artificial intelligence (AI) and machine-learning methods can model nonlinear, high-dimensional relationships that are difficult to represent with conventional approaches. Yet greater data volume and model complexity do not automatically translate into greater genetic gain. This critical narrative review evaluates how genomics, </w:t>
      </w:r>
      <w:proofErr w:type="spellStart"/>
      <w:r>
        <w:t>pangenomics</w:t>
      </w:r>
      <w:proofErr w:type="spellEnd"/>
      <w:r>
        <w:t xml:space="preserve">, transcriptomics, epigenomics, proteomics, metabolomics, phenomics and environmental covariates are being integrated with statistical learning, machine learning and deep learning for crop improvement. Literature was selected from accessible scholarly databases and indexes through 13 June 2026, with emphasis on peer-reviewed studies that permit evaluation of predictive value, biological interpretation and breeding relevance. The evidence is strongest where additional modalities capture non-redundant information that is biologically proximal to the target trait or environment, as demonstrated in hybrid prediction, stress adaptation, grain-quality analysis and environment-aware genomic prediction. Conversely, classical genomic best linear unbiased prediction and related models remain competitive in many settings, particularly when sample size is modest, relationships among individuals dominate prediction, or nonlinear signal is weak. Reported AI advantages are sensitive to validation design, relatedness between training and test sets, tissue and developmental stage, environmental transfer, missing modalities and hyperparameter tuning. Pangenomes, single-cell regulatory maps and interpretable multimodal models broaden the biological search space, but evidence for routine breeding utility remains less mature than their mechanistic promise. The most defensible path forward is therefore not unrestricted model escalation, but decision-focused integration: biologically informed feature representation, prospective multi-environment validation, explicit uncertainty, robust missing-data handling and functional validation of discovered mechanisms. Multi-omics and AI are most likely to accelerate crop improvement when evaluated against breeding decisions and </w:t>
      </w:r>
      <w:proofErr w:type="spellStart"/>
      <w:r>
        <w:t>realised</w:t>
      </w:r>
      <w:proofErr w:type="spellEnd"/>
      <w:r>
        <w:t xml:space="preserve"> genetic gain rather than prediction accuracy alone.</w:t>
      </w:r>
    </w:p>
    <w:p w14:paraId="01FD2516" w14:textId="77777777" w:rsidR="00153A91" w:rsidRDefault="00000000">
      <w:pPr>
        <w:pStyle w:val="BodyTextAcademic"/>
      </w:pPr>
      <w:r>
        <w:t>KEYWORDS</w:t>
      </w:r>
      <w:r>
        <w:br/>
        <w:t xml:space="preserve">Genomic prediction; multimodal learning; plant breeding; phenomics; </w:t>
      </w:r>
      <w:proofErr w:type="spellStart"/>
      <w:r>
        <w:t>pangenomics</w:t>
      </w:r>
      <w:proofErr w:type="spellEnd"/>
      <w:r>
        <w:t>; genotype-by-environment interaction; explainable artificial intelligence; molecular breeding</w:t>
      </w:r>
    </w:p>
    <w:p w14:paraId="67846334" w14:textId="77777777" w:rsidR="00153A91" w:rsidRDefault="00000000">
      <w:pPr>
        <w:pStyle w:val="Heading1"/>
      </w:pPr>
      <w:r>
        <w:rPr>
          <w:rFonts w:ascii="Times New Roman" w:eastAsia="Times New Roman" w:hAnsi="Times New Roman"/>
        </w:rPr>
        <w:t>1. Introduction</w:t>
      </w:r>
    </w:p>
    <w:p w14:paraId="5CDEB428" w14:textId="77777777" w:rsidR="00153A91" w:rsidRDefault="00000000">
      <w:pPr>
        <w:pStyle w:val="BodyTextAcademic"/>
      </w:pPr>
      <w:r>
        <w:t xml:space="preserve">Breeding progress depends on predicting which genetic combinations will produce useful phenotypes across the environments in which crops are grown. Genomic selection changed this problem by using genome-wide markers to predict breeding values before complete phenotypic evaluation, thereby allowing selection decisions to be moved earlier in a breeding cycle. Its conceptual and practical development has been substantial, with mature statistical models, increasingly dense marker systems and clear evidence that genomic prediction can support faster cycling and more efficient resource allocation (Crossa et al., 2017; </w:t>
      </w:r>
      <w:proofErr w:type="spellStart"/>
      <w:r>
        <w:t>Jannink</w:t>
      </w:r>
      <w:proofErr w:type="spellEnd"/>
      <w:r>
        <w:t xml:space="preserve"> et al., </w:t>
      </w:r>
      <w:r>
        <w:lastRenderedPageBreak/>
        <w:t>2010). At the same time, the limits of a marker-to-phenotype abstraction have become more visible. Complex traits are generated through regulatory, biochemical, developmental and environmental processes that are only partly represented by linkage between markers and causal variants. Genomic prediction can therefore be accurate without identifying mechanisms, and it can lose accuracy when the relationship between training and target populations or environments changes (Alemu et al., 2024; Hickey et al., 2017).</w:t>
      </w:r>
    </w:p>
    <w:p w14:paraId="66B25372" w14:textId="77777777" w:rsidR="00153A91" w:rsidRDefault="00000000">
      <w:pPr>
        <w:pStyle w:val="BodyTextAcademic"/>
      </w:pPr>
      <w:r>
        <w:t xml:space="preserve">Multi-omics offers a route to represent some of the intermediate processes between DNA sequence and agronomic phenotype. In this review, multi-omics denotes the joint use of two or more molecular or high-dimensional biological layers, including genomic variation, transcript abundance, DNA methylation and other epigenomic states, protein abundance, metabolites, and high-throughput </w:t>
      </w:r>
      <w:proofErr w:type="spellStart"/>
      <w:r>
        <w:t>phenomic</w:t>
      </w:r>
      <w:proofErr w:type="spellEnd"/>
      <w:r>
        <w:t xml:space="preserve"> measurements. Environmental covariates are treated as a complementary information layer because they condition expression of genetic and molecular effects rather than being an omics layer in the strict molecular sense. </w:t>
      </w:r>
      <w:proofErr w:type="spellStart"/>
      <w:r>
        <w:t>Pangenomic</w:t>
      </w:r>
      <w:proofErr w:type="spellEnd"/>
      <w:r>
        <w:t xml:space="preserve"> and single-cell data are considered extensions that improve the representation of structural and regulatory diversity. This distinction matters because each layer encodes different combinations of inherited signal, developmental state, environmental exposure and measurement noise. Consequently, adding modalities can improve prediction, reveal mechanisms, do both, or do neither, depending on the breeding question and experimental design (</w:t>
      </w:r>
      <w:proofErr w:type="spellStart"/>
      <w:r>
        <w:t>Scossa</w:t>
      </w:r>
      <w:proofErr w:type="spellEnd"/>
      <w:r>
        <w:t xml:space="preserve"> et al., 2021; Tong &amp; </w:t>
      </w:r>
      <w:proofErr w:type="spellStart"/>
      <w:r>
        <w:t>Nikoloski</w:t>
      </w:r>
      <w:proofErr w:type="spellEnd"/>
      <w:r>
        <w:t>, 2021).</w:t>
      </w:r>
    </w:p>
    <w:p w14:paraId="62383259" w14:textId="77777777" w:rsidR="00153A91" w:rsidRDefault="00000000">
      <w:pPr>
        <w:pStyle w:val="BodyTextAcademic"/>
      </w:pPr>
      <w:r>
        <w:t>AI is equally heterogeneous. The term covers tree ensembles, kernel methods, neural networks and deep architectures, as well as newer multimodal fusion schemes and interpretable models. Their appeal is clear: crop datasets are high dimensional, traits can depend on nonlinear interactions, and different modalities may carry signals at different scales. Deep learning has consequently become prominent in plant genomics and phenotype prediction, while attention mechanisms and multimodal networks have been proposed to combine genotype, imagery and other data types (O. A. Montesinos-López et al., 2024; Wang, Cimen, et al., 2020). Yet genomic-prediction benchmarks repeatedly show that algorithmic complexity is not synonymous with superior out-of-sample performance. Linear and nonlinear methods can be competitive on the same traits, and models that explicitly represent genetic relationships or genotype-by-environment interaction may outperform generic machine-learning alternatives (</w:t>
      </w:r>
      <w:proofErr w:type="spellStart"/>
      <w:r>
        <w:t>Azodi</w:t>
      </w:r>
      <w:proofErr w:type="spellEnd"/>
      <w:r>
        <w:t xml:space="preserve"> et al., 2019; Chen et al., 2023; O. A. Montesinos-López et al., 2018).</w:t>
      </w:r>
    </w:p>
    <w:p w14:paraId="20F07CCA" w14:textId="77777777" w:rsidR="00153A91" w:rsidRDefault="00000000">
      <w:pPr>
        <w:pStyle w:val="BodyTextAcademic"/>
      </w:pPr>
      <w:r>
        <w:t>This tension between data richness and decision value defines the present field. In maize, transcriptomic and metabolomic information has improved some genomic predictions, while omics combinations have shown trait-dependent advantages for hybrid performance (Guo et al., 2016; Schrag et al., 2018; Westhues et al., 2017). In canola, transcriptomic information and nonlinear kernels provided gains for several traits, but not uniformly (Knoch et al., 2021). In barley, integrating methylation and transcriptome information increased prediction for selected complex traits, although the small population limits confidence in broad transfer (Hansen et al., 2022). More recently, machine-learning integration of genomic, metabolic and image-derived features improved maize yield prediction, but the study involved only 156 recombinant inbred lines, illustrating how apparently high-dimensional analyses can remain sample-limited (Wu et al., 2024). These examples support a conditional rather than universal value proposition for multi-omics.</w:t>
      </w:r>
    </w:p>
    <w:p w14:paraId="44F01FE8" w14:textId="77777777" w:rsidR="00153A91" w:rsidRDefault="00000000">
      <w:pPr>
        <w:pStyle w:val="BodyTextAcademic"/>
      </w:pPr>
      <w:r>
        <w:t xml:space="preserve">The same conditionality applies to mechanistic discovery. Transcriptome-wide association can complement genome-wide association by </w:t>
      </w:r>
      <w:proofErr w:type="spellStart"/>
      <w:r>
        <w:t>prioritising</w:t>
      </w:r>
      <w:proofErr w:type="spellEnd"/>
      <w:r>
        <w:t xml:space="preserve"> regulatory candidates, metabolome-wide association can expose biochemical pathways underlying crop diversity, and integrative studies have linked genomic and metabolic variation to drought adaptation (Kremling et al., 2019; Wen et al., 2014; Zhang et al., 2021). Proteomic data add another layer because protein abundance is not a simple mirror of transcript abundance during breeding history or development (Jiang et al., 2019). Emerging single-cell maps resolve cis-regulatory elements at cell-type scale, and epigenomic studies demonstrate biologically meaningful methylation variation that could, in principle, improve prediction or target discovery (</w:t>
      </w:r>
      <w:proofErr w:type="spellStart"/>
      <w:r>
        <w:t>Kawakatsu</w:t>
      </w:r>
      <w:proofErr w:type="spellEnd"/>
      <w:r>
        <w:t xml:space="preserve"> &amp; Ecker, 2019; </w:t>
      </w:r>
      <w:proofErr w:type="spellStart"/>
      <w:r>
        <w:t>Marand</w:t>
      </w:r>
      <w:proofErr w:type="spellEnd"/>
      <w:r>
        <w:t xml:space="preserve"> et al., 2021; Springer &amp; Schmitz, 2017). However, a model can identify a predictive feature without establishing that </w:t>
      </w:r>
      <w:r>
        <w:lastRenderedPageBreak/>
        <w:t>the feature is causal, stable across environments or useful in selection. Functional validation remains decisive when models are used to make mechanistic claims.</w:t>
      </w:r>
    </w:p>
    <w:p w14:paraId="4B04EEE8" w14:textId="77777777" w:rsidR="00153A91" w:rsidRDefault="00000000">
      <w:pPr>
        <w:pStyle w:val="BodyTextAcademic"/>
      </w:pPr>
      <w:r>
        <w:t xml:space="preserve">Recent reviews have addressed important parts of this landscape. Reviews of multi-omics integration have </w:t>
      </w:r>
      <w:proofErr w:type="spellStart"/>
      <w:r>
        <w:t>emphasised</w:t>
      </w:r>
      <w:proofErr w:type="spellEnd"/>
      <w:r>
        <w:t xml:space="preserve"> connections between molecular profiling and crop breeding, while genomic-selection reviews have examined methodological progress and implementation (Alemu et al., 2024; </w:t>
      </w:r>
      <w:proofErr w:type="spellStart"/>
      <w:r>
        <w:t>Scossa</w:t>
      </w:r>
      <w:proofErr w:type="spellEnd"/>
      <w:r>
        <w:t xml:space="preserve"> et al., 2021). AI-focused syntheses have discussed deep learning, machine learning and multimodal neural architectures (O. A. Montesinos-López et al., 2024; Tong &amp; </w:t>
      </w:r>
      <w:proofErr w:type="spellStart"/>
      <w:r>
        <w:t>Nikoloski</w:t>
      </w:r>
      <w:proofErr w:type="spellEnd"/>
      <w:r>
        <w:t xml:space="preserve">, 2021; Wang, Cimen, et al., 2020). A recent systematic review specifically </w:t>
      </w:r>
      <w:proofErr w:type="spellStart"/>
      <w:r>
        <w:t>synthesised</w:t>
      </w:r>
      <w:proofErr w:type="spellEnd"/>
      <w:r>
        <w:t xml:space="preserve"> machine-learning integration of multi-omics for crop improvement and highlighted </w:t>
      </w:r>
      <w:proofErr w:type="spellStart"/>
      <w:r>
        <w:t>envirotyping</w:t>
      </w:r>
      <w:proofErr w:type="spellEnd"/>
      <w:r>
        <w:t xml:space="preserve">, interpretability and uncertainty as persistent gaps (Tsega &amp; </w:t>
      </w:r>
      <w:proofErr w:type="spellStart"/>
      <w:r>
        <w:t>Mullualem</w:t>
      </w:r>
      <w:proofErr w:type="spellEnd"/>
      <w:r>
        <w:t>, 2026). The unresolved need is therefore not another catalogue of algorithms or omics technologies. It is a cross-layer appraisal of when additional biological modalities and AI materially improve prediction, discovery and breeding decisions, and when they mainly increase analytical complexity.</w:t>
      </w:r>
    </w:p>
    <w:p w14:paraId="174E1C24" w14:textId="77777777" w:rsidR="00153A91" w:rsidRDefault="00000000">
      <w:pPr>
        <w:pStyle w:val="Heading2"/>
      </w:pPr>
      <w:r>
        <w:rPr>
          <w:rFonts w:ascii="Times New Roman" w:eastAsia="Times New Roman" w:hAnsi="Times New Roman"/>
        </w:rPr>
        <w:t>1.1 Scope, Research Gap and Objectives</w:t>
      </w:r>
    </w:p>
    <w:p w14:paraId="2A9A4D19" w14:textId="77777777" w:rsidR="00153A91" w:rsidRDefault="00000000">
      <w:pPr>
        <w:pStyle w:val="BodyTextAcademic"/>
      </w:pPr>
      <w:r>
        <w:t xml:space="preserve">This review evaluates multi-omics and AI as an integrated crop-improvement strategy from three linked perspectives: biological representation, predictive modelling and translation into selection decisions. It focuses on crop breeding and closely relevant plant evidence, with particular attention to genomic prediction, hybrid prediction, complex-trait dissection, stress adaptation, quality traits, high-throughput phenotyping, environmental interaction, pangenomes and emerging regulatory layers. The central gap addressed is the lack of a critical synthesis that jointly evaluates incremental predictive value, mechanistic credibility, validation design and operational breeding relevance across these domains. The objectives are to distinguish information layers that provide genuinely non-redundant breeding signal from those that mainly reproduce existing information; compare AI approaches with well-specified statistical baselines; identify why reported gains fail to </w:t>
      </w:r>
      <w:proofErr w:type="spellStart"/>
      <w:r>
        <w:t>generalise</w:t>
      </w:r>
      <w:proofErr w:type="spellEnd"/>
      <w:r>
        <w:t xml:space="preserve"> across populations and environments; assess where mechanistic inference is stronger than feature attribution alone; and develop priorities for prospective, uncertainty-aware, biologically structured multi-omics breeding. Studies focused solely on crop management, image classification without breeding or genetic inference, or algorithm development without relevant plant evidence are outside the principal scope.</w:t>
      </w:r>
    </w:p>
    <w:p w14:paraId="7C8C7E83" w14:textId="77777777" w:rsidR="00153A91" w:rsidRDefault="00000000">
      <w:pPr>
        <w:pStyle w:val="Heading1"/>
      </w:pPr>
      <w:r>
        <w:rPr>
          <w:rFonts w:ascii="Times New Roman" w:eastAsia="Times New Roman" w:hAnsi="Times New Roman"/>
        </w:rPr>
        <w:t>2. Methods for Literature Selection</w:t>
      </w:r>
    </w:p>
    <w:p w14:paraId="34DE5DE7" w14:textId="77777777" w:rsidR="00153A91" w:rsidRDefault="00000000">
      <w:pPr>
        <w:pStyle w:val="Heading2"/>
      </w:pPr>
      <w:r>
        <w:rPr>
          <w:rFonts w:ascii="Times New Roman" w:eastAsia="Times New Roman" w:hAnsi="Times New Roman"/>
        </w:rPr>
        <w:t>2.1 Review Design and Rationale</w:t>
      </w:r>
    </w:p>
    <w:p w14:paraId="51C53990" w14:textId="77777777" w:rsidR="00153A91" w:rsidRDefault="00000000">
      <w:pPr>
        <w:pStyle w:val="BodyTextAcademic"/>
      </w:pPr>
      <w:r>
        <w:t>A critical narrative review design was selected because the review question spans technologies, biological scales, crop species, predictive tasks and study designs that cannot be meaningfully reduced to a single pooled effect. The aim was to compare evidential strength and translational relevance rather than estimate one common intervention effect. The approach was informed by the Scale for the Assessment of Narrative Review Articles (SANRA), particularly its emphasis on the importance and aims of a review, transparent literature searching, appropriate referencing, scientific reasoning and presentation of relevant evidence (</w:t>
      </w:r>
      <w:proofErr w:type="spellStart"/>
      <w:r>
        <w:t>Baethge</w:t>
      </w:r>
      <w:proofErr w:type="spellEnd"/>
      <w:r>
        <w:t xml:space="preserve"> et al., 2019). Narrative synthesis was not treated as a substitute for methodological transparency. Instead, literature selection and appraisal were structured to expose major sources of bias, uncertainty and disagreement, while allowing integration of predictive, molecular and breeding evidence that uses different endpoints.</w:t>
      </w:r>
    </w:p>
    <w:p w14:paraId="163E3091" w14:textId="77777777" w:rsidR="00153A91" w:rsidRDefault="00000000">
      <w:pPr>
        <w:pStyle w:val="Heading2"/>
      </w:pPr>
      <w:r>
        <w:rPr>
          <w:rFonts w:ascii="Times New Roman" w:eastAsia="Times New Roman" w:hAnsi="Times New Roman"/>
        </w:rPr>
        <w:t>2.2 Information Sources</w:t>
      </w:r>
    </w:p>
    <w:p w14:paraId="6AD9E9B0" w14:textId="77777777" w:rsidR="00153A91" w:rsidRDefault="00000000">
      <w:pPr>
        <w:pStyle w:val="BodyTextAcademic"/>
      </w:pPr>
      <w:r>
        <w:t xml:space="preserve">Literature was searched through PubMed, Europe PMC, AGRIS, Google Scholar, DOAJ, Semantic Scholar and </w:t>
      </w:r>
      <w:proofErr w:type="spellStart"/>
      <w:r>
        <w:t>Crossref</w:t>
      </w:r>
      <w:proofErr w:type="spellEnd"/>
      <w:r>
        <w:t xml:space="preserve">. These sources were chosen to capture plant genomics, molecular biology, agricultural science, bioinformatics and computational-method literature while permitting bibliographic and DOI verification. Backward reference searching was performed from influential reviews and representative </w:t>
      </w:r>
      <w:r>
        <w:lastRenderedPageBreak/>
        <w:t xml:space="preserve">empirical studies, and forward or related-article searching was used to identify methodological developments and independent applications. </w:t>
      </w:r>
      <w:proofErr w:type="spellStart"/>
      <w:r>
        <w:t>Crossref</w:t>
      </w:r>
      <w:proofErr w:type="spellEnd"/>
      <w:r>
        <w:t xml:space="preserve"> and DOI landing records were used during bibliographic verification when metadata required confirmation. Only information sources actually consulted during the review were named.</w:t>
      </w:r>
    </w:p>
    <w:p w14:paraId="44E6FBEC" w14:textId="77777777" w:rsidR="00153A91" w:rsidRDefault="00000000">
      <w:pPr>
        <w:pStyle w:val="Heading2"/>
      </w:pPr>
      <w:r>
        <w:rPr>
          <w:rFonts w:ascii="Times New Roman" w:eastAsia="Times New Roman" w:hAnsi="Times New Roman"/>
        </w:rPr>
        <w:t>2.3 Search Strategy and Search Period</w:t>
      </w:r>
    </w:p>
    <w:p w14:paraId="6C5B77A8" w14:textId="77777777" w:rsidR="00153A91" w:rsidRDefault="00000000">
      <w:pPr>
        <w:pStyle w:val="BodyTextAcademic"/>
      </w:pPr>
      <w:r>
        <w:t xml:space="preserve">The principal search period was 1 January 2010 to 13 June 2026. The starting point reflects the period in which genomic selection became an established plant-breeding framework and high-throughput molecular profiling began to support increasingly integrated prediction, while allowing inclusion of seminal works within that interval. Searches combined four concept groups: crop improvement or plant breeding; omics or high-dimensional biological layers; AI or predictive modelling; and breeding-relevant outcomes. A representative Boolean structure was: ("crop improvement" OR "plant breeding" OR "genomic selection" OR "genomic prediction") AND ("multi-omics" OR genomics OR transcriptomics OR proteomics OR metabolomics OR epigenomics OR phenomics OR </w:t>
      </w:r>
      <w:proofErr w:type="spellStart"/>
      <w:r>
        <w:t>pangenomics</w:t>
      </w:r>
      <w:proofErr w:type="spellEnd"/>
      <w:r>
        <w:t>) AND ("artificial intelligence" OR "machine learning" OR "deep learning" OR multimodal OR "genotype-by-environment") AND (yield OR stress OR quality OR prediction OR breeding). More focused combinations were used for pangenomes, single-cell regulatory data, environment-aware prediction, hybrid prediction and high-throughput phenotyping. The final literature-search date was 13 June 2026.</w:t>
      </w:r>
    </w:p>
    <w:p w14:paraId="0C0A4997" w14:textId="77777777" w:rsidR="00153A91" w:rsidRDefault="00000000">
      <w:pPr>
        <w:pStyle w:val="Heading2"/>
      </w:pPr>
      <w:r>
        <w:rPr>
          <w:rFonts w:ascii="Times New Roman" w:eastAsia="Times New Roman" w:hAnsi="Times New Roman"/>
        </w:rPr>
        <w:t>2.4 Eligibility Criteria</w:t>
      </w:r>
    </w:p>
    <w:p w14:paraId="01B5EC84" w14:textId="77777777" w:rsidR="00153A91" w:rsidRDefault="00000000">
      <w:pPr>
        <w:pStyle w:val="BodyTextAcademic"/>
      </w:pPr>
      <w:r>
        <w:t xml:space="preserve">Eligible evidence comprised peer-reviewed original research and high-quality reviews with direct relevance to crop or plant improvement, multi-omics integration, genomic or </w:t>
      </w:r>
      <w:proofErr w:type="spellStart"/>
      <w:r>
        <w:t>phenomic</w:t>
      </w:r>
      <w:proofErr w:type="spellEnd"/>
      <w:r>
        <w:t xml:space="preserve"> prediction, AI-assisted trait modelling, environment-aware prediction, or discovery of mechanisms with plausible breeding relevance. Empirical studies were </w:t>
      </w:r>
      <w:proofErr w:type="spellStart"/>
      <w:r>
        <w:t>prioritised</w:t>
      </w:r>
      <w:proofErr w:type="spellEnd"/>
      <w:r>
        <w:t xml:space="preserve"> when they reported an explicit prediction task, comparison against a baseline, external or structured cross-validation, or functional validation of discovered candidates. Reviews were used to establish conceptual context and identify methodological debates rather than as substitutes for primary evidence. English-language articles were included when full bibliographic identity and relevance could be verified. Conference abstracts, unverified preprints, promotional material, patents, purely agronomic image-classification studies without breeding relevance, and papers whose bibliographic details or DOI could not be confirmed were excluded. Studies published after 13 June 2026 were not included, even when electronically indexed earlier or later dates created ambiguity.</w:t>
      </w:r>
    </w:p>
    <w:p w14:paraId="3B3F4272" w14:textId="77777777" w:rsidR="00153A91" w:rsidRDefault="00000000">
      <w:pPr>
        <w:pStyle w:val="Heading2"/>
      </w:pPr>
      <w:r>
        <w:rPr>
          <w:rFonts w:ascii="Times New Roman" w:eastAsia="Times New Roman" w:hAnsi="Times New Roman"/>
        </w:rPr>
        <w:t>2.5 Screening, Duplicate Handling and Study Selection</w:t>
      </w:r>
    </w:p>
    <w:p w14:paraId="04E4D5A1" w14:textId="77777777" w:rsidR="00153A91" w:rsidRDefault="00000000">
      <w:pPr>
        <w:pStyle w:val="BodyTextAcademic"/>
      </w:pPr>
      <w:r>
        <w:t>Titles and abstracts were first assessed for relevance to the conceptual scope, followed by full-text or detailed-record assessment where needed to evaluate the population, data modalities, modelling design and principal findings. Duplicate records were identified through DOI, exact title, author-year combinations and journal metadata; the most complete version-of-record metadata were retained. Selection was deliberately purposive rather than exhaustive because a critical narrative review requires representative high-quality evidence across heterogeneous themes. No screening counts or PRISMA-style flow statistics were generated. Sources that could not be accessed sufficiently to verify bibliographic identity or claim support were not used. When corrected metadata were identified, the corrected version was used.</w:t>
      </w:r>
    </w:p>
    <w:p w14:paraId="59E42D2C" w14:textId="77777777" w:rsidR="00153A91" w:rsidRDefault="00000000">
      <w:pPr>
        <w:pStyle w:val="Heading2"/>
      </w:pPr>
      <w:r>
        <w:rPr>
          <w:rFonts w:ascii="Times New Roman" w:eastAsia="Times New Roman" w:hAnsi="Times New Roman"/>
        </w:rPr>
        <w:t>2.6 Critical Appraisal and Evidence Synthesis</w:t>
      </w:r>
    </w:p>
    <w:p w14:paraId="21A5C6DB" w14:textId="77777777" w:rsidR="00153A91" w:rsidRDefault="00000000">
      <w:pPr>
        <w:pStyle w:val="BodyTextAcademic"/>
      </w:pPr>
      <w:r>
        <w:t xml:space="preserve">Appraisal focused on the relationship between the scientific claim and the validation design. For predictive studies, particular attention was paid to sample size, dimensionality, feature leakage, population structure, relatedness between training and test sets, cross-validation scheme, environmental transfer, baseline selection, </w:t>
      </w:r>
      <w:r>
        <w:lastRenderedPageBreak/>
        <w:t xml:space="preserve">hyperparameter tuning, calibration and independent validation. For multi-omics studies, additional criteria included whether modalities were measured on the same biological material, whether tissue and developmental stage matched the trait mechanism, how missing data and batch effects were handled, and whether information layers were heritable, environmentally responsive or both. For mechanistic studies, association and feature importance were distinguished from functional validation. Evidence was </w:t>
      </w:r>
      <w:proofErr w:type="spellStart"/>
      <w:r>
        <w:t>synthesised</w:t>
      </w:r>
      <w:proofErr w:type="spellEnd"/>
      <w:r>
        <w:t xml:space="preserve"> thematically around representation, modelling, validation and translation. Formal risk-of-bias scores were not assigned because the included designs and endpoints were too heterogeneous for a single validated instrument.</w:t>
      </w:r>
    </w:p>
    <w:p w14:paraId="6FCA792D" w14:textId="77777777" w:rsidR="00153A91" w:rsidRDefault="00000000">
      <w:pPr>
        <w:pStyle w:val="Heading1"/>
      </w:pPr>
      <w:r>
        <w:rPr>
          <w:rFonts w:ascii="Times New Roman" w:eastAsia="Times New Roman" w:hAnsi="Times New Roman"/>
        </w:rPr>
        <w:t>3. From Genomic Prediction to Multi-Layer Biological Representation</w:t>
      </w:r>
    </w:p>
    <w:p w14:paraId="4597A756" w14:textId="77777777" w:rsidR="00153A91" w:rsidRDefault="00000000">
      <w:pPr>
        <w:pStyle w:val="Heading2"/>
      </w:pPr>
      <w:r>
        <w:rPr>
          <w:rFonts w:ascii="Times New Roman" w:eastAsia="Times New Roman" w:hAnsi="Times New Roman"/>
        </w:rPr>
        <w:t>3.1 Genomics as the statistical backbone</w:t>
      </w:r>
    </w:p>
    <w:p w14:paraId="65FB6EF9" w14:textId="77777777" w:rsidR="00153A91" w:rsidRDefault="00000000">
      <w:pPr>
        <w:pStyle w:val="BodyTextAcademic"/>
      </w:pPr>
      <w:r>
        <w:t xml:space="preserve">Genome-wide markers remain the most mature information layer for breeding prediction because they are stable across tissues and developmental stages, relatively scalable, and directly linked to inheritance. Genomic selection replaces the need to identify every causal locus with prediction from </w:t>
      </w:r>
      <w:proofErr w:type="spellStart"/>
      <w:r>
        <w:t>realised</w:t>
      </w:r>
      <w:proofErr w:type="spellEnd"/>
      <w:r>
        <w:t xml:space="preserve"> relationships and marker effects, an approach that can work even when the biology of the target trait is incompletely resolved (Crossa et al., 2017; </w:t>
      </w:r>
      <w:proofErr w:type="spellStart"/>
      <w:r>
        <w:t>Jannink</w:t>
      </w:r>
      <w:proofErr w:type="spellEnd"/>
      <w:r>
        <w:t xml:space="preserve"> et al., 2010). This strength also creates a central interpretive limitation: high genomic-prediction accuracy may be driven substantially by relatedness between training and target individuals rather than discovery of transferable causal architecture. When breeding cycles, germplasm pools or target environments shift, the marker-trait associations captured by the model can weaken. Contemporary assessments of two decades of genomic selection therefore </w:t>
      </w:r>
      <w:proofErr w:type="spellStart"/>
      <w:r>
        <w:t>emphasise</w:t>
      </w:r>
      <w:proofErr w:type="spellEnd"/>
      <w:r>
        <w:t xml:space="preserve"> training-population design, trait architecture, genotyping strategy and environment as co-determinants of </w:t>
      </w:r>
      <w:proofErr w:type="spellStart"/>
      <w:r>
        <w:t>realised</w:t>
      </w:r>
      <w:proofErr w:type="spellEnd"/>
      <w:r>
        <w:t xml:space="preserve"> benefit (Alemu et al., 2024).</w:t>
      </w:r>
    </w:p>
    <w:p w14:paraId="79DD3366" w14:textId="77777777" w:rsidR="00153A91" w:rsidRDefault="00000000">
      <w:pPr>
        <w:pStyle w:val="BodyTextAcademic"/>
      </w:pPr>
      <w:r>
        <w:t xml:space="preserve">Multi-omics should be judged against this strong baseline rather than against an artificially weak genomic model. If the training and prediction sets are closely related and the target trait is well captured by additive effects, additional molecular layers may offer little incremental value. Conversely, downstream omics may be informative when they integrate many small genetic effects into a biologically proximal state, encode non-additive interactions, or capture trait-relevant physiological response. The relevant question is therefore not whether transcriptomic, metabolomic or </w:t>
      </w:r>
      <w:proofErr w:type="spellStart"/>
      <w:r>
        <w:t>phenomic</w:t>
      </w:r>
      <w:proofErr w:type="spellEnd"/>
      <w:r>
        <w:t xml:space="preserve"> data correlate with phenotype, but whether they improve decisions beyond genomic information under a realistic deployment scenario. Hickey et al. (2017) framed genomic prediction as both a breeding platform and a route to biological discovery; multi-omics extends that dual role, but it also increases the risk of confusing predictive association with transportable mechanism.</w:t>
      </w:r>
    </w:p>
    <w:p w14:paraId="3609D44E" w14:textId="77777777" w:rsidR="00153A91" w:rsidRDefault="00000000">
      <w:pPr>
        <w:pStyle w:val="Heading2"/>
      </w:pPr>
      <w:r>
        <w:rPr>
          <w:rFonts w:ascii="Times New Roman" w:eastAsia="Times New Roman" w:hAnsi="Times New Roman"/>
        </w:rPr>
        <w:t xml:space="preserve">3.2 </w:t>
      </w:r>
      <w:proofErr w:type="spellStart"/>
      <w:r>
        <w:rPr>
          <w:rFonts w:ascii="Times New Roman" w:eastAsia="Times New Roman" w:hAnsi="Times New Roman"/>
        </w:rPr>
        <w:t>Pangenomics</w:t>
      </w:r>
      <w:proofErr w:type="spellEnd"/>
      <w:r>
        <w:rPr>
          <w:rFonts w:ascii="Times New Roman" w:eastAsia="Times New Roman" w:hAnsi="Times New Roman"/>
        </w:rPr>
        <w:t xml:space="preserve"> and structural variation</w:t>
      </w:r>
    </w:p>
    <w:p w14:paraId="32227EBE" w14:textId="77777777" w:rsidR="00153A91" w:rsidRDefault="00000000">
      <w:pPr>
        <w:pStyle w:val="BodyTextAcademic"/>
      </w:pPr>
      <w:r>
        <w:t xml:space="preserve">Single linear reference genomes systematically under-represent presence-absence variation, copy-number variation and alternative haplotypes that can be important in crop domestication and adaptation. Pangenomes and graph representations aim to reduce reference bias and describe a broader allelic space. In breeding terms, this matters because a marker set anchored to one reference can miss structurally complex or rare variants whose effects differ among germplasm groups. Reviews of crop </w:t>
      </w:r>
      <w:proofErr w:type="spellStart"/>
      <w:r>
        <w:t>pangenomics</w:t>
      </w:r>
      <w:proofErr w:type="spellEnd"/>
      <w:r>
        <w:t xml:space="preserve"> argue that graph-based representation creates opportunities to incorporate structural variation and regulatory polymorphism into genomic prediction, while machine learning may help </w:t>
      </w:r>
      <w:proofErr w:type="spellStart"/>
      <w:r>
        <w:t>prioritise</w:t>
      </w:r>
      <w:proofErr w:type="spellEnd"/>
      <w:r>
        <w:t xml:space="preserve"> high-dimensional variants (Bayer et al., 2021; Zanini et al., 2022).</w:t>
      </w:r>
    </w:p>
    <w:p w14:paraId="706500A8" w14:textId="77777777" w:rsidR="00153A91" w:rsidRDefault="00000000">
      <w:pPr>
        <w:pStyle w:val="BodyTextAcademic"/>
      </w:pPr>
      <w:r>
        <w:t xml:space="preserve">The evidence for pangenomes as routine predictors, however, is less mature than the evidence for pangenomes as variant-discovery resources. Adding millions of structurally diverse features can worsen the dimensionality problem unless feature representation is matched to sample size and biological prior knowledge. Pangenome-aware models also need consistent genotyping across breeding populations, which is difficult when variant calls differ by sequencing platform or graph construction. Moreover, structural variants </w:t>
      </w:r>
      <w:r>
        <w:lastRenderedPageBreak/>
        <w:t xml:space="preserve">may be strongly population-specific; a model can gain within one germplasm pool while losing portability elsewhere. </w:t>
      </w:r>
      <w:proofErr w:type="spellStart"/>
      <w:r>
        <w:t>Pangenomic</w:t>
      </w:r>
      <w:proofErr w:type="spellEnd"/>
      <w:r>
        <w:t xml:space="preserve"> integration is thus best viewed as an improvement in the representation of genetic diversity, not as an automatic source of predictive gain. Its strongest near-term value may lie in identifying variants absent from a single reference and then testing whether those variants add stable predictive information.</w:t>
      </w:r>
    </w:p>
    <w:p w14:paraId="6DD731BA" w14:textId="77777777" w:rsidR="00153A91" w:rsidRDefault="00000000">
      <w:pPr>
        <w:pStyle w:val="Heading2"/>
      </w:pPr>
      <w:r>
        <w:rPr>
          <w:rFonts w:ascii="Times New Roman" w:eastAsia="Times New Roman" w:hAnsi="Times New Roman"/>
        </w:rPr>
        <w:t>3.3 Transcriptomic, epigenomic, proteomic and metabolomic intermediates</w:t>
      </w:r>
    </w:p>
    <w:p w14:paraId="739BA0C8" w14:textId="77777777" w:rsidR="00153A91" w:rsidRDefault="00000000">
      <w:pPr>
        <w:pStyle w:val="BodyTextAcademic"/>
      </w:pPr>
      <w:r>
        <w:t>Transcript abundance is attractive because it reflects regulatory consequences of inherited variation and can aggregate cis- and trans-acting effects. In maize hybrid prediction, transcriptomic information has often captured signal beyond genome-wide markers. Westhues et al. (2017) showed that transcriptomic predictors measured in parental lines could improve prediction of untested hybrid combinations and, for dry matter yield, outperform genomic information alone. Schrag et al. (2018) subsequently demonstrated that no omics layer was uniformly best: messenger RNA was particularly informative for grain yield, genomic data were stronger for dry-matter content, and small-RNA information was weak. Guo et al. (2016) likewise found that expression and metabolite data could improve genomic prediction when integrated with markers, but the gains depended on trait, tissue and measurement time. These results establish a key principle: molecular proximity to phenotype can help, but only when the sampled biological state is relevant to the eventual breeding endpoint.</w:t>
      </w:r>
    </w:p>
    <w:p w14:paraId="34740E5F" w14:textId="77777777" w:rsidR="00153A91" w:rsidRDefault="00000000">
      <w:pPr>
        <w:pStyle w:val="BodyTextAcademic"/>
      </w:pPr>
      <w:r>
        <w:t xml:space="preserve">Epigenomic information can capture regulatory states not represented by sequence variants alone, including gene-body methylation and stress-responsive chromatin states. In barley, combining DNA methylation and transcriptomic data improved explained variance and prediction for some complex traits (Hansen et al., 2022). Yet the study population was small, and methylation can be responsive to environment, tissue and developmental stage. Such responsiveness is biologically valuable but complicates breeding interpretation: a methylation feature may be a heritable regulatory state, an environmentally induced marker of plant condition, or both. Reviews of crop epigenetics therefore support the existence of useful induced and natural variation while also </w:t>
      </w:r>
      <w:proofErr w:type="spellStart"/>
      <w:r>
        <w:t>emphasising</w:t>
      </w:r>
      <w:proofErr w:type="spellEnd"/>
      <w:r>
        <w:t xml:space="preserve"> stability and transgenerational persistence as unresolved requirements for breeding deployment (</w:t>
      </w:r>
      <w:proofErr w:type="spellStart"/>
      <w:r>
        <w:t>Kawakatsu</w:t>
      </w:r>
      <w:proofErr w:type="spellEnd"/>
      <w:r>
        <w:t xml:space="preserve"> &amp; Ecker, 2019; Springer &amp; Schmitz, 2017).</w:t>
      </w:r>
    </w:p>
    <w:p w14:paraId="635813C6" w14:textId="77777777" w:rsidR="00153A91" w:rsidRDefault="00000000">
      <w:pPr>
        <w:pStyle w:val="BodyTextAcademic"/>
      </w:pPr>
      <w:r>
        <w:t xml:space="preserve">Proteomics and metabolomics provide even more proximal views of phenotype. Metabolite profiles can act as intermediate traits for quality, stress physiology and resource allocation, while proteins reflect translational and post-translational regulation. Maize studies have mapped extensive metabolite variation to genetic loci and used metabolome-scale association to dissect </w:t>
      </w:r>
      <w:proofErr w:type="spellStart"/>
      <w:r>
        <w:t>specialised</w:t>
      </w:r>
      <w:proofErr w:type="spellEnd"/>
      <w:r>
        <w:t xml:space="preserve"> metabolism (Wen et al., 2014; Zhou et al., 2019). Integrative drought research has connected metabolite changes, expression quantitative trait loci and genomic variation to adaptive mechanisms, with functional follow-up strengthening the causal interpretation (Zhang et al., 2021). Proteomic analysis across modern maize breeding showed that protein-level variation is only partly predictable from transcript abundance, reinforcing the argument that transcriptomics cannot be assumed to represent the proteome (Jiang et al., 2019). The cost is that these downstream layers are often more sensitive to sampling design and harder to scale across thousands of breeding candidates.</w:t>
      </w:r>
    </w:p>
    <w:p w14:paraId="44FB74C9" w14:textId="77777777" w:rsidR="00153A91" w:rsidRDefault="00000000">
      <w:pPr>
        <w:pStyle w:val="Heading2"/>
      </w:pPr>
      <w:r>
        <w:rPr>
          <w:rFonts w:ascii="Times New Roman" w:eastAsia="Times New Roman" w:hAnsi="Times New Roman"/>
        </w:rPr>
        <w:t>3.4 Phenomics and environmental information as dynamic layers</w:t>
      </w:r>
    </w:p>
    <w:p w14:paraId="7DBC2566" w14:textId="77777777" w:rsidR="00153A91" w:rsidRDefault="00000000">
      <w:pPr>
        <w:pStyle w:val="BodyTextAcademic"/>
      </w:pPr>
      <w:r>
        <w:t>High-throughput phenotyping occupies a distinctive position because it measures consequences of genotype and environment at organismal or canopy scale. Remote sensing, imaging and physiological sensors can generate repeated measurements that are closer to breeding targets than most molecular intermediates. Reviews of crop phenomics have documented the movement from controlled platforms towards field-based sensing while identifying calibration, environmental heterogeneity and data-management challenges as persistent bottlenecks (</w:t>
      </w:r>
      <w:proofErr w:type="spellStart"/>
      <w:r>
        <w:t>Araus</w:t>
      </w:r>
      <w:proofErr w:type="spellEnd"/>
      <w:r>
        <w:t xml:space="preserve"> et al., 2018; Yang et al., 2020). Secondary traits such as canopy temperature and vegetation indices can improve prediction of grain yield when they are sufficiently heritable and genetically </w:t>
      </w:r>
      <w:r>
        <w:lastRenderedPageBreak/>
        <w:t>correlated with the target trait. In wheat, high-throughput phenotypes have improved pedigree- and genomic-selection accuracy in some settings (Rutkoski et al., 2016).</w:t>
      </w:r>
    </w:p>
    <w:p w14:paraId="35F3A6DA" w14:textId="77777777" w:rsidR="00153A91" w:rsidRDefault="00000000">
      <w:pPr>
        <w:pStyle w:val="BodyTextAcademic"/>
      </w:pPr>
      <w:r>
        <w:t xml:space="preserve">The important qualification is that </w:t>
      </w:r>
      <w:proofErr w:type="spellStart"/>
      <w:r>
        <w:t>phenomic</w:t>
      </w:r>
      <w:proofErr w:type="spellEnd"/>
      <w:r>
        <w:t xml:space="preserve"> covariates can be both predictors and partial observations of the target outcome. If images are collected late in the season, apparent predictive gains may have little value for early selection because they incorporate information available only after much of the phenotype has developed. Cross-validation must therefore respect the intended decision time. Crain et al. (2018) showed that combining </w:t>
      </w:r>
      <w:proofErr w:type="spellStart"/>
      <w:r>
        <w:t>phenomic</w:t>
      </w:r>
      <w:proofErr w:type="spellEnd"/>
      <w:r>
        <w:t xml:space="preserve"> and genomic information can increase wheat prediction accuracy, but the magnitude varied by model and scenario. Juliana et al. (2019) similarly demonstrated value from integrating genomic prediction with high-throughput phenotyping for climate-resilient wheat, yet cross-year prediction remained challenging. Phenomics is most valuable when it supplies early, repeatable secondary traits that are available at the stage when selection is actually made.</w:t>
      </w:r>
    </w:p>
    <w:p w14:paraId="5F54C924" w14:textId="77777777" w:rsidR="00153A91" w:rsidRDefault="00000000">
      <w:pPr>
        <w:pStyle w:val="BodyTextAcademic"/>
      </w:pPr>
      <w:r>
        <w:t xml:space="preserve">Environmental covariates extend this dynamic view from plant state to exposure. Reaction-norm and kernel models can use weather, soil and management descriptors to model genotype-by-environment interaction rather than treating environments as unrelated categories. Jarquín et al. (2014) demonstrated that high-dimensional environmental information can improve reaction-norm genomic prediction, and Cuevas et al. (2017) showed benefits from genotype-by-environment kernel structures. Across European maize environments, genomic prediction of yield improved when environmental differentiation was modelled explicitly (Millet et al., 2019). Recent soybean analysis indicates that </w:t>
      </w:r>
      <w:proofErr w:type="spellStart"/>
      <w:r>
        <w:t>summarising</w:t>
      </w:r>
      <w:proofErr w:type="spellEnd"/>
      <w:r>
        <w:t xml:space="preserve"> or integrating environmental covariates can improve prediction in previously represented environments, whereas prediction into genuinely novel environments remains harder and may not benefit from the same formulation (Sagae et al., 2026). This contrast is critical: environment-aware modelling is promising, but interpolation and extrapolation are different scientific problems.</w:t>
      </w:r>
    </w:p>
    <w:p w14:paraId="52B56303" w14:textId="77777777" w:rsidR="00153A91" w:rsidRDefault="00000000">
      <w:pPr>
        <w:pStyle w:val="BodyTextAcademic"/>
      </w:pPr>
      <w:r>
        <w:t xml:space="preserve">The practical distinctions among information layers are </w:t>
      </w:r>
      <w:proofErr w:type="spellStart"/>
      <w:r>
        <w:t>summarised</w:t>
      </w:r>
      <w:proofErr w:type="spellEnd"/>
      <w:r>
        <w:t xml:space="preserve"> in Table 1. The table highlights why a modality should be selected according to its inheritance, temporal stability, proximity to phenotype and cost rather than because it is technically available. The most compelling integrations combine stable genetic representation with dynamic but trait-relevant molecular, </w:t>
      </w:r>
      <w:proofErr w:type="spellStart"/>
      <w:r>
        <w:t>phenomic</w:t>
      </w:r>
      <w:proofErr w:type="spellEnd"/>
      <w:r>
        <w:t xml:space="preserve"> or environmental information while preserving a validation design that mirrors the breeding decision.</w:t>
      </w:r>
    </w:p>
    <w:p w14:paraId="13A44A60" w14:textId="77777777" w:rsidR="00153A91" w:rsidRDefault="00000000">
      <w:pPr>
        <w:spacing w:before="100" w:after="80"/>
      </w:pPr>
      <w:r>
        <w:rPr>
          <w:b/>
          <w:sz w:val="19"/>
        </w:rPr>
        <w:t>Table 1. Comparative properties of information layers used in multi-omics crop improvement</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123"/>
        <w:gridCol w:w="1656"/>
        <w:gridCol w:w="1656"/>
        <w:gridCol w:w="1757"/>
        <w:gridCol w:w="1584"/>
        <w:gridCol w:w="1584"/>
      </w:tblGrid>
      <w:tr w:rsidR="00153A91" w14:paraId="73A44950" w14:textId="77777777">
        <w:trPr>
          <w:tblHeader/>
          <w:jc w:val="center"/>
        </w:trPr>
        <w:tc>
          <w:tcPr>
            <w:tcW w:w="1123" w:type="dxa"/>
            <w:shd w:val="clear" w:color="auto" w:fill="D9E2F3"/>
            <w:tcMar>
              <w:top w:w="85" w:type="dxa"/>
              <w:left w:w="85" w:type="dxa"/>
              <w:bottom w:w="85" w:type="dxa"/>
              <w:right w:w="85" w:type="dxa"/>
            </w:tcMar>
            <w:vAlign w:val="center"/>
          </w:tcPr>
          <w:p w14:paraId="20C60803" w14:textId="77777777" w:rsidR="00153A91" w:rsidRDefault="00000000">
            <w:pPr>
              <w:spacing w:after="0" w:line="247" w:lineRule="auto"/>
              <w:jc w:val="center"/>
            </w:pPr>
            <w:r>
              <w:rPr>
                <w:b/>
                <w:sz w:val="16"/>
              </w:rPr>
              <w:t>Layer</w:t>
            </w:r>
          </w:p>
        </w:tc>
        <w:tc>
          <w:tcPr>
            <w:tcW w:w="1656" w:type="dxa"/>
            <w:shd w:val="clear" w:color="auto" w:fill="D9E2F3"/>
            <w:tcMar>
              <w:top w:w="85" w:type="dxa"/>
              <w:left w:w="85" w:type="dxa"/>
              <w:bottom w:w="85" w:type="dxa"/>
              <w:right w:w="85" w:type="dxa"/>
            </w:tcMar>
            <w:vAlign w:val="center"/>
          </w:tcPr>
          <w:p w14:paraId="682E2B56" w14:textId="77777777" w:rsidR="00153A91" w:rsidRDefault="00000000">
            <w:pPr>
              <w:spacing w:after="0" w:line="247" w:lineRule="auto"/>
              <w:jc w:val="center"/>
            </w:pPr>
            <w:r>
              <w:rPr>
                <w:b/>
                <w:sz w:val="16"/>
              </w:rPr>
              <w:t>Principal breeding signal</w:t>
            </w:r>
          </w:p>
        </w:tc>
        <w:tc>
          <w:tcPr>
            <w:tcW w:w="1656" w:type="dxa"/>
            <w:shd w:val="clear" w:color="auto" w:fill="D9E2F3"/>
            <w:tcMar>
              <w:top w:w="85" w:type="dxa"/>
              <w:left w:w="85" w:type="dxa"/>
              <w:bottom w:w="85" w:type="dxa"/>
              <w:right w:w="85" w:type="dxa"/>
            </w:tcMar>
            <w:vAlign w:val="center"/>
          </w:tcPr>
          <w:p w14:paraId="4E4170B0" w14:textId="77777777" w:rsidR="00153A91" w:rsidRDefault="00000000">
            <w:pPr>
              <w:spacing w:after="0" w:line="247" w:lineRule="auto"/>
              <w:jc w:val="center"/>
            </w:pPr>
            <w:r>
              <w:rPr>
                <w:b/>
                <w:sz w:val="16"/>
              </w:rPr>
              <w:t>Main strength</w:t>
            </w:r>
          </w:p>
        </w:tc>
        <w:tc>
          <w:tcPr>
            <w:tcW w:w="1757" w:type="dxa"/>
            <w:shd w:val="clear" w:color="auto" w:fill="D9E2F3"/>
            <w:tcMar>
              <w:top w:w="85" w:type="dxa"/>
              <w:left w:w="85" w:type="dxa"/>
              <w:bottom w:w="85" w:type="dxa"/>
              <w:right w:w="85" w:type="dxa"/>
            </w:tcMar>
            <w:vAlign w:val="center"/>
          </w:tcPr>
          <w:p w14:paraId="3F8CDFBD" w14:textId="77777777" w:rsidR="00153A91" w:rsidRDefault="00000000">
            <w:pPr>
              <w:spacing w:after="0" w:line="247" w:lineRule="auto"/>
              <w:jc w:val="center"/>
            </w:pPr>
            <w:r>
              <w:rPr>
                <w:b/>
                <w:sz w:val="16"/>
              </w:rPr>
              <w:t>Critical limitation</w:t>
            </w:r>
          </w:p>
        </w:tc>
        <w:tc>
          <w:tcPr>
            <w:tcW w:w="1584" w:type="dxa"/>
            <w:shd w:val="clear" w:color="auto" w:fill="D9E2F3"/>
            <w:tcMar>
              <w:top w:w="85" w:type="dxa"/>
              <w:left w:w="85" w:type="dxa"/>
              <w:bottom w:w="85" w:type="dxa"/>
              <w:right w:w="85" w:type="dxa"/>
            </w:tcMar>
            <w:vAlign w:val="center"/>
          </w:tcPr>
          <w:p w14:paraId="1A701A4C" w14:textId="77777777" w:rsidR="00153A91" w:rsidRDefault="00000000">
            <w:pPr>
              <w:spacing w:after="0" w:line="247" w:lineRule="auto"/>
              <w:jc w:val="center"/>
            </w:pPr>
            <w:r>
              <w:rPr>
                <w:b/>
                <w:sz w:val="16"/>
              </w:rPr>
              <w:t>Most defensible AI role</w:t>
            </w:r>
          </w:p>
        </w:tc>
        <w:tc>
          <w:tcPr>
            <w:tcW w:w="1584" w:type="dxa"/>
            <w:shd w:val="clear" w:color="auto" w:fill="D9E2F3"/>
            <w:tcMar>
              <w:top w:w="85" w:type="dxa"/>
              <w:left w:w="85" w:type="dxa"/>
              <w:bottom w:w="85" w:type="dxa"/>
              <w:right w:w="85" w:type="dxa"/>
            </w:tcMar>
            <w:vAlign w:val="center"/>
          </w:tcPr>
          <w:p w14:paraId="59AD97C5" w14:textId="77777777" w:rsidR="00153A91" w:rsidRDefault="00000000">
            <w:pPr>
              <w:spacing w:after="0" w:line="247" w:lineRule="auto"/>
              <w:jc w:val="center"/>
            </w:pPr>
            <w:r>
              <w:rPr>
                <w:b/>
                <w:sz w:val="16"/>
              </w:rPr>
              <w:t>Supporting references</w:t>
            </w:r>
          </w:p>
        </w:tc>
      </w:tr>
      <w:tr w:rsidR="00153A91" w14:paraId="61B35472" w14:textId="77777777">
        <w:trPr>
          <w:cantSplit/>
          <w:jc w:val="center"/>
        </w:trPr>
        <w:tc>
          <w:tcPr>
            <w:tcW w:w="1123" w:type="dxa"/>
            <w:tcMar>
              <w:top w:w="85" w:type="dxa"/>
              <w:left w:w="85" w:type="dxa"/>
              <w:bottom w:w="85" w:type="dxa"/>
              <w:right w:w="85" w:type="dxa"/>
            </w:tcMar>
            <w:vAlign w:val="center"/>
          </w:tcPr>
          <w:p w14:paraId="009D7FB9" w14:textId="77777777" w:rsidR="00153A91" w:rsidRDefault="00000000">
            <w:pPr>
              <w:spacing w:after="0" w:line="247" w:lineRule="auto"/>
              <w:jc w:val="center"/>
            </w:pPr>
            <w:r>
              <w:rPr>
                <w:sz w:val="16"/>
              </w:rPr>
              <w:t>Genomics</w:t>
            </w:r>
          </w:p>
        </w:tc>
        <w:tc>
          <w:tcPr>
            <w:tcW w:w="1656" w:type="dxa"/>
            <w:tcMar>
              <w:top w:w="85" w:type="dxa"/>
              <w:left w:w="85" w:type="dxa"/>
              <w:bottom w:w="85" w:type="dxa"/>
              <w:right w:w="85" w:type="dxa"/>
            </w:tcMar>
            <w:vAlign w:val="center"/>
          </w:tcPr>
          <w:p w14:paraId="353980D9" w14:textId="77777777" w:rsidR="00153A91" w:rsidRDefault="00000000">
            <w:pPr>
              <w:spacing w:after="0" w:line="247" w:lineRule="auto"/>
            </w:pPr>
            <w:r>
              <w:rPr>
                <w:sz w:val="16"/>
              </w:rPr>
              <w:t>Inherited marker and haplotype variation</w:t>
            </w:r>
          </w:p>
        </w:tc>
        <w:tc>
          <w:tcPr>
            <w:tcW w:w="1656" w:type="dxa"/>
            <w:tcMar>
              <w:top w:w="85" w:type="dxa"/>
              <w:left w:w="85" w:type="dxa"/>
              <w:bottom w:w="85" w:type="dxa"/>
              <w:right w:w="85" w:type="dxa"/>
            </w:tcMar>
            <w:vAlign w:val="center"/>
          </w:tcPr>
          <w:p w14:paraId="7A10D7DA" w14:textId="77777777" w:rsidR="00153A91" w:rsidRDefault="00000000">
            <w:pPr>
              <w:spacing w:after="0" w:line="247" w:lineRule="auto"/>
            </w:pPr>
            <w:r>
              <w:rPr>
                <w:sz w:val="16"/>
              </w:rPr>
              <w:t>Stable, scalable and directly tied to inheritance</w:t>
            </w:r>
          </w:p>
        </w:tc>
        <w:tc>
          <w:tcPr>
            <w:tcW w:w="1757" w:type="dxa"/>
            <w:tcMar>
              <w:top w:w="85" w:type="dxa"/>
              <w:left w:w="85" w:type="dxa"/>
              <w:bottom w:w="85" w:type="dxa"/>
              <w:right w:w="85" w:type="dxa"/>
            </w:tcMar>
            <w:vAlign w:val="center"/>
          </w:tcPr>
          <w:p w14:paraId="7335B56C" w14:textId="77777777" w:rsidR="00153A91" w:rsidRDefault="00000000">
            <w:pPr>
              <w:spacing w:after="0" w:line="247" w:lineRule="auto"/>
            </w:pPr>
            <w:r>
              <w:rPr>
                <w:sz w:val="16"/>
              </w:rPr>
              <w:t>Prediction can depend strongly on relatedness and incomplete linkage to causal variants</w:t>
            </w:r>
          </w:p>
        </w:tc>
        <w:tc>
          <w:tcPr>
            <w:tcW w:w="1584" w:type="dxa"/>
            <w:tcMar>
              <w:top w:w="85" w:type="dxa"/>
              <w:left w:w="85" w:type="dxa"/>
              <w:bottom w:w="85" w:type="dxa"/>
              <w:right w:w="85" w:type="dxa"/>
            </w:tcMar>
            <w:vAlign w:val="center"/>
          </w:tcPr>
          <w:p w14:paraId="6E7DF621" w14:textId="77777777" w:rsidR="00153A91" w:rsidRDefault="00000000">
            <w:pPr>
              <w:spacing w:after="0" w:line="247" w:lineRule="auto"/>
            </w:pPr>
            <w:r>
              <w:rPr>
                <w:sz w:val="16"/>
              </w:rPr>
              <w:t>Baseline genomic prediction; sequence and haplotype representation</w:t>
            </w:r>
          </w:p>
        </w:tc>
        <w:tc>
          <w:tcPr>
            <w:tcW w:w="1584" w:type="dxa"/>
            <w:tcMar>
              <w:top w:w="85" w:type="dxa"/>
              <w:left w:w="85" w:type="dxa"/>
              <w:bottom w:w="85" w:type="dxa"/>
              <w:right w:w="85" w:type="dxa"/>
            </w:tcMar>
            <w:vAlign w:val="center"/>
          </w:tcPr>
          <w:p w14:paraId="7158409A" w14:textId="77777777" w:rsidR="00153A91" w:rsidRDefault="00000000">
            <w:pPr>
              <w:spacing w:after="0" w:line="247" w:lineRule="auto"/>
            </w:pPr>
            <w:r>
              <w:rPr>
                <w:sz w:val="16"/>
              </w:rPr>
              <w:t xml:space="preserve">(Alemu et al., 2024; Crossa et al., 2017; </w:t>
            </w:r>
            <w:proofErr w:type="spellStart"/>
            <w:r>
              <w:rPr>
                <w:sz w:val="16"/>
              </w:rPr>
              <w:t>Jannink</w:t>
            </w:r>
            <w:proofErr w:type="spellEnd"/>
            <w:r>
              <w:rPr>
                <w:sz w:val="16"/>
              </w:rPr>
              <w:t xml:space="preserve"> et al., 2010)</w:t>
            </w:r>
          </w:p>
        </w:tc>
      </w:tr>
      <w:tr w:rsidR="00153A91" w14:paraId="04F14260" w14:textId="77777777">
        <w:trPr>
          <w:cantSplit/>
          <w:jc w:val="center"/>
        </w:trPr>
        <w:tc>
          <w:tcPr>
            <w:tcW w:w="1123" w:type="dxa"/>
            <w:tcMar>
              <w:top w:w="85" w:type="dxa"/>
              <w:left w:w="85" w:type="dxa"/>
              <w:bottom w:w="85" w:type="dxa"/>
              <w:right w:w="85" w:type="dxa"/>
            </w:tcMar>
            <w:vAlign w:val="center"/>
          </w:tcPr>
          <w:p w14:paraId="37BB8709" w14:textId="77777777" w:rsidR="00153A91" w:rsidRDefault="00000000">
            <w:pPr>
              <w:spacing w:after="0" w:line="247" w:lineRule="auto"/>
              <w:jc w:val="center"/>
            </w:pPr>
            <w:proofErr w:type="spellStart"/>
            <w:r>
              <w:rPr>
                <w:sz w:val="16"/>
              </w:rPr>
              <w:t>Pangenomics</w:t>
            </w:r>
            <w:proofErr w:type="spellEnd"/>
          </w:p>
        </w:tc>
        <w:tc>
          <w:tcPr>
            <w:tcW w:w="1656" w:type="dxa"/>
            <w:tcMar>
              <w:top w:w="85" w:type="dxa"/>
              <w:left w:w="85" w:type="dxa"/>
              <w:bottom w:w="85" w:type="dxa"/>
              <w:right w:w="85" w:type="dxa"/>
            </w:tcMar>
            <w:vAlign w:val="center"/>
          </w:tcPr>
          <w:p w14:paraId="30383425" w14:textId="77777777" w:rsidR="00153A91" w:rsidRDefault="00000000">
            <w:pPr>
              <w:spacing w:after="0" w:line="247" w:lineRule="auto"/>
            </w:pPr>
            <w:r>
              <w:rPr>
                <w:sz w:val="16"/>
              </w:rPr>
              <w:t>Structural, presence-absence and graph-represented variation</w:t>
            </w:r>
          </w:p>
        </w:tc>
        <w:tc>
          <w:tcPr>
            <w:tcW w:w="1656" w:type="dxa"/>
            <w:tcMar>
              <w:top w:w="85" w:type="dxa"/>
              <w:left w:w="85" w:type="dxa"/>
              <w:bottom w:w="85" w:type="dxa"/>
              <w:right w:w="85" w:type="dxa"/>
            </w:tcMar>
            <w:vAlign w:val="center"/>
          </w:tcPr>
          <w:p w14:paraId="77353B0A" w14:textId="77777777" w:rsidR="00153A91" w:rsidRDefault="00000000">
            <w:pPr>
              <w:spacing w:after="0" w:line="247" w:lineRule="auto"/>
            </w:pPr>
            <w:r>
              <w:rPr>
                <w:sz w:val="16"/>
              </w:rPr>
              <w:t>Reduces single-reference bias and exposes variants absent from linear references</w:t>
            </w:r>
          </w:p>
        </w:tc>
        <w:tc>
          <w:tcPr>
            <w:tcW w:w="1757" w:type="dxa"/>
            <w:tcMar>
              <w:top w:w="85" w:type="dxa"/>
              <w:left w:w="85" w:type="dxa"/>
              <w:bottom w:w="85" w:type="dxa"/>
              <w:right w:w="85" w:type="dxa"/>
            </w:tcMar>
            <w:vAlign w:val="center"/>
          </w:tcPr>
          <w:p w14:paraId="5026F966" w14:textId="77777777" w:rsidR="00153A91" w:rsidRDefault="00000000">
            <w:pPr>
              <w:spacing w:after="0" w:line="247" w:lineRule="auto"/>
            </w:pPr>
            <w:r>
              <w:rPr>
                <w:sz w:val="16"/>
              </w:rPr>
              <w:t xml:space="preserve">Feature dimensionality, graph </w:t>
            </w:r>
            <w:proofErr w:type="spellStart"/>
            <w:r>
              <w:rPr>
                <w:sz w:val="16"/>
              </w:rPr>
              <w:t>standardisation</w:t>
            </w:r>
            <w:proofErr w:type="spellEnd"/>
            <w:r>
              <w:rPr>
                <w:sz w:val="16"/>
              </w:rPr>
              <w:t xml:space="preserve"> and germplasm-specific variants</w:t>
            </w:r>
          </w:p>
        </w:tc>
        <w:tc>
          <w:tcPr>
            <w:tcW w:w="1584" w:type="dxa"/>
            <w:tcMar>
              <w:top w:w="85" w:type="dxa"/>
              <w:left w:w="85" w:type="dxa"/>
              <w:bottom w:w="85" w:type="dxa"/>
              <w:right w:w="85" w:type="dxa"/>
            </w:tcMar>
            <w:vAlign w:val="center"/>
          </w:tcPr>
          <w:p w14:paraId="023AA72F" w14:textId="77777777" w:rsidR="00153A91" w:rsidRDefault="00000000">
            <w:pPr>
              <w:spacing w:after="0" w:line="247" w:lineRule="auto"/>
            </w:pPr>
            <w:r>
              <w:rPr>
                <w:sz w:val="16"/>
              </w:rPr>
              <w:t xml:space="preserve">Graph-aware representation and variant </w:t>
            </w:r>
            <w:proofErr w:type="spellStart"/>
            <w:r>
              <w:rPr>
                <w:sz w:val="16"/>
              </w:rPr>
              <w:t>prioritisation</w:t>
            </w:r>
            <w:proofErr w:type="spellEnd"/>
          </w:p>
        </w:tc>
        <w:tc>
          <w:tcPr>
            <w:tcW w:w="1584" w:type="dxa"/>
            <w:tcMar>
              <w:top w:w="85" w:type="dxa"/>
              <w:left w:w="85" w:type="dxa"/>
              <w:bottom w:w="85" w:type="dxa"/>
              <w:right w:w="85" w:type="dxa"/>
            </w:tcMar>
            <w:vAlign w:val="center"/>
          </w:tcPr>
          <w:p w14:paraId="1F2C637C" w14:textId="77777777" w:rsidR="00153A91" w:rsidRDefault="00000000">
            <w:pPr>
              <w:spacing w:after="0" w:line="247" w:lineRule="auto"/>
            </w:pPr>
            <w:r>
              <w:rPr>
                <w:sz w:val="16"/>
              </w:rPr>
              <w:t>(Bayer et al., 2021; Zanini et al., 2022)</w:t>
            </w:r>
          </w:p>
        </w:tc>
      </w:tr>
      <w:tr w:rsidR="00153A91" w14:paraId="2B8DB7C5" w14:textId="77777777">
        <w:trPr>
          <w:cantSplit/>
          <w:jc w:val="center"/>
        </w:trPr>
        <w:tc>
          <w:tcPr>
            <w:tcW w:w="1123" w:type="dxa"/>
            <w:tcMar>
              <w:top w:w="85" w:type="dxa"/>
              <w:left w:w="85" w:type="dxa"/>
              <w:bottom w:w="85" w:type="dxa"/>
              <w:right w:w="85" w:type="dxa"/>
            </w:tcMar>
            <w:vAlign w:val="center"/>
          </w:tcPr>
          <w:p w14:paraId="368C1B71" w14:textId="77777777" w:rsidR="00153A91" w:rsidRDefault="00000000">
            <w:pPr>
              <w:spacing w:after="0" w:line="247" w:lineRule="auto"/>
              <w:jc w:val="center"/>
            </w:pPr>
            <w:r>
              <w:rPr>
                <w:sz w:val="16"/>
              </w:rPr>
              <w:t>Transcriptomics</w:t>
            </w:r>
          </w:p>
        </w:tc>
        <w:tc>
          <w:tcPr>
            <w:tcW w:w="1656" w:type="dxa"/>
            <w:tcMar>
              <w:top w:w="85" w:type="dxa"/>
              <w:left w:w="85" w:type="dxa"/>
              <w:bottom w:w="85" w:type="dxa"/>
              <w:right w:w="85" w:type="dxa"/>
            </w:tcMar>
            <w:vAlign w:val="center"/>
          </w:tcPr>
          <w:p w14:paraId="38058B3A" w14:textId="77777777" w:rsidR="00153A91" w:rsidRDefault="00000000">
            <w:pPr>
              <w:spacing w:after="0" w:line="247" w:lineRule="auto"/>
            </w:pPr>
            <w:r>
              <w:rPr>
                <w:sz w:val="16"/>
              </w:rPr>
              <w:t>Gene-regulatory state and integrated cis/trans effects</w:t>
            </w:r>
          </w:p>
        </w:tc>
        <w:tc>
          <w:tcPr>
            <w:tcW w:w="1656" w:type="dxa"/>
            <w:tcMar>
              <w:top w:w="85" w:type="dxa"/>
              <w:left w:w="85" w:type="dxa"/>
              <w:bottom w:w="85" w:type="dxa"/>
              <w:right w:w="85" w:type="dxa"/>
            </w:tcMar>
            <w:vAlign w:val="center"/>
          </w:tcPr>
          <w:p w14:paraId="47BB0D5B" w14:textId="77777777" w:rsidR="00153A91" w:rsidRDefault="00000000">
            <w:pPr>
              <w:spacing w:after="0" w:line="247" w:lineRule="auto"/>
            </w:pPr>
            <w:r>
              <w:rPr>
                <w:sz w:val="16"/>
              </w:rPr>
              <w:t>Biologically closer to complex traits; can capture regulatory interactions</w:t>
            </w:r>
          </w:p>
        </w:tc>
        <w:tc>
          <w:tcPr>
            <w:tcW w:w="1757" w:type="dxa"/>
            <w:tcMar>
              <w:top w:w="85" w:type="dxa"/>
              <w:left w:w="85" w:type="dxa"/>
              <w:bottom w:w="85" w:type="dxa"/>
              <w:right w:w="85" w:type="dxa"/>
            </w:tcMar>
            <w:vAlign w:val="center"/>
          </w:tcPr>
          <w:p w14:paraId="6DFC3B5D" w14:textId="77777777" w:rsidR="00153A91" w:rsidRDefault="00000000">
            <w:pPr>
              <w:spacing w:after="0" w:line="247" w:lineRule="auto"/>
            </w:pPr>
            <w:r>
              <w:rPr>
                <w:sz w:val="16"/>
              </w:rPr>
              <w:t>Highly tissue-, stage- and environment-dependent</w:t>
            </w:r>
          </w:p>
        </w:tc>
        <w:tc>
          <w:tcPr>
            <w:tcW w:w="1584" w:type="dxa"/>
            <w:tcMar>
              <w:top w:w="85" w:type="dxa"/>
              <w:left w:w="85" w:type="dxa"/>
              <w:bottom w:w="85" w:type="dxa"/>
              <w:right w:w="85" w:type="dxa"/>
            </w:tcMar>
            <w:vAlign w:val="center"/>
          </w:tcPr>
          <w:p w14:paraId="007E60CA" w14:textId="77777777" w:rsidR="00153A91" w:rsidRDefault="00000000">
            <w:pPr>
              <w:spacing w:after="0" w:line="247" w:lineRule="auto"/>
            </w:pPr>
            <w:r>
              <w:rPr>
                <w:sz w:val="16"/>
              </w:rPr>
              <w:t>Feature selection, nonlinear prediction and multimodal fusion</w:t>
            </w:r>
          </w:p>
        </w:tc>
        <w:tc>
          <w:tcPr>
            <w:tcW w:w="1584" w:type="dxa"/>
            <w:tcMar>
              <w:top w:w="85" w:type="dxa"/>
              <w:left w:w="85" w:type="dxa"/>
              <w:bottom w:w="85" w:type="dxa"/>
              <w:right w:w="85" w:type="dxa"/>
            </w:tcMar>
            <w:vAlign w:val="center"/>
          </w:tcPr>
          <w:p w14:paraId="0B53DE8F" w14:textId="77777777" w:rsidR="00153A91" w:rsidRDefault="00000000">
            <w:pPr>
              <w:spacing w:after="0" w:line="247" w:lineRule="auto"/>
            </w:pPr>
            <w:r>
              <w:rPr>
                <w:sz w:val="16"/>
              </w:rPr>
              <w:t>(Guo et al., 2016; Schrag et al., 2018; Westhues et al., 2017)</w:t>
            </w:r>
          </w:p>
        </w:tc>
      </w:tr>
      <w:tr w:rsidR="00153A91" w14:paraId="6111A2D0" w14:textId="77777777">
        <w:trPr>
          <w:cantSplit/>
          <w:jc w:val="center"/>
        </w:trPr>
        <w:tc>
          <w:tcPr>
            <w:tcW w:w="1123" w:type="dxa"/>
            <w:tcMar>
              <w:top w:w="85" w:type="dxa"/>
              <w:left w:w="85" w:type="dxa"/>
              <w:bottom w:w="85" w:type="dxa"/>
              <w:right w:w="85" w:type="dxa"/>
            </w:tcMar>
            <w:vAlign w:val="center"/>
          </w:tcPr>
          <w:p w14:paraId="76CFB8CC" w14:textId="77777777" w:rsidR="00153A91" w:rsidRDefault="00000000">
            <w:pPr>
              <w:spacing w:after="0" w:line="247" w:lineRule="auto"/>
              <w:jc w:val="center"/>
            </w:pPr>
            <w:r>
              <w:rPr>
                <w:sz w:val="16"/>
              </w:rPr>
              <w:t>Epigenomics</w:t>
            </w:r>
          </w:p>
        </w:tc>
        <w:tc>
          <w:tcPr>
            <w:tcW w:w="1656" w:type="dxa"/>
            <w:tcMar>
              <w:top w:w="85" w:type="dxa"/>
              <w:left w:w="85" w:type="dxa"/>
              <w:bottom w:w="85" w:type="dxa"/>
              <w:right w:w="85" w:type="dxa"/>
            </w:tcMar>
            <w:vAlign w:val="center"/>
          </w:tcPr>
          <w:p w14:paraId="19F16375" w14:textId="77777777" w:rsidR="00153A91" w:rsidRDefault="00000000">
            <w:pPr>
              <w:spacing w:after="0" w:line="247" w:lineRule="auto"/>
            </w:pPr>
            <w:r>
              <w:rPr>
                <w:sz w:val="16"/>
              </w:rPr>
              <w:t>Methylation and other regulatory states</w:t>
            </w:r>
          </w:p>
        </w:tc>
        <w:tc>
          <w:tcPr>
            <w:tcW w:w="1656" w:type="dxa"/>
            <w:tcMar>
              <w:top w:w="85" w:type="dxa"/>
              <w:left w:w="85" w:type="dxa"/>
              <w:bottom w:w="85" w:type="dxa"/>
              <w:right w:w="85" w:type="dxa"/>
            </w:tcMar>
            <w:vAlign w:val="center"/>
          </w:tcPr>
          <w:p w14:paraId="5C814C9B" w14:textId="77777777" w:rsidR="00153A91" w:rsidRDefault="00000000">
            <w:pPr>
              <w:spacing w:after="0" w:line="247" w:lineRule="auto"/>
            </w:pPr>
            <w:r>
              <w:rPr>
                <w:sz w:val="16"/>
              </w:rPr>
              <w:t>Represents regulatory variation beyond DNA sequence</w:t>
            </w:r>
          </w:p>
        </w:tc>
        <w:tc>
          <w:tcPr>
            <w:tcW w:w="1757" w:type="dxa"/>
            <w:tcMar>
              <w:top w:w="85" w:type="dxa"/>
              <w:left w:w="85" w:type="dxa"/>
              <w:bottom w:w="85" w:type="dxa"/>
              <w:right w:w="85" w:type="dxa"/>
            </w:tcMar>
            <w:vAlign w:val="center"/>
          </w:tcPr>
          <w:p w14:paraId="6764ACA0" w14:textId="77777777" w:rsidR="00153A91" w:rsidRDefault="00000000">
            <w:pPr>
              <w:spacing w:after="0" w:line="247" w:lineRule="auto"/>
            </w:pPr>
            <w:r>
              <w:rPr>
                <w:sz w:val="16"/>
              </w:rPr>
              <w:t>Stability, inheritance and environmental responsiveness can be difficult to separate</w:t>
            </w:r>
          </w:p>
        </w:tc>
        <w:tc>
          <w:tcPr>
            <w:tcW w:w="1584" w:type="dxa"/>
            <w:tcMar>
              <w:top w:w="85" w:type="dxa"/>
              <w:left w:w="85" w:type="dxa"/>
              <w:bottom w:w="85" w:type="dxa"/>
              <w:right w:w="85" w:type="dxa"/>
            </w:tcMar>
            <w:vAlign w:val="center"/>
          </w:tcPr>
          <w:p w14:paraId="1C3F598F" w14:textId="77777777" w:rsidR="00153A91" w:rsidRDefault="00000000">
            <w:pPr>
              <w:spacing w:after="0" w:line="247" w:lineRule="auto"/>
            </w:pPr>
            <w:r>
              <w:rPr>
                <w:sz w:val="16"/>
              </w:rPr>
              <w:t>Structured regulatory features and integrative prediction</w:t>
            </w:r>
          </w:p>
        </w:tc>
        <w:tc>
          <w:tcPr>
            <w:tcW w:w="1584" w:type="dxa"/>
            <w:tcMar>
              <w:top w:w="85" w:type="dxa"/>
              <w:left w:w="85" w:type="dxa"/>
              <w:bottom w:w="85" w:type="dxa"/>
              <w:right w:w="85" w:type="dxa"/>
            </w:tcMar>
            <w:vAlign w:val="center"/>
          </w:tcPr>
          <w:p w14:paraId="455B77D9" w14:textId="77777777" w:rsidR="00153A91" w:rsidRDefault="00000000">
            <w:pPr>
              <w:spacing w:after="0" w:line="247" w:lineRule="auto"/>
            </w:pPr>
            <w:r>
              <w:rPr>
                <w:sz w:val="16"/>
              </w:rPr>
              <w:t xml:space="preserve">(Hansen et al., 2022; </w:t>
            </w:r>
            <w:proofErr w:type="spellStart"/>
            <w:r>
              <w:rPr>
                <w:sz w:val="16"/>
              </w:rPr>
              <w:t>Kawakatsu</w:t>
            </w:r>
            <w:proofErr w:type="spellEnd"/>
            <w:r>
              <w:rPr>
                <w:sz w:val="16"/>
              </w:rPr>
              <w:t xml:space="preserve"> &amp; Ecker, 2019; Springer &amp; Schmitz, 2017)</w:t>
            </w:r>
          </w:p>
        </w:tc>
      </w:tr>
      <w:tr w:rsidR="00153A91" w14:paraId="6CE71C80" w14:textId="77777777">
        <w:trPr>
          <w:cantSplit/>
          <w:jc w:val="center"/>
        </w:trPr>
        <w:tc>
          <w:tcPr>
            <w:tcW w:w="1123" w:type="dxa"/>
            <w:tcMar>
              <w:top w:w="85" w:type="dxa"/>
              <w:left w:w="85" w:type="dxa"/>
              <w:bottom w:w="85" w:type="dxa"/>
              <w:right w:w="85" w:type="dxa"/>
            </w:tcMar>
            <w:vAlign w:val="center"/>
          </w:tcPr>
          <w:p w14:paraId="7C9FDD60" w14:textId="77777777" w:rsidR="00153A91" w:rsidRDefault="00000000">
            <w:pPr>
              <w:spacing w:after="0" w:line="247" w:lineRule="auto"/>
              <w:jc w:val="center"/>
            </w:pPr>
            <w:r>
              <w:rPr>
                <w:sz w:val="16"/>
              </w:rPr>
              <w:lastRenderedPageBreak/>
              <w:t>Proteomics</w:t>
            </w:r>
          </w:p>
        </w:tc>
        <w:tc>
          <w:tcPr>
            <w:tcW w:w="1656" w:type="dxa"/>
            <w:tcMar>
              <w:top w:w="85" w:type="dxa"/>
              <w:left w:w="85" w:type="dxa"/>
              <w:bottom w:w="85" w:type="dxa"/>
              <w:right w:w="85" w:type="dxa"/>
            </w:tcMar>
            <w:vAlign w:val="center"/>
          </w:tcPr>
          <w:p w14:paraId="1BFCA796" w14:textId="77777777" w:rsidR="00153A91" w:rsidRDefault="00000000">
            <w:pPr>
              <w:spacing w:after="0" w:line="247" w:lineRule="auto"/>
            </w:pPr>
            <w:r>
              <w:rPr>
                <w:sz w:val="16"/>
              </w:rPr>
              <w:t>Protein abundance and post-transcriptional regulation</w:t>
            </w:r>
          </w:p>
        </w:tc>
        <w:tc>
          <w:tcPr>
            <w:tcW w:w="1656" w:type="dxa"/>
            <w:tcMar>
              <w:top w:w="85" w:type="dxa"/>
              <w:left w:w="85" w:type="dxa"/>
              <w:bottom w:w="85" w:type="dxa"/>
              <w:right w:w="85" w:type="dxa"/>
            </w:tcMar>
            <w:vAlign w:val="center"/>
          </w:tcPr>
          <w:p w14:paraId="46B5D4C6" w14:textId="77777777" w:rsidR="00153A91" w:rsidRDefault="00000000">
            <w:pPr>
              <w:spacing w:after="0" w:line="247" w:lineRule="auto"/>
            </w:pPr>
            <w:r>
              <w:rPr>
                <w:sz w:val="16"/>
              </w:rPr>
              <w:t>More proximal to biochemical function than transcripts</w:t>
            </w:r>
          </w:p>
        </w:tc>
        <w:tc>
          <w:tcPr>
            <w:tcW w:w="1757" w:type="dxa"/>
            <w:tcMar>
              <w:top w:w="85" w:type="dxa"/>
              <w:left w:w="85" w:type="dxa"/>
              <w:bottom w:w="85" w:type="dxa"/>
              <w:right w:w="85" w:type="dxa"/>
            </w:tcMar>
            <w:vAlign w:val="center"/>
          </w:tcPr>
          <w:p w14:paraId="48B07B02" w14:textId="77777777" w:rsidR="00153A91" w:rsidRDefault="00000000">
            <w:pPr>
              <w:spacing w:after="0" w:line="247" w:lineRule="auto"/>
            </w:pPr>
            <w:r>
              <w:rPr>
                <w:sz w:val="16"/>
              </w:rPr>
              <w:t>Assay cost, dynamic range and sampling sensitivity</w:t>
            </w:r>
          </w:p>
        </w:tc>
        <w:tc>
          <w:tcPr>
            <w:tcW w:w="1584" w:type="dxa"/>
            <w:tcMar>
              <w:top w:w="85" w:type="dxa"/>
              <w:left w:w="85" w:type="dxa"/>
              <w:bottom w:w="85" w:type="dxa"/>
              <w:right w:w="85" w:type="dxa"/>
            </w:tcMar>
            <w:vAlign w:val="center"/>
          </w:tcPr>
          <w:p w14:paraId="356BD5B7" w14:textId="77777777" w:rsidR="00153A91" w:rsidRDefault="00000000">
            <w:pPr>
              <w:spacing w:after="0" w:line="247" w:lineRule="auto"/>
            </w:pPr>
            <w:r>
              <w:rPr>
                <w:sz w:val="16"/>
              </w:rPr>
              <w:t>Pathway-level representation; targeted predictive features</w:t>
            </w:r>
          </w:p>
        </w:tc>
        <w:tc>
          <w:tcPr>
            <w:tcW w:w="1584" w:type="dxa"/>
            <w:tcMar>
              <w:top w:w="85" w:type="dxa"/>
              <w:left w:w="85" w:type="dxa"/>
              <w:bottom w:w="85" w:type="dxa"/>
              <w:right w:w="85" w:type="dxa"/>
            </w:tcMar>
            <w:vAlign w:val="center"/>
          </w:tcPr>
          <w:p w14:paraId="04F2AD18" w14:textId="77777777" w:rsidR="00153A91" w:rsidRDefault="00000000">
            <w:pPr>
              <w:spacing w:after="0" w:line="247" w:lineRule="auto"/>
            </w:pPr>
            <w:r>
              <w:rPr>
                <w:sz w:val="16"/>
              </w:rPr>
              <w:t>(Jiang et al., 2019)</w:t>
            </w:r>
          </w:p>
        </w:tc>
      </w:tr>
      <w:tr w:rsidR="00153A91" w14:paraId="4CB3AA9C" w14:textId="77777777">
        <w:trPr>
          <w:cantSplit/>
          <w:jc w:val="center"/>
        </w:trPr>
        <w:tc>
          <w:tcPr>
            <w:tcW w:w="1123" w:type="dxa"/>
            <w:tcMar>
              <w:top w:w="85" w:type="dxa"/>
              <w:left w:w="85" w:type="dxa"/>
              <w:bottom w:w="85" w:type="dxa"/>
              <w:right w:w="85" w:type="dxa"/>
            </w:tcMar>
            <w:vAlign w:val="center"/>
          </w:tcPr>
          <w:p w14:paraId="793D4FD6" w14:textId="77777777" w:rsidR="00153A91" w:rsidRDefault="00000000">
            <w:pPr>
              <w:spacing w:after="0" w:line="247" w:lineRule="auto"/>
              <w:jc w:val="center"/>
            </w:pPr>
            <w:r>
              <w:rPr>
                <w:sz w:val="16"/>
              </w:rPr>
              <w:t>Metabolomics</w:t>
            </w:r>
          </w:p>
        </w:tc>
        <w:tc>
          <w:tcPr>
            <w:tcW w:w="1656" w:type="dxa"/>
            <w:tcMar>
              <w:top w:w="85" w:type="dxa"/>
              <w:left w:w="85" w:type="dxa"/>
              <w:bottom w:w="85" w:type="dxa"/>
              <w:right w:w="85" w:type="dxa"/>
            </w:tcMar>
            <w:vAlign w:val="center"/>
          </w:tcPr>
          <w:p w14:paraId="402CAFF7" w14:textId="77777777" w:rsidR="00153A91" w:rsidRDefault="00000000">
            <w:pPr>
              <w:spacing w:after="0" w:line="247" w:lineRule="auto"/>
            </w:pPr>
            <w:r>
              <w:rPr>
                <w:sz w:val="16"/>
              </w:rPr>
              <w:t>Biochemical state and pathway intermediates</w:t>
            </w:r>
          </w:p>
        </w:tc>
        <w:tc>
          <w:tcPr>
            <w:tcW w:w="1656" w:type="dxa"/>
            <w:tcMar>
              <w:top w:w="85" w:type="dxa"/>
              <w:left w:w="85" w:type="dxa"/>
              <w:bottom w:w="85" w:type="dxa"/>
              <w:right w:w="85" w:type="dxa"/>
            </w:tcMar>
            <w:vAlign w:val="center"/>
          </w:tcPr>
          <w:p w14:paraId="0D676DE0" w14:textId="77777777" w:rsidR="00153A91" w:rsidRDefault="00000000">
            <w:pPr>
              <w:spacing w:after="0" w:line="247" w:lineRule="auto"/>
            </w:pPr>
            <w:r>
              <w:rPr>
                <w:sz w:val="16"/>
              </w:rPr>
              <w:t>Strong relevance to quality and stress physiology</w:t>
            </w:r>
          </w:p>
        </w:tc>
        <w:tc>
          <w:tcPr>
            <w:tcW w:w="1757" w:type="dxa"/>
            <w:tcMar>
              <w:top w:w="85" w:type="dxa"/>
              <w:left w:w="85" w:type="dxa"/>
              <w:bottom w:w="85" w:type="dxa"/>
              <w:right w:w="85" w:type="dxa"/>
            </w:tcMar>
            <w:vAlign w:val="center"/>
          </w:tcPr>
          <w:p w14:paraId="53EEE75E" w14:textId="77777777" w:rsidR="00153A91" w:rsidRDefault="00000000">
            <w:pPr>
              <w:spacing w:after="0" w:line="247" w:lineRule="auto"/>
            </w:pPr>
            <w:r>
              <w:rPr>
                <w:sz w:val="16"/>
              </w:rPr>
              <w:t>Environment and developmental stage can dominate profiles</w:t>
            </w:r>
          </w:p>
        </w:tc>
        <w:tc>
          <w:tcPr>
            <w:tcW w:w="1584" w:type="dxa"/>
            <w:tcMar>
              <w:top w:w="85" w:type="dxa"/>
              <w:left w:w="85" w:type="dxa"/>
              <w:bottom w:w="85" w:type="dxa"/>
              <w:right w:w="85" w:type="dxa"/>
            </w:tcMar>
            <w:vAlign w:val="center"/>
          </w:tcPr>
          <w:p w14:paraId="0F2ED572" w14:textId="77777777" w:rsidR="00153A91" w:rsidRDefault="00000000">
            <w:pPr>
              <w:spacing w:after="0" w:line="247" w:lineRule="auto"/>
            </w:pPr>
            <w:r>
              <w:rPr>
                <w:sz w:val="16"/>
              </w:rPr>
              <w:t>Intermediate-trait prediction, pathway discovery and proxy modelling</w:t>
            </w:r>
          </w:p>
        </w:tc>
        <w:tc>
          <w:tcPr>
            <w:tcW w:w="1584" w:type="dxa"/>
            <w:tcMar>
              <w:top w:w="85" w:type="dxa"/>
              <w:left w:w="85" w:type="dxa"/>
              <w:bottom w:w="85" w:type="dxa"/>
              <w:right w:w="85" w:type="dxa"/>
            </w:tcMar>
            <w:vAlign w:val="center"/>
          </w:tcPr>
          <w:p w14:paraId="12BF3728" w14:textId="77777777" w:rsidR="00153A91" w:rsidRDefault="00000000">
            <w:pPr>
              <w:spacing w:after="0" w:line="247" w:lineRule="auto"/>
            </w:pPr>
            <w:r>
              <w:rPr>
                <w:sz w:val="16"/>
              </w:rPr>
              <w:t>(Wen et al., 2014; Zhang et al., 2021; Zhou et al., 2019)</w:t>
            </w:r>
          </w:p>
        </w:tc>
      </w:tr>
      <w:tr w:rsidR="00153A91" w14:paraId="7661C8EB" w14:textId="77777777">
        <w:trPr>
          <w:cantSplit/>
          <w:jc w:val="center"/>
        </w:trPr>
        <w:tc>
          <w:tcPr>
            <w:tcW w:w="1123" w:type="dxa"/>
            <w:tcMar>
              <w:top w:w="85" w:type="dxa"/>
              <w:left w:w="85" w:type="dxa"/>
              <w:bottom w:w="85" w:type="dxa"/>
              <w:right w:w="85" w:type="dxa"/>
            </w:tcMar>
            <w:vAlign w:val="center"/>
          </w:tcPr>
          <w:p w14:paraId="23A4FB8A" w14:textId="77777777" w:rsidR="00153A91" w:rsidRDefault="00000000">
            <w:pPr>
              <w:spacing w:after="0" w:line="247" w:lineRule="auto"/>
              <w:jc w:val="center"/>
            </w:pPr>
            <w:r>
              <w:rPr>
                <w:sz w:val="16"/>
              </w:rPr>
              <w:t>Phenomics</w:t>
            </w:r>
          </w:p>
        </w:tc>
        <w:tc>
          <w:tcPr>
            <w:tcW w:w="1656" w:type="dxa"/>
            <w:tcMar>
              <w:top w:w="85" w:type="dxa"/>
              <w:left w:w="85" w:type="dxa"/>
              <w:bottom w:w="85" w:type="dxa"/>
              <w:right w:w="85" w:type="dxa"/>
            </w:tcMar>
            <w:vAlign w:val="center"/>
          </w:tcPr>
          <w:p w14:paraId="0B52A0F2" w14:textId="77777777" w:rsidR="00153A91" w:rsidRDefault="00000000">
            <w:pPr>
              <w:spacing w:after="0" w:line="247" w:lineRule="auto"/>
            </w:pPr>
            <w:r>
              <w:rPr>
                <w:sz w:val="16"/>
              </w:rPr>
              <w:t>Dynamic plant/canopy responses measured repeatedly</w:t>
            </w:r>
          </w:p>
        </w:tc>
        <w:tc>
          <w:tcPr>
            <w:tcW w:w="1656" w:type="dxa"/>
            <w:tcMar>
              <w:top w:w="85" w:type="dxa"/>
              <w:left w:w="85" w:type="dxa"/>
              <w:bottom w:w="85" w:type="dxa"/>
              <w:right w:w="85" w:type="dxa"/>
            </w:tcMar>
            <w:vAlign w:val="center"/>
          </w:tcPr>
          <w:p w14:paraId="7BF52626" w14:textId="77777777" w:rsidR="00153A91" w:rsidRDefault="00000000">
            <w:pPr>
              <w:spacing w:after="0" w:line="247" w:lineRule="auto"/>
            </w:pPr>
            <w:r>
              <w:rPr>
                <w:sz w:val="16"/>
              </w:rPr>
              <w:t>Scalable field-level secondary traits and temporal information</w:t>
            </w:r>
          </w:p>
        </w:tc>
        <w:tc>
          <w:tcPr>
            <w:tcW w:w="1757" w:type="dxa"/>
            <w:tcMar>
              <w:top w:w="85" w:type="dxa"/>
              <w:left w:w="85" w:type="dxa"/>
              <w:bottom w:w="85" w:type="dxa"/>
              <w:right w:w="85" w:type="dxa"/>
            </w:tcMar>
            <w:vAlign w:val="center"/>
          </w:tcPr>
          <w:p w14:paraId="06C56F87" w14:textId="77777777" w:rsidR="00153A91" w:rsidRDefault="00000000">
            <w:pPr>
              <w:spacing w:after="0" w:line="247" w:lineRule="auto"/>
            </w:pPr>
            <w:r>
              <w:rPr>
                <w:sz w:val="16"/>
              </w:rPr>
              <w:t>Late measurements can leak target information; sensor calibration and field heterogeneity</w:t>
            </w:r>
          </w:p>
        </w:tc>
        <w:tc>
          <w:tcPr>
            <w:tcW w:w="1584" w:type="dxa"/>
            <w:tcMar>
              <w:top w:w="85" w:type="dxa"/>
              <w:left w:w="85" w:type="dxa"/>
              <w:bottom w:w="85" w:type="dxa"/>
              <w:right w:w="85" w:type="dxa"/>
            </w:tcMar>
            <w:vAlign w:val="center"/>
          </w:tcPr>
          <w:p w14:paraId="5F543AEC" w14:textId="77777777" w:rsidR="00153A91" w:rsidRDefault="00000000">
            <w:pPr>
              <w:spacing w:after="0" w:line="247" w:lineRule="auto"/>
            </w:pPr>
            <w:r>
              <w:rPr>
                <w:sz w:val="16"/>
              </w:rPr>
              <w:t>Image/time-series learning and low-cost molecular proxies</w:t>
            </w:r>
          </w:p>
        </w:tc>
        <w:tc>
          <w:tcPr>
            <w:tcW w:w="1584" w:type="dxa"/>
            <w:tcMar>
              <w:top w:w="85" w:type="dxa"/>
              <w:left w:w="85" w:type="dxa"/>
              <w:bottom w:w="85" w:type="dxa"/>
              <w:right w:w="85" w:type="dxa"/>
            </w:tcMar>
            <w:vAlign w:val="center"/>
          </w:tcPr>
          <w:p w14:paraId="3D65685F" w14:textId="77777777" w:rsidR="00153A91" w:rsidRDefault="00000000">
            <w:pPr>
              <w:spacing w:after="0" w:line="247" w:lineRule="auto"/>
            </w:pPr>
            <w:r>
              <w:rPr>
                <w:sz w:val="16"/>
              </w:rPr>
              <w:t>(</w:t>
            </w:r>
            <w:proofErr w:type="spellStart"/>
            <w:r>
              <w:rPr>
                <w:sz w:val="16"/>
              </w:rPr>
              <w:t>Araus</w:t>
            </w:r>
            <w:proofErr w:type="spellEnd"/>
            <w:r>
              <w:rPr>
                <w:sz w:val="16"/>
              </w:rPr>
              <w:t xml:space="preserve"> et al., 2018; Rutkoski et al., 2016; Yang et al., 2020)</w:t>
            </w:r>
          </w:p>
        </w:tc>
      </w:tr>
      <w:tr w:rsidR="00153A91" w14:paraId="05AAA144" w14:textId="77777777">
        <w:trPr>
          <w:cantSplit/>
          <w:jc w:val="center"/>
        </w:trPr>
        <w:tc>
          <w:tcPr>
            <w:tcW w:w="1123" w:type="dxa"/>
            <w:tcMar>
              <w:top w:w="85" w:type="dxa"/>
              <w:left w:w="85" w:type="dxa"/>
              <w:bottom w:w="85" w:type="dxa"/>
              <w:right w:w="85" w:type="dxa"/>
            </w:tcMar>
            <w:vAlign w:val="center"/>
          </w:tcPr>
          <w:p w14:paraId="2065D95B" w14:textId="77777777" w:rsidR="00153A91" w:rsidRDefault="00000000">
            <w:pPr>
              <w:spacing w:after="0" w:line="247" w:lineRule="auto"/>
              <w:jc w:val="center"/>
            </w:pPr>
            <w:r>
              <w:rPr>
                <w:sz w:val="16"/>
              </w:rPr>
              <w:t>Environmental covariates</w:t>
            </w:r>
          </w:p>
        </w:tc>
        <w:tc>
          <w:tcPr>
            <w:tcW w:w="1656" w:type="dxa"/>
            <w:tcMar>
              <w:top w:w="85" w:type="dxa"/>
              <w:left w:w="85" w:type="dxa"/>
              <w:bottom w:w="85" w:type="dxa"/>
              <w:right w:w="85" w:type="dxa"/>
            </w:tcMar>
            <w:vAlign w:val="center"/>
          </w:tcPr>
          <w:p w14:paraId="7E5046CE" w14:textId="77777777" w:rsidR="00153A91" w:rsidRDefault="00000000">
            <w:pPr>
              <w:spacing w:after="0" w:line="247" w:lineRule="auto"/>
            </w:pPr>
            <w:r>
              <w:rPr>
                <w:sz w:val="16"/>
              </w:rPr>
              <w:t>Weather, soil and management exposure</w:t>
            </w:r>
          </w:p>
        </w:tc>
        <w:tc>
          <w:tcPr>
            <w:tcW w:w="1656" w:type="dxa"/>
            <w:tcMar>
              <w:top w:w="85" w:type="dxa"/>
              <w:left w:w="85" w:type="dxa"/>
              <w:bottom w:w="85" w:type="dxa"/>
              <w:right w:w="85" w:type="dxa"/>
            </w:tcMar>
            <w:vAlign w:val="center"/>
          </w:tcPr>
          <w:p w14:paraId="68B9495D" w14:textId="77777777" w:rsidR="00153A91" w:rsidRDefault="00000000">
            <w:pPr>
              <w:spacing w:after="0" w:line="247" w:lineRule="auto"/>
            </w:pPr>
            <w:r>
              <w:rPr>
                <w:sz w:val="16"/>
              </w:rPr>
              <w:t>Explicitly represents environmental similarity and G×E</w:t>
            </w:r>
          </w:p>
        </w:tc>
        <w:tc>
          <w:tcPr>
            <w:tcW w:w="1757" w:type="dxa"/>
            <w:tcMar>
              <w:top w:w="85" w:type="dxa"/>
              <w:left w:w="85" w:type="dxa"/>
              <w:bottom w:w="85" w:type="dxa"/>
              <w:right w:w="85" w:type="dxa"/>
            </w:tcMar>
            <w:vAlign w:val="center"/>
          </w:tcPr>
          <w:p w14:paraId="274070CB" w14:textId="77777777" w:rsidR="00153A91" w:rsidRDefault="00000000">
            <w:pPr>
              <w:spacing w:after="0" w:line="247" w:lineRule="auto"/>
            </w:pPr>
            <w:r>
              <w:rPr>
                <w:sz w:val="16"/>
              </w:rPr>
              <w:t>Good interpolation does not guarantee novel-environment extrapolation</w:t>
            </w:r>
          </w:p>
        </w:tc>
        <w:tc>
          <w:tcPr>
            <w:tcW w:w="1584" w:type="dxa"/>
            <w:tcMar>
              <w:top w:w="85" w:type="dxa"/>
              <w:left w:w="85" w:type="dxa"/>
              <w:bottom w:w="85" w:type="dxa"/>
              <w:right w:w="85" w:type="dxa"/>
            </w:tcMar>
            <w:vAlign w:val="center"/>
          </w:tcPr>
          <w:p w14:paraId="6E33E6D2" w14:textId="77777777" w:rsidR="00153A91" w:rsidRDefault="00000000">
            <w:pPr>
              <w:spacing w:after="0" w:line="247" w:lineRule="auto"/>
            </w:pPr>
            <w:r>
              <w:rPr>
                <w:sz w:val="16"/>
              </w:rPr>
              <w:t>Reaction norms, nonlinear environmental embeddings and interaction models</w:t>
            </w:r>
          </w:p>
        </w:tc>
        <w:tc>
          <w:tcPr>
            <w:tcW w:w="1584" w:type="dxa"/>
            <w:tcMar>
              <w:top w:w="85" w:type="dxa"/>
              <w:left w:w="85" w:type="dxa"/>
              <w:bottom w:w="85" w:type="dxa"/>
              <w:right w:w="85" w:type="dxa"/>
            </w:tcMar>
            <w:vAlign w:val="center"/>
          </w:tcPr>
          <w:p w14:paraId="582B06A4" w14:textId="77777777" w:rsidR="00153A91" w:rsidRDefault="00000000">
            <w:pPr>
              <w:spacing w:after="0" w:line="247" w:lineRule="auto"/>
            </w:pPr>
            <w:r>
              <w:rPr>
                <w:sz w:val="16"/>
              </w:rPr>
              <w:t>(Jarquín et al., 2014; Millet et al., 2019; Sagae et al., 2026)</w:t>
            </w:r>
          </w:p>
        </w:tc>
      </w:tr>
    </w:tbl>
    <w:p w14:paraId="7DF95F74" w14:textId="77777777" w:rsidR="00153A91" w:rsidRDefault="00000000">
      <w:pPr>
        <w:spacing w:before="60" w:after="160"/>
      </w:pPr>
      <w:r>
        <w:rPr>
          <w:i/>
          <w:sz w:val="16"/>
        </w:rPr>
        <w:t xml:space="preserve">Note. </w:t>
      </w:r>
      <w:r>
        <w:rPr>
          <w:sz w:val="16"/>
        </w:rPr>
        <w:t>AI = artificial intelligence; G×E = genotype-by-environment interaction. Information layers differ in temporal stability and heritability; their value should therefore be assessed as incremental information for a specified breeding decision rather than by measurement depth alone.</w:t>
      </w:r>
    </w:p>
    <w:p w14:paraId="62CFD65B" w14:textId="77777777" w:rsidR="00153A91" w:rsidRDefault="00000000">
      <w:pPr>
        <w:pStyle w:val="Heading1"/>
      </w:pPr>
      <w:r>
        <w:rPr>
          <w:rFonts w:ascii="Times New Roman" w:eastAsia="Times New Roman" w:hAnsi="Times New Roman"/>
        </w:rPr>
        <w:t>4. Artificial Intelligence Architectures for Heterogeneous Crop Data</w:t>
      </w:r>
    </w:p>
    <w:p w14:paraId="5A5F4C94" w14:textId="77777777" w:rsidR="00153A91" w:rsidRDefault="00000000">
      <w:pPr>
        <w:pStyle w:val="Heading2"/>
      </w:pPr>
      <w:r>
        <w:rPr>
          <w:rFonts w:ascii="Times New Roman" w:eastAsia="Times New Roman" w:hAnsi="Times New Roman"/>
        </w:rPr>
        <w:t>4.1 Statistical baselines remain essential</w:t>
      </w:r>
    </w:p>
    <w:p w14:paraId="1509BCB5" w14:textId="77777777" w:rsidR="00153A91" w:rsidRDefault="00000000">
      <w:pPr>
        <w:pStyle w:val="BodyTextAcademic"/>
      </w:pPr>
      <w:r>
        <w:t>The phrase AI-assisted breeding can obscure the fact that many successful genomic-prediction models are already forms of statistical machine learning. Ridge regression, genomic best linear unbiased prediction (GBLUP), Bayesian shrinkage and kernel methods are explicitly designed for high-dimensional genotype data and exploit genetic relatedness efficiently. Their inductive bias is often advantageous when marker effects are numerous and individually small. Deep neural networks, by contrast, need enough observations to estimate large numbers of parameters and may waste capacity learning relationships that a covariance structure represents directly. Comparative benchmarks therefore provide a more reliable guide than the novelty of an algorithm.</w:t>
      </w:r>
    </w:p>
    <w:p w14:paraId="319937A8" w14:textId="77777777" w:rsidR="00153A91" w:rsidRDefault="00000000">
      <w:pPr>
        <w:pStyle w:val="BodyTextAcademic"/>
      </w:pPr>
      <w:proofErr w:type="spellStart"/>
      <w:r>
        <w:t>Azodi</w:t>
      </w:r>
      <w:proofErr w:type="spellEnd"/>
      <w:r>
        <w:t xml:space="preserve"> et al. (2019) benchmarked parametric and machine-learning methods across multiple traits and found no universal winner; ensemble approaches could be stable, but neural networks did not dominate. O. A. Montesinos-López et al. (2018) compared multi-trait, multi-environment deep learning with Bayesian models and found that explicitly modelled genotype-by-environment structures could outperform deep learning in important scenarios. In highly polyploid sugarcane, Chen et al. (2023) found that random forests and deep learning were broadly comparable to additive GBLUP, while an extended GBLUP representing dominance and epistasis was more accurate for key traits. These studies challenge a common narrative that nonlinear models are intrinsically better suited to biological complexity. If the statistical model already encodes the relevant genetic structure, a generic nonlinear learner may add little.</w:t>
      </w:r>
    </w:p>
    <w:p w14:paraId="5DF901F2" w14:textId="77777777" w:rsidR="00153A91" w:rsidRDefault="00000000">
      <w:pPr>
        <w:pStyle w:val="BodyTextAcademic"/>
      </w:pPr>
      <w:r>
        <w:t>A strong AI study should therefore include at least one well-tuned genomic baseline matched to the task, not merely an untuned linear regression. Performance differences should be assessed across realistic prediction scenarios, not only random folds. For breeding, the most demanding tests are often forward-in-time prediction, new family or population prediction, and transfer to new environments. These settings weaken the benefit of close genetic relationships and reveal whether the model learned stable trait architecture. Without them, improvements can reflect more effective interpolation within the sampled population rather than greater capacity to support future selection.</w:t>
      </w:r>
    </w:p>
    <w:p w14:paraId="34CC798E" w14:textId="77777777" w:rsidR="00153A91" w:rsidRDefault="00000000">
      <w:pPr>
        <w:pStyle w:val="Heading2"/>
      </w:pPr>
      <w:r>
        <w:rPr>
          <w:rFonts w:ascii="Times New Roman" w:eastAsia="Times New Roman" w:hAnsi="Times New Roman"/>
        </w:rPr>
        <w:lastRenderedPageBreak/>
        <w:t>4.2 Multimodal fusion and representation learning</w:t>
      </w:r>
    </w:p>
    <w:p w14:paraId="236011DB" w14:textId="77777777" w:rsidR="00153A91" w:rsidRDefault="00000000">
      <w:pPr>
        <w:pStyle w:val="BodyTextAcademic"/>
      </w:pPr>
      <w:r>
        <w:t>Multi-omics introduces a second modelling problem beyond high dimensionality: modalities differ in scale, sparsity, measurement error and biological meaning. Early integration concatenates all features before modelling; intermediate integration learns a representation for each modality and then fuses representations; late integration combines predictions from modality-specific models. No strategy is uniformly superior. Early fusion can preserve cross-modal interactions but is vulnerable to domination by the largest feature block and to missing modalities. Late fusion is modular and robust but may miss low-level interactions. Intermediate fusion can learn cross-modal structure, although the representation itself may become difficult to interpret (O. A. Montesinos-López et al., 2024).</w:t>
      </w:r>
    </w:p>
    <w:p w14:paraId="3799CD29" w14:textId="77777777" w:rsidR="00153A91" w:rsidRDefault="00000000">
      <w:pPr>
        <w:pStyle w:val="BodyTextAcademic"/>
      </w:pPr>
      <w:r>
        <w:t>Deep learning is attractive when each modality has internal structure that can be exploited before fusion. Convolutional components can process images or local sequence features, recurrent or attention modules can represent time series, and fully connected branches can encode omics vectors. A direct wheat application linked genomics with vegetation-index phenotypes in a multimodal deep network. The results were mixed rather than uniformly superior: deep learning outperformed conventional approaches for some year-environment predictions, while GBLUP was slightly better in other years, and the relative performance depended on the direction of cross-environment prediction (A. Montesinos-López et al., 2023). That pattern is more informative than a single average gain because it shows that multimodal learning can be sensitive to environmental directionality and trait context.</w:t>
      </w:r>
    </w:p>
    <w:p w14:paraId="22606621" w14:textId="77777777" w:rsidR="00153A91" w:rsidRDefault="00000000">
      <w:pPr>
        <w:pStyle w:val="BodyTextAcademic"/>
      </w:pPr>
      <w:proofErr w:type="spellStart"/>
      <w:r>
        <w:t>Cropformer</w:t>
      </w:r>
      <w:proofErr w:type="spellEnd"/>
      <w:r>
        <w:t xml:space="preserve"> illustrates a newer architecture that combines convolutional processing with self-attention and uses feature-attribution methods to support interpretation. Across more than 20 traits and five crop species, the model reported improved prediction and trait-associated variant </w:t>
      </w:r>
      <w:proofErr w:type="spellStart"/>
      <w:r>
        <w:t>prioritisation</w:t>
      </w:r>
      <w:proofErr w:type="spellEnd"/>
      <w:r>
        <w:t xml:space="preserve"> compared with competitor methods (Wang, Yan, et al., 2025). Its broad crop coverage and interpretable attention structure are strengths, but the evidence remains benchmark based. For breeding </w:t>
      </w:r>
      <w:proofErr w:type="spellStart"/>
      <w:r>
        <w:t>programmes</w:t>
      </w:r>
      <w:proofErr w:type="spellEnd"/>
      <w:r>
        <w:t>, independent temporal and population-level validation will be more decisive than performance on curated historical datasets. Architectural innovation is valuable when it improves transfer, calibration or discovery under such tests, not simply because it increases representational depth.</w:t>
      </w:r>
    </w:p>
    <w:p w14:paraId="673AB75C" w14:textId="77777777" w:rsidR="00153A91" w:rsidRDefault="00000000">
      <w:pPr>
        <w:pStyle w:val="Heading2"/>
      </w:pPr>
      <w:r>
        <w:rPr>
          <w:rFonts w:ascii="Times New Roman" w:eastAsia="Times New Roman" w:hAnsi="Times New Roman"/>
        </w:rPr>
        <w:t>4.3 Explainability is not equivalent to mechanism</w:t>
      </w:r>
    </w:p>
    <w:p w14:paraId="5299272D" w14:textId="77777777" w:rsidR="00153A91" w:rsidRDefault="00000000">
      <w:pPr>
        <w:pStyle w:val="BodyTextAcademic"/>
      </w:pPr>
      <w:r>
        <w:t xml:space="preserve">Explainable AI methods such as </w:t>
      </w:r>
      <w:proofErr w:type="spellStart"/>
      <w:r>
        <w:t>SHapley</w:t>
      </w:r>
      <w:proofErr w:type="spellEnd"/>
      <w:r>
        <w:t xml:space="preserve"> Additive </w:t>
      </w:r>
      <w:proofErr w:type="spellStart"/>
      <w:r>
        <w:t>exPlanations</w:t>
      </w:r>
      <w:proofErr w:type="spellEnd"/>
      <w:r>
        <w:t xml:space="preserve"> (SHAP), feature importance and attention weights help identify which inputs contribute to predictions. They are useful for quality control and hypothesis generation, particularly when a model integrates tens of thousands of features. Nevertheless, attribution answers a predictive question: which feature influenced this model under this data distribution? It does not establish that changing the feature would change the trait, that the feature is causal, or that its importance will persist in another genetic background. Correlated markers, co-expressed genes and environment-responsive metabolites can all receive high importance without being intervention targets.</w:t>
      </w:r>
    </w:p>
    <w:p w14:paraId="5880D29F" w14:textId="77777777" w:rsidR="00153A91" w:rsidRDefault="00000000">
      <w:pPr>
        <w:pStyle w:val="BodyTextAcademic"/>
      </w:pPr>
      <w:r>
        <w:t xml:space="preserve">The distinction becomes clearer when predictive interpretation is linked to experimental validation. In </w:t>
      </w:r>
      <w:r>
        <w:rPr>
          <w:i/>
        </w:rPr>
        <w:t>Arabidopsis thaliana</w:t>
      </w:r>
      <w:r>
        <w:t xml:space="preserve">, integration of genomic, transcriptomic and </w:t>
      </w:r>
      <w:proofErr w:type="spellStart"/>
      <w:r>
        <w:t>methylomic</w:t>
      </w:r>
      <w:proofErr w:type="spellEnd"/>
      <w:r>
        <w:t xml:space="preserve"> data with ridge-regression and random-forest models improved prediction for several complex traits and identified flowering-time genes, some of which were experimentally validated (Wang, Lehti-Shiu, et al., 2024). This study is methodologically important because it moves beyond attribution towards functional testing. Its limitation is translational: a model-plant panel with controlled measurements does not reproduce the population size, polyploidy, field heterogeneity or multi-environment selection structure of major crop </w:t>
      </w:r>
      <w:proofErr w:type="spellStart"/>
      <w:r>
        <w:t>programmes</w:t>
      </w:r>
      <w:proofErr w:type="spellEnd"/>
      <w:r>
        <w:t>. The strongest future crop studies will combine interpretable modelling with independent genetic or genome-editing validation and then test whether validated features improve prediction or selection in a breeding population.</w:t>
      </w:r>
    </w:p>
    <w:p w14:paraId="611CFF77" w14:textId="77777777" w:rsidR="00153A91" w:rsidRDefault="00000000">
      <w:pPr>
        <w:pStyle w:val="BodyTextAcademic"/>
      </w:pPr>
      <w:r>
        <w:lastRenderedPageBreak/>
        <w:t>Biological priors can also improve interpretability before rather than after model fitting. Pathway membership, gene regulatory networks, chromosomal proximity, pangenome structure or tissue-specific expression can constrain feature representations. Such structured models reduce the space of possible relationships and can lower sample requirements, although a wrong prior can suppress real signal. The evidence base is not yet sufficient to conclude that biologically constrained deep models routinely outperform flexible alternatives in crop breeding. The pragmatic approach is to compare them under identical data partitions and to report both prediction and stability of selected features.</w:t>
      </w:r>
    </w:p>
    <w:p w14:paraId="3081730A" w14:textId="77777777" w:rsidR="00153A91" w:rsidRDefault="00000000">
      <w:pPr>
        <w:pStyle w:val="BodyTextAcademic"/>
      </w:pPr>
      <w:r>
        <w:t>Table 2 compares the main computational strategies from the perspective of breeding utility rather than algorithmic sophistication. The central implication is that the best model class depends on sample size, modality structure and prediction scenario. AI contributes most when its inductive bias matches the data-generating process and when gains survive comparison with strong statistical baselines.</w:t>
      </w:r>
    </w:p>
    <w:p w14:paraId="7127154E" w14:textId="77777777" w:rsidR="00153A91" w:rsidRDefault="00000000">
      <w:pPr>
        <w:spacing w:before="100" w:after="80"/>
      </w:pPr>
      <w:r>
        <w:rPr>
          <w:b/>
          <w:sz w:val="19"/>
        </w:rPr>
        <w:t>Table 2. Computational strategies for integrating heterogeneous crop data</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267"/>
        <w:gridCol w:w="1699"/>
        <w:gridCol w:w="1627"/>
        <w:gridCol w:w="1699"/>
        <w:gridCol w:w="1555"/>
        <w:gridCol w:w="1512"/>
      </w:tblGrid>
      <w:tr w:rsidR="00153A91" w14:paraId="6AF78B6F" w14:textId="77777777">
        <w:trPr>
          <w:tblHeader/>
          <w:jc w:val="center"/>
        </w:trPr>
        <w:tc>
          <w:tcPr>
            <w:tcW w:w="1267" w:type="dxa"/>
            <w:shd w:val="clear" w:color="auto" w:fill="D9E2F3"/>
            <w:tcMar>
              <w:top w:w="85" w:type="dxa"/>
              <w:left w:w="85" w:type="dxa"/>
              <w:bottom w:w="85" w:type="dxa"/>
              <w:right w:w="85" w:type="dxa"/>
            </w:tcMar>
            <w:vAlign w:val="center"/>
          </w:tcPr>
          <w:p w14:paraId="036946E7" w14:textId="77777777" w:rsidR="00153A91" w:rsidRDefault="00000000">
            <w:pPr>
              <w:spacing w:after="0" w:line="247" w:lineRule="auto"/>
              <w:jc w:val="center"/>
            </w:pPr>
            <w:r>
              <w:rPr>
                <w:b/>
                <w:sz w:val="16"/>
              </w:rPr>
              <w:t>Strategy</w:t>
            </w:r>
          </w:p>
        </w:tc>
        <w:tc>
          <w:tcPr>
            <w:tcW w:w="1699" w:type="dxa"/>
            <w:shd w:val="clear" w:color="auto" w:fill="D9E2F3"/>
            <w:tcMar>
              <w:top w:w="85" w:type="dxa"/>
              <w:left w:w="85" w:type="dxa"/>
              <w:bottom w:w="85" w:type="dxa"/>
              <w:right w:w="85" w:type="dxa"/>
            </w:tcMar>
            <w:vAlign w:val="center"/>
          </w:tcPr>
          <w:p w14:paraId="78D1BF3E" w14:textId="77777777" w:rsidR="00153A91" w:rsidRDefault="00000000">
            <w:pPr>
              <w:spacing w:after="0" w:line="247" w:lineRule="auto"/>
              <w:jc w:val="center"/>
            </w:pPr>
            <w:r>
              <w:rPr>
                <w:b/>
                <w:sz w:val="16"/>
              </w:rPr>
              <w:t>Typical data setting</w:t>
            </w:r>
          </w:p>
        </w:tc>
        <w:tc>
          <w:tcPr>
            <w:tcW w:w="1627" w:type="dxa"/>
            <w:shd w:val="clear" w:color="auto" w:fill="D9E2F3"/>
            <w:tcMar>
              <w:top w:w="85" w:type="dxa"/>
              <w:left w:w="85" w:type="dxa"/>
              <w:bottom w:w="85" w:type="dxa"/>
              <w:right w:w="85" w:type="dxa"/>
            </w:tcMar>
            <w:vAlign w:val="center"/>
          </w:tcPr>
          <w:p w14:paraId="21A297A0" w14:textId="77777777" w:rsidR="00153A91" w:rsidRDefault="00000000">
            <w:pPr>
              <w:spacing w:after="0" w:line="247" w:lineRule="auto"/>
              <w:jc w:val="center"/>
            </w:pPr>
            <w:r>
              <w:rPr>
                <w:b/>
                <w:sz w:val="16"/>
              </w:rPr>
              <w:t>Primary advantage</w:t>
            </w:r>
          </w:p>
        </w:tc>
        <w:tc>
          <w:tcPr>
            <w:tcW w:w="1699" w:type="dxa"/>
            <w:shd w:val="clear" w:color="auto" w:fill="D9E2F3"/>
            <w:tcMar>
              <w:top w:w="85" w:type="dxa"/>
              <w:left w:w="85" w:type="dxa"/>
              <w:bottom w:w="85" w:type="dxa"/>
              <w:right w:w="85" w:type="dxa"/>
            </w:tcMar>
            <w:vAlign w:val="center"/>
          </w:tcPr>
          <w:p w14:paraId="759F9064" w14:textId="77777777" w:rsidR="00153A91" w:rsidRDefault="00000000">
            <w:pPr>
              <w:spacing w:after="0" w:line="247" w:lineRule="auto"/>
              <w:jc w:val="center"/>
            </w:pPr>
            <w:r>
              <w:rPr>
                <w:b/>
                <w:sz w:val="16"/>
              </w:rPr>
              <w:t>Common failure mode</w:t>
            </w:r>
          </w:p>
        </w:tc>
        <w:tc>
          <w:tcPr>
            <w:tcW w:w="1555" w:type="dxa"/>
            <w:shd w:val="clear" w:color="auto" w:fill="D9E2F3"/>
            <w:tcMar>
              <w:top w:w="85" w:type="dxa"/>
              <w:left w:w="85" w:type="dxa"/>
              <w:bottom w:w="85" w:type="dxa"/>
              <w:right w:w="85" w:type="dxa"/>
            </w:tcMar>
            <w:vAlign w:val="center"/>
          </w:tcPr>
          <w:p w14:paraId="0573402C" w14:textId="77777777" w:rsidR="00153A91" w:rsidRDefault="00000000">
            <w:pPr>
              <w:spacing w:after="0" w:line="247" w:lineRule="auto"/>
              <w:jc w:val="center"/>
            </w:pPr>
            <w:r>
              <w:rPr>
                <w:b/>
                <w:sz w:val="16"/>
              </w:rPr>
              <w:t>Breeding interpretation</w:t>
            </w:r>
          </w:p>
        </w:tc>
        <w:tc>
          <w:tcPr>
            <w:tcW w:w="1512" w:type="dxa"/>
            <w:shd w:val="clear" w:color="auto" w:fill="D9E2F3"/>
            <w:tcMar>
              <w:top w:w="85" w:type="dxa"/>
              <w:left w:w="85" w:type="dxa"/>
              <w:bottom w:w="85" w:type="dxa"/>
              <w:right w:w="85" w:type="dxa"/>
            </w:tcMar>
            <w:vAlign w:val="center"/>
          </w:tcPr>
          <w:p w14:paraId="31718491" w14:textId="77777777" w:rsidR="00153A91" w:rsidRDefault="00000000">
            <w:pPr>
              <w:spacing w:after="0" w:line="247" w:lineRule="auto"/>
              <w:jc w:val="center"/>
            </w:pPr>
            <w:r>
              <w:rPr>
                <w:b/>
                <w:sz w:val="16"/>
              </w:rPr>
              <w:t>Supporting references</w:t>
            </w:r>
          </w:p>
        </w:tc>
      </w:tr>
      <w:tr w:rsidR="00153A91" w14:paraId="2128B725" w14:textId="77777777">
        <w:trPr>
          <w:cantSplit/>
          <w:jc w:val="center"/>
        </w:trPr>
        <w:tc>
          <w:tcPr>
            <w:tcW w:w="1267" w:type="dxa"/>
            <w:tcMar>
              <w:top w:w="85" w:type="dxa"/>
              <w:left w:w="85" w:type="dxa"/>
              <w:bottom w:w="85" w:type="dxa"/>
              <w:right w:w="85" w:type="dxa"/>
            </w:tcMar>
            <w:vAlign w:val="center"/>
          </w:tcPr>
          <w:p w14:paraId="35AD1C95" w14:textId="77777777" w:rsidR="00153A91" w:rsidRDefault="00000000">
            <w:pPr>
              <w:spacing w:after="0" w:line="247" w:lineRule="auto"/>
              <w:jc w:val="center"/>
            </w:pPr>
            <w:r>
              <w:rPr>
                <w:sz w:val="16"/>
              </w:rPr>
              <w:t>GBLUP / shrinkage</w:t>
            </w:r>
          </w:p>
        </w:tc>
        <w:tc>
          <w:tcPr>
            <w:tcW w:w="1699" w:type="dxa"/>
            <w:tcMar>
              <w:top w:w="85" w:type="dxa"/>
              <w:left w:w="85" w:type="dxa"/>
              <w:bottom w:w="85" w:type="dxa"/>
              <w:right w:w="85" w:type="dxa"/>
            </w:tcMar>
            <w:vAlign w:val="center"/>
          </w:tcPr>
          <w:p w14:paraId="4D2E5253" w14:textId="77777777" w:rsidR="00153A91" w:rsidRDefault="00000000">
            <w:pPr>
              <w:spacing w:after="0" w:line="247" w:lineRule="auto"/>
            </w:pPr>
            <w:r>
              <w:rPr>
                <w:sz w:val="16"/>
              </w:rPr>
              <w:t>Dense markers; modest-to-large n</w:t>
            </w:r>
          </w:p>
        </w:tc>
        <w:tc>
          <w:tcPr>
            <w:tcW w:w="1627" w:type="dxa"/>
            <w:tcMar>
              <w:top w:w="85" w:type="dxa"/>
              <w:left w:w="85" w:type="dxa"/>
              <w:bottom w:w="85" w:type="dxa"/>
              <w:right w:w="85" w:type="dxa"/>
            </w:tcMar>
            <w:vAlign w:val="center"/>
          </w:tcPr>
          <w:p w14:paraId="05191DF6" w14:textId="77777777" w:rsidR="00153A91" w:rsidRDefault="00000000">
            <w:pPr>
              <w:spacing w:after="0" w:line="247" w:lineRule="auto"/>
            </w:pPr>
            <w:r>
              <w:rPr>
                <w:sz w:val="16"/>
              </w:rPr>
              <w:t xml:space="preserve">Efficient use of </w:t>
            </w:r>
            <w:proofErr w:type="spellStart"/>
            <w:r>
              <w:rPr>
                <w:sz w:val="16"/>
              </w:rPr>
              <w:t>realised</w:t>
            </w:r>
            <w:proofErr w:type="spellEnd"/>
            <w:r>
              <w:rPr>
                <w:sz w:val="16"/>
              </w:rPr>
              <w:t xml:space="preserve"> genomic relationships and polygenic effects</w:t>
            </w:r>
          </w:p>
        </w:tc>
        <w:tc>
          <w:tcPr>
            <w:tcW w:w="1699" w:type="dxa"/>
            <w:tcMar>
              <w:top w:w="85" w:type="dxa"/>
              <w:left w:w="85" w:type="dxa"/>
              <w:bottom w:w="85" w:type="dxa"/>
              <w:right w:w="85" w:type="dxa"/>
            </w:tcMar>
            <w:vAlign w:val="center"/>
          </w:tcPr>
          <w:p w14:paraId="2F9F17BF" w14:textId="77777777" w:rsidR="00153A91" w:rsidRDefault="00000000">
            <w:pPr>
              <w:spacing w:after="0" w:line="247" w:lineRule="auto"/>
            </w:pPr>
            <w:r>
              <w:rPr>
                <w:sz w:val="16"/>
              </w:rPr>
              <w:t>May under-represent strong nonlinearity or complex non-additive effects</w:t>
            </w:r>
          </w:p>
        </w:tc>
        <w:tc>
          <w:tcPr>
            <w:tcW w:w="1555" w:type="dxa"/>
            <w:tcMar>
              <w:top w:w="85" w:type="dxa"/>
              <w:left w:w="85" w:type="dxa"/>
              <w:bottom w:w="85" w:type="dxa"/>
              <w:right w:w="85" w:type="dxa"/>
            </w:tcMar>
            <w:vAlign w:val="center"/>
          </w:tcPr>
          <w:p w14:paraId="055EC8C4" w14:textId="77777777" w:rsidR="00153A91" w:rsidRDefault="00000000">
            <w:pPr>
              <w:spacing w:after="0" w:line="247" w:lineRule="auto"/>
            </w:pPr>
            <w:r>
              <w:rPr>
                <w:sz w:val="16"/>
              </w:rPr>
              <w:t>Mandatory benchmark for genomic prediction</w:t>
            </w:r>
          </w:p>
        </w:tc>
        <w:tc>
          <w:tcPr>
            <w:tcW w:w="1512" w:type="dxa"/>
            <w:tcMar>
              <w:top w:w="85" w:type="dxa"/>
              <w:left w:w="85" w:type="dxa"/>
              <w:bottom w:w="85" w:type="dxa"/>
              <w:right w:w="85" w:type="dxa"/>
            </w:tcMar>
            <w:vAlign w:val="center"/>
          </w:tcPr>
          <w:p w14:paraId="2048BA88" w14:textId="77777777" w:rsidR="00153A91" w:rsidRDefault="00000000">
            <w:pPr>
              <w:spacing w:after="0" w:line="247" w:lineRule="auto"/>
            </w:pPr>
            <w:r>
              <w:rPr>
                <w:sz w:val="16"/>
              </w:rPr>
              <w:t xml:space="preserve">(Crossa et al., 2017; </w:t>
            </w:r>
            <w:proofErr w:type="spellStart"/>
            <w:r>
              <w:rPr>
                <w:sz w:val="16"/>
              </w:rPr>
              <w:t>Jannink</w:t>
            </w:r>
            <w:proofErr w:type="spellEnd"/>
            <w:r>
              <w:rPr>
                <w:sz w:val="16"/>
              </w:rPr>
              <w:t xml:space="preserve"> et al., 2010)</w:t>
            </w:r>
          </w:p>
        </w:tc>
      </w:tr>
      <w:tr w:rsidR="00153A91" w14:paraId="610F3042" w14:textId="77777777">
        <w:trPr>
          <w:cantSplit/>
          <w:jc w:val="center"/>
        </w:trPr>
        <w:tc>
          <w:tcPr>
            <w:tcW w:w="1267" w:type="dxa"/>
            <w:tcMar>
              <w:top w:w="85" w:type="dxa"/>
              <w:left w:w="85" w:type="dxa"/>
              <w:bottom w:w="85" w:type="dxa"/>
              <w:right w:w="85" w:type="dxa"/>
            </w:tcMar>
            <w:vAlign w:val="center"/>
          </w:tcPr>
          <w:p w14:paraId="3206C1B6" w14:textId="77777777" w:rsidR="00153A91" w:rsidRDefault="00000000">
            <w:pPr>
              <w:spacing w:after="0" w:line="247" w:lineRule="auto"/>
            </w:pPr>
            <w:r>
              <w:rPr>
                <w:sz w:val="16"/>
              </w:rPr>
              <w:t>Bayesian multi-environment models</w:t>
            </w:r>
          </w:p>
        </w:tc>
        <w:tc>
          <w:tcPr>
            <w:tcW w:w="1699" w:type="dxa"/>
            <w:tcMar>
              <w:top w:w="85" w:type="dxa"/>
              <w:left w:w="85" w:type="dxa"/>
              <w:bottom w:w="85" w:type="dxa"/>
              <w:right w:w="85" w:type="dxa"/>
            </w:tcMar>
            <w:vAlign w:val="center"/>
          </w:tcPr>
          <w:p w14:paraId="48423098" w14:textId="77777777" w:rsidR="00153A91" w:rsidRDefault="00000000">
            <w:pPr>
              <w:spacing w:after="0" w:line="247" w:lineRule="auto"/>
            </w:pPr>
            <w:r>
              <w:rPr>
                <w:sz w:val="16"/>
              </w:rPr>
              <w:t>Markers, traits and environments</w:t>
            </w:r>
          </w:p>
        </w:tc>
        <w:tc>
          <w:tcPr>
            <w:tcW w:w="1627" w:type="dxa"/>
            <w:tcMar>
              <w:top w:w="85" w:type="dxa"/>
              <w:left w:w="85" w:type="dxa"/>
              <w:bottom w:w="85" w:type="dxa"/>
              <w:right w:w="85" w:type="dxa"/>
            </w:tcMar>
            <w:vAlign w:val="center"/>
          </w:tcPr>
          <w:p w14:paraId="2E4F0A04" w14:textId="77777777" w:rsidR="00153A91" w:rsidRDefault="00000000">
            <w:pPr>
              <w:spacing w:after="0" w:line="247" w:lineRule="auto"/>
            </w:pPr>
            <w:r>
              <w:rPr>
                <w:sz w:val="16"/>
              </w:rPr>
              <w:t>Explicit uncertainty and structured G×E effects</w:t>
            </w:r>
          </w:p>
        </w:tc>
        <w:tc>
          <w:tcPr>
            <w:tcW w:w="1699" w:type="dxa"/>
            <w:tcMar>
              <w:top w:w="85" w:type="dxa"/>
              <w:left w:w="85" w:type="dxa"/>
              <w:bottom w:w="85" w:type="dxa"/>
              <w:right w:w="85" w:type="dxa"/>
            </w:tcMar>
            <w:vAlign w:val="center"/>
          </w:tcPr>
          <w:p w14:paraId="29400A48" w14:textId="77777777" w:rsidR="00153A91" w:rsidRDefault="00000000">
            <w:pPr>
              <w:spacing w:after="0" w:line="247" w:lineRule="auto"/>
            </w:pPr>
            <w:r>
              <w:rPr>
                <w:sz w:val="16"/>
              </w:rPr>
              <w:t>Computational cost and model specification become demanding</w:t>
            </w:r>
          </w:p>
        </w:tc>
        <w:tc>
          <w:tcPr>
            <w:tcW w:w="1555" w:type="dxa"/>
            <w:tcMar>
              <w:top w:w="85" w:type="dxa"/>
              <w:left w:w="85" w:type="dxa"/>
              <w:bottom w:w="85" w:type="dxa"/>
              <w:right w:w="85" w:type="dxa"/>
            </w:tcMar>
            <w:vAlign w:val="center"/>
          </w:tcPr>
          <w:p w14:paraId="18D722EE" w14:textId="77777777" w:rsidR="00153A91" w:rsidRDefault="00000000">
            <w:pPr>
              <w:spacing w:after="0" w:line="247" w:lineRule="auto"/>
            </w:pPr>
            <w:r>
              <w:rPr>
                <w:sz w:val="16"/>
              </w:rPr>
              <w:t>Often competitive with deep learning when interaction structure is known</w:t>
            </w:r>
          </w:p>
        </w:tc>
        <w:tc>
          <w:tcPr>
            <w:tcW w:w="1512" w:type="dxa"/>
            <w:tcMar>
              <w:top w:w="85" w:type="dxa"/>
              <w:left w:w="85" w:type="dxa"/>
              <w:bottom w:w="85" w:type="dxa"/>
              <w:right w:w="85" w:type="dxa"/>
            </w:tcMar>
            <w:vAlign w:val="center"/>
          </w:tcPr>
          <w:p w14:paraId="1063D5D6" w14:textId="77777777" w:rsidR="00153A91" w:rsidRDefault="00000000">
            <w:pPr>
              <w:spacing w:after="0" w:line="247" w:lineRule="auto"/>
            </w:pPr>
            <w:r>
              <w:rPr>
                <w:sz w:val="16"/>
              </w:rPr>
              <w:t>(O. A. Montesinos-López et al., 2018)</w:t>
            </w:r>
          </w:p>
        </w:tc>
      </w:tr>
      <w:tr w:rsidR="00153A91" w14:paraId="49748596" w14:textId="77777777">
        <w:trPr>
          <w:cantSplit/>
          <w:jc w:val="center"/>
        </w:trPr>
        <w:tc>
          <w:tcPr>
            <w:tcW w:w="1267" w:type="dxa"/>
            <w:tcMar>
              <w:top w:w="85" w:type="dxa"/>
              <w:left w:w="85" w:type="dxa"/>
              <w:bottom w:w="85" w:type="dxa"/>
              <w:right w:w="85" w:type="dxa"/>
            </w:tcMar>
            <w:vAlign w:val="center"/>
          </w:tcPr>
          <w:p w14:paraId="1EBB32B0" w14:textId="77777777" w:rsidR="00153A91" w:rsidRDefault="00000000">
            <w:pPr>
              <w:spacing w:after="0" w:line="247" w:lineRule="auto"/>
              <w:jc w:val="center"/>
            </w:pPr>
            <w:r>
              <w:rPr>
                <w:sz w:val="16"/>
              </w:rPr>
              <w:t>Kernel methods</w:t>
            </w:r>
          </w:p>
        </w:tc>
        <w:tc>
          <w:tcPr>
            <w:tcW w:w="1699" w:type="dxa"/>
            <w:tcMar>
              <w:top w:w="85" w:type="dxa"/>
              <w:left w:w="85" w:type="dxa"/>
              <w:bottom w:w="85" w:type="dxa"/>
              <w:right w:w="85" w:type="dxa"/>
            </w:tcMar>
            <w:vAlign w:val="center"/>
          </w:tcPr>
          <w:p w14:paraId="0E945432" w14:textId="77777777" w:rsidR="00153A91" w:rsidRDefault="00000000">
            <w:pPr>
              <w:spacing w:after="0" w:line="247" w:lineRule="auto"/>
            </w:pPr>
            <w:r>
              <w:rPr>
                <w:sz w:val="16"/>
              </w:rPr>
              <w:t>Genomics plus omics; nonlinear similarity</w:t>
            </w:r>
          </w:p>
        </w:tc>
        <w:tc>
          <w:tcPr>
            <w:tcW w:w="1627" w:type="dxa"/>
            <w:tcMar>
              <w:top w:w="85" w:type="dxa"/>
              <w:left w:w="85" w:type="dxa"/>
              <w:bottom w:w="85" w:type="dxa"/>
              <w:right w:w="85" w:type="dxa"/>
            </w:tcMar>
            <w:vAlign w:val="center"/>
          </w:tcPr>
          <w:p w14:paraId="6B6EB5DD" w14:textId="77777777" w:rsidR="00153A91" w:rsidRDefault="00000000">
            <w:pPr>
              <w:spacing w:after="0" w:line="247" w:lineRule="auto"/>
            </w:pPr>
            <w:r>
              <w:rPr>
                <w:sz w:val="16"/>
              </w:rPr>
              <w:t>Capture nonlinear relationships without very deep architectures</w:t>
            </w:r>
          </w:p>
        </w:tc>
        <w:tc>
          <w:tcPr>
            <w:tcW w:w="1699" w:type="dxa"/>
            <w:tcMar>
              <w:top w:w="85" w:type="dxa"/>
              <w:left w:w="85" w:type="dxa"/>
              <w:bottom w:w="85" w:type="dxa"/>
              <w:right w:w="85" w:type="dxa"/>
            </w:tcMar>
            <w:vAlign w:val="center"/>
          </w:tcPr>
          <w:p w14:paraId="1143C5DD" w14:textId="77777777" w:rsidR="00153A91" w:rsidRDefault="00000000">
            <w:pPr>
              <w:spacing w:after="0" w:line="247" w:lineRule="auto"/>
            </w:pPr>
            <w:r>
              <w:rPr>
                <w:sz w:val="16"/>
              </w:rPr>
              <w:t>Kernel choice can be opaque and sample-specific</w:t>
            </w:r>
          </w:p>
        </w:tc>
        <w:tc>
          <w:tcPr>
            <w:tcW w:w="1555" w:type="dxa"/>
            <w:tcMar>
              <w:top w:w="85" w:type="dxa"/>
              <w:left w:w="85" w:type="dxa"/>
              <w:bottom w:w="85" w:type="dxa"/>
              <w:right w:w="85" w:type="dxa"/>
            </w:tcMar>
            <w:vAlign w:val="center"/>
          </w:tcPr>
          <w:p w14:paraId="700A7C62" w14:textId="77777777" w:rsidR="00153A91" w:rsidRDefault="00000000">
            <w:pPr>
              <w:spacing w:after="0" w:line="247" w:lineRule="auto"/>
            </w:pPr>
            <w:r>
              <w:rPr>
                <w:sz w:val="16"/>
              </w:rPr>
              <w:t>Strong option for moderate sample sizes and hybrid prediction</w:t>
            </w:r>
          </w:p>
        </w:tc>
        <w:tc>
          <w:tcPr>
            <w:tcW w:w="1512" w:type="dxa"/>
            <w:tcMar>
              <w:top w:w="85" w:type="dxa"/>
              <w:left w:w="85" w:type="dxa"/>
              <w:bottom w:w="85" w:type="dxa"/>
              <w:right w:w="85" w:type="dxa"/>
            </w:tcMar>
            <w:vAlign w:val="center"/>
          </w:tcPr>
          <w:p w14:paraId="5D52B848" w14:textId="77777777" w:rsidR="00153A91" w:rsidRDefault="00000000">
            <w:pPr>
              <w:spacing w:after="0" w:line="247" w:lineRule="auto"/>
            </w:pPr>
            <w:r>
              <w:rPr>
                <w:sz w:val="16"/>
              </w:rPr>
              <w:t>(Cuevas et al., 2017; Knoch et al., 2021)</w:t>
            </w:r>
          </w:p>
        </w:tc>
      </w:tr>
      <w:tr w:rsidR="00153A91" w14:paraId="3118807B" w14:textId="77777777">
        <w:trPr>
          <w:cantSplit/>
          <w:jc w:val="center"/>
        </w:trPr>
        <w:tc>
          <w:tcPr>
            <w:tcW w:w="1267" w:type="dxa"/>
            <w:tcMar>
              <w:top w:w="85" w:type="dxa"/>
              <w:left w:w="85" w:type="dxa"/>
              <w:bottom w:w="85" w:type="dxa"/>
              <w:right w:w="85" w:type="dxa"/>
            </w:tcMar>
            <w:vAlign w:val="center"/>
          </w:tcPr>
          <w:p w14:paraId="1635A6C2" w14:textId="77777777" w:rsidR="00153A91" w:rsidRDefault="00000000">
            <w:pPr>
              <w:spacing w:after="0" w:line="247" w:lineRule="auto"/>
              <w:jc w:val="center"/>
            </w:pPr>
            <w:r>
              <w:rPr>
                <w:sz w:val="16"/>
              </w:rPr>
              <w:t>Tree ensembles</w:t>
            </w:r>
          </w:p>
        </w:tc>
        <w:tc>
          <w:tcPr>
            <w:tcW w:w="1699" w:type="dxa"/>
            <w:tcMar>
              <w:top w:w="85" w:type="dxa"/>
              <w:left w:w="85" w:type="dxa"/>
              <w:bottom w:w="85" w:type="dxa"/>
              <w:right w:w="85" w:type="dxa"/>
            </w:tcMar>
            <w:vAlign w:val="center"/>
          </w:tcPr>
          <w:p w14:paraId="234B1D18" w14:textId="77777777" w:rsidR="00153A91" w:rsidRDefault="00000000">
            <w:pPr>
              <w:spacing w:after="0" w:line="247" w:lineRule="auto"/>
            </w:pPr>
            <w:r>
              <w:rPr>
                <w:sz w:val="16"/>
              </w:rPr>
              <w:t>Mixed omics, moderate n, nonlinear interactions</w:t>
            </w:r>
          </w:p>
        </w:tc>
        <w:tc>
          <w:tcPr>
            <w:tcW w:w="1627" w:type="dxa"/>
            <w:tcMar>
              <w:top w:w="85" w:type="dxa"/>
              <w:left w:w="85" w:type="dxa"/>
              <w:bottom w:w="85" w:type="dxa"/>
              <w:right w:w="85" w:type="dxa"/>
            </w:tcMar>
            <w:vAlign w:val="center"/>
          </w:tcPr>
          <w:p w14:paraId="13A7F98A" w14:textId="77777777" w:rsidR="00153A91" w:rsidRDefault="00000000">
            <w:pPr>
              <w:spacing w:after="0" w:line="247" w:lineRule="auto"/>
            </w:pPr>
            <w:r>
              <w:rPr>
                <w:sz w:val="16"/>
              </w:rPr>
              <w:t>Robust, flexible and relatively interpretable</w:t>
            </w:r>
          </w:p>
        </w:tc>
        <w:tc>
          <w:tcPr>
            <w:tcW w:w="1699" w:type="dxa"/>
            <w:tcMar>
              <w:top w:w="85" w:type="dxa"/>
              <w:left w:w="85" w:type="dxa"/>
              <w:bottom w:w="85" w:type="dxa"/>
              <w:right w:w="85" w:type="dxa"/>
            </w:tcMar>
            <w:vAlign w:val="center"/>
          </w:tcPr>
          <w:p w14:paraId="2E1CD21D" w14:textId="77777777" w:rsidR="00153A91" w:rsidRDefault="00000000">
            <w:pPr>
              <w:spacing w:after="0" w:line="247" w:lineRule="auto"/>
            </w:pPr>
            <w:r>
              <w:rPr>
                <w:sz w:val="16"/>
              </w:rPr>
              <w:t>Feature importance is unstable under correlation; weak extrapolation</w:t>
            </w:r>
          </w:p>
        </w:tc>
        <w:tc>
          <w:tcPr>
            <w:tcW w:w="1555" w:type="dxa"/>
            <w:tcMar>
              <w:top w:w="85" w:type="dxa"/>
              <w:left w:w="85" w:type="dxa"/>
              <w:bottom w:w="85" w:type="dxa"/>
              <w:right w:w="85" w:type="dxa"/>
            </w:tcMar>
            <w:vAlign w:val="center"/>
          </w:tcPr>
          <w:p w14:paraId="22B5781B" w14:textId="77777777" w:rsidR="00153A91" w:rsidRDefault="00000000">
            <w:pPr>
              <w:spacing w:after="0" w:line="247" w:lineRule="auto"/>
            </w:pPr>
            <w:r>
              <w:rPr>
                <w:sz w:val="16"/>
              </w:rPr>
              <w:t>Useful when modalities add complementary features, but not uniformly superior</w:t>
            </w:r>
          </w:p>
        </w:tc>
        <w:tc>
          <w:tcPr>
            <w:tcW w:w="1512" w:type="dxa"/>
            <w:tcMar>
              <w:top w:w="85" w:type="dxa"/>
              <w:left w:w="85" w:type="dxa"/>
              <w:bottom w:w="85" w:type="dxa"/>
              <w:right w:w="85" w:type="dxa"/>
            </w:tcMar>
            <w:vAlign w:val="center"/>
          </w:tcPr>
          <w:p w14:paraId="26CD67EC" w14:textId="77777777" w:rsidR="00153A91" w:rsidRDefault="00000000">
            <w:pPr>
              <w:spacing w:after="0" w:line="247" w:lineRule="auto"/>
            </w:pPr>
            <w:r>
              <w:rPr>
                <w:sz w:val="16"/>
              </w:rPr>
              <w:t>(</w:t>
            </w:r>
            <w:proofErr w:type="spellStart"/>
            <w:r>
              <w:rPr>
                <w:sz w:val="16"/>
              </w:rPr>
              <w:t>Azodi</w:t>
            </w:r>
            <w:proofErr w:type="spellEnd"/>
            <w:r>
              <w:rPr>
                <w:sz w:val="16"/>
              </w:rPr>
              <w:t xml:space="preserve"> et al., 2019; Wu et al., 2024)</w:t>
            </w:r>
          </w:p>
        </w:tc>
      </w:tr>
      <w:tr w:rsidR="00153A91" w14:paraId="66C48873" w14:textId="77777777">
        <w:trPr>
          <w:cantSplit/>
          <w:jc w:val="center"/>
        </w:trPr>
        <w:tc>
          <w:tcPr>
            <w:tcW w:w="1267" w:type="dxa"/>
            <w:tcMar>
              <w:top w:w="85" w:type="dxa"/>
              <w:left w:w="85" w:type="dxa"/>
              <w:bottom w:w="85" w:type="dxa"/>
              <w:right w:w="85" w:type="dxa"/>
            </w:tcMar>
            <w:vAlign w:val="center"/>
          </w:tcPr>
          <w:p w14:paraId="1405CDEC" w14:textId="77777777" w:rsidR="00153A91" w:rsidRDefault="00000000">
            <w:pPr>
              <w:spacing w:after="0" w:line="247" w:lineRule="auto"/>
              <w:jc w:val="center"/>
            </w:pPr>
            <w:r>
              <w:rPr>
                <w:sz w:val="16"/>
              </w:rPr>
              <w:t>Unimodal deep learning</w:t>
            </w:r>
          </w:p>
        </w:tc>
        <w:tc>
          <w:tcPr>
            <w:tcW w:w="1699" w:type="dxa"/>
            <w:tcMar>
              <w:top w:w="85" w:type="dxa"/>
              <w:left w:w="85" w:type="dxa"/>
              <w:bottom w:w="85" w:type="dxa"/>
              <w:right w:w="85" w:type="dxa"/>
            </w:tcMar>
            <w:vAlign w:val="center"/>
          </w:tcPr>
          <w:p w14:paraId="3DB9850A" w14:textId="77777777" w:rsidR="00153A91" w:rsidRDefault="00000000">
            <w:pPr>
              <w:spacing w:after="0" w:line="247" w:lineRule="auto"/>
            </w:pPr>
            <w:r>
              <w:rPr>
                <w:sz w:val="16"/>
              </w:rPr>
              <w:t>Large genotype or sequence datasets</w:t>
            </w:r>
          </w:p>
        </w:tc>
        <w:tc>
          <w:tcPr>
            <w:tcW w:w="1627" w:type="dxa"/>
            <w:tcMar>
              <w:top w:w="85" w:type="dxa"/>
              <w:left w:w="85" w:type="dxa"/>
              <w:bottom w:w="85" w:type="dxa"/>
              <w:right w:w="85" w:type="dxa"/>
            </w:tcMar>
            <w:vAlign w:val="center"/>
          </w:tcPr>
          <w:p w14:paraId="1131B437" w14:textId="77777777" w:rsidR="00153A91" w:rsidRDefault="00000000">
            <w:pPr>
              <w:spacing w:after="0" w:line="247" w:lineRule="auto"/>
            </w:pPr>
            <w:r>
              <w:rPr>
                <w:sz w:val="16"/>
              </w:rPr>
              <w:t>Learns high-order nonlinear representations</w:t>
            </w:r>
          </w:p>
        </w:tc>
        <w:tc>
          <w:tcPr>
            <w:tcW w:w="1699" w:type="dxa"/>
            <w:tcMar>
              <w:top w:w="85" w:type="dxa"/>
              <w:left w:w="85" w:type="dxa"/>
              <w:bottom w:w="85" w:type="dxa"/>
              <w:right w:w="85" w:type="dxa"/>
            </w:tcMar>
            <w:vAlign w:val="center"/>
          </w:tcPr>
          <w:p w14:paraId="3ADB64D1" w14:textId="77777777" w:rsidR="00153A91" w:rsidRDefault="00000000">
            <w:pPr>
              <w:spacing w:after="0" w:line="247" w:lineRule="auto"/>
            </w:pPr>
            <w:r>
              <w:rPr>
                <w:sz w:val="16"/>
              </w:rPr>
              <w:t>Overfitting and poor calibration in small breeding datasets</w:t>
            </w:r>
          </w:p>
        </w:tc>
        <w:tc>
          <w:tcPr>
            <w:tcW w:w="1555" w:type="dxa"/>
            <w:tcMar>
              <w:top w:w="85" w:type="dxa"/>
              <w:left w:w="85" w:type="dxa"/>
              <w:bottom w:w="85" w:type="dxa"/>
              <w:right w:w="85" w:type="dxa"/>
            </w:tcMar>
            <w:vAlign w:val="center"/>
          </w:tcPr>
          <w:p w14:paraId="0DB780AB" w14:textId="77777777" w:rsidR="00153A91" w:rsidRDefault="00000000">
            <w:pPr>
              <w:spacing w:after="0" w:line="247" w:lineRule="auto"/>
            </w:pPr>
            <w:r>
              <w:rPr>
                <w:sz w:val="16"/>
              </w:rPr>
              <w:t>Needs strong baselines and external/forward validation</w:t>
            </w:r>
          </w:p>
        </w:tc>
        <w:tc>
          <w:tcPr>
            <w:tcW w:w="1512" w:type="dxa"/>
            <w:tcMar>
              <w:top w:w="85" w:type="dxa"/>
              <w:left w:w="85" w:type="dxa"/>
              <w:bottom w:w="85" w:type="dxa"/>
              <w:right w:w="85" w:type="dxa"/>
            </w:tcMar>
            <w:vAlign w:val="center"/>
          </w:tcPr>
          <w:p w14:paraId="53CFD252" w14:textId="77777777" w:rsidR="00153A91" w:rsidRDefault="00000000">
            <w:pPr>
              <w:spacing w:after="0" w:line="247" w:lineRule="auto"/>
            </w:pPr>
            <w:r>
              <w:rPr>
                <w:sz w:val="16"/>
              </w:rPr>
              <w:t>(Wang, Cimen, et al., 2020; Wang, Yan, et al., 2025)</w:t>
            </w:r>
          </w:p>
        </w:tc>
      </w:tr>
      <w:tr w:rsidR="00153A91" w14:paraId="774DAD15" w14:textId="77777777">
        <w:trPr>
          <w:cantSplit/>
          <w:jc w:val="center"/>
        </w:trPr>
        <w:tc>
          <w:tcPr>
            <w:tcW w:w="1267" w:type="dxa"/>
            <w:tcMar>
              <w:top w:w="85" w:type="dxa"/>
              <w:left w:w="85" w:type="dxa"/>
              <w:bottom w:w="85" w:type="dxa"/>
              <w:right w:w="85" w:type="dxa"/>
            </w:tcMar>
            <w:vAlign w:val="center"/>
          </w:tcPr>
          <w:p w14:paraId="1CB39CDD" w14:textId="77777777" w:rsidR="00153A91" w:rsidRDefault="00000000">
            <w:pPr>
              <w:spacing w:after="0" w:line="247" w:lineRule="auto"/>
              <w:jc w:val="center"/>
            </w:pPr>
            <w:r>
              <w:rPr>
                <w:sz w:val="16"/>
              </w:rPr>
              <w:t>Multimodal deep learning</w:t>
            </w:r>
          </w:p>
        </w:tc>
        <w:tc>
          <w:tcPr>
            <w:tcW w:w="1699" w:type="dxa"/>
            <w:tcMar>
              <w:top w:w="85" w:type="dxa"/>
              <w:left w:w="85" w:type="dxa"/>
              <w:bottom w:w="85" w:type="dxa"/>
              <w:right w:w="85" w:type="dxa"/>
            </w:tcMar>
            <w:vAlign w:val="center"/>
          </w:tcPr>
          <w:p w14:paraId="31959225" w14:textId="77777777" w:rsidR="00153A91" w:rsidRDefault="00000000">
            <w:pPr>
              <w:spacing w:after="0" w:line="247" w:lineRule="auto"/>
            </w:pPr>
            <w:r>
              <w:rPr>
                <w:sz w:val="16"/>
              </w:rPr>
              <w:t>Genomics plus phenomics or multiple omics blocks</w:t>
            </w:r>
          </w:p>
        </w:tc>
        <w:tc>
          <w:tcPr>
            <w:tcW w:w="1627" w:type="dxa"/>
            <w:tcMar>
              <w:top w:w="85" w:type="dxa"/>
              <w:left w:w="85" w:type="dxa"/>
              <w:bottom w:w="85" w:type="dxa"/>
              <w:right w:w="85" w:type="dxa"/>
            </w:tcMar>
            <w:vAlign w:val="center"/>
          </w:tcPr>
          <w:p w14:paraId="52145056" w14:textId="77777777" w:rsidR="00153A91" w:rsidRDefault="00000000">
            <w:pPr>
              <w:spacing w:after="0" w:line="247" w:lineRule="auto"/>
            </w:pPr>
            <w:r>
              <w:rPr>
                <w:sz w:val="16"/>
              </w:rPr>
              <w:t>Learns modality-specific representations and cross-modal interactions</w:t>
            </w:r>
          </w:p>
        </w:tc>
        <w:tc>
          <w:tcPr>
            <w:tcW w:w="1699" w:type="dxa"/>
            <w:tcMar>
              <w:top w:w="85" w:type="dxa"/>
              <w:left w:w="85" w:type="dxa"/>
              <w:bottom w:w="85" w:type="dxa"/>
              <w:right w:w="85" w:type="dxa"/>
            </w:tcMar>
            <w:vAlign w:val="center"/>
          </w:tcPr>
          <w:p w14:paraId="705AC43D" w14:textId="77777777" w:rsidR="00153A91" w:rsidRDefault="00000000">
            <w:pPr>
              <w:spacing w:after="0" w:line="247" w:lineRule="auto"/>
            </w:pPr>
            <w:r>
              <w:rPr>
                <w:sz w:val="16"/>
              </w:rPr>
              <w:t>High parameter count, missing-modality fragility and architecture dependence</w:t>
            </w:r>
          </w:p>
        </w:tc>
        <w:tc>
          <w:tcPr>
            <w:tcW w:w="1555" w:type="dxa"/>
            <w:tcMar>
              <w:top w:w="85" w:type="dxa"/>
              <w:left w:w="85" w:type="dxa"/>
              <w:bottom w:w="85" w:type="dxa"/>
              <w:right w:w="85" w:type="dxa"/>
            </w:tcMar>
            <w:vAlign w:val="center"/>
          </w:tcPr>
          <w:p w14:paraId="65273F8F" w14:textId="77777777" w:rsidR="00153A91" w:rsidRDefault="00000000">
            <w:pPr>
              <w:spacing w:after="0" w:line="247" w:lineRule="auto"/>
            </w:pPr>
            <w:r>
              <w:rPr>
                <w:sz w:val="16"/>
              </w:rPr>
              <w:t>Most credible when gains survive modality ablation and realistic transfer tests</w:t>
            </w:r>
          </w:p>
        </w:tc>
        <w:tc>
          <w:tcPr>
            <w:tcW w:w="1512" w:type="dxa"/>
            <w:tcMar>
              <w:top w:w="85" w:type="dxa"/>
              <w:left w:w="85" w:type="dxa"/>
              <w:bottom w:w="85" w:type="dxa"/>
              <w:right w:w="85" w:type="dxa"/>
            </w:tcMar>
            <w:vAlign w:val="center"/>
          </w:tcPr>
          <w:p w14:paraId="2DBE4444" w14:textId="77777777" w:rsidR="00153A91" w:rsidRDefault="00000000">
            <w:pPr>
              <w:spacing w:after="0" w:line="247" w:lineRule="auto"/>
            </w:pPr>
            <w:r>
              <w:rPr>
                <w:sz w:val="16"/>
              </w:rPr>
              <w:t>(A. Montesinos-López et al., 2023; O. A. Montesinos-López et al., 2024)</w:t>
            </w:r>
          </w:p>
        </w:tc>
      </w:tr>
      <w:tr w:rsidR="00153A91" w14:paraId="27606B01" w14:textId="77777777">
        <w:trPr>
          <w:cantSplit/>
          <w:jc w:val="center"/>
        </w:trPr>
        <w:tc>
          <w:tcPr>
            <w:tcW w:w="1267" w:type="dxa"/>
            <w:tcMar>
              <w:top w:w="85" w:type="dxa"/>
              <w:left w:w="85" w:type="dxa"/>
              <w:bottom w:w="85" w:type="dxa"/>
              <w:right w:w="85" w:type="dxa"/>
            </w:tcMar>
            <w:vAlign w:val="center"/>
          </w:tcPr>
          <w:p w14:paraId="79F5EA4C" w14:textId="77777777" w:rsidR="00153A91" w:rsidRDefault="00000000">
            <w:pPr>
              <w:spacing w:after="0" w:line="247" w:lineRule="auto"/>
              <w:jc w:val="center"/>
            </w:pPr>
            <w:r>
              <w:rPr>
                <w:sz w:val="16"/>
              </w:rPr>
              <w:t>Interpretable AI</w:t>
            </w:r>
          </w:p>
        </w:tc>
        <w:tc>
          <w:tcPr>
            <w:tcW w:w="1699" w:type="dxa"/>
            <w:tcMar>
              <w:top w:w="85" w:type="dxa"/>
              <w:left w:w="85" w:type="dxa"/>
              <w:bottom w:w="85" w:type="dxa"/>
              <w:right w:w="85" w:type="dxa"/>
            </w:tcMar>
            <w:vAlign w:val="center"/>
          </w:tcPr>
          <w:p w14:paraId="6A2A668F" w14:textId="77777777" w:rsidR="00153A91" w:rsidRDefault="00000000">
            <w:pPr>
              <w:spacing w:after="0" w:line="247" w:lineRule="auto"/>
            </w:pPr>
            <w:r>
              <w:rPr>
                <w:sz w:val="16"/>
              </w:rPr>
              <w:t>Any high-dimensional predictive model</w:t>
            </w:r>
          </w:p>
        </w:tc>
        <w:tc>
          <w:tcPr>
            <w:tcW w:w="1627" w:type="dxa"/>
            <w:tcMar>
              <w:top w:w="85" w:type="dxa"/>
              <w:left w:w="85" w:type="dxa"/>
              <w:bottom w:w="85" w:type="dxa"/>
              <w:right w:w="85" w:type="dxa"/>
            </w:tcMar>
            <w:vAlign w:val="center"/>
          </w:tcPr>
          <w:p w14:paraId="77AD6D03" w14:textId="77777777" w:rsidR="00153A91" w:rsidRDefault="00000000">
            <w:pPr>
              <w:spacing w:after="0" w:line="247" w:lineRule="auto"/>
            </w:pPr>
            <w:proofErr w:type="spellStart"/>
            <w:r>
              <w:rPr>
                <w:sz w:val="16"/>
              </w:rPr>
              <w:t>Prioritises</w:t>
            </w:r>
            <w:proofErr w:type="spellEnd"/>
            <w:r>
              <w:rPr>
                <w:sz w:val="16"/>
              </w:rPr>
              <w:t xml:space="preserve"> features and supports biological hypotheses</w:t>
            </w:r>
          </w:p>
        </w:tc>
        <w:tc>
          <w:tcPr>
            <w:tcW w:w="1699" w:type="dxa"/>
            <w:tcMar>
              <w:top w:w="85" w:type="dxa"/>
              <w:left w:w="85" w:type="dxa"/>
              <w:bottom w:w="85" w:type="dxa"/>
              <w:right w:w="85" w:type="dxa"/>
            </w:tcMar>
            <w:vAlign w:val="center"/>
          </w:tcPr>
          <w:p w14:paraId="533C0FF6" w14:textId="77777777" w:rsidR="00153A91" w:rsidRDefault="00000000">
            <w:pPr>
              <w:spacing w:after="0" w:line="247" w:lineRule="auto"/>
            </w:pPr>
            <w:r>
              <w:rPr>
                <w:sz w:val="16"/>
              </w:rPr>
              <w:t>Attribution can be mistaken for causality</w:t>
            </w:r>
          </w:p>
        </w:tc>
        <w:tc>
          <w:tcPr>
            <w:tcW w:w="1555" w:type="dxa"/>
            <w:tcMar>
              <w:top w:w="85" w:type="dxa"/>
              <w:left w:w="85" w:type="dxa"/>
              <w:bottom w:w="85" w:type="dxa"/>
              <w:right w:w="85" w:type="dxa"/>
            </w:tcMar>
            <w:vAlign w:val="center"/>
          </w:tcPr>
          <w:p w14:paraId="423D4495" w14:textId="77777777" w:rsidR="00153A91" w:rsidRDefault="00000000">
            <w:pPr>
              <w:spacing w:after="0" w:line="247" w:lineRule="auto"/>
            </w:pPr>
            <w:r>
              <w:rPr>
                <w:sz w:val="16"/>
              </w:rPr>
              <w:t>Use for hypothesis generation; require independent or functional validation for mechanism</w:t>
            </w:r>
          </w:p>
        </w:tc>
        <w:tc>
          <w:tcPr>
            <w:tcW w:w="1512" w:type="dxa"/>
            <w:tcMar>
              <w:top w:w="85" w:type="dxa"/>
              <w:left w:w="85" w:type="dxa"/>
              <w:bottom w:w="85" w:type="dxa"/>
              <w:right w:w="85" w:type="dxa"/>
            </w:tcMar>
            <w:vAlign w:val="center"/>
          </w:tcPr>
          <w:p w14:paraId="437CD767" w14:textId="77777777" w:rsidR="00153A91" w:rsidRDefault="00000000">
            <w:pPr>
              <w:spacing w:after="0" w:line="247" w:lineRule="auto"/>
            </w:pPr>
            <w:r>
              <w:rPr>
                <w:sz w:val="16"/>
              </w:rPr>
              <w:t>(Wang, Lehti-Shiu, et al., 2024; Wang, Yan, et al., 2025)</w:t>
            </w:r>
          </w:p>
        </w:tc>
      </w:tr>
    </w:tbl>
    <w:p w14:paraId="38F5BE03" w14:textId="77777777" w:rsidR="00153A91" w:rsidRDefault="00000000">
      <w:pPr>
        <w:spacing w:before="60" w:after="160"/>
      </w:pPr>
      <w:r>
        <w:rPr>
          <w:i/>
          <w:sz w:val="16"/>
        </w:rPr>
        <w:t xml:space="preserve">Note. </w:t>
      </w:r>
      <w:r>
        <w:rPr>
          <w:sz w:val="16"/>
        </w:rPr>
        <w:t>GBLUP = genomic best linear unbiased prediction; n = number of independent observations. Model complexity should be justified by reproducible gain over an appropriately tuned baseline under the intended deployment scenario.</w:t>
      </w:r>
    </w:p>
    <w:p w14:paraId="468738DB" w14:textId="77777777" w:rsidR="00153A91" w:rsidRDefault="00000000">
      <w:pPr>
        <w:pStyle w:val="Heading1"/>
      </w:pPr>
      <w:r>
        <w:rPr>
          <w:rFonts w:ascii="Times New Roman" w:eastAsia="Times New Roman" w:hAnsi="Times New Roman"/>
        </w:rPr>
        <w:lastRenderedPageBreak/>
        <w:t>5. Where Multi-Omics Integration Has Produced Credible Gains</w:t>
      </w:r>
    </w:p>
    <w:p w14:paraId="4C9CF323" w14:textId="77777777" w:rsidR="00153A91" w:rsidRDefault="00000000">
      <w:pPr>
        <w:pStyle w:val="Heading2"/>
      </w:pPr>
      <w:r>
        <w:rPr>
          <w:rFonts w:ascii="Times New Roman" w:eastAsia="Times New Roman" w:hAnsi="Times New Roman"/>
        </w:rPr>
        <w:t>5.1 Hybrid performance as a high-value integration problem</w:t>
      </w:r>
    </w:p>
    <w:p w14:paraId="3C286DCA" w14:textId="77777777" w:rsidR="00153A91" w:rsidRDefault="00000000">
      <w:pPr>
        <w:pStyle w:val="BodyTextAcademic"/>
      </w:pPr>
      <w:r>
        <w:t>Hybrid breeding provides one of the clearest empirical demonstrations of multi-omics value because parental omics can be measured before producing every possible cross. The task is not simply to predict a phenotype from the same individual’s molecular state; it is to infer progeny performance from parental information. This creates a demanding test of whether downstream omics capture transmissible biological signal rather than merely contemporaneous phenotype. In maize, Westhues et al. (2017) found that transcriptomic information from parental lines improved prediction of untested hybrid combinations and was especially informative for dry-matter yield. Schrag et al. (2018) extended this comparison across genomic, messenger-RNA, small-RNA and metabolic information. Their results were trait specific: messenger RNA was particularly informative for grain yield, genomic information remained strong for dry-matter content, and combinations tended to be more robust than any single layer.</w:t>
      </w:r>
    </w:p>
    <w:p w14:paraId="7608C3AF" w14:textId="77777777" w:rsidR="00153A91" w:rsidRDefault="00000000">
      <w:pPr>
        <w:pStyle w:val="BodyTextAcademic"/>
      </w:pPr>
      <w:r>
        <w:t>Canola provides independent support, although not a universal rule. Knoch et al. (2021) assessed genomic, transcriptomic and metabolomic predictors for 950 F1 hybrids derived from 477 parents. Transcriptomic information improved prediction for most evaluated traits, and a nonlinear reproducing-kernel Hilbert space model frequently outperformed GBLUP. This study is important because of its relatively large hybrid design and explicit comparison of model classes. Yet the conclusion should remain calibrated: success in hybrid prediction does not imply that transcriptomics should be measured routinely for every crop. The value depends on whether parental expression is stable, sampled at a relevant developmental stage and sufficiently predictive to compensate for assay cost.</w:t>
      </w:r>
    </w:p>
    <w:p w14:paraId="49480097" w14:textId="77777777" w:rsidR="00153A91" w:rsidRDefault="00000000">
      <w:pPr>
        <w:pStyle w:val="BodyTextAcademic"/>
      </w:pPr>
      <w:r>
        <w:t>The hybrid studies also illustrate a broader concept: downstream omics can compress many interacting genetic effects into intermediate phenotypes. That compression is useful if it preserves heritable information transmitted to progeny. It becomes less useful when the intermediate state is dominated by temporary environmental exposure. This is why multi-omics sampling protocols are part of the prediction model, not merely laboratory details. Tissue, developmental stage, growth condition and assay platform determine which regulatory and metabolic processes enter the feature space. Replication across these dimensions remains far less common than replication of marker genotypes.</w:t>
      </w:r>
    </w:p>
    <w:p w14:paraId="6A4B8FF9" w14:textId="77777777" w:rsidR="00153A91" w:rsidRDefault="00000000">
      <w:pPr>
        <w:pStyle w:val="Heading2"/>
      </w:pPr>
      <w:r>
        <w:rPr>
          <w:rFonts w:ascii="Times New Roman" w:eastAsia="Times New Roman" w:hAnsi="Times New Roman"/>
        </w:rPr>
        <w:t>5.2 Yield and complex agronomic traits</w:t>
      </w:r>
    </w:p>
    <w:p w14:paraId="6FDF2B9B" w14:textId="77777777" w:rsidR="00153A91" w:rsidRDefault="00000000">
      <w:pPr>
        <w:pStyle w:val="BodyTextAcademic"/>
      </w:pPr>
      <w:r>
        <w:t xml:space="preserve">Yield is a stringent target because it integrates development, resource capture, stress response and environment. A recent maize study provides an illustrative AI-assisted multi-omics example. Wu et al. (2024) combined 2,496 single-nucleotide polymorphisms, 46 image-derived traits across development and 133 primary metabolites from 156 recombinant inbred lines. Random forest integration increased reported yield-prediction accuracy from 0.32 with the genomic model to 0.43 with multiple modalities. The gain is biologically plausible because image traits and metabolites supply information closer to </w:t>
      </w:r>
      <w:proofErr w:type="spellStart"/>
      <w:r>
        <w:t>realised</w:t>
      </w:r>
      <w:proofErr w:type="spellEnd"/>
      <w:r>
        <w:t xml:space="preserve"> growth than markers alone. The small number of lines relative to feature number, however, raises sensitivity to cross-validation partitioning and feature selection. The study demonstrates potential rather than establishing a population-independent expected gain.</w:t>
      </w:r>
    </w:p>
    <w:p w14:paraId="5F98C594" w14:textId="77777777" w:rsidR="00153A91" w:rsidRDefault="00000000">
      <w:pPr>
        <w:pStyle w:val="BodyTextAcademic"/>
      </w:pPr>
      <w:r>
        <w:t xml:space="preserve">Ali et al. (2024) addressed a related translational question by measuring high-dimensional omics under controlled conditions and evaluating prediction of maize platform and field traits. The work supports the possibility that carefully selected controlled-environment molecular measurements can inform field phenotypes, but it also reinforces the importance of matching biological context. A molecular signature collected under one condition may reflect constitutive genetic effects, stress responsiveness or both. The more </w:t>
      </w:r>
      <w:r>
        <w:lastRenderedPageBreak/>
        <w:t>the target environment differs from the assay environment, the more prediction depends on whether the model has learned a portable regulatory signal rather than condition-specific state.</w:t>
      </w:r>
    </w:p>
    <w:p w14:paraId="02E0AABE" w14:textId="77777777" w:rsidR="00153A91" w:rsidRDefault="00000000">
      <w:pPr>
        <w:pStyle w:val="BodyTextAcademic"/>
      </w:pPr>
      <w:r>
        <w:t xml:space="preserve">Bread wheat studies integrating genomic prediction with canopy sensing provide a parallel at the </w:t>
      </w:r>
      <w:proofErr w:type="spellStart"/>
      <w:r>
        <w:t>phenomic</w:t>
      </w:r>
      <w:proofErr w:type="spellEnd"/>
      <w:r>
        <w:t xml:space="preserve"> scale. Rutkoski et al. (2016) found that canopy temperature and vegetation indices improved prediction of grain yield when combined with pedigree or genomic information. Crain et al. (2018) showed that high-throughput phenotyping could raise selection accuracy, although gains varied across training strategies. Juliana et al. (2019) demonstrated value from combining genomic-enabled prediction and high-throughput phenotyping for climate-resilient wheat, while also showing that across-year transfer is substantially harder than prediction within represented conditions. Together, these studies suggest that dynamic secondary phenotypes can be valuable, but the operational question is whether they are available early and cheaply enough to change selection decisions.</w:t>
      </w:r>
    </w:p>
    <w:p w14:paraId="0002E4B0" w14:textId="77777777" w:rsidR="00153A91" w:rsidRDefault="00000000">
      <w:pPr>
        <w:pStyle w:val="Heading2"/>
      </w:pPr>
      <w:r>
        <w:rPr>
          <w:rFonts w:ascii="Times New Roman" w:eastAsia="Times New Roman" w:hAnsi="Times New Roman"/>
        </w:rPr>
        <w:t>5.3 Stress adaptation and biochemical quality</w:t>
      </w:r>
    </w:p>
    <w:p w14:paraId="0A0BE71F" w14:textId="77777777" w:rsidR="00153A91" w:rsidRDefault="00000000">
      <w:pPr>
        <w:pStyle w:val="BodyTextAcademic"/>
      </w:pPr>
      <w:r>
        <w:t>Multi-omics is especially informative for traits with identifiable physiological intermediates. Drought adaptation in maize provides a strong example because metabolite abundance, gene expression and genetic variation can be integrated into a coherent stress-response framework. Zhang et al. (2021) combined metabolomic and genomic analyses with expression quantitative trait loci to identify regulatory hubs associated with drought adaptation and used functional experiments to support candidate roles. Compared with purely predictive modelling, this design provides stronger mechanistic evidence because association, molecular regulation and experimental perturbation are linked. Its breeding value lies in identifying processes and alleles that can be tested across germplasm, not in an immediate claim that every identified metabolite should become a routine selection feature.</w:t>
      </w:r>
    </w:p>
    <w:p w14:paraId="05AE36B3" w14:textId="77777777" w:rsidR="00153A91" w:rsidRDefault="00000000">
      <w:pPr>
        <w:pStyle w:val="BodyTextAcademic"/>
      </w:pPr>
      <w:r>
        <w:t xml:space="preserve">Metabolome-wide association has also exposed biochemical variation relevant to nutritional and quality traits. Wen et al. (2014) mapped maize kernel metabolites to genomic loci and generated biochemical insights that would be difficult to derive from yield phenotypes alone. Zhou et al. (2019) expanded this view to </w:t>
      </w:r>
      <w:proofErr w:type="spellStart"/>
      <w:r>
        <w:t>specialised</w:t>
      </w:r>
      <w:proofErr w:type="spellEnd"/>
      <w:r>
        <w:t xml:space="preserve"> metabolites, revealing extensive chemical diversity and genetic control. Such studies can convert a poorly resolved complex phenotype into intermediate biochemical traits with clearer genetic architecture. The risk is that association studies overrepresent metabolites measurable under a specific protocol and environment. Translation requires confirmation that the implicated pathways matter for the harvested product and that </w:t>
      </w:r>
      <w:proofErr w:type="spellStart"/>
      <w:r>
        <w:t>favourable</w:t>
      </w:r>
      <w:proofErr w:type="spellEnd"/>
      <w:r>
        <w:t xml:space="preserve"> alleles do not create adverse pleiotropic effects.</w:t>
      </w:r>
    </w:p>
    <w:p w14:paraId="07751AAF" w14:textId="77777777" w:rsidR="00153A91" w:rsidRDefault="00000000">
      <w:pPr>
        <w:pStyle w:val="BodyTextAcademic"/>
      </w:pPr>
      <w:r>
        <w:t xml:space="preserve">A recent rice study illustrates the convergence of phenomics, metabolomics, genomics and AI. Feng et al. (2025) integrated hyperspectral phenotypes, metabolite measurements and genomic information in 533 </w:t>
      </w:r>
      <w:r>
        <w:rPr>
          <w:i/>
        </w:rPr>
        <w:t>Oryza sativa</w:t>
      </w:r>
      <w:r>
        <w:t xml:space="preserve"> accessions. Machine learning was used to predict metabolite variation from spectral information, association mapping was used to identify genetic determinants, and candidate genes were functionally tested through editing or overexpression. This workflow is notable because the AI component serves as a bridge between a scalable phenotype and an expensive molecular assay, rather than merely replacing a genomic predictor with a larger model. It exemplifies a practical route to multi-omics deployment: use costly omics deeply in a reference set, learn lower-cost proxies, and validate the biological targets experimentally.</w:t>
      </w:r>
    </w:p>
    <w:p w14:paraId="328D4F7E" w14:textId="77777777" w:rsidR="00153A91" w:rsidRDefault="00000000">
      <w:pPr>
        <w:pStyle w:val="Heading2"/>
      </w:pPr>
      <w:r>
        <w:rPr>
          <w:rFonts w:ascii="Times New Roman" w:eastAsia="Times New Roman" w:hAnsi="Times New Roman"/>
        </w:rPr>
        <w:t>5.4 Regulatory discovery and the value of independent biological layers</w:t>
      </w:r>
    </w:p>
    <w:p w14:paraId="722F763E" w14:textId="77777777" w:rsidR="00153A91" w:rsidRDefault="00000000">
      <w:pPr>
        <w:pStyle w:val="BodyTextAcademic"/>
      </w:pPr>
      <w:r>
        <w:t xml:space="preserve">Transcriptome-wide association studies can supplement genome-wide association by capturing genetically regulated expression that links loci to genes. In maize, Kremling et al. (2019) showed that transcriptome-wide association supplemented genome-wide association and improved </w:t>
      </w:r>
      <w:proofErr w:type="spellStart"/>
      <w:r>
        <w:t>prioritisation</w:t>
      </w:r>
      <w:proofErr w:type="spellEnd"/>
      <w:r>
        <w:t xml:space="preserve"> of trait-related genes across tissues. The method is especially useful when associated variants lie in regulatory regions or when many variants converge on expression of the same gene. Yet expression-trait association remains vulnerable to </w:t>
      </w:r>
      <w:r>
        <w:lastRenderedPageBreak/>
        <w:t xml:space="preserve">confounding and tissue specificity. It should be treated as a </w:t>
      </w:r>
      <w:proofErr w:type="spellStart"/>
      <w:r>
        <w:t>prioritisation</w:t>
      </w:r>
      <w:proofErr w:type="spellEnd"/>
      <w:r>
        <w:t xml:space="preserve"> layer unless supported by genetic perturbation, fine mapping or independent replication.</w:t>
      </w:r>
    </w:p>
    <w:p w14:paraId="21D8258B" w14:textId="77777777" w:rsidR="00153A91" w:rsidRDefault="00000000">
      <w:pPr>
        <w:pStyle w:val="BodyTextAcademic"/>
      </w:pPr>
      <w:r>
        <w:t xml:space="preserve">Proteomics strengthens this argument for independent layers. Jiang et al. (2019) </w:t>
      </w:r>
      <w:proofErr w:type="spellStart"/>
      <w:r>
        <w:t>characterised</w:t>
      </w:r>
      <w:proofErr w:type="spellEnd"/>
      <w:r>
        <w:t xml:space="preserve"> proteome variation across modern maize breeding and showed that selection has altered protein abundance patterns that are not fully mirrored by transcripts. The result cautions against assuming a simple DNA-to-RNA-to-protein hierarchy in predictive models. If the target trait depends strongly on enzyme abundance, translation or protein turnover, transcriptomic features may be insufficient proxies. Conversely, proteomic assays may be too expensive or variable for routine selection. Multi-omics should therefore seek the cheapest information layer that preserves the relevant biology, not maximal measurement depth.</w:t>
      </w:r>
    </w:p>
    <w:p w14:paraId="7C250ED9" w14:textId="77777777" w:rsidR="00153A91" w:rsidRDefault="00000000">
      <w:pPr>
        <w:pStyle w:val="BodyTextAcademic"/>
      </w:pPr>
      <w:r>
        <w:t xml:space="preserve">Single-cell regulatory maps may eventually provide such priors. </w:t>
      </w:r>
      <w:proofErr w:type="spellStart"/>
      <w:r>
        <w:t>Marand</w:t>
      </w:r>
      <w:proofErr w:type="spellEnd"/>
      <w:r>
        <w:t xml:space="preserve"> et al. (2021) generated a single-cell cis-regulatory atlas in maize, resolving regulatory accessibility across cell types and linking regulatory elements to genes. This does not directly demonstrate improved breeding prediction, but it changes the interpretation of non-coding variation by indicating where and in which cell types a variant may act. Combined with pangenomes, single-cell atlases could guide feature grouping or attention masks in future models. The evidence for this use is currently conceptual and mechanistic rather than operational. A critical distinction is therefore needed between technologies that expand biological understanding and those already shown to improve selection outcomes.</w:t>
      </w:r>
    </w:p>
    <w:p w14:paraId="34B7945E" w14:textId="77777777" w:rsidR="00153A91" w:rsidRDefault="00000000">
      <w:pPr>
        <w:pStyle w:val="BodyTextAcademic"/>
      </w:pPr>
      <w:r>
        <w:t>Table 3 presents representative empirical studies and the specific conditions under which multi-omics or multimodal AI produced useful gains. The table makes two patterns visible: successful studies usually align the added modality with a plausible trait mechanism, and the largest uncertainty often lies in transfer beyond the population, tissue or environment used for model development.</w:t>
      </w:r>
    </w:p>
    <w:p w14:paraId="01C3A59B" w14:textId="77777777" w:rsidR="00153A91" w:rsidRDefault="00000000">
      <w:pPr>
        <w:spacing w:before="100" w:after="80"/>
      </w:pPr>
      <w:r>
        <w:rPr>
          <w:b/>
          <w:sz w:val="19"/>
        </w:rPr>
        <w:t>Table 3. Representative empirical evidence for multi-omics or multimodal prediction in crop improvement</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181"/>
        <w:gridCol w:w="1627"/>
        <w:gridCol w:w="1757"/>
        <w:gridCol w:w="1800"/>
        <w:gridCol w:w="1555"/>
        <w:gridCol w:w="1440"/>
      </w:tblGrid>
      <w:tr w:rsidR="00153A91" w14:paraId="6AB66CFC" w14:textId="77777777">
        <w:trPr>
          <w:tblHeader/>
          <w:jc w:val="center"/>
        </w:trPr>
        <w:tc>
          <w:tcPr>
            <w:tcW w:w="1181" w:type="dxa"/>
            <w:shd w:val="clear" w:color="auto" w:fill="D9E2F3"/>
            <w:tcMar>
              <w:top w:w="85" w:type="dxa"/>
              <w:left w:w="85" w:type="dxa"/>
              <w:bottom w:w="85" w:type="dxa"/>
              <w:right w:w="85" w:type="dxa"/>
            </w:tcMar>
            <w:vAlign w:val="center"/>
          </w:tcPr>
          <w:p w14:paraId="49B4DB6A" w14:textId="77777777" w:rsidR="00153A91" w:rsidRDefault="00000000">
            <w:pPr>
              <w:spacing w:after="0" w:line="247" w:lineRule="auto"/>
              <w:jc w:val="center"/>
            </w:pPr>
            <w:r>
              <w:rPr>
                <w:b/>
                <w:sz w:val="16"/>
              </w:rPr>
              <w:t>Crop / system</w:t>
            </w:r>
          </w:p>
        </w:tc>
        <w:tc>
          <w:tcPr>
            <w:tcW w:w="1627" w:type="dxa"/>
            <w:shd w:val="clear" w:color="auto" w:fill="D9E2F3"/>
            <w:tcMar>
              <w:top w:w="85" w:type="dxa"/>
              <w:left w:w="85" w:type="dxa"/>
              <w:bottom w:w="85" w:type="dxa"/>
              <w:right w:w="85" w:type="dxa"/>
            </w:tcMar>
            <w:vAlign w:val="center"/>
          </w:tcPr>
          <w:p w14:paraId="3A523C84" w14:textId="77777777" w:rsidR="00153A91" w:rsidRDefault="00000000">
            <w:pPr>
              <w:spacing w:after="0" w:line="247" w:lineRule="auto"/>
              <w:jc w:val="center"/>
            </w:pPr>
            <w:r>
              <w:rPr>
                <w:b/>
                <w:sz w:val="16"/>
              </w:rPr>
              <w:t>Integrated modalities</w:t>
            </w:r>
          </w:p>
        </w:tc>
        <w:tc>
          <w:tcPr>
            <w:tcW w:w="1757" w:type="dxa"/>
            <w:shd w:val="clear" w:color="auto" w:fill="D9E2F3"/>
            <w:tcMar>
              <w:top w:w="85" w:type="dxa"/>
              <w:left w:w="85" w:type="dxa"/>
              <w:bottom w:w="85" w:type="dxa"/>
              <w:right w:w="85" w:type="dxa"/>
            </w:tcMar>
            <w:vAlign w:val="center"/>
          </w:tcPr>
          <w:p w14:paraId="7FE8579C" w14:textId="77777777" w:rsidR="00153A91" w:rsidRDefault="00000000">
            <w:pPr>
              <w:spacing w:after="0" w:line="247" w:lineRule="auto"/>
              <w:jc w:val="center"/>
            </w:pPr>
            <w:r>
              <w:rPr>
                <w:b/>
                <w:sz w:val="16"/>
              </w:rPr>
              <w:t>Prediction or discovery task</w:t>
            </w:r>
          </w:p>
        </w:tc>
        <w:tc>
          <w:tcPr>
            <w:tcW w:w="1800" w:type="dxa"/>
            <w:shd w:val="clear" w:color="auto" w:fill="D9E2F3"/>
            <w:tcMar>
              <w:top w:w="85" w:type="dxa"/>
              <w:left w:w="85" w:type="dxa"/>
              <w:bottom w:w="85" w:type="dxa"/>
              <w:right w:w="85" w:type="dxa"/>
            </w:tcMar>
            <w:vAlign w:val="center"/>
          </w:tcPr>
          <w:p w14:paraId="0F75FCB4" w14:textId="77777777" w:rsidR="00153A91" w:rsidRDefault="00000000">
            <w:pPr>
              <w:spacing w:after="0" w:line="247" w:lineRule="auto"/>
              <w:jc w:val="center"/>
            </w:pPr>
            <w:r>
              <w:rPr>
                <w:b/>
                <w:sz w:val="16"/>
              </w:rPr>
              <w:t>Main evidence</w:t>
            </w:r>
          </w:p>
        </w:tc>
        <w:tc>
          <w:tcPr>
            <w:tcW w:w="1555" w:type="dxa"/>
            <w:shd w:val="clear" w:color="auto" w:fill="D9E2F3"/>
            <w:tcMar>
              <w:top w:w="85" w:type="dxa"/>
              <w:left w:w="85" w:type="dxa"/>
              <w:bottom w:w="85" w:type="dxa"/>
              <w:right w:w="85" w:type="dxa"/>
            </w:tcMar>
            <w:vAlign w:val="center"/>
          </w:tcPr>
          <w:p w14:paraId="3C6C30C6" w14:textId="77777777" w:rsidR="00153A91" w:rsidRDefault="00000000">
            <w:pPr>
              <w:spacing w:after="0" w:line="247" w:lineRule="auto"/>
              <w:jc w:val="center"/>
            </w:pPr>
            <w:r>
              <w:rPr>
                <w:b/>
                <w:sz w:val="16"/>
              </w:rPr>
              <w:t>Key limitation</w:t>
            </w:r>
          </w:p>
        </w:tc>
        <w:tc>
          <w:tcPr>
            <w:tcW w:w="1440" w:type="dxa"/>
            <w:shd w:val="clear" w:color="auto" w:fill="D9E2F3"/>
            <w:tcMar>
              <w:top w:w="85" w:type="dxa"/>
              <w:left w:w="85" w:type="dxa"/>
              <w:bottom w:w="85" w:type="dxa"/>
              <w:right w:w="85" w:type="dxa"/>
            </w:tcMar>
            <w:vAlign w:val="center"/>
          </w:tcPr>
          <w:p w14:paraId="1D97FC4A" w14:textId="77777777" w:rsidR="00153A91" w:rsidRDefault="00000000">
            <w:pPr>
              <w:spacing w:after="0" w:line="247" w:lineRule="auto"/>
              <w:jc w:val="center"/>
            </w:pPr>
            <w:r>
              <w:rPr>
                <w:b/>
                <w:sz w:val="16"/>
              </w:rPr>
              <w:t>Supporting references</w:t>
            </w:r>
          </w:p>
        </w:tc>
      </w:tr>
      <w:tr w:rsidR="00153A91" w14:paraId="5CAA7D19" w14:textId="77777777">
        <w:trPr>
          <w:cantSplit/>
          <w:jc w:val="center"/>
        </w:trPr>
        <w:tc>
          <w:tcPr>
            <w:tcW w:w="1181" w:type="dxa"/>
            <w:tcMar>
              <w:top w:w="85" w:type="dxa"/>
              <w:left w:w="85" w:type="dxa"/>
              <w:bottom w:w="85" w:type="dxa"/>
              <w:right w:w="85" w:type="dxa"/>
            </w:tcMar>
            <w:vAlign w:val="center"/>
          </w:tcPr>
          <w:p w14:paraId="737FF209" w14:textId="77777777" w:rsidR="00153A91" w:rsidRDefault="00000000">
            <w:pPr>
              <w:spacing w:after="0" w:line="247" w:lineRule="auto"/>
              <w:jc w:val="center"/>
            </w:pPr>
            <w:r>
              <w:rPr>
                <w:sz w:val="16"/>
              </w:rPr>
              <w:t>Maize hybrids</w:t>
            </w:r>
          </w:p>
        </w:tc>
        <w:tc>
          <w:tcPr>
            <w:tcW w:w="1627" w:type="dxa"/>
            <w:tcMar>
              <w:top w:w="85" w:type="dxa"/>
              <w:left w:w="85" w:type="dxa"/>
              <w:bottom w:w="85" w:type="dxa"/>
              <w:right w:w="85" w:type="dxa"/>
            </w:tcMar>
            <w:vAlign w:val="center"/>
          </w:tcPr>
          <w:p w14:paraId="0E753218" w14:textId="77777777" w:rsidR="00153A91" w:rsidRDefault="00000000">
            <w:pPr>
              <w:spacing w:after="0" w:line="247" w:lineRule="auto"/>
            </w:pPr>
            <w:r>
              <w:rPr>
                <w:sz w:val="16"/>
              </w:rPr>
              <w:t>Genomics + transcriptomics + metabolomics</w:t>
            </w:r>
          </w:p>
        </w:tc>
        <w:tc>
          <w:tcPr>
            <w:tcW w:w="1757" w:type="dxa"/>
            <w:tcMar>
              <w:top w:w="85" w:type="dxa"/>
              <w:left w:w="85" w:type="dxa"/>
              <w:bottom w:w="85" w:type="dxa"/>
              <w:right w:w="85" w:type="dxa"/>
            </w:tcMar>
            <w:vAlign w:val="center"/>
          </w:tcPr>
          <w:p w14:paraId="410F68B5" w14:textId="77777777" w:rsidR="00153A91" w:rsidRDefault="00000000">
            <w:pPr>
              <w:spacing w:after="0" w:line="247" w:lineRule="auto"/>
            </w:pPr>
            <w:r>
              <w:rPr>
                <w:sz w:val="16"/>
              </w:rPr>
              <w:t>Prediction of untested hybrid performance</w:t>
            </w:r>
          </w:p>
        </w:tc>
        <w:tc>
          <w:tcPr>
            <w:tcW w:w="1800" w:type="dxa"/>
            <w:tcMar>
              <w:top w:w="85" w:type="dxa"/>
              <w:left w:w="85" w:type="dxa"/>
              <w:bottom w:w="85" w:type="dxa"/>
              <w:right w:w="85" w:type="dxa"/>
            </w:tcMar>
            <w:vAlign w:val="center"/>
          </w:tcPr>
          <w:p w14:paraId="0730C51E" w14:textId="77777777" w:rsidR="00153A91" w:rsidRDefault="00000000">
            <w:pPr>
              <w:spacing w:after="0" w:line="247" w:lineRule="auto"/>
            </w:pPr>
            <w:r>
              <w:rPr>
                <w:sz w:val="16"/>
              </w:rPr>
              <w:t>Transcriptomic information added trait-specific predictive value; combinations increased robustness</w:t>
            </w:r>
          </w:p>
        </w:tc>
        <w:tc>
          <w:tcPr>
            <w:tcW w:w="1555" w:type="dxa"/>
            <w:tcMar>
              <w:top w:w="85" w:type="dxa"/>
              <w:left w:w="85" w:type="dxa"/>
              <w:bottom w:w="85" w:type="dxa"/>
              <w:right w:w="85" w:type="dxa"/>
            </w:tcMar>
            <w:vAlign w:val="center"/>
          </w:tcPr>
          <w:p w14:paraId="7506CFCF" w14:textId="77777777" w:rsidR="00153A91" w:rsidRDefault="00000000">
            <w:pPr>
              <w:spacing w:after="0" w:line="247" w:lineRule="auto"/>
            </w:pPr>
            <w:r>
              <w:rPr>
                <w:sz w:val="16"/>
              </w:rPr>
              <w:t>Parental sampling stage and germplasm dependence limit universal transfer</w:t>
            </w:r>
          </w:p>
        </w:tc>
        <w:tc>
          <w:tcPr>
            <w:tcW w:w="1440" w:type="dxa"/>
            <w:tcMar>
              <w:top w:w="85" w:type="dxa"/>
              <w:left w:w="85" w:type="dxa"/>
              <w:bottom w:w="85" w:type="dxa"/>
              <w:right w:w="85" w:type="dxa"/>
            </w:tcMar>
            <w:vAlign w:val="center"/>
          </w:tcPr>
          <w:p w14:paraId="215F3615" w14:textId="77777777" w:rsidR="00153A91" w:rsidRDefault="00000000">
            <w:pPr>
              <w:spacing w:after="0" w:line="247" w:lineRule="auto"/>
            </w:pPr>
            <w:r>
              <w:rPr>
                <w:sz w:val="16"/>
              </w:rPr>
              <w:t>(Schrag et al., 2018; Westhues et al., 2017)</w:t>
            </w:r>
          </w:p>
        </w:tc>
      </w:tr>
      <w:tr w:rsidR="00153A91" w14:paraId="64135178" w14:textId="77777777">
        <w:trPr>
          <w:cantSplit/>
          <w:jc w:val="center"/>
        </w:trPr>
        <w:tc>
          <w:tcPr>
            <w:tcW w:w="1181" w:type="dxa"/>
            <w:tcMar>
              <w:top w:w="85" w:type="dxa"/>
              <w:left w:w="85" w:type="dxa"/>
              <w:bottom w:w="85" w:type="dxa"/>
              <w:right w:w="85" w:type="dxa"/>
            </w:tcMar>
            <w:vAlign w:val="center"/>
          </w:tcPr>
          <w:p w14:paraId="138E0E23" w14:textId="77777777" w:rsidR="00153A91" w:rsidRDefault="00000000">
            <w:pPr>
              <w:spacing w:after="0" w:line="247" w:lineRule="auto"/>
              <w:jc w:val="center"/>
            </w:pPr>
            <w:r>
              <w:rPr>
                <w:sz w:val="16"/>
              </w:rPr>
              <w:t>Canola hybrids</w:t>
            </w:r>
          </w:p>
        </w:tc>
        <w:tc>
          <w:tcPr>
            <w:tcW w:w="1627" w:type="dxa"/>
            <w:tcMar>
              <w:top w:w="85" w:type="dxa"/>
              <w:left w:w="85" w:type="dxa"/>
              <w:bottom w:w="85" w:type="dxa"/>
              <w:right w:w="85" w:type="dxa"/>
            </w:tcMar>
            <w:vAlign w:val="center"/>
          </w:tcPr>
          <w:p w14:paraId="4BC11753" w14:textId="77777777" w:rsidR="00153A91" w:rsidRDefault="00000000">
            <w:pPr>
              <w:spacing w:after="0" w:line="247" w:lineRule="auto"/>
            </w:pPr>
            <w:r>
              <w:rPr>
                <w:sz w:val="16"/>
              </w:rPr>
              <w:t>Genomics + transcriptomics + metabolomics</w:t>
            </w:r>
          </w:p>
        </w:tc>
        <w:tc>
          <w:tcPr>
            <w:tcW w:w="1757" w:type="dxa"/>
            <w:tcMar>
              <w:top w:w="85" w:type="dxa"/>
              <w:left w:w="85" w:type="dxa"/>
              <w:bottom w:w="85" w:type="dxa"/>
              <w:right w:w="85" w:type="dxa"/>
            </w:tcMar>
            <w:vAlign w:val="center"/>
          </w:tcPr>
          <w:p w14:paraId="49A8B759" w14:textId="77777777" w:rsidR="00153A91" w:rsidRDefault="00000000">
            <w:pPr>
              <w:spacing w:after="0" w:line="247" w:lineRule="auto"/>
            </w:pPr>
            <w:r>
              <w:rPr>
                <w:sz w:val="16"/>
              </w:rPr>
              <w:t>Seven agronomic hybrid traits</w:t>
            </w:r>
          </w:p>
        </w:tc>
        <w:tc>
          <w:tcPr>
            <w:tcW w:w="1800" w:type="dxa"/>
            <w:tcMar>
              <w:top w:w="85" w:type="dxa"/>
              <w:left w:w="85" w:type="dxa"/>
              <w:bottom w:w="85" w:type="dxa"/>
              <w:right w:w="85" w:type="dxa"/>
            </w:tcMar>
            <w:vAlign w:val="center"/>
          </w:tcPr>
          <w:p w14:paraId="688EB642" w14:textId="77777777" w:rsidR="00153A91" w:rsidRDefault="00000000">
            <w:pPr>
              <w:spacing w:after="0" w:line="247" w:lineRule="auto"/>
            </w:pPr>
            <w:r>
              <w:rPr>
                <w:sz w:val="16"/>
              </w:rPr>
              <w:t>Transcriptomics improved several traits; nonlinear RKHS often exceeded GBLUP</w:t>
            </w:r>
          </w:p>
        </w:tc>
        <w:tc>
          <w:tcPr>
            <w:tcW w:w="1555" w:type="dxa"/>
            <w:tcMar>
              <w:top w:w="85" w:type="dxa"/>
              <w:left w:w="85" w:type="dxa"/>
              <w:bottom w:w="85" w:type="dxa"/>
              <w:right w:w="85" w:type="dxa"/>
            </w:tcMar>
            <w:vAlign w:val="center"/>
          </w:tcPr>
          <w:p w14:paraId="45F2F584" w14:textId="77777777" w:rsidR="00153A91" w:rsidRDefault="00000000">
            <w:pPr>
              <w:spacing w:after="0" w:line="247" w:lineRule="auto"/>
            </w:pPr>
            <w:r>
              <w:rPr>
                <w:sz w:val="16"/>
              </w:rPr>
              <w:t>Cost and controlled-condition sampling constrain routine use</w:t>
            </w:r>
          </w:p>
        </w:tc>
        <w:tc>
          <w:tcPr>
            <w:tcW w:w="1440" w:type="dxa"/>
            <w:tcMar>
              <w:top w:w="85" w:type="dxa"/>
              <w:left w:w="85" w:type="dxa"/>
              <w:bottom w:w="85" w:type="dxa"/>
              <w:right w:w="85" w:type="dxa"/>
            </w:tcMar>
            <w:vAlign w:val="center"/>
          </w:tcPr>
          <w:p w14:paraId="14C1A63E" w14:textId="77777777" w:rsidR="00153A91" w:rsidRDefault="00000000">
            <w:pPr>
              <w:spacing w:after="0" w:line="247" w:lineRule="auto"/>
            </w:pPr>
            <w:r>
              <w:rPr>
                <w:sz w:val="16"/>
              </w:rPr>
              <w:t>(Knoch et al., 2021)</w:t>
            </w:r>
          </w:p>
        </w:tc>
      </w:tr>
      <w:tr w:rsidR="00153A91" w14:paraId="6B7498BC" w14:textId="77777777">
        <w:trPr>
          <w:cantSplit/>
          <w:jc w:val="center"/>
        </w:trPr>
        <w:tc>
          <w:tcPr>
            <w:tcW w:w="1181" w:type="dxa"/>
            <w:tcMar>
              <w:top w:w="85" w:type="dxa"/>
              <w:left w:w="85" w:type="dxa"/>
              <w:bottom w:w="85" w:type="dxa"/>
              <w:right w:w="85" w:type="dxa"/>
            </w:tcMar>
            <w:vAlign w:val="center"/>
          </w:tcPr>
          <w:p w14:paraId="5429443B" w14:textId="77777777" w:rsidR="00153A91" w:rsidRDefault="00000000">
            <w:pPr>
              <w:spacing w:after="0" w:line="247" w:lineRule="auto"/>
              <w:jc w:val="center"/>
            </w:pPr>
            <w:r>
              <w:rPr>
                <w:sz w:val="16"/>
              </w:rPr>
              <w:t>Maize RILs</w:t>
            </w:r>
          </w:p>
        </w:tc>
        <w:tc>
          <w:tcPr>
            <w:tcW w:w="1627" w:type="dxa"/>
            <w:tcMar>
              <w:top w:w="85" w:type="dxa"/>
              <w:left w:w="85" w:type="dxa"/>
              <w:bottom w:w="85" w:type="dxa"/>
              <w:right w:w="85" w:type="dxa"/>
            </w:tcMar>
            <w:vAlign w:val="center"/>
          </w:tcPr>
          <w:p w14:paraId="4E2B6AE4" w14:textId="77777777" w:rsidR="00153A91" w:rsidRDefault="00000000">
            <w:pPr>
              <w:spacing w:after="0" w:line="247" w:lineRule="auto"/>
            </w:pPr>
            <w:r>
              <w:rPr>
                <w:sz w:val="16"/>
              </w:rPr>
              <w:t>Genomics + image traits + metabolomics</w:t>
            </w:r>
          </w:p>
        </w:tc>
        <w:tc>
          <w:tcPr>
            <w:tcW w:w="1757" w:type="dxa"/>
            <w:tcMar>
              <w:top w:w="85" w:type="dxa"/>
              <w:left w:w="85" w:type="dxa"/>
              <w:bottom w:w="85" w:type="dxa"/>
              <w:right w:w="85" w:type="dxa"/>
            </w:tcMar>
            <w:vAlign w:val="center"/>
          </w:tcPr>
          <w:p w14:paraId="72B09666" w14:textId="77777777" w:rsidR="00153A91" w:rsidRDefault="00000000">
            <w:pPr>
              <w:spacing w:after="0" w:line="247" w:lineRule="auto"/>
            </w:pPr>
            <w:r>
              <w:rPr>
                <w:sz w:val="16"/>
              </w:rPr>
              <w:t>Grain-yield prediction</w:t>
            </w:r>
          </w:p>
        </w:tc>
        <w:tc>
          <w:tcPr>
            <w:tcW w:w="1800" w:type="dxa"/>
            <w:tcMar>
              <w:top w:w="85" w:type="dxa"/>
              <w:left w:w="85" w:type="dxa"/>
              <w:bottom w:w="85" w:type="dxa"/>
              <w:right w:w="85" w:type="dxa"/>
            </w:tcMar>
            <w:vAlign w:val="center"/>
          </w:tcPr>
          <w:p w14:paraId="7B86C4A2" w14:textId="77777777" w:rsidR="00153A91" w:rsidRDefault="00000000">
            <w:pPr>
              <w:spacing w:after="0" w:line="247" w:lineRule="auto"/>
            </w:pPr>
            <w:r>
              <w:rPr>
                <w:sz w:val="16"/>
              </w:rPr>
              <w:t>Random-forest multi-omics integration increased reported accuracy from 0.32 to 0.43</w:t>
            </w:r>
          </w:p>
        </w:tc>
        <w:tc>
          <w:tcPr>
            <w:tcW w:w="1555" w:type="dxa"/>
            <w:tcMar>
              <w:top w:w="85" w:type="dxa"/>
              <w:left w:w="85" w:type="dxa"/>
              <w:bottom w:w="85" w:type="dxa"/>
              <w:right w:w="85" w:type="dxa"/>
            </w:tcMar>
            <w:vAlign w:val="center"/>
          </w:tcPr>
          <w:p w14:paraId="7C32652C" w14:textId="77777777" w:rsidR="00153A91" w:rsidRDefault="00000000">
            <w:pPr>
              <w:spacing w:after="0" w:line="247" w:lineRule="auto"/>
            </w:pPr>
            <w:r>
              <w:rPr>
                <w:sz w:val="16"/>
              </w:rPr>
              <w:t>Only 156 lines relative to high feature dimension</w:t>
            </w:r>
          </w:p>
        </w:tc>
        <w:tc>
          <w:tcPr>
            <w:tcW w:w="1440" w:type="dxa"/>
            <w:tcMar>
              <w:top w:w="85" w:type="dxa"/>
              <w:left w:w="85" w:type="dxa"/>
              <w:bottom w:w="85" w:type="dxa"/>
              <w:right w:w="85" w:type="dxa"/>
            </w:tcMar>
            <w:vAlign w:val="center"/>
          </w:tcPr>
          <w:p w14:paraId="34603F99" w14:textId="77777777" w:rsidR="00153A91" w:rsidRDefault="00000000">
            <w:pPr>
              <w:spacing w:after="0" w:line="247" w:lineRule="auto"/>
            </w:pPr>
            <w:r>
              <w:rPr>
                <w:sz w:val="16"/>
              </w:rPr>
              <w:t>(Wu et al., 2024)</w:t>
            </w:r>
          </w:p>
        </w:tc>
      </w:tr>
      <w:tr w:rsidR="00153A91" w14:paraId="155FBFE0" w14:textId="77777777">
        <w:trPr>
          <w:cantSplit/>
          <w:jc w:val="center"/>
        </w:trPr>
        <w:tc>
          <w:tcPr>
            <w:tcW w:w="1181" w:type="dxa"/>
            <w:tcMar>
              <w:top w:w="85" w:type="dxa"/>
              <w:left w:w="85" w:type="dxa"/>
              <w:bottom w:w="85" w:type="dxa"/>
              <w:right w:w="85" w:type="dxa"/>
            </w:tcMar>
            <w:vAlign w:val="center"/>
          </w:tcPr>
          <w:p w14:paraId="7314616D" w14:textId="77777777" w:rsidR="00153A91" w:rsidRDefault="00000000">
            <w:pPr>
              <w:spacing w:after="0" w:line="247" w:lineRule="auto"/>
              <w:jc w:val="center"/>
            </w:pPr>
            <w:r>
              <w:rPr>
                <w:sz w:val="16"/>
              </w:rPr>
              <w:t>Maize hybrids</w:t>
            </w:r>
          </w:p>
        </w:tc>
        <w:tc>
          <w:tcPr>
            <w:tcW w:w="1627" w:type="dxa"/>
            <w:tcMar>
              <w:top w:w="85" w:type="dxa"/>
              <w:left w:w="85" w:type="dxa"/>
              <w:bottom w:w="85" w:type="dxa"/>
              <w:right w:w="85" w:type="dxa"/>
            </w:tcMar>
            <w:vAlign w:val="center"/>
          </w:tcPr>
          <w:p w14:paraId="6FEA799F" w14:textId="77777777" w:rsidR="00153A91" w:rsidRDefault="00000000">
            <w:pPr>
              <w:spacing w:after="0" w:line="247" w:lineRule="auto"/>
            </w:pPr>
            <w:r>
              <w:rPr>
                <w:sz w:val="16"/>
              </w:rPr>
              <w:t>Transcriptomics + proteomics + genomics</w:t>
            </w:r>
          </w:p>
        </w:tc>
        <w:tc>
          <w:tcPr>
            <w:tcW w:w="1757" w:type="dxa"/>
            <w:tcMar>
              <w:top w:w="85" w:type="dxa"/>
              <w:left w:w="85" w:type="dxa"/>
              <w:bottom w:w="85" w:type="dxa"/>
              <w:right w:w="85" w:type="dxa"/>
            </w:tcMar>
            <w:vAlign w:val="center"/>
          </w:tcPr>
          <w:p w14:paraId="1148BFAD" w14:textId="77777777" w:rsidR="00153A91" w:rsidRDefault="00000000">
            <w:pPr>
              <w:spacing w:after="0" w:line="247" w:lineRule="auto"/>
            </w:pPr>
            <w:r>
              <w:rPr>
                <w:sz w:val="16"/>
              </w:rPr>
              <w:t>Platform and field trait prediction</w:t>
            </w:r>
          </w:p>
        </w:tc>
        <w:tc>
          <w:tcPr>
            <w:tcW w:w="1800" w:type="dxa"/>
            <w:tcMar>
              <w:top w:w="85" w:type="dxa"/>
              <w:left w:w="85" w:type="dxa"/>
              <w:bottom w:w="85" w:type="dxa"/>
              <w:right w:w="85" w:type="dxa"/>
            </w:tcMar>
            <w:vAlign w:val="center"/>
          </w:tcPr>
          <w:p w14:paraId="2EEE0D84" w14:textId="77777777" w:rsidR="00153A91" w:rsidRDefault="00000000">
            <w:pPr>
              <w:spacing w:after="0" w:line="247" w:lineRule="auto"/>
            </w:pPr>
            <w:r>
              <w:rPr>
                <w:sz w:val="16"/>
              </w:rPr>
              <w:t>Controlled-condition omics strongly predicted platform traits; field gains over GBLUP were smaller</w:t>
            </w:r>
          </w:p>
        </w:tc>
        <w:tc>
          <w:tcPr>
            <w:tcW w:w="1555" w:type="dxa"/>
            <w:tcMar>
              <w:top w:w="85" w:type="dxa"/>
              <w:left w:w="85" w:type="dxa"/>
              <w:bottom w:w="85" w:type="dxa"/>
              <w:right w:w="85" w:type="dxa"/>
            </w:tcMar>
            <w:vAlign w:val="center"/>
          </w:tcPr>
          <w:p w14:paraId="7D89473C" w14:textId="77777777" w:rsidR="00153A91" w:rsidRDefault="00000000">
            <w:pPr>
              <w:spacing w:after="0" w:line="247" w:lineRule="auto"/>
            </w:pPr>
            <w:r>
              <w:rPr>
                <w:sz w:val="16"/>
              </w:rPr>
              <w:t>Context transfer from platform to field is limited</w:t>
            </w:r>
          </w:p>
        </w:tc>
        <w:tc>
          <w:tcPr>
            <w:tcW w:w="1440" w:type="dxa"/>
            <w:tcMar>
              <w:top w:w="85" w:type="dxa"/>
              <w:left w:w="85" w:type="dxa"/>
              <w:bottom w:w="85" w:type="dxa"/>
              <w:right w:w="85" w:type="dxa"/>
            </w:tcMar>
            <w:vAlign w:val="center"/>
          </w:tcPr>
          <w:p w14:paraId="167EB12D" w14:textId="77777777" w:rsidR="00153A91" w:rsidRDefault="00000000">
            <w:pPr>
              <w:spacing w:after="0" w:line="247" w:lineRule="auto"/>
            </w:pPr>
            <w:r>
              <w:rPr>
                <w:sz w:val="16"/>
              </w:rPr>
              <w:t>(Ali et al., 2024)</w:t>
            </w:r>
          </w:p>
        </w:tc>
      </w:tr>
      <w:tr w:rsidR="00153A91" w14:paraId="76097DA3" w14:textId="77777777">
        <w:trPr>
          <w:cantSplit/>
          <w:jc w:val="center"/>
        </w:trPr>
        <w:tc>
          <w:tcPr>
            <w:tcW w:w="1181" w:type="dxa"/>
            <w:tcMar>
              <w:top w:w="85" w:type="dxa"/>
              <w:left w:w="85" w:type="dxa"/>
              <w:bottom w:w="85" w:type="dxa"/>
              <w:right w:w="85" w:type="dxa"/>
            </w:tcMar>
            <w:vAlign w:val="center"/>
          </w:tcPr>
          <w:p w14:paraId="1550B484" w14:textId="77777777" w:rsidR="00153A91" w:rsidRDefault="00000000">
            <w:pPr>
              <w:spacing w:after="0" w:line="247" w:lineRule="auto"/>
              <w:jc w:val="center"/>
            </w:pPr>
            <w:r>
              <w:rPr>
                <w:sz w:val="16"/>
              </w:rPr>
              <w:t>Barley</w:t>
            </w:r>
          </w:p>
        </w:tc>
        <w:tc>
          <w:tcPr>
            <w:tcW w:w="1627" w:type="dxa"/>
            <w:tcMar>
              <w:top w:w="85" w:type="dxa"/>
              <w:left w:w="85" w:type="dxa"/>
              <w:bottom w:w="85" w:type="dxa"/>
              <w:right w:w="85" w:type="dxa"/>
            </w:tcMar>
            <w:vAlign w:val="center"/>
          </w:tcPr>
          <w:p w14:paraId="5429F203" w14:textId="77777777" w:rsidR="00153A91" w:rsidRDefault="00000000">
            <w:pPr>
              <w:spacing w:after="0" w:line="247" w:lineRule="auto"/>
            </w:pPr>
            <w:r>
              <w:rPr>
                <w:sz w:val="16"/>
              </w:rPr>
              <w:t>Genomics + transcriptomics + DNA methylation</w:t>
            </w:r>
          </w:p>
        </w:tc>
        <w:tc>
          <w:tcPr>
            <w:tcW w:w="1757" w:type="dxa"/>
            <w:tcMar>
              <w:top w:w="85" w:type="dxa"/>
              <w:left w:w="85" w:type="dxa"/>
              <w:bottom w:w="85" w:type="dxa"/>
              <w:right w:w="85" w:type="dxa"/>
            </w:tcMar>
            <w:vAlign w:val="center"/>
          </w:tcPr>
          <w:p w14:paraId="6836308F" w14:textId="77777777" w:rsidR="00153A91" w:rsidRDefault="00000000">
            <w:pPr>
              <w:spacing w:after="0" w:line="247" w:lineRule="auto"/>
            </w:pPr>
            <w:r>
              <w:rPr>
                <w:sz w:val="16"/>
              </w:rPr>
              <w:t>Yield, kernel weight, protein and N uptake</w:t>
            </w:r>
          </w:p>
        </w:tc>
        <w:tc>
          <w:tcPr>
            <w:tcW w:w="1800" w:type="dxa"/>
            <w:tcMar>
              <w:top w:w="85" w:type="dxa"/>
              <w:left w:w="85" w:type="dxa"/>
              <w:bottom w:w="85" w:type="dxa"/>
              <w:right w:w="85" w:type="dxa"/>
            </w:tcMar>
            <w:vAlign w:val="center"/>
          </w:tcPr>
          <w:p w14:paraId="01F1C521" w14:textId="77777777" w:rsidR="00153A91" w:rsidRDefault="00000000">
            <w:pPr>
              <w:spacing w:after="0" w:line="247" w:lineRule="auto"/>
            </w:pPr>
            <w:r>
              <w:rPr>
                <w:sz w:val="16"/>
              </w:rPr>
              <w:t>Integrated models explained more variance and improved selected trait predictions</w:t>
            </w:r>
          </w:p>
        </w:tc>
        <w:tc>
          <w:tcPr>
            <w:tcW w:w="1555" w:type="dxa"/>
            <w:tcMar>
              <w:top w:w="85" w:type="dxa"/>
              <w:left w:w="85" w:type="dxa"/>
              <w:bottom w:w="85" w:type="dxa"/>
              <w:right w:w="85" w:type="dxa"/>
            </w:tcMar>
            <w:vAlign w:val="center"/>
          </w:tcPr>
          <w:p w14:paraId="33243B09" w14:textId="77777777" w:rsidR="00153A91" w:rsidRDefault="00000000">
            <w:pPr>
              <w:spacing w:after="0" w:line="247" w:lineRule="auto"/>
            </w:pPr>
            <w:r>
              <w:rPr>
                <w:sz w:val="16"/>
              </w:rPr>
              <w:t xml:space="preserve">Population of 75 lines limits </w:t>
            </w:r>
            <w:proofErr w:type="spellStart"/>
            <w:r>
              <w:rPr>
                <w:sz w:val="16"/>
              </w:rPr>
              <w:t>generalisation</w:t>
            </w:r>
            <w:proofErr w:type="spellEnd"/>
          </w:p>
        </w:tc>
        <w:tc>
          <w:tcPr>
            <w:tcW w:w="1440" w:type="dxa"/>
            <w:tcMar>
              <w:top w:w="85" w:type="dxa"/>
              <w:left w:w="85" w:type="dxa"/>
              <w:bottom w:w="85" w:type="dxa"/>
              <w:right w:w="85" w:type="dxa"/>
            </w:tcMar>
            <w:vAlign w:val="center"/>
          </w:tcPr>
          <w:p w14:paraId="0FF99D05" w14:textId="77777777" w:rsidR="00153A91" w:rsidRDefault="00000000">
            <w:pPr>
              <w:spacing w:after="0" w:line="247" w:lineRule="auto"/>
            </w:pPr>
            <w:r>
              <w:rPr>
                <w:sz w:val="16"/>
              </w:rPr>
              <w:t>(Hansen et al., 2022)</w:t>
            </w:r>
          </w:p>
        </w:tc>
      </w:tr>
      <w:tr w:rsidR="00153A91" w14:paraId="6C4B0D52" w14:textId="77777777">
        <w:trPr>
          <w:cantSplit/>
          <w:jc w:val="center"/>
        </w:trPr>
        <w:tc>
          <w:tcPr>
            <w:tcW w:w="1181" w:type="dxa"/>
            <w:tcMar>
              <w:top w:w="85" w:type="dxa"/>
              <w:left w:w="85" w:type="dxa"/>
              <w:bottom w:w="85" w:type="dxa"/>
              <w:right w:w="85" w:type="dxa"/>
            </w:tcMar>
            <w:vAlign w:val="center"/>
          </w:tcPr>
          <w:p w14:paraId="6525D897" w14:textId="77777777" w:rsidR="00153A91" w:rsidRDefault="00000000">
            <w:pPr>
              <w:spacing w:after="0" w:line="247" w:lineRule="auto"/>
              <w:jc w:val="center"/>
            </w:pPr>
            <w:r>
              <w:rPr>
                <w:sz w:val="16"/>
              </w:rPr>
              <w:lastRenderedPageBreak/>
              <w:t>Wheat</w:t>
            </w:r>
          </w:p>
        </w:tc>
        <w:tc>
          <w:tcPr>
            <w:tcW w:w="1627" w:type="dxa"/>
            <w:tcMar>
              <w:top w:w="85" w:type="dxa"/>
              <w:left w:w="85" w:type="dxa"/>
              <w:bottom w:w="85" w:type="dxa"/>
              <w:right w:w="85" w:type="dxa"/>
            </w:tcMar>
            <w:vAlign w:val="center"/>
          </w:tcPr>
          <w:p w14:paraId="77F2F4CA" w14:textId="77777777" w:rsidR="00153A91" w:rsidRDefault="00000000">
            <w:pPr>
              <w:spacing w:after="0" w:line="247" w:lineRule="auto"/>
            </w:pPr>
            <w:r>
              <w:rPr>
                <w:sz w:val="16"/>
              </w:rPr>
              <w:t>Genomics + NDVI phenomics</w:t>
            </w:r>
          </w:p>
        </w:tc>
        <w:tc>
          <w:tcPr>
            <w:tcW w:w="1757" w:type="dxa"/>
            <w:tcMar>
              <w:top w:w="85" w:type="dxa"/>
              <w:left w:w="85" w:type="dxa"/>
              <w:bottom w:w="85" w:type="dxa"/>
              <w:right w:w="85" w:type="dxa"/>
            </w:tcMar>
            <w:vAlign w:val="center"/>
          </w:tcPr>
          <w:p w14:paraId="3EA5E4B7" w14:textId="77777777" w:rsidR="00153A91" w:rsidRDefault="00000000">
            <w:pPr>
              <w:spacing w:after="0" w:line="247" w:lineRule="auto"/>
            </w:pPr>
            <w:r>
              <w:rPr>
                <w:sz w:val="16"/>
              </w:rPr>
              <w:t>Cross-year and cross-environment prediction</w:t>
            </w:r>
          </w:p>
        </w:tc>
        <w:tc>
          <w:tcPr>
            <w:tcW w:w="1800" w:type="dxa"/>
            <w:tcMar>
              <w:top w:w="85" w:type="dxa"/>
              <w:left w:w="85" w:type="dxa"/>
              <w:bottom w:w="85" w:type="dxa"/>
              <w:right w:w="85" w:type="dxa"/>
            </w:tcMar>
            <w:vAlign w:val="center"/>
          </w:tcPr>
          <w:p w14:paraId="7D4419B7" w14:textId="77777777" w:rsidR="00153A91" w:rsidRDefault="00000000">
            <w:pPr>
              <w:spacing w:after="0" w:line="247" w:lineRule="auto"/>
            </w:pPr>
            <w:r>
              <w:rPr>
                <w:sz w:val="16"/>
              </w:rPr>
              <w:t>Multimodal deep learning was superior in some scenarios but GBLUP remained superior or similar in others</w:t>
            </w:r>
          </w:p>
        </w:tc>
        <w:tc>
          <w:tcPr>
            <w:tcW w:w="1555" w:type="dxa"/>
            <w:tcMar>
              <w:top w:w="85" w:type="dxa"/>
              <w:left w:w="85" w:type="dxa"/>
              <w:bottom w:w="85" w:type="dxa"/>
              <w:right w:w="85" w:type="dxa"/>
            </w:tcMar>
            <w:vAlign w:val="center"/>
          </w:tcPr>
          <w:p w14:paraId="389B8E7F" w14:textId="77777777" w:rsidR="00153A91" w:rsidRDefault="00000000">
            <w:pPr>
              <w:spacing w:after="0" w:line="247" w:lineRule="auto"/>
            </w:pPr>
            <w:r>
              <w:rPr>
                <w:sz w:val="16"/>
              </w:rPr>
              <w:t>Model ranking depended on year, trait and direction of environmental transfer</w:t>
            </w:r>
          </w:p>
        </w:tc>
        <w:tc>
          <w:tcPr>
            <w:tcW w:w="1440" w:type="dxa"/>
            <w:tcMar>
              <w:top w:w="85" w:type="dxa"/>
              <w:left w:w="85" w:type="dxa"/>
              <w:bottom w:w="85" w:type="dxa"/>
              <w:right w:w="85" w:type="dxa"/>
            </w:tcMar>
            <w:vAlign w:val="center"/>
          </w:tcPr>
          <w:p w14:paraId="42B67248" w14:textId="77777777" w:rsidR="00153A91" w:rsidRDefault="00000000">
            <w:pPr>
              <w:spacing w:after="0" w:line="247" w:lineRule="auto"/>
            </w:pPr>
            <w:r>
              <w:rPr>
                <w:sz w:val="16"/>
              </w:rPr>
              <w:t>(A. Montesinos-López et al., 2023)</w:t>
            </w:r>
          </w:p>
        </w:tc>
      </w:tr>
      <w:tr w:rsidR="00153A91" w14:paraId="4F099CF6" w14:textId="77777777">
        <w:trPr>
          <w:cantSplit/>
          <w:jc w:val="center"/>
        </w:trPr>
        <w:tc>
          <w:tcPr>
            <w:tcW w:w="1181" w:type="dxa"/>
            <w:tcMar>
              <w:top w:w="85" w:type="dxa"/>
              <w:left w:w="85" w:type="dxa"/>
              <w:bottom w:w="85" w:type="dxa"/>
              <w:right w:w="85" w:type="dxa"/>
            </w:tcMar>
            <w:vAlign w:val="center"/>
          </w:tcPr>
          <w:p w14:paraId="164AE27A" w14:textId="77777777" w:rsidR="00153A91" w:rsidRDefault="00000000">
            <w:pPr>
              <w:spacing w:after="0" w:line="247" w:lineRule="auto"/>
              <w:jc w:val="center"/>
            </w:pPr>
            <w:r>
              <w:rPr>
                <w:sz w:val="16"/>
              </w:rPr>
              <w:t>Rice diversity panel</w:t>
            </w:r>
          </w:p>
        </w:tc>
        <w:tc>
          <w:tcPr>
            <w:tcW w:w="1627" w:type="dxa"/>
            <w:tcMar>
              <w:top w:w="85" w:type="dxa"/>
              <w:left w:w="85" w:type="dxa"/>
              <w:bottom w:w="85" w:type="dxa"/>
              <w:right w:w="85" w:type="dxa"/>
            </w:tcMar>
            <w:vAlign w:val="center"/>
          </w:tcPr>
          <w:p w14:paraId="51DF1426" w14:textId="77777777" w:rsidR="00153A91" w:rsidRDefault="00000000">
            <w:pPr>
              <w:spacing w:after="0" w:line="247" w:lineRule="auto"/>
            </w:pPr>
            <w:r>
              <w:rPr>
                <w:sz w:val="16"/>
              </w:rPr>
              <w:t>Hyperspectral phenomics + metabolomics + genomics</w:t>
            </w:r>
          </w:p>
        </w:tc>
        <w:tc>
          <w:tcPr>
            <w:tcW w:w="1757" w:type="dxa"/>
            <w:tcMar>
              <w:top w:w="85" w:type="dxa"/>
              <w:left w:w="85" w:type="dxa"/>
              <w:bottom w:w="85" w:type="dxa"/>
              <w:right w:w="85" w:type="dxa"/>
            </w:tcMar>
            <w:vAlign w:val="center"/>
          </w:tcPr>
          <w:p w14:paraId="7614C7A0" w14:textId="77777777" w:rsidR="00153A91" w:rsidRDefault="00000000">
            <w:pPr>
              <w:spacing w:after="0" w:line="247" w:lineRule="auto"/>
            </w:pPr>
            <w:r>
              <w:rPr>
                <w:sz w:val="16"/>
              </w:rPr>
              <w:t>Metabolite prediction and genetic discovery</w:t>
            </w:r>
          </w:p>
        </w:tc>
        <w:tc>
          <w:tcPr>
            <w:tcW w:w="1800" w:type="dxa"/>
            <w:tcMar>
              <w:top w:w="85" w:type="dxa"/>
              <w:left w:w="85" w:type="dxa"/>
              <w:bottom w:w="85" w:type="dxa"/>
              <w:right w:w="85" w:type="dxa"/>
            </w:tcMar>
            <w:vAlign w:val="center"/>
          </w:tcPr>
          <w:p w14:paraId="163B2C74" w14:textId="77777777" w:rsidR="00153A91" w:rsidRDefault="00000000">
            <w:pPr>
              <w:spacing w:after="0" w:line="247" w:lineRule="auto"/>
            </w:pPr>
            <w:r>
              <w:rPr>
                <w:sz w:val="16"/>
              </w:rPr>
              <w:t>Machine learning linked spectral proxies to metabolites; candidate genes received functional validation</w:t>
            </w:r>
          </w:p>
        </w:tc>
        <w:tc>
          <w:tcPr>
            <w:tcW w:w="1555" w:type="dxa"/>
            <w:tcMar>
              <w:top w:w="85" w:type="dxa"/>
              <w:left w:w="85" w:type="dxa"/>
              <w:bottom w:w="85" w:type="dxa"/>
              <w:right w:w="85" w:type="dxa"/>
            </w:tcMar>
            <w:vAlign w:val="center"/>
          </w:tcPr>
          <w:p w14:paraId="77252432" w14:textId="77777777" w:rsidR="00153A91" w:rsidRDefault="00000000">
            <w:pPr>
              <w:spacing w:after="0" w:line="247" w:lineRule="auto"/>
            </w:pPr>
            <w:r>
              <w:rPr>
                <w:sz w:val="16"/>
              </w:rPr>
              <w:t>Reference-panel scale and assay-specific transfer remain to be tested</w:t>
            </w:r>
          </w:p>
        </w:tc>
        <w:tc>
          <w:tcPr>
            <w:tcW w:w="1440" w:type="dxa"/>
            <w:tcMar>
              <w:top w:w="85" w:type="dxa"/>
              <w:left w:w="85" w:type="dxa"/>
              <w:bottom w:w="85" w:type="dxa"/>
              <w:right w:w="85" w:type="dxa"/>
            </w:tcMar>
            <w:vAlign w:val="center"/>
          </w:tcPr>
          <w:p w14:paraId="66EA8BFF" w14:textId="77777777" w:rsidR="00153A91" w:rsidRDefault="00000000">
            <w:pPr>
              <w:spacing w:after="0" w:line="247" w:lineRule="auto"/>
            </w:pPr>
            <w:r>
              <w:rPr>
                <w:sz w:val="16"/>
              </w:rPr>
              <w:t>(Feng et al., 2025)</w:t>
            </w:r>
          </w:p>
        </w:tc>
      </w:tr>
      <w:tr w:rsidR="00153A91" w14:paraId="57052EA5" w14:textId="77777777">
        <w:trPr>
          <w:cantSplit/>
          <w:jc w:val="center"/>
        </w:trPr>
        <w:tc>
          <w:tcPr>
            <w:tcW w:w="1181" w:type="dxa"/>
            <w:tcMar>
              <w:top w:w="85" w:type="dxa"/>
              <w:left w:w="85" w:type="dxa"/>
              <w:bottom w:w="85" w:type="dxa"/>
              <w:right w:w="85" w:type="dxa"/>
            </w:tcMar>
            <w:vAlign w:val="center"/>
          </w:tcPr>
          <w:p w14:paraId="3ED775B7" w14:textId="77777777" w:rsidR="00153A91" w:rsidRDefault="00000000">
            <w:pPr>
              <w:spacing w:after="0" w:line="247" w:lineRule="auto"/>
              <w:jc w:val="center"/>
            </w:pPr>
            <w:r>
              <w:rPr>
                <w:i/>
                <w:sz w:val="16"/>
              </w:rPr>
              <w:t>A. thaliana</w:t>
            </w:r>
          </w:p>
        </w:tc>
        <w:tc>
          <w:tcPr>
            <w:tcW w:w="1627" w:type="dxa"/>
            <w:tcMar>
              <w:top w:w="85" w:type="dxa"/>
              <w:left w:w="85" w:type="dxa"/>
              <w:bottom w:w="85" w:type="dxa"/>
              <w:right w:w="85" w:type="dxa"/>
            </w:tcMar>
            <w:vAlign w:val="center"/>
          </w:tcPr>
          <w:p w14:paraId="6ACBB9FB" w14:textId="77777777" w:rsidR="00153A91" w:rsidRDefault="00000000">
            <w:pPr>
              <w:spacing w:after="0" w:line="247" w:lineRule="auto"/>
            </w:pPr>
            <w:r>
              <w:rPr>
                <w:sz w:val="16"/>
              </w:rPr>
              <w:t xml:space="preserve">Genomics + transcriptomics + </w:t>
            </w:r>
            <w:proofErr w:type="spellStart"/>
            <w:r>
              <w:rPr>
                <w:sz w:val="16"/>
              </w:rPr>
              <w:t>methylomics</w:t>
            </w:r>
            <w:proofErr w:type="spellEnd"/>
          </w:p>
        </w:tc>
        <w:tc>
          <w:tcPr>
            <w:tcW w:w="1757" w:type="dxa"/>
            <w:tcMar>
              <w:top w:w="85" w:type="dxa"/>
              <w:left w:w="85" w:type="dxa"/>
              <w:bottom w:w="85" w:type="dxa"/>
              <w:right w:w="85" w:type="dxa"/>
            </w:tcMar>
            <w:vAlign w:val="center"/>
          </w:tcPr>
          <w:p w14:paraId="24AABD7C" w14:textId="77777777" w:rsidR="00153A91" w:rsidRDefault="00000000">
            <w:pPr>
              <w:spacing w:after="0" w:line="247" w:lineRule="auto"/>
            </w:pPr>
            <w:r>
              <w:rPr>
                <w:sz w:val="16"/>
              </w:rPr>
              <w:t>Complex-trait prediction and flowering-gene discovery</w:t>
            </w:r>
          </w:p>
        </w:tc>
        <w:tc>
          <w:tcPr>
            <w:tcW w:w="1800" w:type="dxa"/>
            <w:tcMar>
              <w:top w:w="85" w:type="dxa"/>
              <w:left w:w="85" w:type="dxa"/>
              <w:bottom w:w="85" w:type="dxa"/>
              <w:right w:w="85" w:type="dxa"/>
            </w:tcMar>
            <w:vAlign w:val="center"/>
          </w:tcPr>
          <w:p w14:paraId="4533F5B8" w14:textId="77777777" w:rsidR="00153A91" w:rsidRDefault="00000000">
            <w:pPr>
              <w:spacing w:after="0" w:line="247" w:lineRule="auto"/>
            </w:pPr>
            <w:r>
              <w:rPr>
                <w:sz w:val="16"/>
              </w:rPr>
              <w:t>Integrated models improved prediction and supported experimental validation of additional regulators</w:t>
            </w:r>
          </w:p>
        </w:tc>
        <w:tc>
          <w:tcPr>
            <w:tcW w:w="1555" w:type="dxa"/>
            <w:tcMar>
              <w:top w:w="85" w:type="dxa"/>
              <w:left w:w="85" w:type="dxa"/>
              <w:bottom w:w="85" w:type="dxa"/>
              <w:right w:w="85" w:type="dxa"/>
            </w:tcMar>
            <w:vAlign w:val="center"/>
          </w:tcPr>
          <w:p w14:paraId="75666C1B" w14:textId="77777777" w:rsidR="00153A91" w:rsidRDefault="00000000">
            <w:pPr>
              <w:spacing w:after="0" w:line="247" w:lineRule="auto"/>
            </w:pPr>
            <w:r>
              <w:rPr>
                <w:sz w:val="16"/>
              </w:rPr>
              <w:t>Model-plant evidence does not directly establish field-breeding utility</w:t>
            </w:r>
          </w:p>
        </w:tc>
        <w:tc>
          <w:tcPr>
            <w:tcW w:w="1440" w:type="dxa"/>
            <w:tcMar>
              <w:top w:w="85" w:type="dxa"/>
              <w:left w:w="85" w:type="dxa"/>
              <w:bottom w:w="85" w:type="dxa"/>
              <w:right w:w="85" w:type="dxa"/>
            </w:tcMar>
            <w:vAlign w:val="center"/>
          </w:tcPr>
          <w:p w14:paraId="754E46F5" w14:textId="77777777" w:rsidR="00153A91" w:rsidRDefault="00000000">
            <w:pPr>
              <w:spacing w:after="0" w:line="247" w:lineRule="auto"/>
            </w:pPr>
            <w:r>
              <w:rPr>
                <w:sz w:val="16"/>
              </w:rPr>
              <w:t>(Wang, Lehti-Shiu, et al., 2024)</w:t>
            </w:r>
          </w:p>
        </w:tc>
      </w:tr>
    </w:tbl>
    <w:p w14:paraId="7CDB63B4" w14:textId="77777777" w:rsidR="00153A91" w:rsidRDefault="00000000">
      <w:pPr>
        <w:spacing w:before="60" w:after="160"/>
      </w:pPr>
      <w:r>
        <w:rPr>
          <w:i/>
          <w:sz w:val="16"/>
        </w:rPr>
        <w:t xml:space="preserve">Note. </w:t>
      </w:r>
      <w:r>
        <w:rPr>
          <w:sz w:val="16"/>
        </w:rPr>
        <w:t xml:space="preserve">RIL = recombinant inbred line; RKHS = reproducing-kernel Hilbert space; NDVI = </w:t>
      </w:r>
      <w:proofErr w:type="spellStart"/>
      <w:r>
        <w:rPr>
          <w:sz w:val="16"/>
        </w:rPr>
        <w:t>normalised</w:t>
      </w:r>
      <w:proofErr w:type="spellEnd"/>
      <w:r>
        <w:rPr>
          <w:sz w:val="16"/>
        </w:rPr>
        <w:t xml:space="preserve"> difference vegetation index; N = nitrogen. Reported gains are not directly comparable across studies because validation designs, traits, populations and performance metrics differ.</w:t>
      </w:r>
    </w:p>
    <w:p w14:paraId="078CE296" w14:textId="77777777" w:rsidR="00153A91" w:rsidRDefault="00000000">
      <w:pPr>
        <w:pStyle w:val="Heading1"/>
      </w:pPr>
      <w:r>
        <w:rPr>
          <w:rFonts w:ascii="Times New Roman" w:eastAsia="Times New Roman" w:hAnsi="Times New Roman"/>
        </w:rPr>
        <w:t>6. Genotype-by-Environment Interaction, Temporal Dynamics and Biological Scale</w:t>
      </w:r>
    </w:p>
    <w:p w14:paraId="42DD4113" w14:textId="77777777" w:rsidR="00153A91" w:rsidRDefault="00000000">
      <w:pPr>
        <w:pStyle w:val="BodyTextAcademic"/>
      </w:pPr>
      <w:r>
        <w:t>Genotype-by-environment interaction is not a nuisance term to be removed after multi-omics measurement; it is part of the causal path by which molecular states become phenotypes. Transcript, protein and metabolite abundances are often environmentally responsive, and high-throughput phenotypes are explicitly dynamic. A model that pools measurements across conditions without representing environment can confound constitutive genetic differences with induced responses. Conversely, environment-aware models can use that responsiveness as signal. The challenge is deciding whether the desired prediction is for a known environment, a new environment with known covariates, or an unknown future environment. Each requires a different validation design.</w:t>
      </w:r>
    </w:p>
    <w:p w14:paraId="3D1652AA" w14:textId="77777777" w:rsidR="00153A91" w:rsidRDefault="00000000">
      <w:pPr>
        <w:pStyle w:val="BodyTextAcademic"/>
      </w:pPr>
      <w:r>
        <w:t xml:space="preserve">Reaction-norm genomic models provide a statistical foundation. Jarquín et al. (2014) showed that high-dimensional environmental descriptors could be integrated with genomic information to model differential responses across environments. Cuevas et al. (2017) extended genotype-by-environment prediction using kernel approaches, demonstrating the value of interaction structures that allow genetic similarity to be conditioned on environment. Millet et al. (2019) applied genomic prediction across diverse European maize conditions and highlighted the importance of environmental </w:t>
      </w:r>
      <w:proofErr w:type="spellStart"/>
      <w:r>
        <w:t>characterisation</w:t>
      </w:r>
      <w:proofErr w:type="spellEnd"/>
      <w:r>
        <w:t xml:space="preserve"> for transferring yield predictions. These approaches are less visually novel than deep learning, but they encode a biologically meaningful hypothesis: genotypes respond to environmental gradients through partially structured functions.</w:t>
      </w:r>
    </w:p>
    <w:p w14:paraId="1C6E18A7" w14:textId="77777777" w:rsidR="00153A91" w:rsidRDefault="00000000">
      <w:pPr>
        <w:pStyle w:val="BodyTextAcademic"/>
      </w:pPr>
      <w:r>
        <w:t>AI can extend this concept by learning nonlinear environmental representations and interactions with genomic or molecular features. The risk is that high-dimensional weather data contain strong correlations and season-specific signatures. Random cross-validation across plots from the same trials can then allow models to infer environment identity rather than general response mechanisms. Sagae et al. (2026) provides a useful caution: incorporating environmental covariates improved prediction for soybean genotypes in represented environments, but the same advantage did not necessarily extend to prediction in novel environments. This is precisely the distinction that should govern claims of climate robustness. A model that interpolates well among familiar trials is not yet a model that extrapolates to future stress combinations.</w:t>
      </w:r>
    </w:p>
    <w:p w14:paraId="46B490CA" w14:textId="77777777" w:rsidR="00153A91" w:rsidRDefault="00000000">
      <w:pPr>
        <w:pStyle w:val="BodyTextAcademic"/>
      </w:pPr>
      <w:r>
        <w:t xml:space="preserve">Temporal phenomics introduces similar issues. Repeated vegetation indices, canopy temperature, hyperspectral profiles or growth curves can yield more signal than a single time point, but the usefulness depends on when the prediction is needed. If the model uses late-season features to predict final yield, it may </w:t>
      </w:r>
      <w:r>
        <w:lastRenderedPageBreak/>
        <w:t xml:space="preserve">perform well while providing little selection advantage. Dynamic models should therefore report accuracy as a function of decision time. Early-season predictions can be less accurate but more valuable if they allow inferior lines to be removed before expensive later testing. This decision-theoretic perspective is rarely incorporated into model comparisons, which usually </w:t>
      </w:r>
      <w:proofErr w:type="spellStart"/>
      <w:r>
        <w:t>optimise</w:t>
      </w:r>
      <w:proofErr w:type="spellEnd"/>
      <w:r>
        <w:t xml:space="preserve"> correlation or mean squared error without attaching a cost to delayed information.</w:t>
      </w:r>
    </w:p>
    <w:p w14:paraId="18237239" w14:textId="77777777" w:rsidR="00153A91" w:rsidRDefault="00000000">
      <w:pPr>
        <w:pStyle w:val="BodyTextAcademic"/>
      </w:pPr>
      <w:r>
        <w:t>Biological scale further complicates transfer. Single-cell expression and chromatin maps provide highly resolved mechanisms, while field phenotypes integrate whole-plant and community-level responses. The path from a cell-type regulatory element to yield traverses development, source-sink relations, competition, management and weather. A model can use single-cell priors to improve feature selection without requiring single-cell measurements on every breeding candidate. This distinction between reference-resource omics and routine-candidate omics is crucial. Some modalities may be most valuable when measured deeply in a strategically chosen panel to define pathways or informative features, after which cheaper genotyping or sensing can be used at scale.</w:t>
      </w:r>
    </w:p>
    <w:p w14:paraId="22E1AA35" w14:textId="77777777" w:rsidR="00153A91" w:rsidRDefault="00000000">
      <w:pPr>
        <w:pStyle w:val="BodyTextAcademic"/>
      </w:pPr>
      <w:r>
        <w:t>The same logic applies to metabolomics and proteomics. Rather than attempting to profile every line in every environment, breeders could use intensive multi-omics to identify stable latent traits, pathway scores or diagnostic proxies. AI can then learn mappings from scalable data, such as sequence and hyperspectral measurements, to these expensive molecular states. Feng et al. (2025) demonstrates this concept by linking spectral information to rice metabolites before genetic and functional analysis. Such two-stage strategies may offer greater economic value than direct concatenation of all available modalities, particularly when the bottleneck is assay cost rather than model capacity.</w:t>
      </w:r>
    </w:p>
    <w:p w14:paraId="464B8141" w14:textId="77777777" w:rsidR="00153A91" w:rsidRDefault="00000000">
      <w:pPr>
        <w:pStyle w:val="Heading1"/>
      </w:pPr>
      <w:r>
        <w:rPr>
          <w:rFonts w:ascii="Times New Roman" w:eastAsia="Times New Roman" w:hAnsi="Times New Roman"/>
        </w:rPr>
        <w:t>7. Persistent Methodological and Translational Challenges</w:t>
      </w:r>
    </w:p>
    <w:p w14:paraId="59AA77D3" w14:textId="77777777" w:rsidR="00153A91" w:rsidRDefault="00000000">
      <w:pPr>
        <w:pStyle w:val="Heading2"/>
      </w:pPr>
      <w:r>
        <w:rPr>
          <w:rFonts w:ascii="Times New Roman" w:eastAsia="Times New Roman" w:hAnsi="Times New Roman"/>
        </w:rPr>
        <w:t>7.1 High dimensionality, sample size and missing modalities</w:t>
      </w:r>
    </w:p>
    <w:p w14:paraId="7BC3B1FD" w14:textId="77777777" w:rsidR="00153A91" w:rsidRDefault="00000000">
      <w:pPr>
        <w:pStyle w:val="BodyTextAcademic"/>
      </w:pPr>
      <w:r>
        <w:t xml:space="preserve">The characteristic multi-omics problem is not simply “big data”; it is many features measured on relatively few biologically independent genotypes. Thousands of markers, transcripts, methylation sites, proteins, metabolites and image-derived traits can easily exceed sample size by orders of magnitude. This p-greater-than-n structure </w:t>
      </w:r>
      <w:proofErr w:type="spellStart"/>
      <w:r>
        <w:t>favours</w:t>
      </w:r>
      <w:proofErr w:type="spellEnd"/>
      <w:r>
        <w:t xml:space="preserve"> </w:t>
      </w:r>
      <w:proofErr w:type="spellStart"/>
      <w:r>
        <w:t>regularisation</w:t>
      </w:r>
      <w:proofErr w:type="spellEnd"/>
      <w:r>
        <w:t xml:space="preserve">, dimension reduction and strong prior assumptions. Deep learning can be effective when sample size is genuinely large, but applying highly </w:t>
      </w:r>
      <w:proofErr w:type="spellStart"/>
      <w:r>
        <w:t>parameterised</w:t>
      </w:r>
      <w:proofErr w:type="spellEnd"/>
      <w:r>
        <w:t xml:space="preserve"> networks to a few hundred genotypes creates high variance and unstable feature importance. Wu et al. (2024) is a useful example of valuable integration in a modest population; its results are informative, but they should not be interpreted as evidence that random forests will </w:t>
      </w:r>
      <w:proofErr w:type="spellStart"/>
      <w:r>
        <w:t>generalise</w:t>
      </w:r>
      <w:proofErr w:type="spellEnd"/>
      <w:r>
        <w:t xml:space="preserve"> across unrelated maize populations.</w:t>
      </w:r>
    </w:p>
    <w:p w14:paraId="1D903D09" w14:textId="77777777" w:rsidR="00153A91" w:rsidRDefault="00000000">
      <w:pPr>
        <w:pStyle w:val="BodyTextAcademic"/>
      </w:pPr>
      <w:r>
        <w:t>Missing modalities are also intrinsic. Molecular assays fail, not every genotype is sampled at every developmental stage, and historical breeding populations contain heterogeneous records. Complete-case analysis wastes data and may preferentially retain well-</w:t>
      </w:r>
      <w:proofErr w:type="spellStart"/>
      <w:r>
        <w:t>characterised</w:t>
      </w:r>
      <w:proofErr w:type="spellEnd"/>
      <w:r>
        <w:t xml:space="preserve"> elite material. Simple imputation can underestimate uncertainty and create artificial cross-modal correlations. Multimodal methods should therefore be evaluated under realistic missingness, including situations where an entire modality is absent for a target individual. Late-fusion and modality-dropout approaches may be more robust than early concatenation, while probabilistic models can propagate uncertainty. Current crop literature still reports complete, retrospectively assembled datasets more often than operational missing-data scenarios (O. A. Montesinos-López et al., 2024; Tsega &amp; </w:t>
      </w:r>
      <w:proofErr w:type="spellStart"/>
      <w:r>
        <w:t>Mullualem</w:t>
      </w:r>
      <w:proofErr w:type="spellEnd"/>
      <w:r>
        <w:t>, 2026).</w:t>
      </w:r>
    </w:p>
    <w:p w14:paraId="41823B24" w14:textId="77777777" w:rsidR="00153A91" w:rsidRDefault="00000000">
      <w:pPr>
        <w:pStyle w:val="Heading2"/>
      </w:pPr>
      <w:r>
        <w:rPr>
          <w:rFonts w:ascii="Times New Roman" w:eastAsia="Times New Roman" w:hAnsi="Times New Roman"/>
        </w:rPr>
        <w:t>7.2 Batch effects, tissue choice and temporal mismatch</w:t>
      </w:r>
    </w:p>
    <w:p w14:paraId="3C23A8BF" w14:textId="77777777" w:rsidR="00153A91" w:rsidRDefault="00000000">
      <w:pPr>
        <w:pStyle w:val="BodyTextAcademic"/>
      </w:pPr>
      <w:r>
        <w:t xml:space="preserve">Molecular measurements can be dominated by batch, tissue, developmental stage and growth condition. Genotypes and marker calls are comparatively stable, but transcriptomes, methylomes, proteomes and </w:t>
      </w:r>
      <w:r>
        <w:lastRenderedPageBreak/>
        <w:t xml:space="preserve">metabolomes are conditional biological states. Guo et al. (2016) directly showed that prediction from expression and metabolites depended on sampling time and tissue. This dependence is not merely technical noise; it reflects real biology. The analytical problem is separating the component that </w:t>
      </w:r>
      <w:proofErr w:type="spellStart"/>
      <w:r>
        <w:t>generalises</w:t>
      </w:r>
      <w:proofErr w:type="spellEnd"/>
      <w:r>
        <w:t xml:space="preserve"> to the breeding target from the component specific to the assay condition.</w:t>
      </w:r>
    </w:p>
    <w:p w14:paraId="3F0D8AF8" w14:textId="77777777" w:rsidR="00153A91" w:rsidRDefault="00000000">
      <w:pPr>
        <w:pStyle w:val="BodyTextAcademic"/>
      </w:pPr>
      <w:r>
        <w:t xml:space="preserve">Poorly balanced experimental design can make this impossible. If all lines from one family are processed in one batch or one environment, a model can learn batch labels that coincide with genetic structure. </w:t>
      </w:r>
      <w:proofErr w:type="spellStart"/>
      <w:r>
        <w:t>Harmonisation</w:t>
      </w:r>
      <w:proofErr w:type="spellEnd"/>
      <w:r>
        <w:t xml:space="preserve"> methods can remove mean shifts but cannot recover a design in which biology and batch are fully confounded. Multi-omics breeding studies therefore need </w:t>
      </w:r>
      <w:proofErr w:type="spellStart"/>
      <w:r>
        <w:t>randomisation</w:t>
      </w:r>
      <w:proofErr w:type="spellEnd"/>
      <w:r>
        <w:t xml:space="preserve"> and blocking at the data-generation stage, not only sophisticated correction at the analysis stage. Cross-validation splits should also respect batches and experiments so that performance is not inflated by technical replicates or near-duplicate samples occurring in both training and test sets.</w:t>
      </w:r>
    </w:p>
    <w:p w14:paraId="05990EEF" w14:textId="77777777" w:rsidR="00153A91" w:rsidRDefault="00000000">
      <w:pPr>
        <w:pStyle w:val="Heading2"/>
      </w:pPr>
      <w:r>
        <w:rPr>
          <w:rFonts w:ascii="Times New Roman" w:eastAsia="Times New Roman" w:hAnsi="Times New Roman"/>
        </w:rPr>
        <w:t>7.3 Population structure, relatedness and leakage</w:t>
      </w:r>
    </w:p>
    <w:p w14:paraId="5BDE9B33" w14:textId="77777777" w:rsidR="00153A91" w:rsidRDefault="00000000">
      <w:pPr>
        <w:pStyle w:val="BodyTextAcademic"/>
      </w:pPr>
      <w:r>
        <w:t>Genomic prediction is expected to exploit relatedness, but the degree of relatedness should match the intended use. Randomly dividing a structured diversity panel into folds can place close relatives in training and test sets, leading to high accuracy that reflects kinship. This may be entirely appropriate for selection within a breeding population, but inappropriate if the model is claimed to discover transferable mechanisms or predict a new germplasm pool. The same issue is amplified in multi-omics because expression, metabolites and phenotypes can themselves carry population labels.</w:t>
      </w:r>
    </w:p>
    <w:p w14:paraId="05F4CC19" w14:textId="77777777" w:rsidR="00153A91" w:rsidRDefault="00000000">
      <w:pPr>
        <w:pStyle w:val="BodyTextAcademic"/>
      </w:pPr>
      <w:r>
        <w:t xml:space="preserve">Benchmarks should therefore include progressively harder validation: random within-population folds, family-blocked folds, forward breeding-cycle prediction, new-location prediction and, where relevant, cross-population or cross-species transfer. </w:t>
      </w:r>
      <w:proofErr w:type="spellStart"/>
      <w:r>
        <w:t>Azodi</w:t>
      </w:r>
      <w:proofErr w:type="spellEnd"/>
      <w:r>
        <w:t xml:space="preserve"> et al. (2019) showed how algorithm rankings can vary by trait and dataset, while Chen et al. (2023) demonstrated that genetic-model specification can outperform generic machine learning in a complex polyploid crop. These findings argue for reporting model performance as a profile across deployment scenarios rather than a single accuracy number. A small gain under random cross-validation may disappear in the scenario breeders actually face.</w:t>
      </w:r>
    </w:p>
    <w:p w14:paraId="1B468305" w14:textId="77777777" w:rsidR="00153A91" w:rsidRDefault="00000000">
      <w:pPr>
        <w:pStyle w:val="BodyTextAcademic"/>
      </w:pPr>
      <w:r>
        <w:t>Information leakage can also enter through feature selection and preprocessing. If the full dataset is used to select metabolites, scale features, estimate latent components or tune hyperparameters before cross-validation, information from the test fold influences model construction. The resulting bias can be substantial in high-dimensional settings. All supervised feature selection and transformation parameters should be learned within each training fold, with a separate final test set when feasible. This requirement is methodological rather than crop specific, yet it is especially important where sample sizes are small and model choices are numerous.</w:t>
      </w:r>
    </w:p>
    <w:p w14:paraId="7B1D2989" w14:textId="77777777" w:rsidR="00153A91" w:rsidRDefault="00000000">
      <w:pPr>
        <w:pStyle w:val="Heading2"/>
      </w:pPr>
      <w:r>
        <w:rPr>
          <w:rFonts w:ascii="Times New Roman" w:eastAsia="Times New Roman" w:hAnsi="Times New Roman"/>
        </w:rPr>
        <w:t>7.4 Prediction, explanation and causality</w:t>
      </w:r>
    </w:p>
    <w:p w14:paraId="28CF5AFE" w14:textId="77777777" w:rsidR="00153A91" w:rsidRDefault="00000000">
      <w:pPr>
        <w:pStyle w:val="BodyTextAcademic"/>
      </w:pPr>
      <w:r>
        <w:t>AI interpretation has progressed rapidly, but breeding decisions require different levels of evidence for prediction and intervention. A feature can be useful for prediction without being causal, and a causal gene can add little incremental predictive accuracy if nearby markers already capture its effect. These are not contradictory outcomes. Predictive models should be evaluated by prospective decision value, whereas mechanistic claims require genetic, molecular or experimental triangulation.</w:t>
      </w:r>
    </w:p>
    <w:p w14:paraId="35E27D3E" w14:textId="77777777" w:rsidR="00153A91" w:rsidRDefault="00000000">
      <w:pPr>
        <w:pStyle w:val="BodyTextAcademic"/>
      </w:pPr>
      <w:r>
        <w:t xml:space="preserve">Strong integrative studies explicitly connect these levels. Zhang et al. (2021) used multi-omics integration to identify drought-related regulatory hubs and followed candidates experimentally. Feng et al. (2025) combined spectral prediction, metabolomics, genomic association and functional perturbation in rice. Wang, Lehti-Shiu, et al. (2024) interpreted multi-omics predictive models in </w:t>
      </w:r>
      <w:r>
        <w:rPr>
          <w:i/>
        </w:rPr>
        <w:t>A. thaliana</w:t>
      </w:r>
      <w:r>
        <w:t xml:space="preserve"> and experimentally validated additional flowering-time regulators. In contrast, an attention weight or SHAP value alone remains a model-</w:t>
      </w:r>
      <w:r>
        <w:lastRenderedPageBreak/>
        <w:t xml:space="preserve">specific association. The practical recommendation is not to avoid explainable AI, but to state its evidential status precisely and use it to </w:t>
      </w:r>
      <w:proofErr w:type="spellStart"/>
      <w:r>
        <w:t>prioritise</w:t>
      </w:r>
      <w:proofErr w:type="spellEnd"/>
      <w:r>
        <w:t xml:space="preserve"> experiments.</w:t>
      </w:r>
    </w:p>
    <w:p w14:paraId="4CEB8B7D" w14:textId="77777777" w:rsidR="00153A91" w:rsidRDefault="00000000">
      <w:pPr>
        <w:pStyle w:val="BodyTextAcademic"/>
      </w:pPr>
      <w:r>
        <w:t>Causal inference is particularly difficult for environmentally responsive omics. A metabolite associated with drought tolerance may be a protective mechanism, a consequence of better plant water status or a correlated marker of developmental stage. Longitudinal sampling, genetic instruments, perturbation experiments and multi-environment replication can help discriminate these alternatives. Integrative models should therefore move from static cross-sectional correlations toward designs that represent temporal ordering and intervention where feasible.</w:t>
      </w:r>
    </w:p>
    <w:p w14:paraId="03531DB2" w14:textId="77777777" w:rsidR="00153A91" w:rsidRDefault="00000000">
      <w:pPr>
        <w:pStyle w:val="Heading2"/>
      </w:pPr>
      <w:r>
        <w:rPr>
          <w:rFonts w:ascii="Times New Roman" w:eastAsia="Times New Roman" w:hAnsi="Times New Roman"/>
        </w:rPr>
        <w:t>7.5 Polyploidy, pangenome complexity and under-represented diversity</w:t>
      </w:r>
    </w:p>
    <w:p w14:paraId="26A6DCA1" w14:textId="77777777" w:rsidR="00153A91" w:rsidRDefault="00000000">
      <w:pPr>
        <w:pStyle w:val="BodyTextAcademic"/>
      </w:pPr>
      <w:r>
        <w:t xml:space="preserve">Many major crops are polyploid, highly heterozygous, clonally propagated or structurally diverse. Diploid assumptions about dosage and additive marker effects may be inadequate. Chen et al. (2023) showed in sugarcane that explicitly modelling dominance and epistasis in an extended GBLUP could outperform random forests and deep learning. This result is important because it demonstrates that biological complexity can sometimes be addressed more effectively by better genetic </w:t>
      </w:r>
      <w:proofErr w:type="spellStart"/>
      <w:r>
        <w:t>parameterisation</w:t>
      </w:r>
      <w:proofErr w:type="spellEnd"/>
      <w:r>
        <w:t xml:space="preserve"> than by more generic computational complexity.</w:t>
      </w:r>
    </w:p>
    <w:p w14:paraId="6A6AD159" w14:textId="77777777" w:rsidR="00153A91" w:rsidRDefault="00000000">
      <w:pPr>
        <w:pStyle w:val="BodyTextAcademic"/>
      </w:pPr>
      <w:proofErr w:type="spellStart"/>
      <w:r>
        <w:t>Pangenomic</w:t>
      </w:r>
      <w:proofErr w:type="spellEnd"/>
      <w:r>
        <w:t xml:space="preserve"> representations may reduce reference bias and capture structural variants, but they can also deepen inequity if high-quality assemblies exist mainly for elite or temperate germplasm. Bayer et al. (2021) and Zanini et al. (2022) </w:t>
      </w:r>
      <w:proofErr w:type="spellStart"/>
      <w:r>
        <w:t>emphasise</w:t>
      </w:r>
      <w:proofErr w:type="spellEnd"/>
      <w:r>
        <w:t xml:space="preserve"> the potential of pangenome-informed prediction, yet model transfer will depend on representation of landraces, wild relatives and regionally important crops. Under-represented diversity is not only an equity issue; it is a statistical limitation. Models trained on narrow germplasm cannot learn effects that are absent or rare in the training set.</w:t>
      </w:r>
    </w:p>
    <w:p w14:paraId="1EEE3167" w14:textId="77777777" w:rsidR="00153A91" w:rsidRDefault="00000000">
      <w:pPr>
        <w:pStyle w:val="Heading2"/>
      </w:pPr>
      <w:r>
        <w:rPr>
          <w:rFonts w:ascii="Times New Roman" w:eastAsia="Times New Roman" w:hAnsi="Times New Roman"/>
        </w:rPr>
        <w:t>7.6 Reproducibility, standards and economic value</w:t>
      </w:r>
    </w:p>
    <w:p w14:paraId="32EA0FBD" w14:textId="77777777" w:rsidR="00153A91" w:rsidRDefault="00000000">
      <w:pPr>
        <w:pStyle w:val="BodyTextAcademic"/>
      </w:pPr>
      <w:r>
        <w:t xml:space="preserve">Multi-omics studies frequently combine custom pipelines, assay platforms and preprocessing steps. Small changes in </w:t>
      </w:r>
      <w:proofErr w:type="spellStart"/>
      <w:r>
        <w:t>normalisation</w:t>
      </w:r>
      <w:proofErr w:type="spellEnd"/>
      <w:r>
        <w:t>, filtering or feature engineering can alter results, while code and processed data are not always sufficient to reproduce the biological sample design. Reproducibility requires versioned reference genomes, explicit feature identifiers, metadata on tissue and developmental stage, environmental descriptors, and complete description of how samples were linked across modalities. As pangenomes and single-cell resources enter modelling, stable coordinate systems and ontology mapping become even more important.</w:t>
      </w:r>
    </w:p>
    <w:p w14:paraId="586A9EE6" w14:textId="77777777" w:rsidR="00153A91" w:rsidRDefault="00000000">
      <w:pPr>
        <w:pStyle w:val="BodyTextAcademic"/>
      </w:pPr>
      <w:r>
        <w:t>Economic value should be treated as a modelling endpoint. A transcriptome or metabolome that adds two percentage points of prediction accuracy may be worthwhile in a high-value parental selection stage but uneconomic for tens of thousands of early-generation lines. Conversely, an AI model that allows cheap hyperspectral measurements to substitute for expensive metabolite assays could be valuable even if its molecular prediction is imperfect. The relevant comparison is the expected genetic gain per unit time and cost, not raw accuracy. Genomic selection succeeded partly because genotyping could be scaled across many candidates; multi-omics integration must meet the same operational test.</w:t>
      </w:r>
    </w:p>
    <w:p w14:paraId="0D5EC436" w14:textId="77777777" w:rsidR="00153A91" w:rsidRDefault="00000000">
      <w:pPr>
        <w:pStyle w:val="BodyTextAcademic"/>
      </w:pPr>
      <w:r>
        <w:t xml:space="preserve">The major challenges and corresponding mitigation strategies are </w:t>
      </w:r>
      <w:proofErr w:type="spellStart"/>
      <w:r>
        <w:t>summarised</w:t>
      </w:r>
      <w:proofErr w:type="spellEnd"/>
      <w:r>
        <w:t xml:space="preserve"> in Table 4. None has a purely computational solution. Better architectures can improve robustness, but experimental design, realistic validation, measurement </w:t>
      </w:r>
      <w:proofErr w:type="spellStart"/>
      <w:r>
        <w:t>standardisation</w:t>
      </w:r>
      <w:proofErr w:type="spellEnd"/>
      <w:r>
        <w:t xml:space="preserve"> and decision-focused economics are equally important determinants of whether multi-omics AI will translate into breeding gain.</w:t>
      </w:r>
    </w:p>
    <w:p w14:paraId="0799F941" w14:textId="77777777" w:rsidR="00153A91" w:rsidRDefault="00000000">
      <w:pPr>
        <w:spacing w:before="100" w:after="80"/>
      </w:pPr>
      <w:r>
        <w:rPr>
          <w:b/>
          <w:sz w:val="19"/>
        </w:rPr>
        <w:t>Table 4. Major barriers to reliable multi-omics AI in breeding and priority mitigation strategies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368"/>
        <w:gridCol w:w="1800"/>
        <w:gridCol w:w="1728"/>
        <w:gridCol w:w="1512"/>
        <w:gridCol w:w="1584"/>
        <w:gridCol w:w="1368"/>
      </w:tblGrid>
      <w:tr w:rsidR="00153A91" w14:paraId="0483D260" w14:textId="77777777">
        <w:trPr>
          <w:tblHeader/>
          <w:jc w:val="center"/>
        </w:trPr>
        <w:tc>
          <w:tcPr>
            <w:tcW w:w="1368" w:type="dxa"/>
            <w:shd w:val="clear" w:color="auto" w:fill="D9E2F3"/>
            <w:tcMar>
              <w:top w:w="85" w:type="dxa"/>
              <w:left w:w="85" w:type="dxa"/>
              <w:bottom w:w="85" w:type="dxa"/>
              <w:right w:w="85" w:type="dxa"/>
            </w:tcMar>
            <w:vAlign w:val="center"/>
          </w:tcPr>
          <w:p w14:paraId="38FBD77B" w14:textId="77777777" w:rsidR="00153A91" w:rsidRDefault="00000000">
            <w:pPr>
              <w:spacing w:after="0" w:line="247" w:lineRule="auto"/>
              <w:jc w:val="center"/>
            </w:pPr>
            <w:r>
              <w:rPr>
                <w:b/>
                <w:sz w:val="16"/>
              </w:rPr>
              <w:t>Challenge</w:t>
            </w:r>
          </w:p>
        </w:tc>
        <w:tc>
          <w:tcPr>
            <w:tcW w:w="1800" w:type="dxa"/>
            <w:shd w:val="clear" w:color="auto" w:fill="D9E2F3"/>
            <w:tcMar>
              <w:top w:w="85" w:type="dxa"/>
              <w:left w:w="85" w:type="dxa"/>
              <w:bottom w:w="85" w:type="dxa"/>
              <w:right w:w="85" w:type="dxa"/>
            </w:tcMar>
            <w:vAlign w:val="center"/>
          </w:tcPr>
          <w:p w14:paraId="30864B3F" w14:textId="77777777" w:rsidR="00153A91" w:rsidRDefault="00000000">
            <w:pPr>
              <w:spacing w:after="0" w:line="247" w:lineRule="auto"/>
              <w:jc w:val="center"/>
            </w:pPr>
            <w:r>
              <w:rPr>
                <w:b/>
                <w:sz w:val="16"/>
              </w:rPr>
              <w:t>Why it distorts evidence</w:t>
            </w:r>
          </w:p>
        </w:tc>
        <w:tc>
          <w:tcPr>
            <w:tcW w:w="1728" w:type="dxa"/>
            <w:shd w:val="clear" w:color="auto" w:fill="D9E2F3"/>
            <w:tcMar>
              <w:top w:w="85" w:type="dxa"/>
              <w:left w:w="85" w:type="dxa"/>
              <w:bottom w:w="85" w:type="dxa"/>
              <w:right w:w="85" w:type="dxa"/>
            </w:tcMar>
            <w:vAlign w:val="center"/>
          </w:tcPr>
          <w:p w14:paraId="2B018741" w14:textId="77777777" w:rsidR="00153A91" w:rsidRDefault="00000000">
            <w:pPr>
              <w:spacing w:after="0" w:line="247" w:lineRule="auto"/>
              <w:jc w:val="center"/>
            </w:pPr>
            <w:r>
              <w:rPr>
                <w:b/>
                <w:sz w:val="16"/>
              </w:rPr>
              <w:t>Priority mitigation</w:t>
            </w:r>
          </w:p>
        </w:tc>
        <w:tc>
          <w:tcPr>
            <w:tcW w:w="1512" w:type="dxa"/>
            <w:shd w:val="clear" w:color="auto" w:fill="D9E2F3"/>
            <w:tcMar>
              <w:top w:w="85" w:type="dxa"/>
              <w:left w:w="85" w:type="dxa"/>
              <w:bottom w:w="85" w:type="dxa"/>
              <w:right w:w="85" w:type="dxa"/>
            </w:tcMar>
            <w:vAlign w:val="center"/>
          </w:tcPr>
          <w:p w14:paraId="74AE9A82" w14:textId="77777777" w:rsidR="00153A91" w:rsidRDefault="00000000">
            <w:pPr>
              <w:spacing w:after="0" w:line="247" w:lineRule="auto"/>
              <w:jc w:val="center"/>
            </w:pPr>
            <w:r>
              <w:rPr>
                <w:b/>
                <w:sz w:val="16"/>
              </w:rPr>
              <w:t>Residual risk</w:t>
            </w:r>
          </w:p>
        </w:tc>
        <w:tc>
          <w:tcPr>
            <w:tcW w:w="1584" w:type="dxa"/>
            <w:shd w:val="clear" w:color="auto" w:fill="D9E2F3"/>
            <w:tcMar>
              <w:top w:w="85" w:type="dxa"/>
              <w:left w:w="85" w:type="dxa"/>
              <w:bottom w:w="85" w:type="dxa"/>
              <w:right w:w="85" w:type="dxa"/>
            </w:tcMar>
            <w:vAlign w:val="center"/>
          </w:tcPr>
          <w:p w14:paraId="696A5B85" w14:textId="77777777" w:rsidR="00153A91" w:rsidRDefault="00000000">
            <w:pPr>
              <w:spacing w:after="0" w:line="247" w:lineRule="auto"/>
              <w:jc w:val="center"/>
            </w:pPr>
            <w:r>
              <w:rPr>
                <w:b/>
                <w:sz w:val="16"/>
              </w:rPr>
              <w:t>Decision consequence</w:t>
            </w:r>
          </w:p>
        </w:tc>
        <w:tc>
          <w:tcPr>
            <w:tcW w:w="1368" w:type="dxa"/>
            <w:shd w:val="clear" w:color="auto" w:fill="D9E2F3"/>
            <w:tcMar>
              <w:top w:w="85" w:type="dxa"/>
              <w:left w:w="85" w:type="dxa"/>
              <w:bottom w:w="85" w:type="dxa"/>
              <w:right w:w="85" w:type="dxa"/>
            </w:tcMar>
            <w:vAlign w:val="center"/>
          </w:tcPr>
          <w:p w14:paraId="3045E58B" w14:textId="77777777" w:rsidR="00153A91" w:rsidRDefault="00000000">
            <w:pPr>
              <w:spacing w:after="0" w:line="247" w:lineRule="auto"/>
              <w:jc w:val="center"/>
            </w:pPr>
            <w:r>
              <w:rPr>
                <w:b/>
                <w:sz w:val="16"/>
              </w:rPr>
              <w:t>Supporting references</w:t>
            </w:r>
          </w:p>
        </w:tc>
      </w:tr>
      <w:tr w:rsidR="00153A91" w14:paraId="22152DC4" w14:textId="77777777">
        <w:trPr>
          <w:cantSplit/>
          <w:jc w:val="center"/>
        </w:trPr>
        <w:tc>
          <w:tcPr>
            <w:tcW w:w="1368" w:type="dxa"/>
            <w:tcMar>
              <w:top w:w="85" w:type="dxa"/>
              <w:left w:w="85" w:type="dxa"/>
              <w:bottom w:w="85" w:type="dxa"/>
              <w:right w:w="85" w:type="dxa"/>
            </w:tcMar>
            <w:vAlign w:val="center"/>
          </w:tcPr>
          <w:p w14:paraId="502A6E49" w14:textId="77777777" w:rsidR="00153A91" w:rsidRDefault="00000000">
            <w:pPr>
              <w:spacing w:after="0" w:line="247" w:lineRule="auto"/>
              <w:jc w:val="center"/>
            </w:pPr>
            <w:r>
              <w:rPr>
                <w:sz w:val="16"/>
              </w:rPr>
              <w:lastRenderedPageBreak/>
              <w:t>p &gt;&gt; n dimensionality</w:t>
            </w:r>
          </w:p>
        </w:tc>
        <w:tc>
          <w:tcPr>
            <w:tcW w:w="1800" w:type="dxa"/>
            <w:tcMar>
              <w:top w:w="85" w:type="dxa"/>
              <w:left w:w="85" w:type="dxa"/>
              <w:bottom w:w="85" w:type="dxa"/>
              <w:right w:w="85" w:type="dxa"/>
            </w:tcMar>
            <w:vAlign w:val="center"/>
          </w:tcPr>
          <w:p w14:paraId="06D5D651" w14:textId="77777777" w:rsidR="00153A91" w:rsidRDefault="00000000">
            <w:pPr>
              <w:spacing w:after="0" w:line="247" w:lineRule="auto"/>
            </w:pPr>
            <w:r>
              <w:rPr>
                <w:sz w:val="16"/>
              </w:rPr>
              <w:t>High-capacity models can fit noise and unstable correlations</w:t>
            </w:r>
          </w:p>
        </w:tc>
        <w:tc>
          <w:tcPr>
            <w:tcW w:w="1728" w:type="dxa"/>
            <w:tcMar>
              <w:top w:w="85" w:type="dxa"/>
              <w:left w:w="85" w:type="dxa"/>
              <w:bottom w:w="85" w:type="dxa"/>
              <w:right w:w="85" w:type="dxa"/>
            </w:tcMar>
            <w:vAlign w:val="center"/>
          </w:tcPr>
          <w:p w14:paraId="548B9533" w14:textId="77777777" w:rsidR="00153A91" w:rsidRDefault="00000000">
            <w:pPr>
              <w:spacing w:after="0" w:line="247" w:lineRule="auto"/>
            </w:pPr>
            <w:proofErr w:type="spellStart"/>
            <w:r>
              <w:rPr>
                <w:sz w:val="16"/>
              </w:rPr>
              <w:t>Regularisation</w:t>
            </w:r>
            <w:proofErr w:type="spellEnd"/>
            <w:r>
              <w:rPr>
                <w:sz w:val="16"/>
              </w:rPr>
              <w:t>, nested feature selection, biologically structured representations and larger independent populations</w:t>
            </w:r>
          </w:p>
        </w:tc>
        <w:tc>
          <w:tcPr>
            <w:tcW w:w="1512" w:type="dxa"/>
            <w:tcMar>
              <w:top w:w="85" w:type="dxa"/>
              <w:left w:w="85" w:type="dxa"/>
              <w:bottom w:w="85" w:type="dxa"/>
              <w:right w:w="85" w:type="dxa"/>
            </w:tcMar>
            <w:vAlign w:val="center"/>
          </w:tcPr>
          <w:p w14:paraId="09E7B313" w14:textId="77777777" w:rsidR="00153A91" w:rsidRDefault="00000000">
            <w:pPr>
              <w:spacing w:after="0" w:line="247" w:lineRule="auto"/>
            </w:pPr>
            <w:r>
              <w:rPr>
                <w:sz w:val="16"/>
              </w:rPr>
              <w:t>True interaction effects may remain weakly identified</w:t>
            </w:r>
          </w:p>
        </w:tc>
        <w:tc>
          <w:tcPr>
            <w:tcW w:w="1584" w:type="dxa"/>
            <w:tcMar>
              <w:top w:w="85" w:type="dxa"/>
              <w:left w:w="85" w:type="dxa"/>
              <w:bottom w:w="85" w:type="dxa"/>
              <w:right w:w="85" w:type="dxa"/>
            </w:tcMar>
            <w:vAlign w:val="center"/>
          </w:tcPr>
          <w:p w14:paraId="18CDA8CF" w14:textId="77777777" w:rsidR="00153A91" w:rsidRDefault="00000000">
            <w:pPr>
              <w:spacing w:after="0" w:line="247" w:lineRule="auto"/>
            </w:pPr>
            <w:r>
              <w:rPr>
                <w:sz w:val="16"/>
              </w:rPr>
              <w:t>Complexity should be added only after stable baseline performance</w:t>
            </w:r>
          </w:p>
        </w:tc>
        <w:tc>
          <w:tcPr>
            <w:tcW w:w="1368" w:type="dxa"/>
            <w:tcMar>
              <w:top w:w="85" w:type="dxa"/>
              <w:left w:w="85" w:type="dxa"/>
              <w:bottom w:w="85" w:type="dxa"/>
              <w:right w:w="85" w:type="dxa"/>
            </w:tcMar>
            <w:vAlign w:val="center"/>
          </w:tcPr>
          <w:p w14:paraId="24D1DCED" w14:textId="77777777" w:rsidR="00153A91" w:rsidRDefault="00000000">
            <w:pPr>
              <w:spacing w:after="0" w:line="247" w:lineRule="auto"/>
            </w:pPr>
            <w:r>
              <w:rPr>
                <w:sz w:val="16"/>
              </w:rPr>
              <w:t>(</w:t>
            </w:r>
            <w:proofErr w:type="spellStart"/>
            <w:r>
              <w:rPr>
                <w:sz w:val="16"/>
              </w:rPr>
              <w:t>Azodi</w:t>
            </w:r>
            <w:proofErr w:type="spellEnd"/>
            <w:r>
              <w:rPr>
                <w:sz w:val="16"/>
              </w:rPr>
              <w:t xml:space="preserve"> et al., 2019; Wu et al., 2024)</w:t>
            </w:r>
          </w:p>
        </w:tc>
      </w:tr>
      <w:tr w:rsidR="00153A91" w14:paraId="4EC39CC4" w14:textId="77777777">
        <w:trPr>
          <w:cantSplit/>
          <w:jc w:val="center"/>
        </w:trPr>
        <w:tc>
          <w:tcPr>
            <w:tcW w:w="1368" w:type="dxa"/>
            <w:tcMar>
              <w:top w:w="85" w:type="dxa"/>
              <w:left w:w="85" w:type="dxa"/>
              <w:bottom w:w="85" w:type="dxa"/>
              <w:right w:w="85" w:type="dxa"/>
            </w:tcMar>
            <w:vAlign w:val="center"/>
          </w:tcPr>
          <w:p w14:paraId="21897E7D" w14:textId="77777777" w:rsidR="00153A91" w:rsidRDefault="00000000">
            <w:pPr>
              <w:spacing w:after="0" w:line="247" w:lineRule="auto"/>
            </w:pPr>
            <w:r>
              <w:rPr>
                <w:sz w:val="16"/>
              </w:rPr>
              <w:t>Relatedness / population structure</w:t>
            </w:r>
          </w:p>
        </w:tc>
        <w:tc>
          <w:tcPr>
            <w:tcW w:w="1800" w:type="dxa"/>
            <w:tcMar>
              <w:top w:w="85" w:type="dxa"/>
              <w:left w:w="85" w:type="dxa"/>
              <w:bottom w:w="85" w:type="dxa"/>
              <w:right w:w="85" w:type="dxa"/>
            </w:tcMar>
            <w:vAlign w:val="center"/>
          </w:tcPr>
          <w:p w14:paraId="32C6436C" w14:textId="77777777" w:rsidR="00153A91" w:rsidRDefault="00000000">
            <w:pPr>
              <w:spacing w:after="0" w:line="247" w:lineRule="auto"/>
            </w:pPr>
            <w:r>
              <w:rPr>
                <w:sz w:val="16"/>
              </w:rPr>
              <w:t>Random folds can reward kinship interpolation rather than transferable architecture</w:t>
            </w:r>
          </w:p>
        </w:tc>
        <w:tc>
          <w:tcPr>
            <w:tcW w:w="1728" w:type="dxa"/>
            <w:tcMar>
              <w:top w:w="85" w:type="dxa"/>
              <w:left w:w="85" w:type="dxa"/>
              <w:bottom w:w="85" w:type="dxa"/>
              <w:right w:w="85" w:type="dxa"/>
            </w:tcMar>
            <w:vAlign w:val="center"/>
          </w:tcPr>
          <w:p w14:paraId="7B15610B" w14:textId="77777777" w:rsidR="00153A91" w:rsidRDefault="00000000">
            <w:pPr>
              <w:spacing w:after="0" w:line="247" w:lineRule="auto"/>
            </w:pPr>
            <w:r>
              <w:rPr>
                <w:sz w:val="16"/>
              </w:rPr>
              <w:t>Family-blocked, forward-cycle and cross-population validation</w:t>
            </w:r>
          </w:p>
        </w:tc>
        <w:tc>
          <w:tcPr>
            <w:tcW w:w="1512" w:type="dxa"/>
            <w:tcMar>
              <w:top w:w="85" w:type="dxa"/>
              <w:left w:w="85" w:type="dxa"/>
              <w:bottom w:w="85" w:type="dxa"/>
              <w:right w:w="85" w:type="dxa"/>
            </w:tcMar>
            <w:vAlign w:val="center"/>
          </w:tcPr>
          <w:p w14:paraId="7E38E8E4" w14:textId="77777777" w:rsidR="00153A91" w:rsidRDefault="00000000">
            <w:pPr>
              <w:spacing w:after="0" w:line="247" w:lineRule="auto"/>
            </w:pPr>
            <w:r>
              <w:rPr>
                <w:sz w:val="16"/>
              </w:rPr>
              <w:t xml:space="preserve">Operational </w:t>
            </w:r>
            <w:proofErr w:type="spellStart"/>
            <w:r>
              <w:rPr>
                <w:sz w:val="16"/>
              </w:rPr>
              <w:t>programmes</w:t>
            </w:r>
            <w:proofErr w:type="spellEnd"/>
            <w:r>
              <w:rPr>
                <w:sz w:val="16"/>
              </w:rPr>
              <w:t xml:space="preserve"> may legitimately exploit relatedness</w:t>
            </w:r>
          </w:p>
        </w:tc>
        <w:tc>
          <w:tcPr>
            <w:tcW w:w="1584" w:type="dxa"/>
            <w:tcMar>
              <w:top w:w="85" w:type="dxa"/>
              <w:left w:w="85" w:type="dxa"/>
              <w:bottom w:w="85" w:type="dxa"/>
              <w:right w:w="85" w:type="dxa"/>
            </w:tcMar>
            <w:vAlign w:val="center"/>
          </w:tcPr>
          <w:p w14:paraId="684B6371" w14:textId="77777777" w:rsidR="00153A91" w:rsidRDefault="00000000">
            <w:pPr>
              <w:spacing w:after="0" w:line="247" w:lineRule="auto"/>
            </w:pPr>
            <w:r>
              <w:rPr>
                <w:sz w:val="16"/>
              </w:rPr>
              <w:t>Report performance by deployment scenario</w:t>
            </w:r>
          </w:p>
        </w:tc>
        <w:tc>
          <w:tcPr>
            <w:tcW w:w="1368" w:type="dxa"/>
            <w:tcMar>
              <w:top w:w="85" w:type="dxa"/>
              <w:left w:w="85" w:type="dxa"/>
              <w:bottom w:w="85" w:type="dxa"/>
              <w:right w:w="85" w:type="dxa"/>
            </w:tcMar>
            <w:vAlign w:val="center"/>
          </w:tcPr>
          <w:p w14:paraId="2F32E68E" w14:textId="77777777" w:rsidR="00153A91" w:rsidRDefault="00000000">
            <w:pPr>
              <w:spacing w:after="0" w:line="247" w:lineRule="auto"/>
            </w:pPr>
            <w:r>
              <w:rPr>
                <w:sz w:val="16"/>
              </w:rPr>
              <w:t>(Alemu et al., 2024; Chen et al., 2023)</w:t>
            </w:r>
          </w:p>
        </w:tc>
      </w:tr>
      <w:tr w:rsidR="00153A91" w14:paraId="5C61027E" w14:textId="77777777">
        <w:trPr>
          <w:cantSplit/>
          <w:jc w:val="center"/>
        </w:trPr>
        <w:tc>
          <w:tcPr>
            <w:tcW w:w="1368" w:type="dxa"/>
            <w:tcMar>
              <w:top w:w="85" w:type="dxa"/>
              <w:left w:w="85" w:type="dxa"/>
              <w:bottom w:w="85" w:type="dxa"/>
              <w:right w:w="85" w:type="dxa"/>
            </w:tcMar>
            <w:vAlign w:val="center"/>
          </w:tcPr>
          <w:p w14:paraId="4161FA79" w14:textId="77777777" w:rsidR="00153A91" w:rsidRDefault="00000000">
            <w:pPr>
              <w:spacing w:after="0" w:line="247" w:lineRule="auto"/>
            </w:pPr>
            <w:r>
              <w:rPr>
                <w:sz w:val="16"/>
              </w:rPr>
              <w:t>Tissue, stage and batch effects</w:t>
            </w:r>
          </w:p>
        </w:tc>
        <w:tc>
          <w:tcPr>
            <w:tcW w:w="1800" w:type="dxa"/>
            <w:tcMar>
              <w:top w:w="85" w:type="dxa"/>
              <w:left w:w="85" w:type="dxa"/>
              <w:bottom w:w="85" w:type="dxa"/>
              <w:right w:w="85" w:type="dxa"/>
            </w:tcMar>
            <w:vAlign w:val="center"/>
          </w:tcPr>
          <w:p w14:paraId="66D2C3AE" w14:textId="77777777" w:rsidR="00153A91" w:rsidRDefault="00000000">
            <w:pPr>
              <w:spacing w:after="0" w:line="247" w:lineRule="auto"/>
            </w:pPr>
            <w:r>
              <w:rPr>
                <w:sz w:val="16"/>
              </w:rPr>
              <w:t>Dynamic omics can encode sampling condition instead of stable breeding signal</w:t>
            </w:r>
          </w:p>
        </w:tc>
        <w:tc>
          <w:tcPr>
            <w:tcW w:w="1728" w:type="dxa"/>
            <w:tcMar>
              <w:top w:w="85" w:type="dxa"/>
              <w:left w:w="85" w:type="dxa"/>
              <w:bottom w:w="85" w:type="dxa"/>
              <w:right w:w="85" w:type="dxa"/>
            </w:tcMar>
            <w:vAlign w:val="center"/>
          </w:tcPr>
          <w:p w14:paraId="3EA9CE3E" w14:textId="77777777" w:rsidR="00153A91" w:rsidRDefault="00000000">
            <w:pPr>
              <w:spacing w:after="0" w:line="247" w:lineRule="auto"/>
            </w:pPr>
            <w:proofErr w:type="spellStart"/>
            <w:r>
              <w:rPr>
                <w:sz w:val="16"/>
              </w:rPr>
              <w:t>Randomised</w:t>
            </w:r>
            <w:proofErr w:type="spellEnd"/>
            <w:r>
              <w:rPr>
                <w:sz w:val="16"/>
              </w:rPr>
              <w:t xml:space="preserve"> assays, blocked processing, fold-wise </w:t>
            </w:r>
            <w:proofErr w:type="spellStart"/>
            <w:r>
              <w:rPr>
                <w:sz w:val="16"/>
              </w:rPr>
              <w:t>normalisation</w:t>
            </w:r>
            <w:proofErr w:type="spellEnd"/>
            <w:r>
              <w:rPr>
                <w:sz w:val="16"/>
              </w:rPr>
              <w:t xml:space="preserve"> and replicated sampling</w:t>
            </w:r>
          </w:p>
        </w:tc>
        <w:tc>
          <w:tcPr>
            <w:tcW w:w="1512" w:type="dxa"/>
            <w:tcMar>
              <w:top w:w="85" w:type="dxa"/>
              <w:left w:w="85" w:type="dxa"/>
              <w:bottom w:w="85" w:type="dxa"/>
              <w:right w:w="85" w:type="dxa"/>
            </w:tcMar>
            <w:vAlign w:val="center"/>
          </w:tcPr>
          <w:p w14:paraId="1359E6CF" w14:textId="77777777" w:rsidR="00153A91" w:rsidRDefault="00000000">
            <w:pPr>
              <w:spacing w:after="0" w:line="247" w:lineRule="auto"/>
            </w:pPr>
            <w:r>
              <w:rPr>
                <w:sz w:val="16"/>
              </w:rPr>
              <w:t>Biological state remains genuinely context dependent</w:t>
            </w:r>
          </w:p>
        </w:tc>
        <w:tc>
          <w:tcPr>
            <w:tcW w:w="1584" w:type="dxa"/>
            <w:tcMar>
              <w:top w:w="85" w:type="dxa"/>
              <w:left w:w="85" w:type="dxa"/>
              <w:bottom w:w="85" w:type="dxa"/>
              <w:right w:w="85" w:type="dxa"/>
            </w:tcMar>
            <w:vAlign w:val="center"/>
          </w:tcPr>
          <w:p w14:paraId="7AF85535" w14:textId="77777777" w:rsidR="00153A91" w:rsidRDefault="00000000">
            <w:pPr>
              <w:spacing w:after="0" w:line="247" w:lineRule="auto"/>
            </w:pPr>
            <w:r>
              <w:rPr>
                <w:sz w:val="16"/>
              </w:rPr>
              <w:t>Assay protocol becomes part of the model specification</w:t>
            </w:r>
          </w:p>
        </w:tc>
        <w:tc>
          <w:tcPr>
            <w:tcW w:w="1368" w:type="dxa"/>
            <w:tcMar>
              <w:top w:w="85" w:type="dxa"/>
              <w:left w:w="85" w:type="dxa"/>
              <w:bottom w:w="85" w:type="dxa"/>
              <w:right w:w="85" w:type="dxa"/>
            </w:tcMar>
            <w:vAlign w:val="center"/>
          </w:tcPr>
          <w:p w14:paraId="23E9D36F" w14:textId="77777777" w:rsidR="00153A91" w:rsidRDefault="00000000">
            <w:pPr>
              <w:spacing w:after="0" w:line="247" w:lineRule="auto"/>
            </w:pPr>
            <w:r>
              <w:rPr>
                <w:sz w:val="16"/>
              </w:rPr>
              <w:t>(Guo et al., 2016; Hansen et al., 2022)</w:t>
            </w:r>
          </w:p>
        </w:tc>
      </w:tr>
      <w:tr w:rsidR="00153A91" w14:paraId="600F8374" w14:textId="77777777">
        <w:trPr>
          <w:cantSplit/>
          <w:jc w:val="center"/>
        </w:trPr>
        <w:tc>
          <w:tcPr>
            <w:tcW w:w="1368" w:type="dxa"/>
            <w:tcMar>
              <w:top w:w="85" w:type="dxa"/>
              <w:left w:w="85" w:type="dxa"/>
              <w:bottom w:w="85" w:type="dxa"/>
              <w:right w:w="85" w:type="dxa"/>
            </w:tcMar>
            <w:vAlign w:val="center"/>
          </w:tcPr>
          <w:p w14:paraId="10A98C52" w14:textId="77777777" w:rsidR="00153A91" w:rsidRDefault="00000000">
            <w:pPr>
              <w:spacing w:after="0" w:line="247" w:lineRule="auto"/>
            </w:pPr>
            <w:r>
              <w:rPr>
                <w:sz w:val="16"/>
              </w:rPr>
              <w:t>Novel-environment transfer</w:t>
            </w:r>
          </w:p>
        </w:tc>
        <w:tc>
          <w:tcPr>
            <w:tcW w:w="1800" w:type="dxa"/>
            <w:tcMar>
              <w:top w:w="85" w:type="dxa"/>
              <w:left w:w="85" w:type="dxa"/>
              <w:bottom w:w="85" w:type="dxa"/>
              <w:right w:w="85" w:type="dxa"/>
            </w:tcMar>
            <w:vAlign w:val="center"/>
          </w:tcPr>
          <w:p w14:paraId="5378D285" w14:textId="77777777" w:rsidR="00153A91" w:rsidRDefault="00000000">
            <w:pPr>
              <w:spacing w:after="0" w:line="247" w:lineRule="auto"/>
            </w:pPr>
            <w:r>
              <w:rPr>
                <w:sz w:val="16"/>
              </w:rPr>
              <w:t>Interpolation among familiar trials can overstate climate robustness</w:t>
            </w:r>
          </w:p>
        </w:tc>
        <w:tc>
          <w:tcPr>
            <w:tcW w:w="1728" w:type="dxa"/>
            <w:tcMar>
              <w:top w:w="85" w:type="dxa"/>
              <w:left w:w="85" w:type="dxa"/>
              <w:bottom w:w="85" w:type="dxa"/>
              <w:right w:w="85" w:type="dxa"/>
            </w:tcMar>
            <w:vAlign w:val="center"/>
          </w:tcPr>
          <w:p w14:paraId="5D312303" w14:textId="77777777" w:rsidR="00153A91" w:rsidRDefault="00000000">
            <w:pPr>
              <w:spacing w:after="0" w:line="247" w:lineRule="auto"/>
            </w:pPr>
            <w:r>
              <w:rPr>
                <w:sz w:val="16"/>
              </w:rPr>
              <w:t>Environmental holdouts, reaction norms and explicit covariate transfer tests</w:t>
            </w:r>
          </w:p>
        </w:tc>
        <w:tc>
          <w:tcPr>
            <w:tcW w:w="1512" w:type="dxa"/>
            <w:tcMar>
              <w:top w:w="85" w:type="dxa"/>
              <w:left w:w="85" w:type="dxa"/>
              <w:bottom w:w="85" w:type="dxa"/>
              <w:right w:w="85" w:type="dxa"/>
            </w:tcMar>
            <w:vAlign w:val="center"/>
          </w:tcPr>
          <w:p w14:paraId="41191D1B" w14:textId="77777777" w:rsidR="00153A91" w:rsidRDefault="00000000">
            <w:pPr>
              <w:spacing w:after="0" w:line="247" w:lineRule="auto"/>
            </w:pPr>
            <w:r>
              <w:rPr>
                <w:sz w:val="16"/>
              </w:rPr>
              <w:t>Future climates may lie outside observed covariate space</w:t>
            </w:r>
          </w:p>
        </w:tc>
        <w:tc>
          <w:tcPr>
            <w:tcW w:w="1584" w:type="dxa"/>
            <w:tcMar>
              <w:top w:w="85" w:type="dxa"/>
              <w:left w:w="85" w:type="dxa"/>
              <w:bottom w:w="85" w:type="dxa"/>
              <w:right w:w="85" w:type="dxa"/>
            </w:tcMar>
            <w:vAlign w:val="center"/>
          </w:tcPr>
          <w:p w14:paraId="7B7E67AD" w14:textId="77777777" w:rsidR="00153A91" w:rsidRDefault="00000000">
            <w:pPr>
              <w:spacing w:after="0" w:line="247" w:lineRule="auto"/>
            </w:pPr>
            <w:r>
              <w:rPr>
                <w:sz w:val="16"/>
              </w:rPr>
              <w:t>Separate known-environment accuracy from extrapolation claims</w:t>
            </w:r>
          </w:p>
        </w:tc>
        <w:tc>
          <w:tcPr>
            <w:tcW w:w="1368" w:type="dxa"/>
            <w:tcMar>
              <w:top w:w="85" w:type="dxa"/>
              <w:left w:w="85" w:type="dxa"/>
              <w:bottom w:w="85" w:type="dxa"/>
              <w:right w:w="85" w:type="dxa"/>
            </w:tcMar>
            <w:vAlign w:val="center"/>
          </w:tcPr>
          <w:p w14:paraId="3B5C5401" w14:textId="77777777" w:rsidR="00153A91" w:rsidRDefault="00000000">
            <w:pPr>
              <w:spacing w:after="0" w:line="247" w:lineRule="auto"/>
            </w:pPr>
            <w:r>
              <w:rPr>
                <w:sz w:val="16"/>
              </w:rPr>
              <w:t>(Jarquín et al., 2014; Sagae et al., 2026)</w:t>
            </w:r>
          </w:p>
        </w:tc>
      </w:tr>
      <w:tr w:rsidR="00153A91" w14:paraId="04655085" w14:textId="77777777">
        <w:trPr>
          <w:cantSplit/>
          <w:jc w:val="center"/>
        </w:trPr>
        <w:tc>
          <w:tcPr>
            <w:tcW w:w="1368" w:type="dxa"/>
            <w:tcMar>
              <w:top w:w="85" w:type="dxa"/>
              <w:left w:w="85" w:type="dxa"/>
              <w:bottom w:w="85" w:type="dxa"/>
              <w:right w:w="85" w:type="dxa"/>
            </w:tcMar>
            <w:vAlign w:val="center"/>
          </w:tcPr>
          <w:p w14:paraId="4E32D1DB" w14:textId="77777777" w:rsidR="00153A91" w:rsidRDefault="00000000">
            <w:pPr>
              <w:spacing w:after="0" w:line="247" w:lineRule="auto"/>
              <w:jc w:val="center"/>
            </w:pPr>
            <w:r>
              <w:rPr>
                <w:sz w:val="16"/>
              </w:rPr>
              <w:t>Missing modalities</w:t>
            </w:r>
          </w:p>
        </w:tc>
        <w:tc>
          <w:tcPr>
            <w:tcW w:w="1800" w:type="dxa"/>
            <w:tcMar>
              <w:top w:w="85" w:type="dxa"/>
              <w:left w:w="85" w:type="dxa"/>
              <w:bottom w:w="85" w:type="dxa"/>
              <w:right w:w="85" w:type="dxa"/>
            </w:tcMar>
            <w:vAlign w:val="center"/>
          </w:tcPr>
          <w:p w14:paraId="0EA99ACC" w14:textId="77777777" w:rsidR="00153A91" w:rsidRDefault="00000000">
            <w:pPr>
              <w:spacing w:after="0" w:line="247" w:lineRule="auto"/>
            </w:pPr>
            <w:r>
              <w:rPr>
                <w:sz w:val="16"/>
              </w:rPr>
              <w:t>Complete-case analyses reduce sample size and bias toward well-</w:t>
            </w:r>
            <w:proofErr w:type="spellStart"/>
            <w:r>
              <w:rPr>
                <w:sz w:val="16"/>
              </w:rPr>
              <w:t>characterised</w:t>
            </w:r>
            <w:proofErr w:type="spellEnd"/>
            <w:r>
              <w:rPr>
                <w:sz w:val="16"/>
              </w:rPr>
              <w:t xml:space="preserve"> material</w:t>
            </w:r>
          </w:p>
        </w:tc>
        <w:tc>
          <w:tcPr>
            <w:tcW w:w="1728" w:type="dxa"/>
            <w:tcMar>
              <w:top w:w="85" w:type="dxa"/>
              <w:left w:w="85" w:type="dxa"/>
              <w:bottom w:w="85" w:type="dxa"/>
              <w:right w:w="85" w:type="dxa"/>
            </w:tcMar>
            <w:vAlign w:val="center"/>
          </w:tcPr>
          <w:p w14:paraId="1BA44E97" w14:textId="77777777" w:rsidR="00153A91" w:rsidRDefault="00000000">
            <w:pPr>
              <w:spacing w:after="0" w:line="247" w:lineRule="auto"/>
            </w:pPr>
            <w:r>
              <w:rPr>
                <w:sz w:val="16"/>
              </w:rPr>
              <w:t>Modality dropout, late fusion, probabilistic imputation and distilled proxy models</w:t>
            </w:r>
          </w:p>
        </w:tc>
        <w:tc>
          <w:tcPr>
            <w:tcW w:w="1512" w:type="dxa"/>
            <w:tcMar>
              <w:top w:w="85" w:type="dxa"/>
              <w:left w:w="85" w:type="dxa"/>
              <w:bottom w:w="85" w:type="dxa"/>
              <w:right w:w="85" w:type="dxa"/>
            </w:tcMar>
            <w:vAlign w:val="center"/>
          </w:tcPr>
          <w:p w14:paraId="0967BF77" w14:textId="77777777" w:rsidR="00153A91" w:rsidRDefault="00000000">
            <w:pPr>
              <w:spacing w:after="0" w:line="247" w:lineRule="auto"/>
            </w:pPr>
            <w:r>
              <w:rPr>
                <w:sz w:val="16"/>
              </w:rPr>
              <w:t>Uncertainty can remain poorly calibrated</w:t>
            </w:r>
          </w:p>
        </w:tc>
        <w:tc>
          <w:tcPr>
            <w:tcW w:w="1584" w:type="dxa"/>
            <w:tcMar>
              <w:top w:w="85" w:type="dxa"/>
              <w:left w:w="85" w:type="dxa"/>
              <w:bottom w:w="85" w:type="dxa"/>
              <w:right w:w="85" w:type="dxa"/>
            </w:tcMar>
            <w:vAlign w:val="center"/>
          </w:tcPr>
          <w:p w14:paraId="6C28EC14" w14:textId="77777777" w:rsidR="00153A91" w:rsidRDefault="00000000">
            <w:pPr>
              <w:spacing w:after="0" w:line="247" w:lineRule="auto"/>
            </w:pPr>
            <w:r>
              <w:rPr>
                <w:sz w:val="16"/>
              </w:rPr>
              <w:t>Evaluate performance when whole modalities are absent</w:t>
            </w:r>
          </w:p>
        </w:tc>
        <w:tc>
          <w:tcPr>
            <w:tcW w:w="1368" w:type="dxa"/>
            <w:tcMar>
              <w:top w:w="85" w:type="dxa"/>
              <w:left w:w="85" w:type="dxa"/>
              <w:bottom w:w="85" w:type="dxa"/>
              <w:right w:w="85" w:type="dxa"/>
            </w:tcMar>
            <w:vAlign w:val="center"/>
          </w:tcPr>
          <w:p w14:paraId="78F5AFC7" w14:textId="77777777" w:rsidR="00153A91" w:rsidRDefault="00000000">
            <w:pPr>
              <w:spacing w:after="0" w:line="247" w:lineRule="auto"/>
            </w:pPr>
            <w:r>
              <w:rPr>
                <w:sz w:val="16"/>
              </w:rPr>
              <w:t xml:space="preserve">(O. A. Montesinos-López et al., 2024; Tsega &amp; </w:t>
            </w:r>
            <w:proofErr w:type="spellStart"/>
            <w:r>
              <w:rPr>
                <w:sz w:val="16"/>
              </w:rPr>
              <w:t>Mullualem</w:t>
            </w:r>
            <w:proofErr w:type="spellEnd"/>
            <w:r>
              <w:rPr>
                <w:sz w:val="16"/>
              </w:rPr>
              <w:t>, 2026)</w:t>
            </w:r>
          </w:p>
        </w:tc>
      </w:tr>
      <w:tr w:rsidR="00153A91" w14:paraId="79034FA8" w14:textId="77777777">
        <w:trPr>
          <w:cantSplit/>
          <w:jc w:val="center"/>
        </w:trPr>
        <w:tc>
          <w:tcPr>
            <w:tcW w:w="1368" w:type="dxa"/>
            <w:tcMar>
              <w:top w:w="85" w:type="dxa"/>
              <w:left w:w="85" w:type="dxa"/>
              <w:bottom w:w="85" w:type="dxa"/>
              <w:right w:w="85" w:type="dxa"/>
            </w:tcMar>
            <w:vAlign w:val="center"/>
          </w:tcPr>
          <w:p w14:paraId="3DCEAF18" w14:textId="77777777" w:rsidR="00153A91" w:rsidRDefault="00000000">
            <w:pPr>
              <w:spacing w:after="0" w:line="247" w:lineRule="auto"/>
            </w:pPr>
            <w:r>
              <w:rPr>
                <w:sz w:val="16"/>
              </w:rPr>
              <w:t>Explainability / causality gap</w:t>
            </w:r>
          </w:p>
        </w:tc>
        <w:tc>
          <w:tcPr>
            <w:tcW w:w="1800" w:type="dxa"/>
            <w:tcMar>
              <w:top w:w="85" w:type="dxa"/>
              <w:left w:w="85" w:type="dxa"/>
              <w:bottom w:w="85" w:type="dxa"/>
              <w:right w:w="85" w:type="dxa"/>
            </w:tcMar>
            <w:vAlign w:val="center"/>
          </w:tcPr>
          <w:p w14:paraId="3D200F13" w14:textId="77777777" w:rsidR="00153A91" w:rsidRDefault="00000000">
            <w:pPr>
              <w:spacing w:after="0" w:line="247" w:lineRule="auto"/>
            </w:pPr>
            <w:r>
              <w:rPr>
                <w:sz w:val="16"/>
              </w:rPr>
              <w:t>Attribution identifies model dependence, not necessarily biological intervention targets</w:t>
            </w:r>
          </w:p>
        </w:tc>
        <w:tc>
          <w:tcPr>
            <w:tcW w:w="1728" w:type="dxa"/>
            <w:tcMar>
              <w:top w:w="85" w:type="dxa"/>
              <w:left w:w="85" w:type="dxa"/>
              <w:bottom w:w="85" w:type="dxa"/>
              <w:right w:w="85" w:type="dxa"/>
            </w:tcMar>
            <w:vAlign w:val="center"/>
          </w:tcPr>
          <w:p w14:paraId="11EF2033" w14:textId="77777777" w:rsidR="00153A91" w:rsidRDefault="00000000">
            <w:pPr>
              <w:spacing w:after="0" w:line="247" w:lineRule="auto"/>
            </w:pPr>
            <w:r>
              <w:rPr>
                <w:sz w:val="16"/>
              </w:rPr>
              <w:t>Independent populations, perturbation, fine mapping and functional validation</w:t>
            </w:r>
          </w:p>
        </w:tc>
        <w:tc>
          <w:tcPr>
            <w:tcW w:w="1512" w:type="dxa"/>
            <w:tcMar>
              <w:top w:w="85" w:type="dxa"/>
              <w:left w:w="85" w:type="dxa"/>
              <w:bottom w:w="85" w:type="dxa"/>
              <w:right w:w="85" w:type="dxa"/>
            </w:tcMar>
            <w:vAlign w:val="center"/>
          </w:tcPr>
          <w:p w14:paraId="1DB30545" w14:textId="77777777" w:rsidR="00153A91" w:rsidRDefault="00000000">
            <w:pPr>
              <w:spacing w:after="0" w:line="247" w:lineRule="auto"/>
            </w:pPr>
            <w:r>
              <w:rPr>
                <w:sz w:val="16"/>
              </w:rPr>
              <w:t>Pleiotropy and background dependence can persist</w:t>
            </w:r>
          </w:p>
        </w:tc>
        <w:tc>
          <w:tcPr>
            <w:tcW w:w="1584" w:type="dxa"/>
            <w:tcMar>
              <w:top w:w="85" w:type="dxa"/>
              <w:left w:w="85" w:type="dxa"/>
              <w:bottom w:w="85" w:type="dxa"/>
              <w:right w:w="85" w:type="dxa"/>
            </w:tcMar>
            <w:vAlign w:val="center"/>
          </w:tcPr>
          <w:p w14:paraId="77DDD924" w14:textId="77777777" w:rsidR="00153A91" w:rsidRDefault="00000000">
            <w:pPr>
              <w:spacing w:after="0" w:line="247" w:lineRule="auto"/>
            </w:pPr>
            <w:r>
              <w:rPr>
                <w:sz w:val="16"/>
              </w:rPr>
              <w:t>Separate prediction claims from mechanistic claims</w:t>
            </w:r>
          </w:p>
        </w:tc>
        <w:tc>
          <w:tcPr>
            <w:tcW w:w="1368" w:type="dxa"/>
            <w:tcMar>
              <w:top w:w="85" w:type="dxa"/>
              <w:left w:w="85" w:type="dxa"/>
              <w:bottom w:w="85" w:type="dxa"/>
              <w:right w:w="85" w:type="dxa"/>
            </w:tcMar>
            <w:vAlign w:val="center"/>
          </w:tcPr>
          <w:p w14:paraId="14E0394F" w14:textId="77777777" w:rsidR="00153A91" w:rsidRDefault="00000000">
            <w:pPr>
              <w:spacing w:after="0" w:line="247" w:lineRule="auto"/>
            </w:pPr>
            <w:r>
              <w:rPr>
                <w:sz w:val="16"/>
              </w:rPr>
              <w:t>(Feng et al., 2025; Wang, Lehti-Shiu, et al., 2024; Zhang et al., 2021)</w:t>
            </w:r>
          </w:p>
        </w:tc>
      </w:tr>
      <w:tr w:rsidR="00153A91" w14:paraId="25785FFF" w14:textId="77777777">
        <w:trPr>
          <w:cantSplit/>
          <w:jc w:val="center"/>
        </w:trPr>
        <w:tc>
          <w:tcPr>
            <w:tcW w:w="1368" w:type="dxa"/>
            <w:tcMar>
              <w:top w:w="85" w:type="dxa"/>
              <w:left w:w="85" w:type="dxa"/>
              <w:bottom w:w="85" w:type="dxa"/>
              <w:right w:w="85" w:type="dxa"/>
            </w:tcMar>
            <w:vAlign w:val="center"/>
          </w:tcPr>
          <w:p w14:paraId="0F13D692" w14:textId="77777777" w:rsidR="00153A91" w:rsidRDefault="00000000">
            <w:pPr>
              <w:spacing w:after="0" w:line="247" w:lineRule="auto"/>
            </w:pPr>
            <w:r>
              <w:rPr>
                <w:sz w:val="16"/>
              </w:rPr>
              <w:t>Reference bias / polyploid complexity</w:t>
            </w:r>
          </w:p>
        </w:tc>
        <w:tc>
          <w:tcPr>
            <w:tcW w:w="1800" w:type="dxa"/>
            <w:tcMar>
              <w:top w:w="85" w:type="dxa"/>
              <w:left w:w="85" w:type="dxa"/>
              <w:bottom w:w="85" w:type="dxa"/>
              <w:right w:w="85" w:type="dxa"/>
            </w:tcMar>
            <w:vAlign w:val="center"/>
          </w:tcPr>
          <w:p w14:paraId="071B604E" w14:textId="77777777" w:rsidR="00153A91" w:rsidRDefault="00000000">
            <w:pPr>
              <w:spacing w:after="0" w:line="247" w:lineRule="auto"/>
            </w:pPr>
            <w:r>
              <w:rPr>
                <w:sz w:val="16"/>
              </w:rPr>
              <w:t>Linear references and additive dosage assumptions can miss structural and non-additive effects</w:t>
            </w:r>
          </w:p>
        </w:tc>
        <w:tc>
          <w:tcPr>
            <w:tcW w:w="1728" w:type="dxa"/>
            <w:tcMar>
              <w:top w:w="85" w:type="dxa"/>
              <w:left w:w="85" w:type="dxa"/>
              <w:bottom w:w="85" w:type="dxa"/>
              <w:right w:w="85" w:type="dxa"/>
            </w:tcMar>
            <w:vAlign w:val="center"/>
          </w:tcPr>
          <w:p w14:paraId="404A4BD4" w14:textId="77777777" w:rsidR="00153A91" w:rsidRDefault="00000000">
            <w:pPr>
              <w:spacing w:after="0" w:line="247" w:lineRule="auto"/>
            </w:pPr>
            <w:r>
              <w:rPr>
                <w:sz w:val="16"/>
              </w:rPr>
              <w:t>Pangenome graphs, dosage-aware models and explicit dominance/epistasis</w:t>
            </w:r>
          </w:p>
        </w:tc>
        <w:tc>
          <w:tcPr>
            <w:tcW w:w="1512" w:type="dxa"/>
            <w:tcMar>
              <w:top w:w="85" w:type="dxa"/>
              <w:left w:w="85" w:type="dxa"/>
              <w:bottom w:w="85" w:type="dxa"/>
              <w:right w:w="85" w:type="dxa"/>
            </w:tcMar>
            <w:vAlign w:val="center"/>
          </w:tcPr>
          <w:p w14:paraId="7D4BE665" w14:textId="77777777" w:rsidR="00153A91" w:rsidRDefault="00000000">
            <w:pPr>
              <w:spacing w:after="0" w:line="247" w:lineRule="auto"/>
            </w:pPr>
            <w:r>
              <w:rPr>
                <w:sz w:val="16"/>
              </w:rPr>
              <w:t>High-quality representations remain uneven across crops</w:t>
            </w:r>
          </w:p>
        </w:tc>
        <w:tc>
          <w:tcPr>
            <w:tcW w:w="1584" w:type="dxa"/>
            <w:tcMar>
              <w:top w:w="85" w:type="dxa"/>
              <w:left w:w="85" w:type="dxa"/>
              <w:bottom w:w="85" w:type="dxa"/>
              <w:right w:w="85" w:type="dxa"/>
            </w:tcMar>
            <w:vAlign w:val="center"/>
          </w:tcPr>
          <w:p w14:paraId="63D29D7C" w14:textId="77777777" w:rsidR="00153A91" w:rsidRDefault="00000000">
            <w:pPr>
              <w:spacing w:after="0" w:line="247" w:lineRule="auto"/>
            </w:pPr>
            <w:r>
              <w:rPr>
                <w:sz w:val="16"/>
              </w:rPr>
              <w:t xml:space="preserve">Better biological </w:t>
            </w:r>
            <w:proofErr w:type="spellStart"/>
            <w:r>
              <w:rPr>
                <w:sz w:val="16"/>
              </w:rPr>
              <w:t>parameterisation</w:t>
            </w:r>
            <w:proofErr w:type="spellEnd"/>
            <w:r>
              <w:rPr>
                <w:sz w:val="16"/>
              </w:rPr>
              <w:t xml:space="preserve"> may outperform generic AI</w:t>
            </w:r>
          </w:p>
        </w:tc>
        <w:tc>
          <w:tcPr>
            <w:tcW w:w="1368" w:type="dxa"/>
            <w:tcMar>
              <w:top w:w="85" w:type="dxa"/>
              <w:left w:w="85" w:type="dxa"/>
              <w:bottom w:w="85" w:type="dxa"/>
              <w:right w:w="85" w:type="dxa"/>
            </w:tcMar>
            <w:vAlign w:val="center"/>
          </w:tcPr>
          <w:p w14:paraId="21F0945C" w14:textId="77777777" w:rsidR="00153A91" w:rsidRDefault="00000000">
            <w:pPr>
              <w:spacing w:after="0" w:line="247" w:lineRule="auto"/>
            </w:pPr>
            <w:r>
              <w:rPr>
                <w:sz w:val="16"/>
              </w:rPr>
              <w:t>(Bayer et al., 2021; Chen et al., 2023; Zanini et al., 2022)</w:t>
            </w:r>
          </w:p>
        </w:tc>
      </w:tr>
      <w:tr w:rsidR="00153A91" w14:paraId="0040AD3C" w14:textId="77777777">
        <w:trPr>
          <w:cantSplit/>
          <w:jc w:val="center"/>
        </w:trPr>
        <w:tc>
          <w:tcPr>
            <w:tcW w:w="1368" w:type="dxa"/>
            <w:tcMar>
              <w:top w:w="85" w:type="dxa"/>
              <w:left w:w="85" w:type="dxa"/>
              <w:bottom w:w="85" w:type="dxa"/>
              <w:right w:w="85" w:type="dxa"/>
            </w:tcMar>
            <w:vAlign w:val="center"/>
          </w:tcPr>
          <w:p w14:paraId="1607738F" w14:textId="77777777" w:rsidR="00153A91" w:rsidRDefault="00000000">
            <w:pPr>
              <w:spacing w:after="0" w:line="247" w:lineRule="auto"/>
              <w:jc w:val="center"/>
            </w:pPr>
            <w:r>
              <w:rPr>
                <w:sz w:val="16"/>
              </w:rPr>
              <w:t>Cost and throughput</w:t>
            </w:r>
          </w:p>
        </w:tc>
        <w:tc>
          <w:tcPr>
            <w:tcW w:w="1800" w:type="dxa"/>
            <w:tcMar>
              <w:top w:w="85" w:type="dxa"/>
              <w:left w:w="85" w:type="dxa"/>
              <w:bottom w:w="85" w:type="dxa"/>
              <w:right w:w="85" w:type="dxa"/>
            </w:tcMar>
            <w:vAlign w:val="center"/>
          </w:tcPr>
          <w:p w14:paraId="36E8F816" w14:textId="77777777" w:rsidR="00153A91" w:rsidRDefault="00000000">
            <w:pPr>
              <w:spacing w:after="0" w:line="247" w:lineRule="auto"/>
            </w:pPr>
            <w:r>
              <w:rPr>
                <w:sz w:val="16"/>
              </w:rPr>
              <w:t>Small accuracy gains may not repay assay expense or delay</w:t>
            </w:r>
          </w:p>
        </w:tc>
        <w:tc>
          <w:tcPr>
            <w:tcW w:w="1728" w:type="dxa"/>
            <w:tcMar>
              <w:top w:w="85" w:type="dxa"/>
              <w:left w:w="85" w:type="dxa"/>
              <w:bottom w:w="85" w:type="dxa"/>
              <w:right w:w="85" w:type="dxa"/>
            </w:tcMar>
            <w:vAlign w:val="center"/>
          </w:tcPr>
          <w:p w14:paraId="2282343E" w14:textId="77777777" w:rsidR="00153A91" w:rsidRDefault="00000000">
            <w:pPr>
              <w:spacing w:after="0" w:line="247" w:lineRule="auto"/>
            </w:pPr>
            <w:r>
              <w:rPr>
                <w:sz w:val="16"/>
              </w:rPr>
              <w:t>Stage-specific multi-omics, low-cost sensor proxies and value-of-information analysis</w:t>
            </w:r>
          </w:p>
        </w:tc>
        <w:tc>
          <w:tcPr>
            <w:tcW w:w="1512" w:type="dxa"/>
            <w:tcMar>
              <w:top w:w="85" w:type="dxa"/>
              <w:left w:w="85" w:type="dxa"/>
              <w:bottom w:w="85" w:type="dxa"/>
              <w:right w:w="85" w:type="dxa"/>
            </w:tcMar>
            <w:vAlign w:val="center"/>
          </w:tcPr>
          <w:p w14:paraId="781AF69A" w14:textId="77777777" w:rsidR="00153A91" w:rsidRDefault="00000000">
            <w:pPr>
              <w:spacing w:after="0" w:line="247" w:lineRule="auto"/>
            </w:pPr>
            <w:r>
              <w:rPr>
                <w:sz w:val="16"/>
              </w:rPr>
              <w:t xml:space="preserve">Costs vary rapidly by platform and </w:t>
            </w:r>
            <w:proofErr w:type="spellStart"/>
            <w:r>
              <w:rPr>
                <w:sz w:val="16"/>
              </w:rPr>
              <w:t>programme</w:t>
            </w:r>
            <w:proofErr w:type="spellEnd"/>
            <w:r>
              <w:rPr>
                <w:sz w:val="16"/>
              </w:rPr>
              <w:t xml:space="preserve"> scale</w:t>
            </w:r>
          </w:p>
        </w:tc>
        <w:tc>
          <w:tcPr>
            <w:tcW w:w="1584" w:type="dxa"/>
            <w:tcMar>
              <w:top w:w="85" w:type="dxa"/>
              <w:left w:w="85" w:type="dxa"/>
              <w:bottom w:w="85" w:type="dxa"/>
              <w:right w:w="85" w:type="dxa"/>
            </w:tcMar>
            <w:vAlign w:val="center"/>
          </w:tcPr>
          <w:p w14:paraId="3D73681C" w14:textId="77777777" w:rsidR="00153A91" w:rsidRDefault="00000000">
            <w:pPr>
              <w:spacing w:after="0" w:line="247" w:lineRule="auto"/>
            </w:pPr>
            <w:proofErr w:type="spellStart"/>
            <w:r>
              <w:rPr>
                <w:sz w:val="16"/>
              </w:rPr>
              <w:t>Optimise</w:t>
            </w:r>
            <w:proofErr w:type="spellEnd"/>
            <w:r>
              <w:rPr>
                <w:sz w:val="16"/>
              </w:rPr>
              <w:t xml:space="preserve"> genetic gain per unit time and cost</w:t>
            </w:r>
          </w:p>
        </w:tc>
        <w:tc>
          <w:tcPr>
            <w:tcW w:w="1368" w:type="dxa"/>
            <w:tcMar>
              <w:top w:w="85" w:type="dxa"/>
              <w:left w:w="85" w:type="dxa"/>
              <w:bottom w:w="85" w:type="dxa"/>
              <w:right w:w="85" w:type="dxa"/>
            </w:tcMar>
            <w:vAlign w:val="center"/>
          </w:tcPr>
          <w:p w14:paraId="0F6DBEE2" w14:textId="77777777" w:rsidR="00153A91" w:rsidRDefault="00000000">
            <w:pPr>
              <w:spacing w:after="0" w:line="247" w:lineRule="auto"/>
            </w:pPr>
            <w:r>
              <w:rPr>
                <w:sz w:val="16"/>
              </w:rPr>
              <w:t>(Feng et al., 2025; Hickey et al., 2017)</w:t>
            </w:r>
          </w:p>
        </w:tc>
      </w:tr>
    </w:tbl>
    <w:p w14:paraId="4C429510" w14:textId="77777777" w:rsidR="00153A91" w:rsidRDefault="00000000">
      <w:pPr>
        <w:spacing w:before="60" w:after="160"/>
      </w:pPr>
      <w:r>
        <w:rPr>
          <w:i/>
          <w:sz w:val="16"/>
        </w:rPr>
        <w:t xml:space="preserve">Note. </w:t>
      </w:r>
      <w:r>
        <w:rPr>
          <w:sz w:val="16"/>
        </w:rPr>
        <w:t>p &gt;&gt; n denotes feature dimension greatly exceeding independent sample size. Several challenges interact, so correcting one source of bias does not guarantee model transfer.</w:t>
      </w:r>
    </w:p>
    <w:p w14:paraId="315D5E7B" w14:textId="77777777" w:rsidR="00153A91" w:rsidRDefault="00000000">
      <w:pPr>
        <w:pStyle w:val="Heading1"/>
      </w:pPr>
      <w:r>
        <w:rPr>
          <w:rFonts w:ascii="Times New Roman" w:eastAsia="Times New Roman" w:hAnsi="Times New Roman"/>
        </w:rPr>
        <w:t>8. A Translational Framework for Next-Generation Crop Improvement</w:t>
      </w:r>
    </w:p>
    <w:p w14:paraId="65FE6A79" w14:textId="77777777" w:rsidR="00153A91" w:rsidRDefault="00000000">
      <w:pPr>
        <w:pStyle w:val="BodyTextAcademic"/>
      </w:pPr>
      <w:r>
        <w:t>A useful translational framework begins by separating three objectives that are often conflated: prediction of breeding value, discovery of biological mechanism and measurement substitution. Prediction seeks the best ranking of candidates; mechanism seeks interpretable causal or regulatory knowledge; measurement substitution seeks a cheaper proxy for an expensive trait or omics assay. The optimal data and model differ for each. Genomic markers and well-structured statistical models may be sufficient for prediction in a closely related population, whereas discovery may justify deep transcriptomic or single-cell profiling. Hyperspectral sensing linked to metabolomics can be valuable as a proxy even when it does not identify the causal gene.</w:t>
      </w:r>
    </w:p>
    <w:p w14:paraId="6C47A355" w14:textId="77777777" w:rsidR="00153A91" w:rsidRDefault="00000000">
      <w:pPr>
        <w:pStyle w:val="BodyTextAcademic"/>
      </w:pPr>
      <w:r>
        <w:t xml:space="preserve">The first stage should therefore define the breeding decision. For early-generation selection, low cost and high throughput are dominant; for parent or hybrid selection, more expensive multi-omics may be justified because far fewer candidates are profiled and the decision influences many progeny. Hybrid studies in maize and canola demonstrate this asymmetry: parental transcriptomics can add information before producing all </w:t>
      </w:r>
      <w:r>
        <w:lastRenderedPageBreak/>
        <w:t>possible crosses (Knoch et al., 2021; Schrag et al., 2018; Westhues et al., 2017). For stress adaptation, the relevant decision may be which lines to advance into target environments; environmental covariates and dynamic phenomics can then be as important as molecular layers.</w:t>
      </w:r>
    </w:p>
    <w:p w14:paraId="1351EBFE" w14:textId="77777777" w:rsidR="00153A91" w:rsidRDefault="00000000">
      <w:pPr>
        <w:pStyle w:val="BodyTextAcademic"/>
      </w:pPr>
      <w:r>
        <w:t>The second stage is to classify each modality by what it contributes beyond existing data. Stable inherited layers such as markers and structural variants mainly improve genetic representation. Expression, methylation, proteins and metabolites provide state-dependent intermediates. Phenomics provides repeated organism-level response, and environmental covariates define exposure. Features should be retained when they supply incremental information under nested validation, not simply because their within-sample association is high. Modality ablation is particularly informative: if removing a transcriptome branch does not reduce prospective performance, the branch is not providing operational value even if its attention scores appear biologically plausible.</w:t>
      </w:r>
    </w:p>
    <w:p w14:paraId="48D72958" w14:textId="77777777" w:rsidR="00153A91" w:rsidRDefault="00000000">
      <w:pPr>
        <w:pStyle w:val="BodyTextAcademic"/>
      </w:pPr>
      <w:r>
        <w:t xml:space="preserve">The third stage is model selection under a baseline ladder. A credible comparison should begin with phenotype-only or pedigree models where relevant, then genomic GBLUP or a comparable shrinkage model, followed by nonlinear kernels or tree ensembles, and only then deep or multimodal architectures. Each additional level should be justified by reproducible incremental value. This ladder prevents a sophisticated model from being credited with gains that arise merely from access to additional modalities or from comparison with an unsuitable baseline. The mixed findings of </w:t>
      </w:r>
      <w:proofErr w:type="spellStart"/>
      <w:r>
        <w:t>Azodi</w:t>
      </w:r>
      <w:proofErr w:type="spellEnd"/>
      <w:r>
        <w:t xml:space="preserve"> et al. (2019), O. A. Montesinos-López et al. (2018), A. Montesinos-López et al. (2023) and Chen et al. (2023) make this requirement especially important.</w:t>
      </w:r>
    </w:p>
    <w:p w14:paraId="0159E60C" w14:textId="77777777" w:rsidR="00153A91" w:rsidRDefault="00000000">
      <w:pPr>
        <w:pStyle w:val="BodyTextAcademic"/>
      </w:pPr>
      <w:r>
        <w:t xml:space="preserve">The fourth stage is validation matched to deployment. Random cross-validation is useful for model development but insufficient for broad claims. Breeding </w:t>
      </w:r>
      <w:proofErr w:type="spellStart"/>
      <w:r>
        <w:t>programmes</w:t>
      </w:r>
      <w:proofErr w:type="spellEnd"/>
      <w:r>
        <w:t xml:space="preserve"> should use forward-cycle tests, family-blocked prediction and multi-environment holdouts. Models intended for climate resilience require explicit new-environment tests, not only withheld plots within familiar trials. Models intended for diverse germplasm should be challenged on genetic groups that are absent or rare in training. The observed difficulty of extrapolating environmental models and cross-year </w:t>
      </w:r>
      <w:proofErr w:type="spellStart"/>
      <w:r>
        <w:t>phenomic</w:t>
      </w:r>
      <w:proofErr w:type="spellEnd"/>
      <w:r>
        <w:t xml:space="preserve"> models shows why this distinction matters (Juliana et al., 2019; Sagae et al., 2026).</w:t>
      </w:r>
    </w:p>
    <w:p w14:paraId="70DAFC00" w14:textId="77777777" w:rsidR="00153A91" w:rsidRDefault="00000000">
      <w:pPr>
        <w:pStyle w:val="BodyTextAcademic"/>
      </w:pPr>
      <w:r>
        <w:t xml:space="preserve">The fifth stage is uncertainty and decision analysis. Candidate rankings should include measures of predictive uncertainty or calibration so breeders can distinguish a confidently superior line from one whose apparent advantage is within model uncertainty. This is particularly important when multi-omics observations are incomplete or collected in different batches. Uncertainty can also guide active learning: lines with uncertain predictions but high potential value can be </w:t>
      </w:r>
      <w:proofErr w:type="spellStart"/>
      <w:r>
        <w:t>prioritised</w:t>
      </w:r>
      <w:proofErr w:type="spellEnd"/>
      <w:r>
        <w:t xml:space="preserve"> for phenotyping or omics assays. Such targeted data acquisition could reduce costs while improving the training set where the model is weakest.</w:t>
      </w:r>
    </w:p>
    <w:p w14:paraId="1C027B33" w14:textId="77777777" w:rsidR="00153A91" w:rsidRDefault="00000000">
      <w:pPr>
        <w:pStyle w:val="BodyTextAcademic"/>
      </w:pPr>
      <w:r>
        <w:t>The final stage is biological and economic verification. Features presented as mechanisms should be validated through independent populations, perturbation, fine mapping or convergent evidence. Technologies proposed for routine selection should be assessed for assay throughput, turnaround time, sample handling and cost. The most advanced workflow may therefore use deep multi-omics in a discovery panel, distilled features in a larger validation panel, and cheap genomic or sensor proxies in routine breeding. This tiered architecture reconciles the richness of systems biology with the scale requirements of selection.</w:t>
      </w:r>
    </w:p>
    <w:p w14:paraId="263D0176" w14:textId="77777777" w:rsidR="00153A91" w:rsidRDefault="00000000">
      <w:pPr>
        <w:pStyle w:val="BodyTextAcademic"/>
      </w:pPr>
      <w:r>
        <w:t>Table 5 translates these principles into a readiness matrix for common crop-improvement use cases. The matrix does not rank technologies by novelty; it identifies the validation evidence needed before a multi-omics AI workflow can be considered operational. Current readiness is highest where genomic prediction already has a mature baseline and added modalities solve a specific information gap, and lower where the biological resource is still primarily a discovery tool.</w:t>
      </w:r>
    </w:p>
    <w:p w14:paraId="0D6DCC9C" w14:textId="77777777" w:rsidR="00153A91" w:rsidRDefault="00000000">
      <w:pPr>
        <w:spacing w:before="100" w:after="80"/>
      </w:pPr>
      <w:r>
        <w:rPr>
          <w:b/>
          <w:sz w:val="19"/>
        </w:rPr>
        <w:lastRenderedPageBreak/>
        <w:t>Table 5. Translational readiness of selected multi-omics AI use cases for crop breeding</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440"/>
        <w:gridCol w:w="1699"/>
        <w:gridCol w:w="1843"/>
        <w:gridCol w:w="1555"/>
        <w:gridCol w:w="1613"/>
        <w:gridCol w:w="1210"/>
      </w:tblGrid>
      <w:tr w:rsidR="00153A91" w14:paraId="7BD39703" w14:textId="77777777">
        <w:trPr>
          <w:tblHeader/>
          <w:jc w:val="center"/>
        </w:trPr>
        <w:tc>
          <w:tcPr>
            <w:tcW w:w="1440" w:type="dxa"/>
            <w:shd w:val="clear" w:color="auto" w:fill="D9E2F3"/>
            <w:tcMar>
              <w:top w:w="85" w:type="dxa"/>
              <w:left w:w="85" w:type="dxa"/>
              <w:bottom w:w="85" w:type="dxa"/>
              <w:right w:w="85" w:type="dxa"/>
            </w:tcMar>
            <w:vAlign w:val="center"/>
          </w:tcPr>
          <w:p w14:paraId="484F2DC0" w14:textId="77777777" w:rsidR="00153A91" w:rsidRDefault="00000000">
            <w:pPr>
              <w:spacing w:after="0" w:line="247" w:lineRule="auto"/>
              <w:jc w:val="center"/>
            </w:pPr>
            <w:r>
              <w:rPr>
                <w:b/>
                <w:sz w:val="16"/>
              </w:rPr>
              <w:t>Use case</w:t>
            </w:r>
          </w:p>
        </w:tc>
        <w:tc>
          <w:tcPr>
            <w:tcW w:w="1699" w:type="dxa"/>
            <w:shd w:val="clear" w:color="auto" w:fill="D9E2F3"/>
            <w:tcMar>
              <w:top w:w="85" w:type="dxa"/>
              <w:left w:w="85" w:type="dxa"/>
              <w:bottom w:w="85" w:type="dxa"/>
              <w:right w:w="85" w:type="dxa"/>
            </w:tcMar>
            <w:vAlign w:val="center"/>
          </w:tcPr>
          <w:p w14:paraId="209AF79E" w14:textId="77777777" w:rsidR="00153A91" w:rsidRDefault="00000000">
            <w:pPr>
              <w:spacing w:after="0" w:line="247" w:lineRule="auto"/>
              <w:jc w:val="center"/>
            </w:pPr>
            <w:r>
              <w:rPr>
                <w:b/>
                <w:sz w:val="16"/>
              </w:rPr>
              <w:t>Most informative added layer</w:t>
            </w:r>
          </w:p>
        </w:tc>
        <w:tc>
          <w:tcPr>
            <w:tcW w:w="1843" w:type="dxa"/>
            <w:shd w:val="clear" w:color="auto" w:fill="D9E2F3"/>
            <w:tcMar>
              <w:top w:w="85" w:type="dxa"/>
              <w:left w:w="85" w:type="dxa"/>
              <w:bottom w:w="85" w:type="dxa"/>
              <w:right w:w="85" w:type="dxa"/>
            </w:tcMar>
            <w:vAlign w:val="center"/>
          </w:tcPr>
          <w:p w14:paraId="741A2C35" w14:textId="77777777" w:rsidR="00153A91" w:rsidRDefault="00000000">
            <w:pPr>
              <w:spacing w:after="0" w:line="247" w:lineRule="auto"/>
              <w:jc w:val="center"/>
            </w:pPr>
            <w:r>
              <w:rPr>
                <w:b/>
                <w:sz w:val="16"/>
              </w:rPr>
              <w:t>Minimum validation standard</w:t>
            </w:r>
          </w:p>
        </w:tc>
        <w:tc>
          <w:tcPr>
            <w:tcW w:w="1555" w:type="dxa"/>
            <w:shd w:val="clear" w:color="auto" w:fill="D9E2F3"/>
            <w:tcMar>
              <w:top w:w="85" w:type="dxa"/>
              <w:left w:w="85" w:type="dxa"/>
              <w:bottom w:w="85" w:type="dxa"/>
              <w:right w:w="85" w:type="dxa"/>
            </w:tcMar>
            <w:vAlign w:val="center"/>
          </w:tcPr>
          <w:p w14:paraId="2B1ED5DB" w14:textId="77777777" w:rsidR="00153A91" w:rsidRDefault="00000000">
            <w:pPr>
              <w:spacing w:after="0" w:line="247" w:lineRule="auto"/>
              <w:jc w:val="center"/>
            </w:pPr>
            <w:r>
              <w:rPr>
                <w:b/>
                <w:sz w:val="16"/>
              </w:rPr>
              <w:t>Decision endpoint</w:t>
            </w:r>
          </w:p>
        </w:tc>
        <w:tc>
          <w:tcPr>
            <w:tcW w:w="1613" w:type="dxa"/>
            <w:shd w:val="clear" w:color="auto" w:fill="D9E2F3"/>
            <w:tcMar>
              <w:top w:w="85" w:type="dxa"/>
              <w:left w:w="85" w:type="dxa"/>
              <w:bottom w:w="85" w:type="dxa"/>
              <w:right w:w="85" w:type="dxa"/>
            </w:tcMar>
            <w:vAlign w:val="center"/>
          </w:tcPr>
          <w:p w14:paraId="58FEFBEA" w14:textId="77777777" w:rsidR="00153A91" w:rsidRDefault="00000000">
            <w:pPr>
              <w:spacing w:after="0" w:line="247" w:lineRule="auto"/>
              <w:jc w:val="center"/>
            </w:pPr>
            <w:r>
              <w:rPr>
                <w:b/>
                <w:sz w:val="16"/>
              </w:rPr>
              <w:t>Current evidence-based readiness</w:t>
            </w:r>
          </w:p>
        </w:tc>
        <w:tc>
          <w:tcPr>
            <w:tcW w:w="1210" w:type="dxa"/>
            <w:shd w:val="clear" w:color="auto" w:fill="D9E2F3"/>
            <w:tcMar>
              <w:top w:w="85" w:type="dxa"/>
              <w:left w:w="85" w:type="dxa"/>
              <w:bottom w:w="85" w:type="dxa"/>
              <w:right w:w="85" w:type="dxa"/>
            </w:tcMar>
            <w:vAlign w:val="center"/>
          </w:tcPr>
          <w:p w14:paraId="4913132E" w14:textId="77777777" w:rsidR="00153A91" w:rsidRDefault="00000000">
            <w:pPr>
              <w:spacing w:after="0" w:line="247" w:lineRule="auto"/>
              <w:jc w:val="center"/>
            </w:pPr>
            <w:r>
              <w:rPr>
                <w:b/>
                <w:sz w:val="16"/>
              </w:rPr>
              <w:t>Supporting references</w:t>
            </w:r>
          </w:p>
        </w:tc>
      </w:tr>
      <w:tr w:rsidR="00153A91" w14:paraId="52A31142" w14:textId="77777777">
        <w:trPr>
          <w:cantSplit/>
          <w:jc w:val="center"/>
        </w:trPr>
        <w:tc>
          <w:tcPr>
            <w:tcW w:w="1440" w:type="dxa"/>
            <w:tcMar>
              <w:top w:w="85" w:type="dxa"/>
              <w:left w:w="85" w:type="dxa"/>
              <w:bottom w:w="85" w:type="dxa"/>
              <w:right w:w="85" w:type="dxa"/>
            </w:tcMar>
            <w:vAlign w:val="center"/>
          </w:tcPr>
          <w:p w14:paraId="7F553CFB" w14:textId="77777777" w:rsidR="00153A91" w:rsidRDefault="00000000">
            <w:pPr>
              <w:spacing w:after="0" w:line="247" w:lineRule="auto"/>
            </w:pPr>
            <w:r>
              <w:rPr>
                <w:sz w:val="16"/>
              </w:rPr>
              <w:t>Parental / hybrid prediction</w:t>
            </w:r>
          </w:p>
        </w:tc>
        <w:tc>
          <w:tcPr>
            <w:tcW w:w="1699" w:type="dxa"/>
            <w:tcMar>
              <w:top w:w="85" w:type="dxa"/>
              <w:left w:w="85" w:type="dxa"/>
              <w:bottom w:w="85" w:type="dxa"/>
              <w:right w:w="85" w:type="dxa"/>
            </w:tcMar>
            <w:vAlign w:val="center"/>
          </w:tcPr>
          <w:p w14:paraId="041162CC" w14:textId="77777777" w:rsidR="00153A91" w:rsidRDefault="00000000">
            <w:pPr>
              <w:spacing w:after="0" w:line="247" w:lineRule="auto"/>
            </w:pPr>
            <w:r>
              <w:rPr>
                <w:sz w:val="16"/>
              </w:rPr>
              <w:t>Parental transcriptomics; selected metabolites</w:t>
            </w:r>
          </w:p>
        </w:tc>
        <w:tc>
          <w:tcPr>
            <w:tcW w:w="1843" w:type="dxa"/>
            <w:tcMar>
              <w:top w:w="85" w:type="dxa"/>
              <w:left w:w="85" w:type="dxa"/>
              <w:bottom w:w="85" w:type="dxa"/>
              <w:right w:w="85" w:type="dxa"/>
            </w:tcMar>
            <w:vAlign w:val="center"/>
          </w:tcPr>
          <w:p w14:paraId="2A07D818" w14:textId="77777777" w:rsidR="00153A91" w:rsidRDefault="00000000">
            <w:pPr>
              <w:spacing w:after="0" w:line="247" w:lineRule="auto"/>
            </w:pPr>
            <w:r>
              <w:rPr>
                <w:sz w:val="16"/>
              </w:rPr>
              <w:t>Untested-cross prediction across breeding groups and years</w:t>
            </w:r>
          </w:p>
        </w:tc>
        <w:tc>
          <w:tcPr>
            <w:tcW w:w="1555" w:type="dxa"/>
            <w:tcMar>
              <w:top w:w="85" w:type="dxa"/>
              <w:left w:w="85" w:type="dxa"/>
              <w:bottom w:w="85" w:type="dxa"/>
              <w:right w:w="85" w:type="dxa"/>
            </w:tcMar>
            <w:vAlign w:val="center"/>
          </w:tcPr>
          <w:p w14:paraId="09F9DC1A" w14:textId="77777777" w:rsidR="00153A91" w:rsidRDefault="00000000">
            <w:pPr>
              <w:spacing w:after="0" w:line="247" w:lineRule="auto"/>
            </w:pPr>
            <w:r>
              <w:rPr>
                <w:sz w:val="16"/>
              </w:rPr>
              <w:t>Hybrid ranking and reduction in crossing/test burden</w:t>
            </w:r>
          </w:p>
        </w:tc>
        <w:tc>
          <w:tcPr>
            <w:tcW w:w="1613" w:type="dxa"/>
            <w:tcMar>
              <w:top w:w="85" w:type="dxa"/>
              <w:left w:w="85" w:type="dxa"/>
              <w:bottom w:w="85" w:type="dxa"/>
              <w:right w:w="85" w:type="dxa"/>
            </w:tcMar>
            <w:vAlign w:val="center"/>
          </w:tcPr>
          <w:p w14:paraId="517D7A95" w14:textId="77777777" w:rsidR="00153A91" w:rsidRDefault="00000000">
            <w:pPr>
              <w:spacing w:after="0" w:line="247" w:lineRule="auto"/>
            </w:pPr>
            <w:r>
              <w:rPr>
                <w:sz w:val="16"/>
              </w:rPr>
              <w:t>Moderate to high in studied maize/canola systems; crop- and trait-specific</w:t>
            </w:r>
          </w:p>
        </w:tc>
        <w:tc>
          <w:tcPr>
            <w:tcW w:w="1210" w:type="dxa"/>
            <w:tcMar>
              <w:top w:w="85" w:type="dxa"/>
              <w:left w:w="85" w:type="dxa"/>
              <w:bottom w:w="85" w:type="dxa"/>
              <w:right w:w="85" w:type="dxa"/>
            </w:tcMar>
            <w:vAlign w:val="center"/>
          </w:tcPr>
          <w:p w14:paraId="55D47541" w14:textId="77777777" w:rsidR="00153A91" w:rsidRDefault="00000000">
            <w:pPr>
              <w:spacing w:after="0" w:line="247" w:lineRule="auto"/>
            </w:pPr>
            <w:r>
              <w:rPr>
                <w:sz w:val="16"/>
              </w:rPr>
              <w:t>(Knoch et al., 2021; Schrag et al., 2018; Westhues et al., 2017)</w:t>
            </w:r>
          </w:p>
        </w:tc>
      </w:tr>
      <w:tr w:rsidR="00153A91" w14:paraId="1DFC224E" w14:textId="77777777">
        <w:trPr>
          <w:cantSplit/>
          <w:jc w:val="center"/>
        </w:trPr>
        <w:tc>
          <w:tcPr>
            <w:tcW w:w="1440" w:type="dxa"/>
            <w:tcMar>
              <w:top w:w="85" w:type="dxa"/>
              <w:left w:w="85" w:type="dxa"/>
              <w:bottom w:w="85" w:type="dxa"/>
              <w:right w:w="85" w:type="dxa"/>
            </w:tcMar>
            <w:vAlign w:val="center"/>
          </w:tcPr>
          <w:p w14:paraId="54D9F83A" w14:textId="77777777" w:rsidR="00153A91" w:rsidRDefault="00000000">
            <w:pPr>
              <w:spacing w:after="0" w:line="247" w:lineRule="auto"/>
              <w:jc w:val="center"/>
            </w:pPr>
            <w:r>
              <w:rPr>
                <w:sz w:val="16"/>
              </w:rPr>
              <w:t>Complex yield prediction</w:t>
            </w:r>
          </w:p>
        </w:tc>
        <w:tc>
          <w:tcPr>
            <w:tcW w:w="1699" w:type="dxa"/>
            <w:tcMar>
              <w:top w:w="85" w:type="dxa"/>
              <w:left w:w="85" w:type="dxa"/>
              <w:bottom w:w="85" w:type="dxa"/>
              <w:right w:w="85" w:type="dxa"/>
            </w:tcMar>
            <w:vAlign w:val="center"/>
          </w:tcPr>
          <w:p w14:paraId="4914AE73" w14:textId="77777777" w:rsidR="00153A91" w:rsidRDefault="00000000">
            <w:pPr>
              <w:spacing w:after="0" w:line="247" w:lineRule="auto"/>
            </w:pPr>
            <w:r>
              <w:rPr>
                <w:sz w:val="16"/>
              </w:rPr>
              <w:t>Dynamic phenomics + selected molecular traits</w:t>
            </w:r>
          </w:p>
        </w:tc>
        <w:tc>
          <w:tcPr>
            <w:tcW w:w="1843" w:type="dxa"/>
            <w:tcMar>
              <w:top w:w="85" w:type="dxa"/>
              <w:left w:w="85" w:type="dxa"/>
              <w:bottom w:w="85" w:type="dxa"/>
              <w:right w:w="85" w:type="dxa"/>
            </w:tcMar>
            <w:vAlign w:val="center"/>
          </w:tcPr>
          <w:p w14:paraId="39754267" w14:textId="77777777" w:rsidR="00153A91" w:rsidRDefault="00000000">
            <w:pPr>
              <w:spacing w:after="0" w:line="247" w:lineRule="auto"/>
            </w:pPr>
            <w:r>
              <w:rPr>
                <w:sz w:val="16"/>
              </w:rPr>
              <w:t>Forward-cycle and new-environment prediction with early measurement cut-offs</w:t>
            </w:r>
          </w:p>
        </w:tc>
        <w:tc>
          <w:tcPr>
            <w:tcW w:w="1555" w:type="dxa"/>
            <w:tcMar>
              <w:top w:w="85" w:type="dxa"/>
              <w:left w:w="85" w:type="dxa"/>
              <w:bottom w:w="85" w:type="dxa"/>
              <w:right w:w="85" w:type="dxa"/>
            </w:tcMar>
            <w:vAlign w:val="center"/>
          </w:tcPr>
          <w:p w14:paraId="62812DFA" w14:textId="77777777" w:rsidR="00153A91" w:rsidRDefault="00000000">
            <w:pPr>
              <w:spacing w:after="0" w:line="247" w:lineRule="auto"/>
            </w:pPr>
            <w:r>
              <w:rPr>
                <w:sz w:val="16"/>
              </w:rPr>
              <w:t>Selection accuracy before expensive late-stage trials</w:t>
            </w:r>
          </w:p>
        </w:tc>
        <w:tc>
          <w:tcPr>
            <w:tcW w:w="1613" w:type="dxa"/>
            <w:tcMar>
              <w:top w:w="85" w:type="dxa"/>
              <w:left w:w="85" w:type="dxa"/>
              <w:bottom w:w="85" w:type="dxa"/>
              <w:right w:w="85" w:type="dxa"/>
            </w:tcMar>
            <w:vAlign w:val="center"/>
          </w:tcPr>
          <w:p w14:paraId="10CDB161" w14:textId="77777777" w:rsidR="00153A91" w:rsidRDefault="00000000">
            <w:pPr>
              <w:spacing w:after="0" w:line="247" w:lineRule="auto"/>
            </w:pPr>
            <w:r>
              <w:rPr>
                <w:sz w:val="16"/>
              </w:rPr>
              <w:t>Moderate; gains are scenario dependent</w:t>
            </w:r>
          </w:p>
        </w:tc>
        <w:tc>
          <w:tcPr>
            <w:tcW w:w="1210" w:type="dxa"/>
            <w:tcMar>
              <w:top w:w="85" w:type="dxa"/>
              <w:left w:w="85" w:type="dxa"/>
              <w:bottom w:w="85" w:type="dxa"/>
              <w:right w:w="85" w:type="dxa"/>
            </w:tcMar>
            <w:vAlign w:val="center"/>
          </w:tcPr>
          <w:p w14:paraId="3E1A9CBF" w14:textId="77777777" w:rsidR="00153A91" w:rsidRDefault="00000000">
            <w:pPr>
              <w:spacing w:after="0" w:line="247" w:lineRule="auto"/>
            </w:pPr>
            <w:r>
              <w:rPr>
                <w:sz w:val="16"/>
              </w:rPr>
              <w:t>(Juliana et al., 2019; Rutkoski et al., 2016; Wu et al., 2024)</w:t>
            </w:r>
          </w:p>
        </w:tc>
      </w:tr>
      <w:tr w:rsidR="00153A91" w14:paraId="23FA77E7" w14:textId="77777777">
        <w:trPr>
          <w:cantSplit/>
          <w:jc w:val="center"/>
        </w:trPr>
        <w:tc>
          <w:tcPr>
            <w:tcW w:w="1440" w:type="dxa"/>
            <w:tcMar>
              <w:top w:w="85" w:type="dxa"/>
              <w:left w:w="85" w:type="dxa"/>
              <w:bottom w:w="85" w:type="dxa"/>
              <w:right w:w="85" w:type="dxa"/>
            </w:tcMar>
            <w:vAlign w:val="center"/>
          </w:tcPr>
          <w:p w14:paraId="6CBCD8C9" w14:textId="77777777" w:rsidR="00153A91" w:rsidRDefault="00000000">
            <w:pPr>
              <w:spacing w:after="0" w:line="247" w:lineRule="auto"/>
              <w:jc w:val="center"/>
            </w:pPr>
            <w:r>
              <w:rPr>
                <w:sz w:val="16"/>
              </w:rPr>
              <w:t>Stress adaptation</w:t>
            </w:r>
          </w:p>
        </w:tc>
        <w:tc>
          <w:tcPr>
            <w:tcW w:w="1699" w:type="dxa"/>
            <w:tcMar>
              <w:top w:w="85" w:type="dxa"/>
              <w:left w:w="85" w:type="dxa"/>
              <w:bottom w:w="85" w:type="dxa"/>
              <w:right w:w="85" w:type="dxa"/>
            </w:tcMar>
            <w:vAlign w:val="center"/>
          </w:tcPr>
          <w:p w14:paraId="23D577AE" w14:textId="77777777" w:rsidR="00153A91" w:rsidRDefault="00000000">
            <w:pPr>
              <w:spacing w:after="0" w:line="247" w:lineRule="auto"/>
            </w:pPr>
            <w:r>
              <w:rPr>
                <w:sz w:val="16"/>
              </w:rPr>
              <w:t>Environmental covariates + metabolomics/transcriptomics</w:t>
            </w:r>
          </w:p>
        </w:tc>
        <w:tc>
          <w:tcPr>
            <w:tcW w:w="1843" w:type="dxa"/>
            <w:tcMar>
              <w:top w:w="85" w:type="dxa"/>
              <w:left w:w="85" w:type="dxa"/>
              <w:bottom w:w="85" w:type="dxa"/>
              <w:right w:w="85" w:type="dxa"/>
            </w:tcMar>
            <w:vAlign w:val="center"/>
          </w:tcPr>
          <w:p w14:paraId="4F5D0DF9" w14:textId="77777777" w:rsidR="00153A91" w:rsidRDefault="00000000">
            <w:pPr>
              <w:spacing w:after="0" w:line="247" w:lineRule="auto"/>
            </w:pPr>
            <w:r>
              <w:rPr>
                <w:sz w:val="16"/>
              </w:rPr>
              <w:t>New-stress/environment holdouts and functional validation of candidates</w:t>
            </w:r>
          </w:p>
        </w:tc>
        <w:tc>
          <w:tcPr>
            <w:tcW w:w="1555" w:type="dxa"/>
            <w:tcMar>
              <w:top w:w="85" w:type="dxa"/>
              <w:left w:w="85" w:type="dxa"/>
              <w:bottom w:w="85" w:type="dxa"/>
              <w:right w:w="85" w:type="dxa"/>
            </w:tcMar>
            <w:vAlign w:val="center"/>
          </w:tcPr>
          <w:p w14:paraId="3FEDF966" w14:textId="77777777" w:rsidR="00153A91" w:rsidRDefault="00000000">
            <w:pPr>
              <w:spacing w:after="0" w:line="247" w:lineRule="auto"/>
            </w:pPr>
            <w:r>
              <w:rPr>
                <w:sz w:val="16"/>
              </w:rPr>
              <w:t>Stable performance and target-environment selection</w:t>
            </w:r>
          </w:p>
        </w:tc>
        <w:tc>
          <w:tcPr>
            <w:tcW w:w="1613" w:type="dxa"/>
            <w:tcMar>
              <w:top w:w="85" w:type="dxa"/>
              <w:left w:w="85" w:type="dxa"/>
              <w:bottom w:w="85" w:type="dxa"/>
              <w:right w:w="85" w:type="dxa"/>
            </w:tcMar>
            <w:vAlign w:val="center"/>
          </w:tcPr>
          <w:p w14:paraId="2785A622" w14:textId="77777777" w:rsidR="00153A91" w:rsidRDefault="00000000">
            <w:pPr>
              <w:spacing w:after="0" w:line="247" w:lineRule="auto"/>
            </w:pPr>
            <w:r>
              <w:rPr>
                <w:sz w:val="16"/>
              </w:rPr>
              <w:t>Moderate for represented environments; lower for extrapolation</w:t>
            </w:r>
          </w:p>
        </w:tc>
        <w:tc>
          <w:tcPr>
            <w:tcW w:w="1210" w:type="dxa"/>
            <w:tcMar>
              <w:top w:w="85" w:type="dxa"/>
              <w:left w:w="85" w:type="dxa"/>
              <w:bottom w:w="85" w:type="dxa"/>
              <w:right w:w="85" w:type="dxa"/>
            </w:tcMar>
            <w:vAlign w:val="center"/>
          </w:tcPr>
          <w:p w14:paraId="4D43254A" w14:textId="77777777" w:rsidR="00153A91" w:rsidRDefault="00000000">
            <w:pPr>
              <w:spacing w:after="0" w:line="247" w:lineRule="auto"/>
            </w:pPr>
            <w:r>
              <w:rPr>
                <w:sz w:val="16"/>
              </w:rPr>
              <w:t>(Millet et al., 2019; Sagae et al., 2026; Zhang et al., 2021)</w:t>
            </w:r>
          </w:p>
        </w:tc>
      </w:tr>
      <w:tr w:rsidR="00153A91" w14:paraId="594239D2" w14:textId="77777777">
        <w:trPr>
          <w:cantSplit/>
          <w:jc w:val="center"/>
        </w:trPr>
        <w:tc>
          <w:tcPr>
            <w:tcW w:w="1440" w:type="dxa"/>
            <w:tcMar>
              <w:top w:w="85" w:type="dxa"/>
              <w:left w:w="85" w:type="dxa"/>
              <w:bottom w:w="85" w:type="dxa"/>
              <w:right w:w="85" w:type="dxa"/>
            </w:tcMar>
            <w:vAlign w:val="center"/>
          </w:tcPr>
          <w:p w14:paraId="5AD6A199" w14:textId="77777777" w:rsidR="00153A91" w:rsidRDefault="00000000">
            <w:pPr>
              <w:spacing w:after="0" w:line="247" w:lineRule="auto"/>
            </w:pPr>
            <w:r>
              <w:rPr>
                <w:sz w:val="16"/>
              </w:rPr>
              <w:t>Quality / biochemical traits</w:t>
            </w:r>
          </w:p>
        </w:tc>
        <w:tc>
          <w:tcPr>
            <w:tcW w:w="1699" w:type="dxa"/>
            <w:tcMar>
              <w:top w:w="85" w:type="dxa"/>
              <w:left w:w="85" w:type="dxa"/>
              <w:bottom w:w="85" w:type="dxa"/>
              <w:right w:w="85" w:type="dxa"/>
            </w:tcMar>
            <w:vAlign w:val="center"/>
          </w:tcPr>
          <w:p w14:paraId="77024BC3" w14:textId="77777777" w:rsidR="00153A91" w:rsidRDefault="00000000">
            <w:pPr>
              <w:spacing w:after="0" w:line="247" w:lineRule="auto"/>
            </w:pPr>
            <w:r>
              <w:rPr>
                <w:sz w:val="16"/>
              </w:rPr>
              <w:t>Metabolomics + hyperspectral proxies</w:t>
            </w:r>
          </w:p>
        </w:tc>
        <w:tc>
          <w:tcPr>
            <w:tcW w:w="1843" w:type="dxa"/>
            <w:tcMar>
              <w:top w:w="85" w:type="dxa"/>
              <w:left w:w="85" w:type="dxa"/>
              <w:bottom w:w="85" w:type="dxa"/>
              <w:right w:w="85" w:type="dxa"/>
            </w:tcMar>
            <w:vAlign w:val="center"/>
          </w:tcPr>
          <w:p w14:paraId="2E21683C" w14:textId="77777777" w:rsidR="00153A91" w:rsidRDefault="00000000">
            <w:pPr>
              <w:spacing w:after="0" w:line="247" w:lineRule="auto"/>
            </w:pPr>
            <w:r>
              <w:rPr>
                <w:sz w:val="16"/>
              </w:rPr>
              <w:t>Independent population validation and assay-to-proxy transfer</w:t>
            </w:r>
          </w:p>
        </w:tc>
        <w:tc>
          <w:tcPr>
            <w:tcW w:w="1555" w:type="dxa"/>
            <w:tcMar>
              <w:top w:w="85" w:type="dxa"/>
              <w:left w:w="85" w:type="dxa"/>
              <w:bottom w:w="85" w:type="dxa"/>
              <w:right w:w="85" w:type="dxa"/>
            </w:tcMar>
            <w:vAlign w:val="center"/>
          </w:tcPr>
          <w:p w14:paraId="52A88AF4" w14:textId="77777777" w:rsidR="00153A91" w:rsidRDefault="00000000">
            <w:pPr>
              <w:spacing w:after="0" w:line="247" w:lineRule="auto"/>
            </w:pPr>
            <w:r>
              <w:rPr>
                <w:sz w:val="16"/>
              </w:rPr>
              <w:t>Cheap ranking for expensive biochemical phenotypes</w:t>
            </w:r>
          </w:p>
        </w:tc>
        <w:tc>
          <w:tcPr>
            <w:tcW w:w="1613" w:type="dxa"/>
            <w:tcMar>
              <w:top w:w="85" w:type="dxa"/>
              <w:left w:w="85" w:type="dxa"/>
              <w:bottom w:w="85" w:type="dxa"/>
              <w:right w:w="85" w:type="dxa"/>
            </w:tcMar>
            <w:vAlign w:val="center"/>
          </w:tcPr>
          <w:p w14:paraId="26E7A595" w14:textId="77777777" w:rsidR="00153A91" w:rsidRDefault="00000000">
            <w:pPr>
              <w:spacing w:after="0" w:line="247" w:lineRule="auto"/>
            </w:pPr>
            <w:r>
              <w:rPr>
                <w:sz w:val="16"/>
              </w:rPr>
              <w:t>Promising where biochemical pathways are measurable</w:t>
            </w:r>
          </w:p>
        </w:tc>
        <w:tc>
          <w:tcPr>
            <w:tcW w:w="1210" w:type="dxa"/>
            <w:tcMar>
              <w:top w:w="85" w:type="dxa"/>
              <w:left w:w="85" w:type="dxa"/>
              <w:bottom w:w="85" w:type="dxa"/>
              <w:right w:w="85" w:type="dxa"/>
            </w:tcMar>
            <w:vAlign w:val="center"/>
          </w:tcPr>
          <w:p w14:paraId="1FC81109" w14:textId="77777777" w:rsidR="00153A91" w:rsidRDefault="00000000">
            <w:pPr>
              <w:spacing w:after="0" w:line="247" w:lineRule="auto"/>
            </w:pPr>
            <w:r>
              <w:rPr>
                <w:sz w:val="16"/>
              </w:rPr>
              <w:t>(Feng et al., 2025; Wen et al., 2014; Zhou et al., 2019)</w:t>
            </w:r>
          </w:p>
        </w:tc>
      </w:tr>
      <w:tr w:rsidR="00153A91" w14:paraId="5DC087FF" w14:textId="77777777">
        <w:trPr>
          <w:cantSplit/>
          <w:jc w:val="center"/>
        </w:trPr>
        <w:tc>
          <w:tcPr>
            <w:tcW w:w="1440" w:type="dxa"/>
            <w:tcMar>
              <w:top w:w="85" w:type="dxa"/>
              <w:left w:w="85" w:type="dxa"/>
              <w:bottom w:w="85" w:type="dxa"/>
              <w:right w:w="85" w:type="dxa"/>
            </w:tcMar>
            <w:vAlign w:val="center"/>
          </w:tcPr>
          <w:p w14:paraId="5CB105EE" w14:textId="77777777" w:rsidR="00153A91" w:rsidRDefault="00000000">
            <w:pPr>
              <w:spacing w:after="0" w:line="247" w:lineRule="auto"/>
            </w:pPr>
            <w:r>
              <w:rPr>
                <w:sz w:val="16"/>
              </w:rPr>
              <w:t>Pangenome-aware prediction</w:t>
            </w:r>
          </w:p>
        </w:tc>
        <w:tc>
          <w:tcPr>
            <w:tcW w:w="1699" w:type="dxa"/>
            <w:tcMar>
              <w:top w:w="85" w:type="dxa"/>
              <w:left w:w="85" w:type="dxa"/>
              <w:bottom w:w="85" w:type="dxa"/>
              <w:right w:w="85" w:type="dxa"/>
            </w:tcMar>
            <w:vAlign w:val="center"/>
          </w:tcPr>
          <w:p w14:paraId="0E3D50BC" w14:textId="77777777" w:rsidR="00153A91" w:rsidRDefault="00000000">
            <w:pPr>
              <w:spacing w:after="0" w:line="247" w:lineRule="auto"/>
            </w:pPr>
            <w:r>
              <w:rPr>
                <w:sz w:val="16"/>
              </w:rPr>
              <w:t>Graph-based structural variation</w:t>
            </w:r>
          </w:p>
        </w:tc>
        <w:tc>
          <w:tcPr>
            <w:tcW w:w="1843" w:type="dxa"/>
            <w:tcMar>
              <w:top w:w="85" w:type="dxa"/>
              <w:left w:w="85" w:type="dxa"/>
              <w:bottom w:w="85" w:type="dxa"/>
              <w:right w:w="85" w:type="dxa"/>
            </w:tcMar>
            <w:vAlign w:val="center"/>
          </w:tcPr>
          <w:p w14:paraId="614EE488" w14:textId="77777777" w:rsidR="00153A91" w:rsidRDefault="00000000">
            <w:pPr>
              <w:spacing w:after="0" w:line="247" w:lineRule="auto"/>
            </w:pPr>
            <w:r>
              <w:rPr>
                <w:sz w:val="16"/>
              </w:rPr>
              <w:t>Multi-germplasm benchmarking against strong marker baselines</w:t>
            </w:r>
          </w:p>
        </w:tc>
        <w:tc>
          <w:tcPr>
            <w:tcW w:w="1555" w:type="dxa"/>
            <w:tcMar>
              <w:top w:w="85" w:type="dxa"/>
              <w:left w:w="85" w:type="dxa"/>
              <w:bottom w:w="85" w:type="dxa"/>
              <w:right w:w="85" w:type="dxa"/>
            </w:tcMar>
            <w:vAlign w:val="center"/>
          </w:tcPr>
          <w:p w14:paraId="2AA22401" w14:textId="77777777" w:rsidR="00153A91" w:rsidRDefault="00000000">
            <w:pPr>
              <w:spacing w:after="0" w:line="247" w:lineRule="auto"/>
            </w:pPr>
            <w:r>
              <w:rPr>
                <w:sz w:val="16"/>
              </w:rPr>
              <w:t>Improved transfer across structurally diverse germplasm</w:t>
            </w:r>
          </w:p>
        </w:tc>
        <w:tc>
          <w:tcPr>
            <w:tcW w:w="1613" w:type="dxa"/>
            <w:tcMar>
              <w:top w:w="85" w:type="dxa"/>
              <w:left w:w="85" w:type="dxa"/>
              <w:bottom w:w="85" w:type="dxa"/>
              <w:right w:w="85" w:type="dxa"/>
            </w:tcMar>
            <w:vAlign w:val="center"/>
          </w:tcPr>
          <w:p w14:paraId="294BF1BD" w14:textId="77777777" w:rsidR="00153A91" w:rsidRDefault="00000000">
            <w:pPr>
              <w:spacing w:after="0" w:line="247" w:lineRule="auto"/>
            </w:pPr>
            <w:r>
              <w:rPr>
                <w:sz w:val="16"/>
              </w:rPr>
              <w:t>Emerging; discovery value exceeds routine predictive evidence</w:t>
            </w:r>
          </w:p>
        </w:tc>
        <w:tc>
          <w:tcPr>
            <w:tcW w:w="1210" w:type="dxa"/>
            <w:tcMar>
              <w:top w:w="85" w:type="dxa"/>
              <w:left w:w="85" w:type="dxa"/>
              <w:bottom w:w="85" w:type="dxa"/>
              <w:right w:w="85" w:type="dxa"/>
            </w:tcMar>
            <w:vAlign w:val="center"/>
          </w:tcPr>
          <w:p w14:paraId="61859C0D" w14:textId="77777777" w:rsidR="00153A91" w:rsidRDefault="00000000">
            <w:pPr>
              <w:spacing w:after="0" w:line="247" w:lineRule="auto"/>
            </w:pPr>
            <w:r>
              <w:rPr>
                <w:sz w:val="16"/>
              </w:rPr>
              <w:t>(Bayer et al., 2021; Zanini et al., 2022)</w:t>
            </w:r>
          </w:p>
        </w:tc>
      </w:tr>
      <w:tr w:rsidR="00153A91" w14:paraId="2E8BA761" w14:textId="77777777">
        <w:trPr>
          <w:cantSplit/>
          <w:jc w:val="center"/>
        </w:trPr>
        <w:tc>
          <w:tcPr>
            <w:tcW w:w="1440" w:type="dxa"/>
            <w:tcMar>
              <w:top w:w="85" w:type="dxa"/>
              <w:left w:w="85" w:type="dxa"/>
              <w:bottom w:w="85" w:type="dxa"/>
              <w:right w:w="85" w:type="dxa"/>
            </w:tcMar>
            <w:vAlign w:val="center"/>
          </w:tcPr>
          <w:p w14:paraId="3E2E2358" w14:textId="77777777" w:rsidR="00153A91" w:rsidRDefault="00000000">
            <w:pPr>
              <w:spacing w:after="0" w:line="247" w:lineRule="auto"/>
            </w:pPr>
            <w:r>
              <w:rPr>
                <w:sz w:val="16"/>
              </w:rPr>
              <w:t>Single-cell-informed prediction</w:t>
            </w:r>
          </w:p>
        </w:tc>
        <w:tc>
          <w:tcPr>
            <w:tcW w:w="1699" w:type="dxa"/>
            <w:tcMar>
              <w:top w:w="85" w:type="dxa"/>
              <w:left w:w="85" w:type="dxa"/>
              <w:bottom w:w="85" w:type="dxa"/>
              <w:right w:w="85" w:type="dxa"/>
            </w:tcMar>
            <w:vAlign w:val="center"/>
          </w:tcPr>
          <w:p w14:paraId="0B0EBB6B" w14:textId="77777777" w:rsidR="00153A91" w:rsidRDefault="00000000">
            <w:pPr>
              <w:spacing w:after="0" w:line="247" w:lineRule="auto"/>
            </w:pPr>
            <w:r>
              <w:rPr>
                <w:sz w:val="16"/>
              </w:rPr>
              <w:t>Cell-type regulatory priors</w:t>
            </w:r>
          </w:p>
        </w:tc>
        <w:tc>
          <w:tcPr>
            <w:tcW w:w="1843" w:type="dxa"/>
            <w:tcMar>
              <w:top w:w="85" w:type="dxa"/>
              <w:left w:w="85" w:type="dxa"/>
              <w:bottom w:w="85" w:type="dxa"/>
              <w:right w:w="85" w:type="dxa"/>
            </w:tcMar>
            <w:vAlign w:val="center"/>
          </w:tcPr>
          <w:p w14:paraId="4F38A02F" w14:textId="77777777" w:rsidR="00153A91" w:rsidRDefault="00000000">
            <w:pPr>
              <w:spacing w:after="0" w:line="247" w:lineRule="auto"/>
            </w:pPr>
            <w:r>
              <w:rPr>
                <w:sz w:val="16"/>
              </w:rPr>
              <w:t>Prospective breeding prediction using priors without target leakage</w:t>
            </w:r>
          </w:p>
        </w:tc>
        <w:tc>
          <w:tcPr>
            <w:tcW w:w="1555" w:type="dxa"/>
            <w:tcMar>
              <w:top w:w="85" w:type="dxa"/>
              <w:left w:w="85" w:type="dxa"/>
              <w:bottom w:w="85" w:type="dxa"/>
              <w:right w:w="85" w:type="dxa"/>
            </w:tcMar>
            <w:vAlign w:val="center"/>
          </w:tcPr>
          <w:p w14:paraId="4A65FA46" w14:textId="77777777" w:rsidR="00153A91" w:rsidRDefault="00000000">
            <w:pPr>
              <w:spacing w:after="0" w:line="247" w:lineRule="auto"/>
            </w:pPr>
            <w:r>
              <w:rPr>
                <w:sz w:val="16"/>
              </w:rPr>
              <w:t>Stable feature selection and regulatory interpretation</w:t>
            </w:r>
          </w:p>
        </w:tc>
        <w:tc>
          <w:tcPr>
            <w:tcW w:w="1613" w:type="dxa"/>
            <w:tcMar>
              <w:top w:w="85" w:type="dxa"/>
              <w:left w:w="85" w:type="dxa"/>
              <w:bottom w:w="85" w:type="dxa"/>
              <w:right w:w="85" w:type="dxa"/>
            </w:tcMar>
            <w:vAlign w:val="center"/>
          </w:tcPr>
          <w:p w14:paraId="453F290B" w14:textId="77777777" w:rsidR="00153A91" w:rsidRDefault="00000000">
            <w:pPr>
              <w:spacing w:after="0" w:line="247" w:lineRule="auto"/>
            </w:pPr>
            <w:r>
              <w:rPr>
                <w:sz w:val="16"/>
              </w:rPr>
              <w:t>Early-stage; mechanistic resource rather than routine predictor</w:t>
            </w:r>
          </w:p>
        </w:tc>
        <w:tc>
          <w:tcPr>
            <w:tcW w:w="1210" w:type="dxa"/>
            <w:tcMar>
              <w:top w:w="85" w:type="dxa"/>
              <w:left w:w="85" w:type="dxa"/>
              <w:bottom w:w="85" w:type="dxa"/>
              <w:right w:w="85" w:type="dxa"/>
            </w:tcMar>
            <w:vAlign w:val="center"/>
          </w:tcPr>
          <w:p w14:paraId="23166E21" w14:textId="77777777" w:rsidR="00153A91" w:rsidRDefault="00000000">
            <w:pPr>
              <w:spacing w:after="0" w:line="247" w:lineRule="auto"/>
            </w:pPr>
            <w:r>
              <w:rPr>
                <w:sz w:val="16"/>
              </w:rPr>
              <w:t>(</w:t>
            </w:r>
            <w:proofErr w:type="spellStart"/>
            <w:r>
              <w:rPr>
                <w:sz w:val="16"/>
              </w:rPr>
              <w:t>Marand</w:t>
            </w:r>
            <w:proofErr w:type="spellEnd"/>
            <w:r>
              <w:rPr>
                <w:sz w:val="16"/>
              </w:rPr>
              <w:t xml:space="preserve"> et al., 2021)</w:t>
            </w:r>
          </w:p>
        </w:tc>
      </w:tr>
      <w:tr w:rsidR="00153A91" w14:paraId="299A0DF1" w14:textId="77777777">
        <w:trPr>
          <w:cantSplit/>
          <w:jc w:val="center"/>
        </w:trPr>
        <w:tc>
          <w:tcPr>
            <w:tcW w:w="1440" w:type="dxa"/>
            <w:tcMar>
              <w:top w:w="85" w:type="dxa"/>
              <w:left w:w="85" w:type="dxa"/>
              <w:bottom w:w="85" w:type="dxa"/>
              <w:right w:w="85" w:type="dxa"/>
            </w:tcMar>
            <w:vAlign w:val="center"/>
          </w:tcPr>
          <w:p w14:paraId="3EA10157" w14:textId="77777777" w:rsidR="00153A91" w:rsidRDefault="00000000">
            <w:pPr>
              <w:spacing w:after="0" w:line="247" w:lineRule="auto"/>
            </w:pPr>
            <w:r>
              <w:rPr>
                <w:sz w:val="16"/>
              </w:rPr>
              <w:t>Interpretable multimodal AI</w:t>
            </w:r>
          </w:p>
        </w:tc>
        <w:tc>
          <w:tcPr>
            <w:tcW w:w="1699" w:type="dxa"/>
            <w:tcMar>
              <w:top w:w="85" w:type="dxa"/>
              <w:left w:w="85" w:type="dxa"/>
              <w:bottom w:w="85" w:type="dxa"/>
              <w:right w:w="85" w:type="dxa"/>
            </w:tcMar>
            <w:vAlign w:val="center"/>
          </w:tcPr>
          <w:p w14:paraId="41BD3CEC" w14:textId="77777777" w:rsidR="00153A91" w:rsidRDefault="00000000">
            <w:pPr>
              <w:spacing w:after="0" w:line="247" w:lineRule="auto"/>
            </w:pPr>
            <w:r>
              <w:rPr>
                <w:sz w:val="16"/>
              </w:rPr>
              <w:t>Multiple omics plus biological priors</w:t>
            </w:r>
          </w:p>
        </w:tc>
        <w:tc>
          <w:tcPr>
            <w:tcW w:w="1843" w:type="dxa"/>
            <w:tcMar>
              <w:top w:w="85" w:type="dxa"/>
              <w:left w:w="85" w:type="dxa"/>
              <w:bottom w:w="85" w:type="dxa"/>
              <w:right w:w="85" w:type="dxa"/>
            </w:tcMar>
            <w:vAlign w:val="center"/>
          </w:tcPr>
          <w:p w14:paraId="13D70D2B" w14:textId="77777777" w:rsidR="00153A91" w:rsidRDefault="00000000">
            <w:pPr>
              <w:spacing w:after="0" w:line="247" w:lineRule="auto"/>
            </w:pPr>
            <w:r>
              <w:rPr>
                <w:sz w:val="16"/>
              </w:rPr>
              <w:t>External/temporal test, modality ablation, calibration and independent feature validation</w:t>
            </w:r>
          </w:p>
        </w:tc>
        <w:tc>
          <w:tcPr>
            <w:tcW w:w="1555" w:type="dxa"/>
            <w:tcMar>
              <w:top w:w="85" w:type="dxa"/>
              <w:left w:w="85" w:type="dxa"/>
              <w:bottom w:w="85" w:type="dxa"/>
              <w:right w:w="85" w:type="dxa"/>
            </w:tcMar>
            <w:vAlign w:val="center"/>
          </w:tcPr>
          <w:p w14:paraId="3C20DF85" w14:textId="77777777" w:rsidR="00153A91" w:rsidRDefault="00000000">
            <w:pPr>
              <w:spacing w:after="0" w:line="247" w:lineRule="auto"/>
            </w:pPr>
            <w:r>
              <w:rPr>
                <w:sz w:val="16"/>
              </w:rPr>
              <w:t>Improved ranking plus credible target discovery</w:t>
            </w:r>
          </w:p>
        </w:tc>
        <w:tc>
          <w:tcPr>
            <w:tcW w:w="1613" w:type="dxa"/>
            <w:tcMar>
              <w:top w:w="85" w:type="dxa"/>
              <w:left w:w="85" w:type="dxa"/>
              <w:bottom w:w="85" w:type="dxa"/>
              <w:right w:w="85" w:type="dxa"/>
            </w:tcMar>
            <w:vAlign w:val="center"/>
          </w:tcPr>
          <w:p w14:paraId="542BD44C" w14:textId="77777777" w:rsidR="00153A91" w:rsidRDefault="00000000">
            <w:pPr>
              <w:spacing w:after="0" w:line="247" w:lineRule="auto"/>
            </w:pPr>
            <w:r>
              <w:rPr>
                <w:sz w:val="16"/>
              </w:rPr>
              <w:t>Promising but not yet consistently superior to simpler baselines</w:t>
            </w:r>
          </w:p>
        </w:tc>
        <w:tc>
          <w:tcPr>
            <w:tcW w:w="1210" w:type="dxa"/>
            <w:tcMar>
              <w:top w:w="85" w:type="dxa"/>
              <w:left w:w="85" w:type="dxa"/>
              <w:bottom w:w="85" w:type="dxa"/>
              <w:right w:w="85" w:type="dxa"/>
            </w:tcMar>
            <w:vAlign w:val="center"/>
          </w:tcPr>
          <w:p w14:paraId="307C3F6D" w14:textId="77777777" w:rsidR="00153A91" w:rsidRDefault="00000000">
            <w:pPr>
              <w:spacing w:after="0" w:line="247" w:lineRule="auto"/>
            </w:pPr>
            <w:r>
              <w:rPr>
                <w:sz w:val="16"/>
              </w:rPr>
              <w:t>(O. A. Montesinos-López et al., 2024; Wang, Yan, et al., 2025)</w:t>
            </w:r>
          </w:p>
        </w:tc>
      </w:tr>
    </w:tbl>
    <w:p w14:paraId="1615AC1F" w14:textId="77777777" w:rsidR="00153A91" w:rsidRDefault="00000000">
      <w:pPr>
        <w:spacing w:before="60" w:after="160"/>
      </w:pPr>
      <w:r>
        <w:rPr>
          <w:i/>
          <w:sz w:val="16"/>
        </w:rPr>
        <w:t xml:space="preserve">Note. </w:t>
      </w:r>
      <w:r>
        <w:rPr>
          <w:sz w:val="16"/>
        </w:rPr>
        <w:t>Readiness is a qualitative synthesis of the evidence reviewed, not a formal technology-readiness score. A use case is considered more mature when added information has been tested in breeding-relevant prediction scenarios and against strong baselines.</w:t>
      </w:r>
    </w:p>
    <w:p w14:paraId="5878E55F" w14:textId="77777777" w:rsidR="00153A91" w:rsidRDefault="00000000">
      <w:pPr>
        <w:pStyle w:val="Heading1"/>
      </w:pPr>
      <w:r>
        <w:rPr>
          <w:rFonts w:ascii="Times New Roman" w:eastAsia="Times New Roman" w:hAnsi="Times New Roman"/>
        </w:rPr>
        <w:t>9. Future Directions</w:t>
      </w:r>
    </w:p>
    <w:p w14:paraId="31044B9F" w14:textId="77777777" w:rsidR="00153A91" w:rsidRDefault="00000000">
      <w:pPr>
        <w:pStyle w:val="BodyTextAcademic"/>
      </w:pPr>
      <w:r>
        <w:t>The immediate research priority is prospective validation embedded in breeding cycles. Most published comparisons are retrospective and use data collected before model design. Prospective studies should train on completed cycles, lock preprocessing and hyperparameters, and predict the next cycle before phenotypes are observed. They should report selection response, rank stability, calibration and cost, not only correlation. This design would directly test whether a multi-omics AI model adds value beyond current genomic selection. Multi-location trials should also include new-environment holdouts to distinguish interpolation from genuine environmental transfer. The soybean results of Sagae et al. (2026) show why this distinction can change conclusions about the value of environmental covariates.</w:t>
      </w:r>
    </w:p>
    <w:p w14:paraId="0CD5F200" w14:textId="77777777" w:rsidR="00153A91" w:rsidRDefault="00000000">
      <w:pPr>
        <w:pStyle w:val="BodyTextAcademic"/>
      </w:pPr>
      <w:r>
        <w:t>A second priority is biologically structured multimodal learning. Current fusion often concatenates thousands of features or learns representations with weak biological constraints. Future models should test pathway-aware, chromosome-aware, cell-type-aware and pangenome-aware representations against unconstrained baselines. Single-cell cis-regulatory resources can identify tissue-specific regulatory elements, while pangenomes can represent structural variation missing from a single reference (</w:t>
      </w:r>
      <w:proofErr w:type="spellStart"/>
      <w:r>
        <w:t>Marand</w:t>
      </w:r>
      <w:proofErr w:type="spellEnd"/>
      <w:r>
        <w:t xml:space="preserve"> et al., 2021; Zanini et al., 2022). The appropriate experiment is not whether such priors improve training fit, but whether </w:t>
      </w:r>
      <w:r>
        <w:lastRenderedPageBreak/>
        <w:t xml:space="preserve">they improve transfer to new families, germplasm groups or environments and </w:t>
      </w:r>
      <w:proofErr w:type="spellStart"/>
      <w:r>
        <w:t>stabilise</w:t>
      </w:r>
      <w:proofErr w:type="spellEnd"/>
      <w:r>
        <w:t xml:space="preserve"> identified features across resampling.</w:t>
      </w:r>
    </w:p>
    <w:p w14:paraId="06B1984F" w14:textId="77777777" w:rsidR="00153A91" w:rsidRDefault="00000000">
      <w:pPr>
        <w:pStyle w:val="BodyTextAcademic"/>
      </w:pPr>
      <w:r>
        <w:t xml:space="preserve">A third priority is robust learning with missing modalities. Operational breeding data will rarely contain complete transcriptomic, metabolomic, </w:t>
      </w:r>
      <w:proofErr w:type="spellStart"/>
      <w:r>
        <w:t>phenomic</w:t>
      </w:r>
      <w:proofErr w:type="spellEnd"/>
      <w:r>
        <w:t xml:space="preserve"> and environmental measurements for every genotype. Models should be designed and evaluated under structured missingness, including complete absence of one modality at prediction time. Modality dropout, probabilistic latent-variable models, mixture-of-experts architectures and teacher-student distillation are promising strategies. A particularly practical design is to use multi-omics as a teacher in a reference population and distil predictive information into genotypes plus low-cost sensing for routine candidates. The rice phenomics-metabolomics workflow of Feng et al. (2025) demonstrates the feasibility of learning scalable proxies for expensive molecular traits.</w:t>
      </w:r>
    </w:p>
    <w:p w14:paraId="662CCBEA" w14:textId="77777777" w:rsidR="00153A91" w:rsidRDefault="00000000">
      <w:pPr>
        <w:pStyle w:val="BodyTextAcademic"/>
      </w:pPr>
      <w:r>
        <w:t xml:space="preserve">A fourth priority is uncertainty-aware selection. Recent synthesis has identified sparse reporting of calibrated uncertainty in multi-omics machine-learning studies (Tsega &amp; </w:t>
      </w:r>
      <w:proofErr w:type="spellStart"/>
      <w:r>
        <w:t>Mullualem</w:t>
      </w:r>
      <w:proofErr w:type="spellEnd"/>
      <w:r>
        <w:t xml:space="preserve">, 2026). Future work should report prediction intervals or calibrated probabilistic outputs where appropriate and evaluate whether uncertainty improves selection decisions. Conformal prediction, Bayesian deep learning and ensembles can be compared, but the key endpoint is empirical coverage in future cycles and environments. Uncertainty should also be decomposed where possible into biological variability, environmental uncertainty and model uncertainty so that breeders know whether more genotypes, better environmental </w:t>
      </w:r>
      <w:proofErr w:type="spellStart"/>
      <w:r>
        <w:t>characterisation</w:t>
      </w:r>
      <w:proofErr w:type="spellEnd"/>
      <w:r>
        <w:t xml:space="preserve"> or additional omics measurements would most improve decisions.</w:t>
      </w:r>
    </w:p>
    <w:p w14:paraId="5F97B935" w14:textId="77777777" w:rsidR="00153A91" w:rsidRDefault="00000000">
      <w:pPr>
        <w:pStyle w:val="BodyTextAcademic"/>
      </w:pPr>
      <w:r>
        <w:t xml:space="preserve">A fifth priority is causal validation of AI-derived biological hypotheses. Feature attribution should be followed by genetic perturbation, allele replacement, near-isogenic validation or multi-background replication for high-priority candidates. The integrative studies of drought adaptation, rice metabolite regulation and </w:t>
      </w:r>
      <w:r>
        <w:rPr>
          <w:i/>
        </w:rPr>
        <w:t>A. thaliana</w:t>
      </w:r>
      <w:r>
        <w:t xml:space="preserve"> flowering show how prediction and functional evidence can be connected (Feng et al., 2025; Wang, Lehti-Shiu, et al., 2024; Zhang et al., 2021). Crop studies should extend this logic into field environments because a gene validated under controlled conditions may have context-dependent effects or yield penalties. The long-term aim is to create models that distinguish predictive proxies from actionable regulatory nodes.</w:t>
      </w:r>
    </w:p>
    <w:p w14:paraId="5AA900FE" w14:textId="77777777" w:rsidR="00153A91" w:rsidRDefault="00000000">
      <w:pPr>
        <w:pStyle w:val="BodyTextAcademic"/>
      </w:pPr>
      <w:r>
        <w:t xml:space="preserve">A sixth priority is explicit </w:t>
      </w:r>
      <w:proofErr w:type="spellStart"/>
      <w:r>
        <w:t>optimisation</w:t>
      </w:r>
      <w:proofErr w:type="spellEnd"/>
      <w:r>
        <w:t xml:space="preserve"> for genetic gain, time and cost. Algorithm comparisons should be embedded in selection simulations or real </w:t>
      </w:r>
      <w:proofErr w:type="spellStart"/>
      <w:r>
        <w:t>programmes</w:t>
      </w:r>
      <w:proofErr w:type="spellEnd"/>
      <w:r>
        <w:t xml:space="preserve"> that account for assay cost, generation interval and selection intensity. A high-cost transcriptomic model can be optimal for parent selection but inferior for early-generation screening. Dynamic decision policies can allocate omics assays adaptively to candidates where the expected value of information is highest. This would move the field from a universal “more modalities are better” assumption toward stage-specific information economics.</w:t>
      </w:r>
    </w:p>
    <w:p w14:paraId="2097E8D7" w14:textId="77777777" w:rsidR="00153A91" w:rsidRDefault="00000000">
      <w:pPr>
        <w:pStyle w:val="BodyTextAcademic"/>
      </w:pPr>
      <w:r>
        <w:t xml:space="preserve">A seventh priority is diversity-aware model development. Pangenome references, wild relatives, landraces and regionally important crops should be included early enough to affect model representation rather than added only as external tests. Transfer learning may help data-poor crops, but it should not be assumed that molecular relationships learned in maize, rice or wheat will transfer unchanged to orphan crops. Comparative models should quantify which regulatory or metabolic features are conserved and which are crop specific. Federated or privacy-preserving learning may support data sharing across breeding </w:t>
      </w:r>
      <w:proofErr w:type="spellStart"/>
      <w:r>
        <w:t>organisations</w:t>
      </w:r>
      <w:proofErr w:type="spellEnd"/>
      <w:r>
        <w:t xml:space="preserve">, but </w:t>
      </w:r>
      <w:proofErr w:type="spellStart"/>
      <w:r>
        <w:t>harmonised</w:t>
      </w:r>
      <w:proofErr w:type="spellEnd"/>
      <w:r>
        <w:t xml:space="preserve"> phenotypes and environment metadata are prerequisites; computational federation cannot repair incompatible measurements.</w:t>
      </w:r>
    </w:p>
    <w:p w14:paraId="7ECC4E67" w14:textId="77777777" w:rsidR="00153A91" w:rsidRDefault="00000000">
      <w:pPr>
        <w:pStyle w:val="BodyTextAcademic"/>
      </w:pPr>
      <w:r>
        <w:t xml:space="preserve">Longer-term research should connect molecular and environmental scales through mechanistic digital representations without overselling “digital twin” concepts before validation. The most realistic path is modular: pangenomes improve inherited variant representation; regulatory atlases define potential functional contexts; longitudinal omics and phenomics </w:t>
      </w:r>
      <w:proofErr w:type="spellStart"/>
      <w:r>
        <w:t>characterise</w:t>
      </w:r>
      <w:proofErr w:type="spellEnd"/>
      <w:r>
        <w:t xml:space="preserve"> state; environmental models define exposure; and AI integrates these layers for a specified decision. Each module should be replaceable and independently </w:t>
      </w:r>
      <w:r>
        <w:lastRenderedPageBreak/>
        <w:t xml:space="preserve">validated. This modularity would also reduce dependence on a single architecture and allow breeding </w:t>
      </w:r>
      <w:proofErr w:type="spellStart"/>
      <w:r>
        <w:t>programmes</w:t>
      </w:r>
      <w:proofErr w:type="spellEnd"/>
      <w:r>
        <w:t xml:space="preserve"> with different resources to adopt only the components that offer measurable value.</w:t>
      </w:r>
    </w:p>
    <w:p w14:paraId="7EE8BE80" w14:textId="77777777" w:rsidR="00153A91" w:rsidRDefault="00000000">
      <w:pPr>
        <w:pStyle w:val="Heading1"/>
      </w:pPr>
      <w:r>
        <w:rPr>
          <w:rFonts w:ascii="Times New Roman" w:eastAsia="Times New Roman" w:hAnsi="Times New Roman"/>
        </w:rPr>
        <w:t>10. Conclusions</w:t>
      </w:r>
    </w:p>
    <w:p w14:paraId="41E122B8" w14:textId="77777777" w:rsidR="00153A91" w:rsidRDefault="00000000">
      <w:pPr>
        <w:pStyle w:val="BodyTextAcademic"/>
      </w:pPr>
      <w:r>
        <w:t>Multi-omics and AI have moved crop improvement beyond a marker-only view of genotype-to-phenotype prediction, but the evidence does not support a universal advantage from adding data layers or model complexity. The strongest results occur when an additional modality captures information that is biologically proximal to the target trait, not already represented by genomic relationships, and available at a time and cost compatible with the selection decision. Transcriptomic and metabolomic information can improve hybrid and complex-trait prediction in specific crops, dynamic phenomics can strengthen genomic selection when secondary traits are measured early and consistently, and environmental covariates can improve modelling of genotype-by-environment interaction within represented conditions. Pangenomes, epigenomes and single-cell regulatory maps broaden the biological representation of crop diversity, but their routine predictive value is less firmly established.</w:t>
      </w:r>
    </w:p>
    <w:p w14:paraId="74FDCE2C" w14:textId="77777777" w:rsidR="00153A91" w:rsidRDefault="00000000">
      <w:pPr>
        <w:pStyle w:val="BodyTextAcademic"/>
      </w:pPr>
      <w:r>
        <w:t xml:space="preserve">AI is most useful as part of a disciplined model hierarchy. Deep and multimodal architectures can learn cross-layer interactions and provide interpretable feature rankings, yet well-specified genomic and kernel models remain highly competitive, particularly in modest samples and genetically structured breeding populations. Prediction accuracy from random cross-validation is therefore an insufficient measure of progress. The decisive tests are forward-cycle and new-environment performance, uncertainty calibration, robustness to missing modalities, biological validation where mechanisms are claimed, and the effect on </w:t>
      </w:r>
      <w:proofErr w:type="spellStart"/>
      <w:r>
        <w:t>realised</w:t>
      </w:r>
      <w:proofErr w:type="spellEnd"/>
      <w:r>
        <w:t xml:space="preserve"> genetic gain per unit time and cost.</w:t>
      </w:r>
    </w:p>
    <w:p w14:paraId="47DB6C50" w14:textId="77777777" w:rsidR="00153A91" w:rsidRDefault="00000000">
      <w:pPr>
        <w:pStyle w:val="BodyTextAcademic"/>
      </w:pPr>
      <w:r>
        <w:t>The next generation of crop improvement is likely to use multi-omics selectively rather than uniformly. Deep molecular profiling will be most valuable in strategically chosen reference panels for mechanism discovery, feature definition and training of scalable proxies, while routine candidates will often be evaluated with cheaper genotyping, sensing and environmental information. This tiered approach aligns systems-level biological insight with the scale of breeding operations. The central scientific challenge is no longer whether diverse omics and AI can be combined, but whether that integration produces reproducible, transferable and decision-relevant information that changes which plants are selected and improves crop performance across real environments.</w:t>
      </w:r>
    </w:p>
    <w:p w14:paraId="47D71C7E" w14:textId="77777777" w:rsidR="00153A91" w:rsidRDefault="00000000">
      <w:pPr>
        <w:pStyle w:val="Heading1"/>
      </w:pPr>
      <w:r>
        <w:rPr>
          <w:rFonts w:ascii="Times New Roman" w:eastAsia="Times New Roman" w:hAnsi="Times New Roman"/>
        </w:rPr>
        <w:t>11. Limitations</w:t>
      </w:r>
    </w:p>
    <w:p w14:paraId="226CE90A" w14:textId="77777777" w:rsidR="00153A91" w:rsidRDefault="00000000">
      <w:pPr>
        <w:pStyle w:val="BodyTextAcademic"/>
      </w:pPr>
      <w:r>
        <w:t xml:space="preserve">As a critical narrative review, this article is intrinsically susceptible to selection and interpretive bias despite a transparent search strategy and explicit appraisal criteria. The literature was drawn from accessible scholarly databases and indexes rather than subscription-only citation databases, and only English-language evidence with verifiable bibliographic identity was included. The field is highly heterogeneous: studies differ in crop species, population structure, trait architecture, omics platform, developmental stage, environmental design, prediction target, cross-validation scheme and performance metric, preventing defensible quantitative synthesis across the full evidence base. Publication bias is also plausible because studies reporting predictive gains from new modalities or AI architectures may be more likely to appear than null comparisons. Rapid methodological development means that some architectures, </w:t>
      </w:r>
      <w:proofErr w:type="spellStart"/>
      <w:r>
        <w:t>pangenomic</w:t>
      </w:r>
      <w:proofErr w:type="spellEnd"/>
      <w:r>
        <w:t xml:space="preserve"> resources and single-cell applications have not yet accumulated independent breeding-cycle validation. These limitations reduce the precision with which expected performance gains can be </w:t>
      </w:r>
      <w:proofErr w:type="spellStart"/>
      <w:r>
        <w:t>generalised</w:t>
      </w:r>
      <w:proofErr w:type="spellEnd"/>
      <w:r>
        <w:t>, but they do not alter the central comparative conclusion that validation design, incremental information content and decision context are more important than modality count or algorithmic complexity alone.</w:t>
      </w:r>
    </w:p>
    <w:p w14:paraId="0BC949A7" w14:textId="77777777" w:rsidR="008B1169" w:rsidRPr="000839CE" w:rsidRDefault="008B1169" w:rsidP="008B1169">
      <w:pPr>
        <w:spacing w:after="0" w:line="240" w:lineRule="auto"/>
        <w:rPr>
          <w:rFonts w:cs="Times New Roman"/>
          <w:b/>
        </w:rPr>
      </w:pPr>
      <w:r w:rsidRPr="000839CE">
        <w:rPr>
          <w:rFonts w:cs="Times New Roman"/>
          <w:b/>
        </w:rPr>
        <w:lastRenderedPageBreak/>
        <w:t>Declaration of AI Use</w:t>
      </w:r>
    </w:p>
    <w:p w14:paraId="441B3EEC" w14:textId="77777777" w:rsidR="008B1169" w:rsidRPr="000839CE" w:rsidRDefault="008B1169" w:rsidP="008B1169">
      <w:pPr>
        <w:spacing w:after="0" w:line="240" w:lineRule="auto"/>
        <w:rPr>
          <w:rFonts w:cs="Times New Roman"/>
        </w:rPr>
      </w:pPr>
    </w:p>
    <w:p w14:paraId="6449B77E" w14:textId="77777777" w:rsidR="008B1169" w:rsidRPr="000839CE" w:rsidRDefault="008B1169" w:rsidP="008B1169">
      <w:pPr>
        <w:spacing w:after="0" w:line="240" w:lineRule="auto"/>
        <w:jc w:val="both"/>
        <w:rPr>
          <w:rFonts w:cs="Times New Roman"/>
        </w:rPr>
      </w:pPr>
      <w:r w:rsidRPr="00C56790">
        <w:rPr>
          <w:rFonts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7B115089" w14:textId="77777777" w:rsidR="008B1169" w:rsidRDefault="008B1169" w:rsidP="008B1169"/>
    <w:p w14:paraId="02297710" w14:textId="77777777" w:rsidR="008B1169" w:rsidRDefault="008B1169">
      <w:pPr>
        <w:pStyle w:val="BodyTextAcademic"/>
      </w:pPr>
    </w:p>
    <w:p w14:paraId="4734E140" w14:textId="77777777" w:rsidR="00153A91" w:rsidRDefault="00000000">
      <w:pPr>
        <w:pStyle w:val="Heading1"/>
      </w:pPr>
      <w:r>
        <w:rPr>
          <w:rFonts w:ascii="Times New Roman" w:eastAsia="Times New Roman" w:hAnsi="Times New Roman"/>
        </w:rPr>
        <w:t>References</w:t>
      </w:r>
    </w:p>
    <w:p w14:paraId="52B22C11" w14:textId="656BB294" w:rsidR="00153A91" w:rsidRDefault="00000000">
      <w:pPr>
        <w:spacing w:after="80" w:line="240" w:lineRule="auto"/>
        <w:ind w:left="504" w:hanging="504"/>
      </w:pPr>
      <w:r>
        <w:rPr>
          <w:sz w:val="19"/>
        </w:rPr>
        <w:t xml:space="preserve">Alemu, A., </w:t>
      </w:r>
      <w:proofErr w:type="spellStart"/>
      <w:r>
        <w:rPr>
          <w:sz w:val="19"/>
        </w:rPr>
        <w:t>Åstrand</w:t>
      </w:r>
      <w:proofErr w:type="spellEnd"/>
      <w:r>
        <w:rPr>
          <w:sz w:val="19"/>
        </w:rPr>
        <w:t>, J., Montesinos-López, O. A., Isidro y Sánchez, J., Fernández-</w:t>
      </w:r>
      <w:proofErr w:type="spellStart"/>
      <w:r>
        <w:rPr>
          <w:sz w:val="19"/>
        </w:rPr>
        <w:t>Gónzalez</w:t>
      </w:r>
      <w:proofErr w:type="spellEnd"/>
      <w:r>
        <w:rPr>
          <w:sz w:val="19"/>
        </w:rPr>
        <w:t xml:space="preserve">, J., Tadesse, W., </w:t>
      </w:r>
      <w:proofErr w:type="spellStart"/>
      <w:r>
        <w:rPr>
          <w:sz w:val="19"/>
        </w:rPr>
        <w:t>Vetukuri</w:t>
      </w:r>
      <w:proofErr w:type="spellEnd"/>
      <w:r>
        <w:rPr>
          <w:sz w:val="19"/>
        </w:rPr>
        <w:t xml:space="preserve">, R. R., Carlsson, A. S., </w:t>
      </w:r>
      <w:proofErr w:type="spellStart"/>
      <w:r>
        <w:rPr>
          <w:sz w:val="19"/>
        </w:rPr>
        <w:t>Ceplitis</w:t>
      </w:r>
      <w:proofErr w:type="spellEnd"/>
      <w:r>
        <w:rPr>
          <w:sz w:val="19"/>
        </w:rPr>
        <w:t xml:space="preserve">, A., Crossa, J., Ortiz, R., &amp; </w:t>
      </w:r>
      <w:proofErr w:type="spellStart"/>
      <w:r>
        <w:rPr>
          <w:sz w:val="19"/>
        </w:rPr>
        <w:t>Chawade</w:t>
      </w:r>
      <w:proofErr w:type="spellEnd"/>
      <w:r>
        <w:rPr>
          <w:sz w:val="19"/>
        </w:rPr>
        <w:t xml:space="preserve">, A. (2024). Genomic selection in plant breeding: Key factors shaping two decades of progress. </w:t>
      </w:r>
      <w:r>
        <w:rPr>
          <w:i/>
          <w:sz w:val="19"/>
        </w:rPr>
        <w:t>Molecular Plant</w:t>
      </w:r>
      <w:r>
        <w:rPr>
          <w:sz w:val="19"/>
        </w:rPr>
        <w:t xml:space="preserve">, </w:t>
      </w:r>
      <w:r>
        <w:rPr>
          <w:i/>
          <w:sz w:val="19"/>
        </w:rPr>
        <w:t>17</w:t>
      </w:r>
      <w:r>
        <w:rPr>
          <w:sz w:val="19"/>
        </w:rPr>
        <w:t xml:space="preserve">(4), 552–578. </w:t>
      </w:r>
      <w:r>
        <w:rPr>
          <w:color w:val="0563C1"/>
          <w:u w:val="single"/>
        </w:rPr>
        <w:t>https://doi.org/10.1016/j.molp.2024.03.007</w:t>
      </w:r>
    </w:p>
    <w:p w14:paraId="18515D86" w14:textId="72EAB3C8" w:rsidR="00153A91" w:rsidRDefault="00000000">
      <w:pPr>
        <w:spacing w:after="80" w:line="240" w:lineRule="auto"/>
        <w:ind w:left="504" w:hanging="504"/>
      </w:pPr>
      <w:r>
        <w:rPr>
          <w:sz w:val="19"/>
        </w:rPr>
        <w:t xml:space="preserve">Ali, B., Huguenin-Bizot, B., Laurent, M., Chaumont, F., </w:t>
      </w:r>
      <w:proofErr w:type="spellStart"/>
      <w:r>
        <w:rPr>
          <w:sz w:val="19"/>
        </w:rPr>
        <w:t>Maistriaux</w:t>
      </w:r>
      <w:proofErr w:type="spellEnd"/>
      <w:r>
        <w:rPr>
          <w:sz w:val="19"/>
        </w:rPr>
        <w:t xml:space="preserve">, L. C., Nicolas, S., </w:t>
      </w:r>
      <w:proofErr w:type="spellStart"/>
      <w:r>
        <w:rPr>
          <w:sz w:val="19"/>
        </w:rPr>
        <w:t>Duborjal</w:t>
      </w:r>
      <w:proofErr w:type="spellEnd"/>
      <w:r>
        <w:rPr>
          <w:sz w:val="19"/>
        </w:rPr>
        <w:t xml:space="preserve">, H., Welcker, C., Tardieu, F., Mary-Huard, T., Moreau, L., </w:t>
      </w:r>
      <w:proofErr w:type="spellStart"/>
      <w:r>
        <w:rPr>
          <w:sz w:val="19"/>
        </w:rPr>
        <w:t>Charcosset</w:t>
      </w:r>
      <w:proofErr w:type="spellEnd"/>
      <w:r>
        <w:rPr>
          <w:sz w:val="19"/>
        </w:rPr>
        <w:t xml:space="preserve">, A., Runcie, D., &amp; </w:t>
      </w:r>
      <w:proofErr w:type="spellStart"/>
      <w:r>
        <w:rPr>
          <w:sz w:val="19"/>
        </w:rPr>
        <w:t>Rincent</w:t>
      </w:r>
      <w:proofErr w:type="spellEnd"/>
      <w:r>
        <w:rPr>
          <w:sz w:val="19"/>
        </w:rPr>
        <w:t xml:space="preserve">, R. (2024). High-dimensional multi-omics measured in controlled conditions are useful for maize platform and field trait predictions. </w:t>
      </w:r>
      <w:r>
        <w:rPr>
          <w:i/>
          <w:sz w:val="19"/>
        </w:rPr>
        <w:t>Theoretical and Applied Genetics</w:t>
      </w:r>
      <w:r>
        <w:rPr>
          <w:sz w:val="19"/>
        </w:rPr>
        <w:t xml:space="preserve">, </w:t>
      </w:r>
      <w:r>
        <w:rPr>
          <w:i/>
          <w:sz w:val="19"/>
        </w:rPr>
        <w:t>137</w:t>
      </w:r>
      <w:r>
        <w:rPr>
          <w:sz w:val="19"/>
        </w:rPr>
        <w:t xml:space="preserve">(7), 175. </w:t>
      </w:r>
      <w:r>
        <w:rPr>
          <w:color w:val="0563C1"/>
          <w:u w:val="single"/>
        </w:rPr>
        <w:t>https://doi.org/10.1007/s00122-024-04679-w</w:t>
      </w:r>
    </w:p>
    <w:p w14:paraId="047D8CE3" w14:textId="04FD2F20" w:rsidR="00153A91" w:rsidRDefault="00000000">
      <w:pPr>
        <w:spacing w:after="80" w:line="240" w:lineRule="auto"/>
        <w:ind w:left="504" w:hanging="504"/>
      </w:pPr>
      <w:proofErr w:type="spellStart"/>
      <w:r>
        <w:rPr>
          <w:sz w:val="19"/>
        </w:rPr>
        <w:t>Araus</w:t>
      </w:r>
      <w:proofErr w:type="spellEnd"/>
      <w:r>
        <w:rPr>
          <w:sz w:val="19"/>
        </w:rPr>
        <w:t xml:space="preserve">, J. L., Kefauver, S. C., Zaman-Allah, M., Olsen, M. S., &amp; Cairns, J. E. (2018). Translating high-throughput phenotyping into genetic gain. </w:t>
      </w:r>
      <w:r>
        <w:rPr>
          <w:i/>
          <w:sz w:val="19"/>
        </w:rPr>
        <w:t>Trends in Plant Science</w:t>
      </w:r>
      <w:r>
        <w:rPr>
          <w:sz w:val="19"/>
        </w:rPr>
        <w:t xml:space="preserve">, </w:t>
      </w:r>
      <w:r>
        <w:rPr>
          <w:i/>
          <w:sz w:val="19"/>
        </w:rPr>
        <w:t>23</w:t>
      </w:r>
      <w:r>
        <w:rPr>
          <w:sz w:val="19"/>
        </w:rPr>
        <w:t xml:space="preserve">(5), 451–466. </w:t>
      </w:r>
      <w:r>
        <w:rPr>
          <w:color w:val="0563C1"/>
          <w:u w:val="single"/>
        </w:rPr>
        <w:t>https://doi.org/10.1016/j.tplants.2018.02.001</w:t>
      </w:r>
    </w:p>
    <w:p w14:paraId="5F92A493" w14:textId="16D19475" w:rsidR="00153A91" w:rsidRDefault="00000000">
      <w:pPr>
        <w:spacing w:after="80" w:line="240" w:lineRule="auto"/>
        <w:ind w:left="504" w:hanging="504"/>
      </w:pPr>
      <w:proofErr w:type="spellStart"/>
      <w:r>
        <w:rPr>
          <w:sz w:val="19"/>
        </w:rPr>
        <w:t>Azodi</w:t>
      </w:r>
      <w:proofErr w:type="spellEnd"/>
      <w:r>
        <w:rPr>
          <w:sz w:val="19"/>
        </w:rPr>
        <w:t xml:space="preserve">, C. B., Bolger, E., McCarren, A., Roantree, M., de Los Campos, G., &amp; Shiu, S.-H. (2019). Benchmarking parametric and machine learning models for genomic prediction of complex traits. </w:t>
      </w:r>
      <w:r>
        <w:rPr>
          <w:i/>
          <w:sz w:val="19"/>
        </w:rPr>
        <w:t>G3: Genes, Genomes, Genetics</w:t>
      </w:r>
      <w:r>
        <w:rPr>
          <w:sz w:val="19"/>
        </w:rPr>
        <w:t xml:space="preserve">, </w:t>
      </w:r>
      <w:r>
        <w:rPr>
          <w:i/>
          <w:sz w:val="19"/>
        </w:rPr>
        <w:t>9</w:t>
      </w:r>
      <w:r>
        <w:rPr>
          <w:sz w:val="19"/>
        </w:rPr>
        <w:t xml:space="preserve">(11), 3691–3702. </w:t>
      </w:r>
      <w:r>
        <w:rPr>
          <w:color w:val="0563C1"/>
          <w:u w:val="single"/>
        </w:rPr>
        <w:t>https://doi.org/10.1534/g3.119.400498</w:t>
      </w:r>
    </w:p>
    <w:p w14:paraId="17C07984" w14:textId="0546A274" w:rsidR="00153A91" w:rsidRDefault="00000000">
      <w:pPr>
        <w:spacing w:after="80" w:line="240" w:lineRule="auto"/>
        <w:ind w:left="504" w:hanging="504"/>
      </w:pPr>
      <w:proofErr w:type="spellStart"/>
      <w:r>
        <w:rPr>
          <w:sz w:val="19"/>
        </w:rPr>
        <w:t>Baethge</w:t>
      </w:r>
      <w:proofErr w:type="spellEnd"/>
      <w:r>
        <w:rPr>
          <w:sz w:val="19"/>
        </w:rPr>
        <w:t xml:space="preserve">, C., Goldbeck-Wood, S., &amp; Mertens, S. (2019). SANRA—a scale for the quality assessment of narrative review articles. </w:t>
      </w:r>
      <w:r>
        <w:rPr>
          <w:i/>
          <w:sz w:val="19"/>
        </w:rPr>
        <w:t>Research Integrity and Peer Review</w:t>
      </w:r>
      <w:r>
        <w:rPr>
          <w:sz w:val="19"/>
        </w:rPr>
        <w:t xml:space="preserve">, </w:t>
      </w:r>
      <w:r>
        <w:rPr>
          <w:i/>
          <w:sz w:val="19"/>
        </w:rPr>
        <w:t>4</w:t>
      </w:r>
      <w:r>
        <w:rPr>
          <w:sz w:val="19"/>
        </w:rPr>
        <w:t xml:space="preserve">, 5. </w:t>
      </w:r>
      <w:r>
        <w:rPr>
          <w:color w:val="0563C1"/>
          <w:u w:val="single"/>
        </w:rPr>
        <w:t>https://doi.org/10.1186/s41073-019-0064-8</w:t>
      </w:r>
    </w:p>
    <w:p w14:paraId="4E0275D3" w14:textId="2411E7D6" w:rsidR="00153A91" w:rsidRDefault="00000000">
      <w:pPr>
        <w:spacing w:after="80" w:line="240" w:lineRule="auto"/>
        <w:ind w:left="504" w:hanging="504"/>
      </w:pPr>
      <w:r>
        <w:rPr>
          <w:sz w:val="19"/>
        </w:rPr>
        <w:t xml:space="preserve">Bayer, P. E., Petereit, J., </w:t>
      </w:r>
      <w:proofErr w:type="spellStart"/>
      <w:r>
        <w:rPr>
          <w:sz w:val="19"/>
        </w:rPr>
        <w:t>Danilevicz</w:t>
      </w:r>
      <w:proofErr w:type="spellEnd"/>
      <w:r>
        <w:rPr>
          <w:sz w:val="19"/>
        </w:rPr>
        <w:t xml:space="preserve">, M. F., Anderson, R., Batley, J., &amp; Edwards, D. (2021). The application of </w:t>
      </w:r>
      <w:proofErr w:type="spellStart"/>
      <w:r>
        <w:rPr>
          <w:sz w:val="19"/>
        </w:rPr>
        <w:t>pangenomics</w:t>
      </w:r>
      <w:proofErr w:type="spellEnd"/>
      <w:r>
        <w:rPr>
          <w:sz w:val="19"/>
        </w:rPr>
        <w:t xml:space="preserve"> and machine learning in genomic selection in plants. </w:t>
      </w:r>
      <w:r>
        <w:rPr>
          <w:i/>
          <w:sz w:val="19"/>
        </w:rPr>
        <w:t>The Plant Genome</w:t>
      </w:r>
      <w:r>
        <w:rPr>
          <w:sz w:val="19"/>
        </w:rPr>
        <w:t xml:space="preserve">, </w:t>
      </w:r>
      <w:r>
        <w:rPr>
          <w:i/>
          <w:sz w:val="19"/>
        </w:rPr>
        <w:t>14</w:t>
      </w:r>
      <w:r>
        <w:rPr>
          <w:sz w:val="19"/>
        </w:rPr>
        <w:t xml:space="preserve">(3), e20112. </w:t>
      </w:r>
      <w:r>
        <w:rPr>
          <w:color w:val="0563C1"/>
          <w:u w:val="single"/>
        </w:rPr>
        <w:t>https://doi.org/10.1002/tpg2.20112</w:t>
      </w:r>
    </w:p>
    <w:p w14:paraId="4F6EF452" w14:textId="31F37667" w:rsidR="00153A91" w:rsidRDefault="00000000">
      <w:pPr>
        <w:spacing w:after="80" w:line="240" w:lineRule="auto"/>
        <w:ind w:left="504" w:hanging="504"/>
      </w:pPr>
      <w:r>
        <w:rPr>
          <w:sz w:val="19"/>
        </w:rPr>
        <w:t xml:space="preserve">Chen, C., Powell, O., Dinglasan, E., Ross, E. M., Yadav, S., Wei, X., Atkin, F., </w:t>
      </w:r>
      <w:proofErr w:type="spellStart"/>
      <w:r>
        <w:rPr>
          <w:sz w:val="19"/>
        </w:rPr>
        <w:t>Deomano</w:t>
      </w:r>
      <w:proofErr w:type="spellEnd"/>
      <w:r>
        <w:rPr>
          <w:sz w:val="19"/>
        </w:rPr>
        <w:t xml:space="preserve">, E., &amp; Hayes, B. J. (2023). Genomic prediction with machine learning in sugarcane, a complex highly polyploid clonally propagated crop with substantial non-additive variation for key traits. </w:t>
      </w:r>
      <w:r>
        <w:rPr>
          <w:i/>
          <w:sz w:val="19"/>
        </w:rPr>
        <w:t>The Plant Genome</w:t>
      </w:r>
      <w:r>
        <w:rPr>
          <w:sz w:val="19"/>
        </w:rPr>
        <w:t xml:space="preserve">, </w:t>
      </w:r>
      <w:r>
        <w:rPr>
          <w:i/>
          <w:sz w:val="19"/>
        </w:rPr>
        <w:t>16</w:t>
      </w:r>
      <w:r>
        <w:rPr>
          <w:sz w:val="19"/>
        </w:rPr>
        <w:t xml:space="preserve">(4), e20390. </w:t>
      </w:r>
      <w:r>
        <w:rPr>
          <w:color w:val="0563C1"/>
          <w:u w:val="single"/>
        </w:rPr>
        <w:t>https://doi.org/10.1002/tpg2.20390</w:t>
      </w:r>
    </w:p>
    <w:p w14:paraId="6E9FD15E" w14:textId="75E31B84" w:rsidR="00153A91" w:rsidRDefault="00000000">
      <w:pPr>
        <w:spacing w:after="80" w:line="240" w:lineRule="auto"/>
        <w:ind w:left="504" w:hanging="504"/>
      </w:pPr>
      <w:r>
        <w:rPr>
          <w:sz w:val="19"/>
        </w:rPr>
        <w:t xml:space="preserve">Crain, J., Mondal, S., Rutkoski, J., Singh, R. P., &amp; Poland, J. (2018). Combining high-throughput phenotyping and genomic information to increase prediction and selection accuracy in wheat breeding. </w:t>
      </w:r>
      <w:r>
        <w:rPr>
          <w:i/>
          <w:sz w:val="19"/>
        </w:rPr>
        <w:t>The Plant Genome</w:t>
      </w:r>
      <w:r>
        <w:rPr>
          <w:sz w:val="19"/>
        </w:rPr>
        <w:t xml:space="preserve">, </w:t>
      </w:r>
      <w:r>
        <w:rPr>
          <w:i/>
          <w:sz w:val="19"/>
        </w:rPr>
        <w:t>11</w:t>
      </w:r>
      <w:r>
        <w:rPr>
          <w:sz w:val="19"/>
        </w:rPr>
        <w:t xml:space="preserve">(1), 170043. </w:t>
      </w:r>
      <w:r>
        <w:rPr>
          <w:color w:val="0563C1"/>
          <w:u w:val="single"/>
        </w:rPr>
        <w:t>https://doi.org/10.3835/plantgenome2017.05.0043</w:t>
      </w:r>
    </w:p>
    <w:p w14:paraId="042FEC5A" w14:textId="64F8A8DB" w:rsidR="00153A91" w:rsidRDefault="00000000">
      <w:pPr>
        <w:spacing w:after="80" w:line="240" w:lineRule="auto"/>
        <w:ind w:left="504" w:hanging="504"/>
      </w:pPr>
      <w:r>
        <w:rPr>
          <w:sz w:val="19"/>
        </w:rPr>
        <w:t xml:space="preserve">Crossa, J., Pérez-Rodríguez, P., Cuevas, J., Montesinos-López, O., Jarquín, D., de Los Campos, G., Burgueño, J., González-Camacho, J. M., Pérez-Elizalde, S., Beyene, Y., </w:t>
      </w:r>
      <w:proofErr w:type="spellStart"/>
      <w:r>
        <w:rPr>
          <w:sz w:val="19"/>
        </w:rPr>
        <w:t>Dreisigacker</w:t>
      </w:r>
      <w:proofErr w:type="spellEnd"/>
      <w:r>
        <w:rPr>
          <w:sz w:val="19"/>
        </w:rPr>
        <w:t xml:space="preserve">, S., Singh, R., Zhang, X., Gowda, M., </w:t>
      </w:r>
      <w:proofErr w:type="spellStart"/>
      <w:r>
        <w:rPr>
          <w:sz w:val="19"/>
        </w:rPr>
        <w:t>Roorkiwal</w:t>
      </w:r>
      <w:proofErr w:type="spellEnd"/>
      <w:r>
        <w:rPr>
          <w:sz w:val="19"/>
        </w:rPr>
        <w:t xml:space="preserve">, M., Rutkoski, J., &amp; Varshney, R. K. (2017). Genomic selection in plant breeding: Methods, models, and perspectives. </w:t>
      </w:r>
      <w:r>
        <w:rPr>
          <w:i/>
          <w:sz w:val="19"/>
        </w:rPr>
        <w:t>Trends in Plant Science</w:t>
      </w:r>
      <w:r>
        <w:rPr>
          <w:sz w:val="19"/>
        </w:rPr>
        <w:t xml:space="preserve">, </w:t>
      </w:r>
      <w:r>
        <w:rPr>
          <w:i/>
          <w:sz w:val="19"/>
        </w:rPr>
        <w:t>22</w:t>
      </w:r>
      <w:r>
        <w:rPr>
          <w:sz w:val="19"/>
        </w:rPr>
        <w:t xml:space="preserve">(11), 961–975. </w:t>
      </w:r>
      <w:r>
        <w:rPr>
          <w:color w:val="0563C1"/>
          <w:u w:val="single"/>
        </w:rPr>
        <w:t>https://doi.org/10.1016/j.tplants.2017.08.011</w:t>
      </w:r>
    </w:p>
    <w:p w14:paraId="3D8AED12" w14:textId="24E83CEF" w:rsidR="00153A91" w:rsidRDefault="00000000">
      <w:pPr>
        <w:spacing w:after="80" w:line="240" w:lineRule="auto"/>
        <w:ind w:left="504" w:hanging="504"/>
      </w:pPr>
      <w:r>
        <w:rPr>
          <w:sz w:val="19"/>
        </w:rPr>
        <w:t xml:space="preserve">Cuevas, J., Crossa, J., Montesinos-López, O. A., Burgueño, J., Pérez-Rodríguez, P., &amp; de Los Campos, G. (2017). Bayesian genomic prediction with genotype × environment interaction kernel models. </w:t>
      </w:r>
      <w:r>
        <w:rPr>
          <w:i/>
          <w:sz w:val="19"/>
        </w:rPr>
        <w:t>G3: Genes, Genomes, Genetics</w:t>
      </w:r>
      <w:r>
        <w:rPr>
          <w:sz w:val="19"/>
        </w:rPr>
        <w:t xml:space="preserve">, </w:t>
      </w:r>
      <w:r>
        <w:rPr>
          <w:i/>
          <w:sz w:val="19"/>
        </w:rPr>
        <w:t>7</w:t>
      </w:r>
      <w:r>
        <w:rPr>
          <w:sz w:val="19"/>
        </w:rPr>
        <w:t xml:space="preserve">(1), 41–53. </w:t>
      </w:r>
      <w:r>
        <w:rPr>
          <w:color w:val="0563C1"/>
          <w:u w:val="single"/>
        </w:rPr>
        <w:t>https://doi.org/10.1534/g3.116.035584</w:t>
      </w:r>
    </w:p>
    <w:p w14:paraId="15B5A41B" w14:textId="2EE96A72" w:rsidR="00153A91" w:rsidRDefault="00000000">
      <w:pPr>
        <w:spacing w:after="80" w:line="240" w:lineRule="auto"/>
        <w:ind w:left="504" w:hanging="504"/>
      </w:pPr>
      <w:r>
        <w:rPr>
          <w:sz w:val="19"/>
        </w:rPr>
        <w:t xml:space="preserve">Feng, H., Li, Y., Dai, G., Yang, Z., Song, J., Lu, B., Gao, Y., Chen, Y., Shi, J., Mur, L. A. J., Yu, L., Luo, J., &amp; Yang, W. (2025). Integrative phenomics, metabolomics and genomics analysis provides new insights for deciphering the genetic basis of metabolism in polished rice. </w:t>
      </w:r>
      <w:r>
        <w:rPr>
          <w:i/>
          <w:sz w:val="19"/>
        </w:rPr>
        <w:t>Genome Biology</w:t>
      </w:r>
      <w:r>
        <w:rPr>
          <w:sz w:val="19"/>
        </w:rPr>
        <w:t xml:space="preserve">, </w:t>
      </w:r>
      <w:r>
        <w:rPr>
          <w:i/>
          <w:sz w:val="19"/>
        </w:rPr>
        <w:t>26</w:t>
      </w:r>
      <w:r>
        <w:rPr>
          <w:sz w:val="19"/>
        </w:rPr>
        <w:t xml:space="preserve">(1), 55. </w:t>
      </w:r>
      <w:r>
        <w:rPr>
          <w:color w:val="0563C1"/>
          <w:u w:val="single"/>
        </w:rPr>
        <w:t>https://doi.org/10.1186/s13059-025-03513-w</w:t>
      </w:r>
    </w:p>
    <w:p w14:paraId="74656E1B" w14:textId="7D1E4459" w:rsidR="00153A91" w:rsidRDefault="00000000">
      <w:pPr>
        <w:spacing w:after="80" w:line="240" w:lineRule="auto"/>
        <w:ind w:left="504" w:hanging="504"/>
      </w:pPr>
      <w:r>
        <w:rPr>
          <w:sz w:val="19"/>
        </w:rPr>
        <w:t xml:space="preserve">Guo, Z., Magwire, M. M., Basten, C. J., Xu, Z., &amp; Wang, D. (2016). Evaluation of the utility of gene expression and metabolic information for genomic prediction in maize. </w:t>
      </w:r>
      <w:r>
        <w:rPr>
          <w:i/>
          <w:sz w:val="19"/>
        </w:rPr>
        <w:t>Theoretical and Applied Genetics</w:t>
      </w:r>
      <w:r>
        <w:rPr>
          <w:sz w:val="19"/>
        </w:rPr>
        <w:t xml:space="preserve">, </w:t>
      </w:r>
      <w:r>
        <w:rPr>
          <w:i/>
          <w:sz w:val="19"/>
        </w:rPr>
        <w:t>129</w:t>
      </w:r>
      <w:r>
        <w:rPr>
          <w:sz w:val="19"/>
        </w:rPr>
        <w:t xml:space="preserve">(12), 2413–2427. </w:t>
      </w:r>
      <w:r>
        <w:rPr>
          <w:color w:val="0563C1"/>
          <w:u w:val="single"/>
        </w:rPr>
        <w:t>https://doi.org/10.1007/s00122-016-2780-5</w:t>
      </w:r>
    </w:p>
    <w:p w14:paraId="723DFAE4" w14:textId="3E983AC1" w:rsidR="00153A91" w:rsidRDefault="00000000">
      <w:pPr>
        <w:spacing w:after="80" w:line="240" w:lineRule="auto"/>
        <w:ind w:left="504" w:hanging="504"/>
      </w:pPr>
      <w:r>
        <w:rPr>
          <w:sz w:val="19"/>
        </w:rPr>
        <w:lastRenderedPageBreak/>
        <w:t xml:space="preserve">Hansen, P. B., Ruud, A. K., de Los Campos, G., Malinowska, M., Nagy, I., Svane, S. F., Thorup-Kristensen, K., Jensen, J. D., Krusell, L., &amp; Asp, T. (2022). Integration of DNA methylation and transcriptome data improves complex trait prediction in </w:t>
      </w:r>
      <w:r>
        <w:rPr>
          <w:i/>
          <w:sz w:val="19"/>
        </w:rPr>
        <w:t>Hordeum vulgare</w:t>
      </w:r>
      <w:r>
        <w:rPr>
          <w:sz w:val="19"/>
        </w:rPr>
        <w:t xml:space="preserve">. </w:t>
      </w:r>
      <w:r>
        <w:rPr>
          <w:i/>
          <w:sz w:val="19"/>
        </w:rPr>
        <w:t>Plants</w:t>
      </w:r>
      <w:r>
        <w:rPr>
          <w:sz w:val="19"/>
        </w:rPr>
        <w:t xml:space="preserve">, </w:t>
      </w:r>
      <w:r>
        <w:rPr>
          <w:i/>
          <w:sz w:val="19"/>
        </w:rPr>
        <w:t>11</w:t>
      </w:r>
      <w:r>
        <w:rPr>
          <w:sz w:val="19"/>
        </w:rPr>
        <w:t xml:space="preserve">(17), 2190. </w:t>
      </w:r>
      <w:r>
        <w:rPr>
          <w:color w:val="0563C1"/>
          <w:u w:val="single"/>
        </w:rPr>
        <w:t>https://doi.org/10.3390/plants11172190</w:t>
      </w:r>
    </w:p>
    <w:p w14:paraId="4ECEEB0C" w14:textId="7CCCF723" w:rsidR="00153A91" w:rsidRDefault="00000000">
      <w:pPr>
        <w:spacing w:after="80" w:line="240" w:lineRule="auto"/>
        <w:ind w:left="504" w:hanging="504"/>
      </w:pPr>
      <w:r>
        <w:rPr>
          <w:sz w:val="19"/>
        </w:rPr>
        <w:t xml:space="preserve">Hickey, J. M., </w:t>
      </w:r>
      <w:proofErr w:type="spellStart"/>
      <w:r>
        <w:rPr>
          <w:sz w:val="19"/>
        </w:rPr>
        <w:t>Chiurugwi</w:t>
      </w:r>
      <w:proofErr w:type="spellEnd"/>
      <w:r>
        <w:rPr>
          <w:sz w:val="19"/>
        </w:rPr>
        <w:t xml:space="preserve">, T., Mackay, I., Powell, W., &amp; Implementing Genomic Selection in CGIAR Breeding Programs Workshop Participants. (2017). Genomic prediction unifies animal and plant breeding programs to form platforms for biological discovery. </w:t>
      </w:r>
      <w:r>
        <w:rPr>
          <w:i/>
          <w:sz w:val="19"/>
        </w:rPr>
        <w:t>Nature Genetics</w:t>
      </w:r>
      <w:r>
        <w:rPr>
          <w:sz w:val="19"/>
        </w:rPr>
        <w:t xml:space="preserve">, </w:t>
      </w:r>
      <w:r>
        <w:rPr>
          <w:i/>
          <w:sz w:val="19"/>
        </w:rPr>
        <w:t>49</w:t>
      </w:r>
      <w:r>
        <w:rPr>
          <w:sz w:val="19"/>
        </w:rPr>
        <w:t xml:space="preserve">(9), 1297–1303. </w:t>
      </w:r>
      <w:r>
        <w:rPr>
          <w:color w:val="0563C1"/>
          <w:u w:val="single"/>
        </w:rPr>
        <w:t>https://doi.org/10.1038/ng.3920</w:t>
      </w:r>
    </w:p>
    <w:p w14:paraId="731C0CB0" w14:textId="52ABEEBC" w:rsidR="00153A91" w:rsidRDefault="00000000">
      <w:pPr>
        <w:spacing w:after="80" w:line="240" w:lineRule="auto"/>
        <w:ind w:left="504" w:hanging="504"/>
      </w:pPr>
      <w:proofErr w:type="spellStart"/>
      <w:r>
        <w:rPr>
          <w:sz w:val="19"/>
        </w:rPr>
        <w:t>Jannink</w:t>
      </w:r>
      <w:proofErr w:type="spellEnd"/>
      <w:r>
        <w:rPr>
          <w:sz w:val="19"/>
        </w:rPr>
        <w:t xml:space="preserve">, J.-L., Lorenz, A. J., &amp; Iwata, H. (2010). Genomic selection in plant breeding: From theory to practice. </w:t>
      </w:r>
      <w:r>
        <w:rPr>
          <w:i/>
          <w:sz w:val="19"/>
        </w:rPr>
        <w:t>Briefings in Functional Genomics</w:t>
      </w:r>
      <w:r>
        <w:rPr>
          <w:sz w:val="19"/>
        </w:rPr>
        <w:t xml:space="preserve">, </w:t>
      </w:r>
      <w:r>
        <w:rPr>
          <w:i/>
          <w:sz w:val="19"/>
        </w:rPr>
        <w:t>9</w:t>
      </w:r>
      <w:r>
        <w:rPr>
          <w:sz w:val="19"/>
        </w:rPr>
        <w:t xml:space="preserve">(2), 166–177. </w:t>
      </w:r>
      <w:r>
        <w:rPr>
          <w:color w:val="0563C1"/>
          <w:u w:val="single"/>
        </w:rPr>
        <w:t>https://doi.org/10.1093/bfgp/elq001</w:t>
      </w:r>
    </w:p>
    <w:p w14:paraId="161FBA45" w14:textId="07DAC1AB" w:rsidR="00153A91" w:rsidRDefault="00000000">
      <w:pPr>
        <w:spacing w:after="80" w:line="240" w:lineRule="auto"/>
        <w:ind w:left="504" w:hanging="504"/>
      </w:pPr>
      <w:r>
        <w:rPr>
          <w:sz w:val="19"/>
        </w:rPr>
        <w:t xml:space="preserve">Jarquín, D., Crossa, J., Lacaze, X., Du Cheyron, P., </w:t>
      </w:r>
      <w:proofErr w:type="spellStart"/>
      <w:r>
        <w:rPr>
          <w:sz w:val="19"/>
        </w:rPr>
        <w:t>Daucourt</w:t>
      </w:r>
      <w:proofErr w:type="spellEnd"/>
      <w:r>
        <w:rPr>
          <w:sz w:val="19"/>
        </w:rPr>
        <w:t xml:space="preserve">, J., </w:t>
      </w:r>
      <w:proofErr w:type="spellStart"/>
      <w:r>
        <w:rPr>
          <w:sz w:val="19"/>
        </w:rPr>
        <w:t>Lorgeou</w:t>
      </w:r>
      <w:proofErr w:type="spellEnd"/>
      <w:r>
        <w:rPr>
          <w:sz w:val="19"/>
        </w:rPr>
        <w:t xml:space="preserve">, J., </w:t>
      </w:r>
      <w:proofErr w:type="spellStart"/>
      <w:r>
        <w:rPr>
          <w:sz w:val="19"/>
        </w:rPr>
        <w:t>Piraux</w:t>
      </w:r>
      <w:proofErr w:type="spellEnd"/>
      <w:r>
        <w:rPr>
          <w:sz w:val="19"/>
        </w:rPr>
        <w:t xml:space="preserve">, F., Guerreiro, L., Pérez, P., Calus, M., Burgueño, J., &amp; de </w:t>
      </w:r>
      <w:proofErr w:type="spellStart"/>
      <w:r>
        <w:rPr>
          <w:sz w:val="19"/>
        </w:rPr>
        <w:t>los</w:t>
      </w:r>
      <w:proofErr w:type="spellEnd"/>
      <w:r>
        <w:rPr>
          <w:sz w:val="19"/>
        </w:rPr>
        <w:t xml:space="preserve"> Campos, G. (2014). A reaction norm model for genomic selection using high-dimensional genomic and environmental data. </w:t>
      </w:r>
      <w:r>
        <w:rPr>
          <w:i/>
          <w:sz w:val="19"/>
        </w:rPr>
        <w:t>Theoretical and Applied Genetics</w:t>
      </w:r>
      <w:r>
        <w:rPr>
          <w:sz w:val="19"/>
        </w:rPr>
        <w:t xml:space="preserve">, </w:t>
      </w:r>
      <w:r>
        <w:rPr>
          <w:i/>
          <w:sz w:val="19"/>
        </w:rPr>
        <w:t>127</w:t>
      </w:r>
      <w:r>
        <w:rPr>
          <w:sz w:val="19"/>
        </w:rPr>
        <w:t xml:space="preserve">(3), 595–607. </w:t>
      </w:r>
      <w:r>
        <w:rPr>
          <w:color w:val="0563C1"/>
          <w:u w:val="single"/>
        </w:rPr>
        <w:t>https://doi.org/10.1007/s00122-013-2243-1</w:t>
      </w:r>
    </w:p>
    <w:p w14:paraId="5A39A622" w14:textId="65F207E9" w:rsidR="00153A91" w:rsidRDefault="00000000">
      <w:pPr>
        <w:spacing w:after="80" w:line="240" w:lineRule="auto"/>
        <w:ind w:left="504" w:hanging="504"/>
      </w:pPr>
      <w:r>
        <w:rPr>
          <w:sz w:val="19"/>
        </w:rPr>
        <w:t xml:space="preserve">Jiang, L.-G., Li, B., Liu, S.-X., Wang, H.-W., Li, C.-P., Song, S.-H., Beatty, M., Zastrow-Hayes, G., Yang, X.-H., Qin, F., &amp; He, Y. (2019). Characterization of proteome variation during modern maize breeding. </w:t>
      </w:r>
      <w:r>
        <w:rPr>
          <w:i/>
          <w:sz w:val="19"/>
        </w:rPr>
        <w:t>Molecular &amp; Cellular Proteomics</w:t>
      </w:r>
      <w:r>
        <w:rPr>
          <w:sz w:val="19"/>
        </w:rPr>
        <w:t xml:space="preserve">, </w:t>
      </w:r>
      <w:r>
        <w:rPr>
          <w:i/>
          <w:sz w:val="19"/>
        </w:rPr>
        <w:t>18</w:t>
      </w:r>
      <w:r>
        <w:rPr>
          <w:sz w:val="19"/>
        </w:rPr>
        <w:t xml:space="preserve">(2), 263–276. </w:t>
      </w:r>
      <w:r>
        <w:rPr>
          <w:color w:val="0563C1"/>
          <w:u w:val="single"/>
        </w:rPr>
        <w:t>https://doi.org/10.1074/mcp.RA118.001021</w:t>
      </w:r>
    </w:p>
    <w:p w14:paraId="70A7419D" w14:textId="45E0E1BF" w:rsidR="00153A91" w:rsidRDefault="00000000">
      <w:pPr>
        <w:spacing w:after="80" w:line="240" w:lineRule="auto"/>
        <w:ind w:left="504" w:hanging="504"/>
      </w:pPr>
      <w:r>
        <w:rPr>
          <w:sz w:val="19"/>
        </w:rPr>
        <w:t xml:space="preserve">Juliana, P., Montesinos-López, O. A., Crossa, J., Mondal, S., González Pérez, L., Poland, J., Huerta-Espino, J., Crespo-Herrera, L., Govindan, V., Dreisigacker, S., Shrestha, S., Pérez-Rodríguez, P., Pinto Espinosa, F., &amp; Singh, R. P. (2019). Integrating genomic-enabled prediction and high-throughput phenotyping in breeding for climate-resilient bread wheat. </w:t>
      </w:r>
      <w:r>
        <w:rPr>
          <w:i/>
          <w:sz w:val="19"/>
        </w:rPr>
        <w:t>Theoretical and Applied Genetics</w:t>
      </w:r>
      <w:r>
        <w:rPr>
          <w:sz w:val="19"/>
        </w:rPr>
        <w:t xml:space="preserve">, </w:t>
      </w:r>
      <w:r>
        <w:rPr>
          <w:i/>
          <w:sz w:val="19"/>
        </w:rPr>
        <w:t>132</w:t>
      </w:r>
      <w:r>
        <w:rPr>
          <w:sz w:val="19"/>
        </w:rPr>
        <w:t xml:space="preserve">(1), 177–194. </w:t>
      </w:r>
      <w:r>
        <w:rPr>
          <w:color w:val="0563C1"/>
          <w:u w:val="single"/>
        </w:rPr>
        <w:t>https://doi.org/10.1007/s00122-018-3206-3</w:t>
      </w:r>
    </w:p>
    <w:p w14:paraId="5B8D0704" w14:textId="49137833" w:rsidR="00153A91" w:rsidRDefault="00000000">
      <w:pPr>
        <w:spacing w:after="80" w:line="240" w:lineRule="auto"/>
        <w:ind w:left="504" w:hanging="504"/>
      </w:pPr>
      <w:proofErr w:type="spellStart"/>
      <w:r>
        <w:rPr>
          <w:sz w:val="19"/>
        </w:rPr>
        <w:t>Kawakatsu</w:t>
      </w:r>
      <w:proofErr w:type="spellEnd"/>
      <w:r>
        <w:rPr>
          <w:sz w:val="19"/>
        </w:rPr>
        <w:t xml:space="preserve">, T., &amp; Ecker, J. R. (2019). Diversity and dynamics of DNA methylation: Epigenomic resources and tools for crop breeding. </w:t>
      </w:r>
      <w:r>
        <w:rPr>
          <w:i/>
          <w:sz w:val="19"/>
        </w:rPr>
        <w:t>Breeding Science</w:t>
      </w:r>
      <w:r>
        <w:rPr>
          <w:sz w:val="19"/>
        </w:rPr>
        <w:t xml:space="preserve">, </w:t>
      </w:r>
      <w:r>
        <w:rPr>
          <w:i/>
          <w:sz w:val="19"/>
        </w:rPr>
        <w:t>69</w:t>
      </w:r>
      <w:r>
        <w:rPr>
          <w:sz w:val="19"/>
        </w:rPr>
        <w:t xml:space="preserve">(2), 191–204. </w:t>
      </w:r>
      <w:r>
        <w:rPr>
          <w:color w:val="0563C1"/>
          <w:u w:val="single"/>
        </w:rPr>
        <w:t>https://doi.org/10.1270/jsbbs.19005</w:t>
      </w:r>
    </w:p>
    <w:p w14:paraId="4C52FC58" w14:textId="2434DAD8" w:rsidR="00153A91" w:rsidRDefault="00000000">
      <w:pPr>
        <w:spacing w:after="80" w:line="240" w:lineRule="auto"/>
        <w:ind w:left="504" w:hanging="504"/>
      </w:pPr>
      <w:r>
        <w:rPr>
          <w:sz w:val="19"/>
        </w:rPr>
        <w:t xml:space="preserve">Knoch, D., Werner, C. R., Meyer, R. C., Riewe, D., Abbadi, A., Lücke, S., Snowdon, R. J., &amp; Altmann, T. (2021). Multi-omics-based prediction of hybrid performance in canola. </w:t>
      </w:r>
      <w:r>
        <w:rPr>
          <w:i/>
          <w:sz w:val="19"/>
        </w:rPr>
        <w:t>Theoretical and Applied Genetics</w:t>
      </w:r>
      <w:r>
        <w:rPr>
          <w:sz w:val="19"/>
        </w:rPr>
        <w:t xml:space="preserve">, </w:t>
      </w:r>
      <w:r>
        <w:rPr>
          <w:i/>
          <w:sz w:val="19"/>
        </w:rPr>
        <w:t>134</w:t>
      </w:r>
      <w:r>
        <w:rPr>
          <w:sz w:val="19"/>
        </w:rPr>
        <w:t xml:space="preserve">(4), 1147–1165. </w:t>
      </w:r>
      <w:r>
        <w:rPr>
          <w:color w:val="0563C1"/>
          <w:u w:val="single"/>
        </w:rPr>
        <w:t>https://doi.org/10.1007/s00122-020-03759-x</w:t>
      </w:r>
    </w:p>
    <w:p w14:paraId="26A79848" w14:textId="13DC2E7F" w:rsidR="00153A91" w:rsidRDefault="00000000">
      <w:pPr>
        <w:spacing w:after="80" w:line="240" w:lineRule="auto"/>
        <w:ind w:left="504" w:hanging="504"/>
      </w:pPr>
      <w:r>
        <w:rPr>
          <w:sz w:val="19"/>
        </w:rPr>
        <w:t xml:space="preserve">Kremling, K. A. G., Diepenbrock, C. H., Gore, M. A., Buckler, E. S., &amp; </w:t>
      </w:r>
      <w:proofErr w:type="spellStart"/>
      <w:r>
        <w:rPr>
          <w:sz w:val="19"/>
        </w:rPr>
        <w:t>Bandillo</w:t>
      </w:r>
      <w:proofErr w:type="spellEnd"/>
      <w:r>
        <w:rPr>
          <w:sz w:val="19"/>
        </w:rPr>
        <w:t xml:space="preserve">, N. B. (2019). Transcriptome-wide association supplements genome-wide association in </w:t>
      </w:r>
      <w:r>
        <w:rPr>
          <w:i/>
          <w:sz w:val="19"/>
        </w:rPr>
        <w:t>Zea mays</w:t>
      </w:r>
      <w:r>
        <w:rPr>
          <w:sz w:val="19"/>
        </w:rPr>
        <w:t xml:space="preserve">. </w:t>
      </w:r>
      <w:r>
        <w:rPr>
          <w:i/>
          <w:sz w:val="19"/>
        </w:rPr>
        <w:t>G3: Genes, Genomes, Genetics</w:t>
      </w:r>
      <w:r>
        <w:rPr>
          <w:sz w:val="19"/>
        </w:rPr>
        <w:t xml:space="preserve">, </w:t>
      </w:r>
      <w:r>
        <w:rPr>
          <w:i/>
          <w:sz w:val="19"/>
        </w:rPr>
        <w:t>9</w:t>
      </w:r>
      <w:r>
        <w:rPr>
          <w:sz w:val="19"/>
        </w:rPr>
        <w:t xml:space="preserve">(9), 3023–3033. </w:t>
      </w:r>
      <w:r>
        <w:rPr>
          <w:color w:val="0563C1"/>
          <w:u w:val="single"/>
        </w:rPr>
        <w:t>https://doi.org/10.1534/g3.119.400549</w:t>
      </w:r>
    </w:p>
    <w:p w14:paraId="0689D39B" w14:textId="5B961D10" w:rsidR="00153A91" w:rsidRDefault="00000000">
      <w:pPr>
        <w:spacing w:after="80" w:line="240" w:lineRule="auto"/>
        <w:ind w:left="504" w:hanging="504"/>
      </w:pPr>
      <w:proofErr w:type="spellStart"/>
      <w:r>
        <w:rPr>
          <w:sz w:val="19"/>
        </w:rPr>
        <w:t>Marand</w:t>
      </w:r>
      <w:proofErr w:type="spellEnd"/>
      <w:r>
        <w:rPr>
          <w:sz w:val="19"/>
        </w:rPr>
        <w:t xml:space="preserve">, A. P., Chen, Z., </w:t>
      </w:r>
      <w:proofErr w:type="spellStart"/>
      <w:r>
        <w:rPr>
          <w:sz w:val="19"/>
        </w:rPr>
        <w:t>Gallavotti</w:t>
      </w:r>
      <w:proofErr w:type="spellEnd"/>
      <w:r>
        <w:rPr>
          <w:sz w:val="19"/>
        </w:rPr>
        <w:t xml:space="preserve">, A., &amp; Schmitz, R. J. (2021). A cis-regulatory atlas in maize at single-cell resolution. </w:t>
      </w:r>
      <w:r>
        <w:rPr>
          <w:i/>
          <w:sz w:val="19"/>
        </w:rPr>
        <w:t>Cell</w:t>
      </w:r>
      <w:r>
        <w:rPr>
          <w:sz w:val="19"/>
        </w:rPr>
        <w:t xml:space="preserve">, </w:t>
      </w:r>
      <w:r>
        <w:rPr>
          <w:i/>
          <w:sz w:val="19"/>
        </w:rPr>
        <w:t>184</w:t>
      </w:r>
      <w:r>
        <w:rPr>
          <w:sz w:val="19"/>
        </w:rPr>
        <w:t xml:space="preserve">(11), 3041–3055.e21. </w:t>
      </w:r>
      <w:r>
        <w:rPr>
          <w:color w:val="0563C1"/>
          <w:u w:val="single"/>
        </w:rPr>
        <w:t>https://doi.org/10.1016/j.cell.2021.04.014</w:t>
      </w:r>
    </w:p>
    <w:p w14:paraId="7087A5CA" w14:textId="083A4F04" w:rsidR="00153A91" w:rsidRDefault="00000000">
      <w:pPr>
        <w:spacing w:after="80" w:line="240" w:lineRule="auto"/>
        <w:ind w:left="504" w:hanging="504"/>
      </w:pPr>
      <w:r>
        <w:rPr>
          <w:sz w:val="19"/>
        </w:rPr>
        <w:t xml:space="preserve">Millet, E. J., Kruijer, W., </w:t>
      </w:r>
      <w:proofErr w:type="spellStart"/>
      <w:r>
        <w:rPr>
          <w:sz w:val="19"/>
        </w:rPr>
        <w:t>Coupel</w:t>
      </w:r>
      <w:proofErr w:type="spellEnd"/>
      <w:r>
        <w:rPr>
          <w:sz w:val="19"/>
        </w:rPr>
        <w:t xml:space="preserve">-Ledru, A., Alvarez Prado, S., Cabrera-Bosquet, L., </w:t>
      </w:r>
      <w:proofErr w:type="spellStart"/>
      <w:r>
        <w:rPr>
          <w:sz w:val="19"/>
        </w:rPr>
        <w:t>Lacube</w:t>
      </w:r>
      <w:proofErr w:type="spellEnd"/>
      <w:r>
        <w:rPr>
          <w:sz w:val="19"/>
        </w:rPr>
        <w:t xml:space="preserve">, S., </w:t>
      </w:r>
      <w:proofErr w:type="spellStart"/>
      <w:r>
        <w:rPr>
          <w:sz w:val="19"/>
        </w:rPr>
        <w:t>Charcosset</w:t>
      </w:r>
      <w:proofErr w:type="spellEnd"/>
      <w:r>
        <w:rPr>
          <w:sz w:val="19"/>
        </w:rPr>
        <w:t xml:space="preserve">, A., Welcker, C., van </w:t>
      </w:r>
      <w:proofErr w:type="spellStart"/>
      <w:r>
        <w:rPr>
          <w:sz w:val="19"/>
        </w:rPr>
        <w:t>Eeuwijk</w:t>
      </w:r>
      <w:proofErr w:type="spellEnd"/>
      <w:r>
        <w:rPr>
          <w:sz w:val="19"/>
        </w:rPr>
        <w:t xml:space="preserve">, F., &amp; Tardieu, F. (2019). Genomic prediction of maize yield across European environmental conditions. </w:t>
      </w:r>
      <w:r>
        <w:rPr>
          <w:i/>
          <w:sz w:val="19"/>
        </w:rPr>
        <w:t>Nature Genetics</w:t>
      </w:r>
      <w:r>
        <w:rPr>
          <w:sz w:val="19"/>
        </w:rPr>
        <w:t xml:space="preserve">, </w:t>
      </w:r>
      <w:r>
        <w:rPr>
          <w:i/>
          <w:sz w:val="19"/>
        </w:rPr>
        <w:t>51</w:t>
      </w:r>
      <w:r>
        <w:rPr>
          <w:sz w:val="19"/>
        </w:rPr>
        <w:t xml:space="preserve">(6), 952–956. </w:t>
      </w:r>
      <w:r>
        <w:rPr>
          <w:color w:val="0563C1"/>
          <w:u w:val="single"/>
        </w:rPr>
        <w:t>https://doi.org/10.1038/s41588-019-0414-y</w:t>
      </w:r>
    </w:p>
    <w:p w14:paraId="1EF03756" w14:textId="581E8485" w:rsidR="00153A91" w:rsidRDefault="00000000">
      <w:pPr>
        <w:spacing w:after="80" w:line="240" w:lineRule="auto"/>
        <w:ind w:left="504" w:hanging="504"/>
      </w:pPr>
      <w:r>
        <w:rPr>
          <w:sz w:val="19"/>
        </w:rPr>
        <w:t xml:space="preserve">Montesinos-López, A., Rivera, C., Pinto, F., </w:t>
      </w:r>
      <w:proofErr w:type="spellStart"/>
      <w:r>
        <w:rPr>
          <w:sz w:val="19"/>
        </w:rPr>
        <w:t>Piñera</w:t>
      </w:r>
      <w:proofErr w:type="spellEnd"/>
      <w:r>
        <w:rPr>
          <w:sz w:val="19"/>
        </w:rPr>
        <w:t xml:space="preserve">, F., Gonzalez, D., Reynolds, M., Pérez-Rodríguez, P., Li, H., Montesinos-López, O. A., &amp; Crossa, J. (2023). Multimodal deep learning methods enhance genomic prediction of wheat breeding. </w:t>
      </w:r>
      <w:r>
        <w:rPr>
          <w:i/>
          <w:sz w:val="19"/>
        </w:rPr>
        <w:t>G3: Genes, Genomes, Genetics</w:t>
      </w:r>
      <w:r>
        <w:rPr>
          <w:sz w:val="19"/>
        </w:rPr>
        <w:t xml:space="preserve">, </w:t>
      </w:r>
      <w:r>
        <w:rPr>
          <w:i/>
          <w:sz w:val="19"/>
        </w:rPr>
        <w:t>13</w:t>
      </w:r>
      <w:r>
        <w:rPr>
          <w:sz w:val="19"/>
        </w:rPr>
        <w:t xml:space="preserve">(5), jkad045. </w:t>
      </w:r>
      <w:r>
        <w:rPr>
          <w:color w:val="0563C1"/>
          <w:u w:val="single"/>
        </w:rPr>
        <w:t>https://doi.org/10.1093/g3journal/jkad045</w:t>
      </w:r>
    </w:p>
    <w:p w14:paraId="0087A8F3" w14:textId="2AF52CB0" w:rsidR="00153A91" w:rsidRDefault="00000000">
      <w:pPr>
        <w:spacing w:after="80" w:line="240" w:lineRule="auto"/>
        <w:ind w:left="504" w:hanging="504"/>
      </w:pPr>
      <w:r>
        <w:rPr>
          <w:sz w:val="19"/>
        </w:rPr>
        <w:t xml:space="preserve">Montesinos-López, O. A., Chavira-Flores, M., </w:t>
      </w:r>
      <w:proofErr w:type="spellStart"/>
      <w:r>
        <w:rPr>
          <w:sz w:val="19"/>
        </w:rPr>
        <w:t>Kismiantini</w:t>
      </w:r>
      <w:proofErr w:type="spellEnd"/>
      <w:r>
        <w:rPr>
          <w:sz w:val="19"/>
        </w:rPr>
        <w:t>, Crespo-Herrera, L., Saint Piere, C., Li, H., Fritsche-Neto, R., Al-</w:t>
      </w:r>
      <w:proofErr w:type="spellStart"/>
      <w:r>
        <w:rPr>
          <w:sz w:val="19"/>
        </w:rPr>
        <w:t>Nowibet</w:t>
      </w:r>
      <w:proofErr w:type="spellEnd"/>
      <w:r>
        <w:rPr>
          <w:sz w:val="19"/>
        </w:rPr>
        <w:t xml:space="preserve">, K., Montesinos-López, A., &amp; Crossa, J. (2024). A review of multimodal deep learning methods for genomic-enabled prediction in plant breeding. </w:t>
      </w:r>
      <w:r>
        <w:rPr>
          <w:i/>
          <w:sz w:val="19"/>
        </w:rPr>
        <w:t>Genetics</w:t>
      </w:r>
      <w:r>
        <w:rPr>
          <w:sz w:val="19"/>
        </w:rPr>
        <w:t xml:space="preserve">, </w:t>
      </w:r>
      <w:r>
        <w:rPr>
          <w:i/>
          <w:sz w:val="19"/>
        </w:rPr>
        <w:t>228</w:t>
      </w:r>
      <w:r>
        <w:rPr>
          <w:sz w:val="19"/>
        </w:rPr>
        <w:t xml:space="preserve">(4), iyae161. </w:t>
      </w:r>
      <w:r>
        <w:rPr>
          <w:color w:val="0563C1"/>
          <w:u w:val="single"/>
        </w:rPr>
        <w:t>https://doi.org/10.1093/genetics/iyae161</w:t>
      </w:r>
    </w:p>
    <w:p w14:paraId="6F69296C" w14:textId="40431B35" w:rsidR="00153A91" w:rsidRDefault="00000000">
      <w:pPr>
        <w:spacing w:after="80" w:line="240" w:lineRule="auto"/>
        <w:ind w:left="504" w:hanging="504"/>
      </w:pPr>
      <w:r>
        <w:rPr>
          <w:sz w:val="19"/>
        </w:rPr>
        <w:t xml:space="preserve">Montesinos-López, O. A., Montesinos-López, A., Crossa, J., Gianola, D., Hernández-Suárez, C. M., &amp; Martín-Vallejo, J. (2018). Multi-trait, multi-environment deep learning modeling for genomic-enabled prediction of plant traits. </w:t>
      </w:r>
      <w:r>
        <w:rPr>
          <w:i/>
          <w:sz w:val="19"/>
        </w:rPr>
        <w:t>G3: Genes, Genomes, Genetics</w:t>
      </w:r>
      <w:r>
        <w:rPr>
          <w:sz w:val="19"/>
        </w:rPr>
        <w:t xml:space="preserve">, </w:t>
      </w:r>
      <w:r>
        <w:rPr>
          <w:i/>
          <w:sz w:val="19"/>
        </w:rPr>
        <w:t>8</w:t>
      </w:r>
      <w:r>
        <w:rPr>
          <w:sz w:val="19"/>
        </w:rPr>
        <w:t xml:space="preserve">(12), 3829–3840. </w:t>
      </w:r>
      <w:r>
        <w:rPr>
          <w:color w:val="0563C1"/>
          <w:u w:val="single"/>
        </w:rPr>
        <w:t>https://doi.org/10.1534/g3.118.200728</w:t>
      </w:r>
    </w:p>
    <w:p w14:paraId="30670873" w14:textId="0460A893" w:rsidR="00153A91" w:rsidRDefault="00000000">
      <w:pPr>
        <w:spacing w:after="80" w:line="240" w:lineRule="auto"/>
        <w:ind w:left="504" w:hanging="504"/>
      </w:pPr>
      <w:r>
        <w:rPr>
          <w:sz w:val="19"/>
        </w:rPr>
        <w:t xml:space="preserve">Rutkoski, J., Poland, J., Mondal, S., </w:t>
      </w:r>
      <w:proofErr w:type="spellStart"/>
      <w:r>
        <w:rPr>
          <w:sz w:val="19"/>
        </w:rPr>
        <w:t>Autrique</w:t>
      </w:r>
      <w:proofErr w:type="spellEnd"/>
      <w:r>
        <w:rPr>
          <w:sz w:val="19"/>
        </w:rPr>
        <w:t xml:space="preserve">, E., González Pérez, L., Crossa, J., Reynolds, M., &amp; Singh, R. (2016). Canopy temperature and vegetation indices from high-throughput phenotyping improve accuracy of pedigree and genomic selection for grain yield in wheat. </w:t>
      </w:r>
      <w:r>
        <w:rPr>
          <w:i/>
          <w:sz w:val="19"/>
        </w:rPr>
        <w:t>G3: Genes, Genomes, Genetics</w:t>
      </w:r>
      <w:r>
        <w:rPr>
          <w:sz w:val="19"/>
        </w:rPr>
        <w:t xml:space="preserve">, </w:t>
      </w:r>
      <w:r>
        <w:rPr>
          <w:i/>
          <w:sz w:val="19"/>
        </w:rPr>
        <w:t>6</w:t>
      </w:r>
      <w:r>
        <w:rPr>
          <w:sz w:val="19"/>
        </w:rPr>
        <w:t xml:space="preserve">(9), 2799–2808. </w:t>
      </w:r>
      <w:r>
        <w:rPr>
          <w:color w:val="0563C1"/>
          <w:u w:val="single"/>
        </w:rPr>
        <w:t>https://doi.org/10.1534/g3.116.032888</w:t>
      </w:r>
    </w:p>
    <w:p w14:paraId="7BBBFEA9" w14:textId="148E28BE" w:rsidR="00153A91" w:rsidRDefault="00000000">
      <w:pPr>
        <w:spacing w:after="80" w:line="240" w:lineRule="auto"/>
        <w:ind w:left="504" w:hanging="504"/>
      </w:pPr>
      <w:r>
        <w:rPr>
          <w:sz w:val="19"/>
        </w:rPr>
        <w:t xml:space="preserve">Sagae, V. S., Nascimento, M., Nascimento, A. C. C., da Silva, F. L., &amp; Jarquin, D. (2026). Impact of environmental covariates summarization on predictive ability in genomic selection. </w:t>
      </w:r>
      <w:r>
        <w:rPr>
          <w:i/>
          <w:sz w:val="19"/>
        </w:rPr>
        <w:t>The Plant Genome</w:t>
      </w:r>
      <w:r>
        <w:rPr>
          <w:sz w:val="19"/>
        </w:rPr>
        <w:t xml:space="preserve">, </w:t>
      </w:r>
      <w:r>
        <w:rPr>
          <w:i/>
          <w:sz w:val="19"/>
        </w:rPr>
        <w:t>19</w:t>
      </w:r>
      <w:r>
        <w:rPr>
          <w:sz w:val="19"/>
        </w:rPr>
        <w:t xml:space="preserve">(1), e70194. </w:t>
      </w:r>
      <w:r>
        <w:rPr>
          <w:color w:val="0563C1"/>
          <w:u w:val="single"/>
        </w:rPr>
        <w:t>https://doi.org/10.1002/tpg2.70194</w:t>
      </w:r>
    </w:p>
    <w:p w14:paraId="7625A642" w14:textId="4F86B6E1" w:rsidR="00153A91" w:rsidRDefault="00000000">
      <w:pPr>
        <w:spacing w:after="80" w:line="240" w:lineRule="auto"/>
        <w:ind w:left="504" w:hanging="504"/>
      </w:pPr>
      <w:r>
        <w:rPr>
          <w:sz w:val="19"/>
        </w:rPr>
        <w:t xml:space="preserve">Schrag, T. A., Westhues, M., </w:t>
      </w:r>
      <w:proofErr w:type="spellStart"/>
      <w:r>
        <w:rPr>
          <w:sz w:val="19"/>
        </w:rPr>
        <w:t>Schipprack</w:t>
      </w:r>
      <w:proofErr w:type="spellEnd"/>
      <w:r>
        <w:rPr>
          <w:sz w:val="19"/>
        </w:rPr>
        <w:t xml:space="preserve">, W., Seifert, F., Thiemann, A., Scholten, S., &amp; </w:t>
      </w:r>
      <w:proofErr w:type="spellStart"/>
      <w:r>
        <w:rPr>
          <w:sz w:val="19"/>
        </w:rPr>
        <w:t>Melchinger</w:t>
      </w:r>
      <w:proofErr w:type="spellEnd"/>
      <w:r>
        <w:rPr>
          <w:sz w:val="19"/>
        </w:rPr>
        <w:t xml:space="preserve">, A. E. (2018). Beyond genomic prediction: Combining different types of omics data can improve prediction of hybrid performance in maize. </w:t>
      </w:r>
      <w:r>
        <w:rPr>
          <w:i/>
          <w:sz w:val="19"/>
        </w:rPr>
        <w:t>Genetics</w:t>
      </w:r>
      <w:r>
        <w:rPr>
          <w:sz w:val="19"/>
        </w:rPr>
        <w:t xml:space="preserve">, </w:t>
      </w:r>
      <w:r>
        <w:rPr>
          <w:i/>
          <w:sz w:val="19"/>
        </w:rPr>
        <w:t>208</w:t>
      </w:r>
      <w:r>
        <w:rPr>
          <w:sz w:val="19"/>
        </w:rPr>
        <w:t xml:space="preserve">(4), 1373–1385. </w:t>
      </w:r>
      <w:r>
        <w:rPr>
          <w:color w:val="0563C1"/>
          <w:u w:val="single"/>
        </w:rPr>
        <w:t>https://doi.org/10.1534/genetics.117.300374</w:t>
      </w:r>
    </w:p>
    <w:p w14:paraId="1D681E66" w14:textId="7225FCD4" w:rsidR="00153A91" w:rsidRDefault="00000000">
      <w:pPr>
        <w:spacing w:after="80" w:line="240" w:lineRule="auto"/>
        <w:ind w:left="504" w:hanging="504"/>
      </w:pPr>
      <w:proofErr w:type="spellStart"/>
      <w:r>
        <w:rPr>
          <w:sz w:val="19"/>
        </w:rPr>
        <w:lastRenderedPageBreak/>
        <w:t>Scossa</w:t>
      </w:r>
      <w:proofErr w:type="spellEnd"/>
      <w:r>
        <w:rPr>
          <w:sz w:val="19"/>
        </w:rPr>
        <w:t xml:space="preserve">, F., </w:t>
      </w:r>
      <w:proofErr w:type="spellStart"/>
      <w:r>
        <w:rPr>
          <w:sz w:val="19"/>
        </w:rPr>
        <w:t>Alseekh</w:t>
      </w:r>
      <w:proofErr w:type="spellEnd"/>
      <w:r>
        <w:rPr>
          <w:sz w:val="19"/>
        </w:rPr>
        <w:t xml:space="preserve">, S., &amp; Fernie, A. R. (2021). Integrating multi-omics data for crop improvement. </w:t>
      </w:r>
      <w:r>
        <w:rPr>
          <w:i/>
          <w:sz w:val="19"/>
        </w:rPr>
        <w:t>Journal of Plant Physiology</w:t>
      </w:r>
      <w:r>
        <w:rPr>
          <w:sz w:val="19"/>
        </w:rPr>
        <w:t xml:space="preserve">, </w:t>
      </w:r>
      <w:r>
        <w:rPr>
          <w:i/>
          <w:sz w:val="19"/>
        </w:rPr>
        <w:t>257</w:t>
      </w:r>
      <w:r>
        <w:rPr>
          <w:sz w:val="19"/>
        </w:rPr>
        <w:t xml:space="preserve">, 153352. </w:t>
      </w:r>
      <w:r>
        <w:rPr>
          <w:color w:val="0563C1"/>
          <w:u w:val="single"/>
        </w:rPr>
        <w:t>https://doi.org/10.1016/j.jplph.2020.153352</w:t>
      </w:r>
    </w:p>
    <w:p w14:paraId="3E63029A" w14:textId="75A3FB54" w:rsidR="00153A91" w:rsidRDefault="00000000">
      <w:pPr>
        <w:spacing w:after="80" w:line="240" w:lineRule="auto"/>
        <w:ind w:left="504" w:hanging="504"/>
      </w:pPr>
      <w:r>
        <w:rPr>
          <w:sz w:val="19"/>
        </w:rPr>
        <w:t xml:space="preserve">Springer, N. M., &amp; Schmitz, R. J. (2017). Exploiting induced and natural epigenetic variation for crop improvement. </w:t>
      </w:r>
      <w:r>
        <w:rPr>
          <w:i/>
          <w:sz w:val="19"/>
        </w:rPr>
        <w:t>Nature Reviews Genetics</w:t>
      </w:r>
      <w:r>
        <w:rPr>
          <w:sz w:val="19"/>
        </w:rPr>
        <w:t xml:space="preserve">, </w:t>
      </w:r>
      <w:r>
        <w:rPr>
          <w:i/>
          <w:sz w:val="19"/>
        </w:rPr>
        <w:t>18</w:t>
      </w:r>
      <w:r>
        <w:rPr>
          <w:sz w:val="19"/>
        </w:rPr>
        <w:t xml:space="preserve">(9), 563–575. </w:t>
      </w:r>
      <w:r>
        <w:rPr>
          <w:color w:val="0563C1"/>
          <w:u w:val="single"/>
        </w:rPr>
        <w:t>https://doi.org/10.1038/nrg.2017.45</w:t>
      </w:r>
    </w:p>
    <w:p w14:paraId="776795B9" w14:textId="2B79AB1A" w:rsidR="00153A91" w:rsidRDefault="00000000">
      <w:pPr>
        <w:spacing w:after="80" w:line="240" w:lineRule="auto"/>
        <w:ind w:left="504" w:hanging="504"/>
      </w:pPr>
      <w:r>
        <w:rPr>
          <w:sz w:val="19"/>
        </w:rPr>
        <w:t xml:space="preserve">Tong, H., &amp; </w:t>
      </w:r>
      <w:proofErr w:type="spellStart"/>
      <w:r>
        <w:rPr>
          <w:sz w:val="19"/>
        </w:rPr>
        <w:t>Nikoloski</w:t>
      </w:r>
      <w:proofErr w:type="spellEnd"/>
      <w:r>
        <w:rPr>
          <w:sz w:val="19"/>
        </w:rPr>
        <w:t xml:space="preserve">, Z. (2021). Machine learning approaches for crop improvement: Leveraging phenotypic and genotypic big data. </w:t>
      </w:r>
      <w:r>
        <w:rPr>
          <w:i/>
          <w:sz w:val="19"/>
        </w:rPr>
        <w:t>Journal of Plant Physiology</w:t>
      </w:r>
      <w:r>
        <w:rPr>
          <w:sz w:val="19"/>
        </w:rPr>
        <w:t xml:space="preserve">, </w:t>
      </w:r>
      <w:r>
        <w:rPr>
          <w:i/>
          <w:sz w:val="19"/>
        </w:rPr>
        <w:t>257</w:t>
      </w:r>
      <w:r>
        <w:rPr>
          <w:sz w:val="19"/>
        </w:rPr>
        <w:t xml:space="preserve">, 153354. </w:t>
      </w:r>
      <w:r>
        <w:rPr>
          <w:color w:val="0563C1"/>
          <w:u w:val="single"/>
        </w:rPr>
        <w:t>https://doi.org/10.1016/j.jplph.2020.153354</w:t>
      </w:r>
    </w:p>
    <w:p w14:paraId="5BE7DADC" w14:textId="05859FA6" w:rsidR="00153A91" w:rsidRDefault="00000000">
      <w:pPr>
        <w:spacing w:after="80" w:line="240" w:lineRule="auto"/>
        <w:ind w:left="504" w:hanging="504"/>
      </w:pPr>
      <w:r>
        <w:rPr>
          <w:sz w:val="19"/>
        </w:rPr>
        <w:t xml:space="preserve">Tsega, A., &amp; </w:t>
      </w:r>
      <w:proofErr w:type="spellStart"/>
      <w:r>
        <w:rPr>
          <w:sz w:val="19"/>
        </w:rPr>
        <w:t>Mullualem</w:t>
      </w:r>
      <w:proofErr w:type="spellEnd"/>
      <w:r>
        <w:rPr>
          <w:sz w:val="19"/>
        </w:rPr>
        <w:t xml:space="preserve">, D. (2026). Machine learning for multi-omics data integration in crop improvement: A systematic review. </w:t>
      </w:r>
      <w:r>
        <w:rPr>
          <w:i/>
          <w:sz w:val="19"/>
        </w:rPr>
        <w:t>BMC Bioinformatics</w:t>
      </w:r>
      <w:r>
        <w:rPr>
          <w:sz w:val="19"/>
        </w:rPr>
        <w:t xml:space="preserve">, </w:t>
      </w:r>
      <w:r>
        <w:rPr>
          <w:i/>
          <w:sz w:val="19"/>
        </w:rPr>
        <w:t>27</w:t>
      </w:r>
      <w:r>
        <w:rPr>
          <w:sz w:val="19"/>
        </w:rPr>
        <w:t xml:space="preserve">(1), 81. </w:t>
      </w:r>
      <w:r>
        <w:rPr>
          <w:color w:val="0563C1"/>
          <w:u w:val="single"/>
        </w:rPr>
        <w:t>https://doi.org/10.1186/s12859-026-06438-8</w:t>
      </w:r>
    </w:p>
    <w:p w14:paraId="68C3FF1D" w14:textId="1F2B0415" w:rsidR="00153A91" w:rsidRDefault="00000000">
      <w:pPr>
        <w:spacing w:after="80" w:line="240" w:lineRule="auto"/>
        <w:ind w:left="504" w:hanging="504"/>
      </w:pPr>
      <w:r>
        <w:rPr>
          <w:sz w:val="19"/>
        </w:rPr>
        <w:t xml:space="preserve">Wang, H., Cimen, E., Singh, N., &amp; Buckler, E. (2020). Deep learning for plant genomics and crop improvement. </w:t>
      </w:r>
      <w:r>
        <w:rPr>
          <w:i/>
          <w:sz w:val="19"/>
        </w:rPr>
        <w:t>Current Opinion in Plant Biology</w:t>
      </w:r>
      <w:r>
        <w:rPr>
          <w:sz w:val="19"/>
        </w:rPr>
        <w:t xml:space="preserve">, </w:t>
      </w:r>
      <w:r>
        <w:rPr>
          <w:i/>
          <w:sz w:val="19"/>
        </w:rPr>
        <w:t>54</w:t>
      </w:r>
      <w:r>
        <w:rPr>
          <w:sz w:val="19"/>
        </w:rPr>
        <w:t xml:space="preserve">, 34–41. </w:t>
      </w:r>
      <w:r>
        <w:rPr>
          <w:color w:val="0563C1"/>
          <w:u w:val="single"/>
        </w:rPr>
        <w:t>https://doi.org/10.1016/j.pbi.2019.12.010</w:t>
      </w:r>
    </w:p>
    <w:p w14:paraId="421EE988" w14:textId="103339FF" w:rsidR="00153A91" w:rsidRDefault="00000000">
      <w:pPr>
        <w:spacing w:after="80" w:line="240" w:lineRule="auto"/>
        <w:ind w:left="504" w:hanging="504"/>
      </w:pPr>
      <w:r>
        <w:rPr>
          <w:sz w:val="19"/>
        </w:rPr>
        <w:t xml:space="preserve">Wang, H., Yan, S., Wang, W., Chen, Y., Hong, J., He, Q., Diao, X., Lin, Y., Chen, Y., Cao, Y., Guo, W., &amp; Fang, W. (2025). </w:t>
      </w:r>
      <w:proofErr w:type="spellStart"/>
      <w:r>
        <w:rPr>
          <w:sz w:val="19"/>
        </w:rPr>
        <w:t>Cropformer</w:t>
      </w:r>
      <w:proofErr w:type="spellEnd"/>
      <w:r>
        <w:rPr>
          <w:sz w:val="19"/>
        </w:rPr>
        <w:t xml:space="preserve">: An interpretable deep learning framework for crop genomic prediction. </w:t>
      </w:r>
      <w:r>
        <w:rPr>
          <w:i/>
          <w:sz w:val="19"/>
        </w:rPr>
        <w:t>Plant Communications</w:t>
      </w:r>
      <w:r>
        <w:rPr>
          <w:sz w:val="19"/>
        </w:rPr>
        <w:t xml:space="preserve">, </w:t>
      </w:r>
      <w:r>
        <w:rPr>
          <w:i/>
          <w:sz w:val="19"/>
        </w:rPr>
        <w:t>6</w:t>
      </w:r>
      <w:r>
        <w:rPr>
          <w:sz w:val="19"/>
        </w:rPr>
        <w:t xml:space="preserve">(3), 101223. </w:t>
      </w:r>
      <w:r>
        <w:rPr>
          <w:color w:val="0563C1"/>
          <w:u w:val="single"/>
        </w:rPr>
        <w:t>https://doi.org/10.1016/j.xplc.2024.101223</w:t>
      </w:r>
    </w:p>
    <w:p w14:paraId="36F1D2C2" w14:textId="5553DAA3" w:rsidR="00153A91" w:rsidRDefault="00000000">
      <w:pPr>
        <w:spacing w:after="80" w:line="240" w:lineRule="auto"/>
        <w:ind w:left="504" w:hanging="504"/>
      </w:pPr>
      <w:r>
        <w:rPr>
          <w:sz w:val="19"/>
        </w:rPr>
        <w:t xml:space="preserve">Wang, P., Lehti-Shiu, M. D., </w:t>
      </w:r>
      <w:proofErr w:type="spellStart"/>
      <w:r>
        <w:rPr>
          <w:sz w:val="19"/>
        </w:rPr>
        <w:t>Lotreck</w:t>
      </w:r>
      <w:proofErr w:type="spellEnd"/>
      <w:r>
        <w:rPr>
          <w:sz w:val="19"/>
        </w:rPr>
        <w:t xml:space="preserve">, S., Segura Abá, K., </w:t>
      </w:r>
      <w:proofErr w:type="spellStart"/>
      <w:r>
        <w:rPr>
          <w:sz w:val="19"/>
        </w:rPr>
        <w:t>Krysan</w:t>
      </w:r>
      <w:proofErr w:type="spellEnd"/>
      <w:r>
        <w:rPr>
          <w:sz w:val="19"/>
        </w:rPr>
        <w:t xml:space="preserve">, P. J., &amp; Shiu, S.-H. (2024). Prediction of plant complex traits via integration of multi-omics data. </w:t>
      </w:r>
      <w:r>
        <w:rPr>
          <w:i/>
          <w:sz w:val="19"/>
        </w:rPr>
        <w:t>Nature Communications</w:t>
      </w:r>
      <w:r>
        <w:rPr>
          <w:sz w:val="19"/>
        </w:rPr>
        <w:t xml:space="preserve">, </w:t>
      </w:r>
      <w:r>
        <w:rPr>
          <w:i/>
          <w:sz w:val="19"/>
        </w:rPr>
        <w:t>15</w:t>
      </w:r>
      <w:r>
        <w:rPr>
          <w:sz w:val="19"/>
        </w:rPr>
        <w:t xml:space="preserve">(1), 6856. </w:t>
      </w:r>
      <w:r>
        <w:rPr>
          <w:color w:val="0563C1"/>
          <w:u w:val="single"/>
        </w:rPr>
        <w:t>https://doi.org/10.1038/s41467-024-50701-6</w:t>
      </w:r>
    </w:p>
    <w:p w14:paraId="762F39D6" w14:textId="2F7D869F" w:rsidR="00153A91" w:rsidRDefault="00000000">
      <w:pPr>
        <w:spacing w:after="80" w:line="240" w:lineRule="auto"/>
        <w:ind w:left="504" w:hanging="504"/>
      </w:pPr>
      <w:r>
        <w:rPr>
          <w:sz w:val="19"/>
        </w:rPr>
        <w:t xml:space="preserve">Wen, W., Li, D., Li, X., Gao, Y., Li, W., Li, H., Liu, J., Liu, H., Chen, W., Luo, J., &amp; Yan, J. (2014). Metabolome-based genome-wide association study of maize kernel leads to novel biochemical insights. </w:t>
      </w:r>
      <w:r>
        <w:rPr>
          <w:i/>
          <w:sz w:val="19"/>
        </w:rPr>
        <w:t>Nature Communications</w:t>
      </w:r>
      <w:r>
        <w:rPr>
          <w:sz w:val="19"/>
        </w:rPr>
        <w:t xml:space="preserve">, </w:t>
      </w:r>
      <w:r>
        <w:rPr>
          <w:i/>
          <w:sz w:val="19"/>
        </w:rPr>
        <w:t>5</w:t>
      </w:r>
      <w:r>
        <w:rPr>
          <w:sz w:val="19"/>
        </w:rPr>
        <w:t xml:space="preserve">, 3438. </w:t>
      </w:r>
      <w:r>
        <w:rPr>
          <w:color w:val="0563C1"/>
          <w:u w:val="single"/>
        </w:rPr>
        <w:t>https://doi.org/10.1038/ncomms4438</w:t>
      </w:r>
    </w:p>
    <w:p w14:paraId="0CCAAD06" w14:textId="270EC29E" w:rsidR="00153A91" w:rsidRDefault="00000000">
      <w:pPr>
        <w:spacing w:after="80" w:line="240" w:lineRule="auto"/>
        <w:ind w:left="504" w:hanging="504"/>
      </w:pPr>
      <w:r>
        <w:rPr>
          <w:sz w:val="19"/>
        </w:rPr>
        <w:t xml:space="preserve">Westhues, M., Schrag, T. A., Heuer, C., Thaller, G., Utz, H. F., </w:t>
      </w:r>
      <w:proofErr w:type="spellStart"/>
      <w:r>
        <w:rPr>
          <w:sz w:val="19"/>
        </w:rPr>
        <w:t>Schipprack</w:t>
      </w:r>
      <w:proofErr w:type="spellEnd"/>
      <w:r>
        <w:rPr>
          <w:sz w:val="19"/>
        </w:rPr>
        <w:t xml:space="preserve">, W., Thiemann, A., Seifert, F., Ehret, A., Schlereth, A., Stitt, M., Nikoloski, Z., </w:t>
      </w:r>
      <w:proofErr w:type="spellStart"/>
      <w:r>
        <w:rPr>
          <w:sz w:val="19"/>
        </w:rPr>
        <w:t>Willmitzer</w:t>
      </w:r>
      <w:proofErr w:type="spellEnd"/>
      <w:r>
        <w:rPr>
          <w:sz w:val="19"/>
        </w:rPr>
        <w:t xml:space="preserve">, L., Schön, C. C., Scholten, S., &amp; </w:t>
      </w:r>
      <w:proofErr w:type="spellStart"/>
      <w:r>
        <w:rPr>
          <w:sz w:val="19"/>
        </w:rPr>
        <w:t>Melchinger</w:t>
      </w:r>
      <w:proofErr w:type="spellEnd"/>
      <w:r>
        <w:rPr>
          <w:sz w:val="19"/>
        </w:rPr>
        <w:t xml:space="preserve">, A. E. (2017). Omics-based hybrid prediction in maize. </w:t>
      </w:r>
      <w:r>
        <w:rPr>
          <w:i/>
          <w:sz w:val="19"/>
        </w:rPr>
        <w:t>Theoretical and Applied Genetics</w:t>
      </w:r>
      <w:r>
        <w:rPr>
          <w:sz w:val="19"/>
        </w:rPr>
        <w:t xml:space="preserve">, </w:t>
      </w:r>
      <w:r>
        <w:rPr>
          <w:i/>
          <w:sz w:val="19"/>
        </w:rPr>
        <w:t>130</w:t>
      </w:r>
      <w:r>
        <w:rPr>
          <w:sz w:val="19"/>
        </w:rPr>
        <w:t xml:space="preserve">(9), 1927–1939. </w:t>
      </w:r>
      <w:r>
        <w:rPr>
          <w:color w:val="0563C1"/>
          <w:u w:val="single"/>
        </w:rPr>
        <w:t>https://doi.org/10.1007/s00122-017-2934-0</w:t>
      </w:r>
    </w:p>
    <w:p w14:paraId="565C7068" w14:textId="6621A9BA" w:rsidR="00153A91" w:rsidRDefault="00000000">
      <w:pPr>
        <w:spacing w:after="80" w:line="240" w:lineRule="auto"/>
        <w:ind w:left="504" w:hanging="504"/>
      </w:pPr>
      <w:r>
        <w:rPr>
          <w:sz w:val="19"/>
        </w:rPr>
        <w:t xml:space="preserve">Wu, C., Luo, J., &amp; Xiao, Y. (2024). Multi-omics assists genomic prediction of maize yield with machine learning approaches. </w:t>
      </w:r>
      <w:r>
        <w:rPr>
          <w:i/>
          <w:sz w:val="19"/>
        </w:rPr>
        <w:t>Molecular Breeding</w:t>
      </w:r>
      <w:r>
        <w:rPr>
          <w:sz w:val="19"/>
        </w:rPr>
        <w:t xml:space="preserve">, </w:t>
      </w:r>
      <w:r>
        <w:rPr>
          <w:i/>
          <w:sz w:val="19"/>
        </w:rPr>
        <w:t>44</w:t>
      </w:r>
      <w:r>
        <w:rPr>
          <w:sz w:val="19"/>
        </w:rPr>
        <w:t xml:space="preserve">(2), 14. </w:t>
      </w:r>
      <w:r>
        <w:rPr>
          <w:color w:val="0563C1"/>
          <w:u w:val="single"/>
        </w:rPr>
        <w:t>https://doi.org/10.1007/s11032-024-01454-z</w:t>
      </w:r>
    </w:p>
    <w:p w14:paraId="33512C95" w14:textId="1F2EC00E" w:rsidR="00153A91" w:rsidRDefault="00000000">
      <w:pPr>
        <w:spacing w:after="80" w:line="240" w:lineRule="auto"/>
        <w:ind w:left="504" w:hanging="504"/>
      </w:pPr>
      <w:r>
        <w:rPr>
          <w:sz w:val="19"/>
        </w:rPr>
        <w:t xml:space="preserve">Yang, W., Feng, H., Zhang, X., Zhang, J., Doonan, J. H., Batchelor, W. D., Xiong, L., &amp; Yan, J. (2020). Crop phenomics and high-throughput phenotyping: Past decades, current challenges, and future perspectives. </w:t>
      </w:r>
      <w:r>
        <w:rPr>
          <w:i/>
          <w:sz w:val="19"/>
        </w:rPr>
        <w:t>Molecular Plant</w:t>
      </w:r>
      <w:r>
        <w:rPr>
          <w:sz w:val="19"/>
        </w:rPr>
        <w:t xml:space="preserve">, </w:t>
      </w:r>
      <w:r>
        <w:rPr>
          <w:i/>
          <w:sz w:val="19"/>
        </w:rPr>
        <w:t>13</w:t>
      </w:r>
      <w:r>
        <w:rPr>
          <w:sz w:val="19"/>
        </w:rPr>
        <w:t xml:space="preserve">(2), 187–214. </w:t>
      </w:r>
      <w:r>
        <w:rPr>
          <w:color w:val="0563C1"/>
          <w:u w:val="single"/>
        </w:rPr>
        <w:t>https://doi.org/10.1016/j.molp.2020.01.008</w:t>
      </w:r>
    </w:p>
    <w:p w14:paraId="4C28320F" w14:textId="6F7DD0E6" w:rsidR="00153A91" w:rsidRDefault="00000000">
      <w:pPr>
        <w:spacing w:after="80" w:line="240" w:lineRule="auto"/>
        <w:ind w:left="504" w:hanging="504"/>
      </w:pPr>
      <w:r>
        <w:rPr>
          <w:sz w:val="19"/>
        </w:rPr>
        <w:t xml:space="preserve">Zanini, S. F., Bayer, P. E., Wells, R., Snowdon, R. J., Batley, J., Varshney, R. K., Nguyen, H. T., Edwards, D., &amp; </w:t>
      </w:r>
      <w:proofErr w:type="spellStart"/>
      <w:r>
        <w:rPr>
          <w:sz w:val="19"/>
        </w:rPr>
        <w:t>Golicz</w:t>
      </w:r>
      <w:proofErr w:type="spellEnd"/>
      <w:r>
        <w:rPr>
          <w:sz w:val="19"/>
        </w:rPr>
        <w:t xml:space="preserve">, A. A. (2022). </w:t>
      </w:r>
      <w:proofErr w:type="spellStart"/>
      <w:r>
        <w:rPr>
          <w:sz w:val="19"/>
        </w:rPr>
        <w:t>Pangenomics</w:t>
      </w:r>
      <w:proofErr w:type="spellEnd"/>
      <w:r>
        <w:rPr>
          <w:sz w:val="19"/>
        </w:rPr>
        <w:t xml:space="preserve"> in crop improvement—from coding structural variations to finding regulatory variants with pangenome graphs. </w:t>
      </w:r>
      <w:r>
        <w:rPr>
          <w:i/>
          <w:sz w:val="19"/>
        </w:rPr>
        <w:t>The Plant Genome</w:t>
      </w:r>
      <w:r>
        <w:rPr>
          <w:sz w:val="19"/>
        </w:rPr>
        <w:t xml:space="preserve">, </w:t>
      </w:r>
      <w:r>
        <w:rPr>
          <w:i/>
          <w:sz w:val="19"/>
        </w:rPr>
        <w:t>15</w:t>
      </w:r>
      <w:r>
        <w:rPr>
          <w:sz w:val="19"/>
        </w:rPr>
        <w:t xml:space="preserve">(1), e20177. </w:t>
      </w:r>
      <w:r>
        <w:rPr>
          <w:color w:val="0563C1"/>
          <w:u w:val="single"/>
        </w:rPr>
        <w:t>https://doi.org/10.1002/tpg2.20177</w:t>
      </w:r>
    </w:p>
    <w:p w14:paraId="3D1552CD" w14:textId="5F18EEC6" w:rsidR="00153A91" w:rsidRDefault="00000000">
      <w:pPr>
        <w:spacing w:after="80" w:line="240" w:lineRule="auto"/>
        <w:ind w:left="504" w:hanging="504"/>
      </w:pPr>
      <w:r>
        <w:rPr>
          <w:sz w:val="19"/>
        </w:rPr>
        <w:t xml:space="preserve">Zhang, F., Wu, J., Sade, N., Wu, S., </w:t>
      </w:r>
      <w:proofErr w:type="spellStart"/>
      <w:r>
        <w:rPr>
          <w:sz w:val="19"/>
        </w:rPr>
        <w:t>Egbaria</w:t>
      </w:r>
      <w:proofErr w:type="spellEnd"/>
      <w:r>
        <w:rPr>
          <w:sz w:val="19"/>
        </w:rPr>
        <w:t xml:space="preserve">, A., Fernie, A. R., Yan, J., Qin, F., Chen, W., Brotman, Y., &amp; Dai, M. (2021). Genomic basis underlying the metabolome-mediated drought adaptation of maize. </w:t>
      </w:r>
      <w:r>
        <w:rPr>
          <w:i/>
          <w:sz w:val="19"/>
        </w:rPr>
        <w:t>Genome Biology</w:t>
      </w:r>
      <w:r>
        <w:rPr>
          <w:sz w:val="19"/>
        </w:rPr>
        <w:t xml:space="preserve">, </w:t>
      </w:r>
      <w:r>
        <w:rPr>
          <w:i/>
          <w:sz w:val="19"/>
        </w:rPr>
        <w:t>22</w:t>
      </w:r>
      <w:r>
        <w:rPr>
          <w:sz w:val="19"/>
        </w:rPr>
        <w:t xml:space="preserve">(1), 260. </w:t>
      </w:r>
      <w:r>
        <w:rPr>
          <w:color w:val="0563C1"/>
          <w:u w:val="single"/>
        </w:rPr>
        <w:t>https://doi.org/10.1186/s13059-021-02481-1</w:t>
      </w:r>
    </w:p>
    <w:p w14:paraId="761644C8" w14:textId="235F2182" w:rsidR="00153A91" w:rsidRDefault="00000000">
      <w:pPr>
        <w:spacing w:after="80" w:line="240" w:lineRule="auto"/>
        <w:ind w:left="504" w:hanging="504"/>
      </w:pPr>
      <w:r>
        <w:rPr>
          <w:sz w:val="19"/>
        </w:rPr>
        <w:t xml:space="preserve">Zhou, S., Kremling, K. A., </w:t>
      </w:r>
      <w:proofErr w:type="spellStart"/>
      <w:r>
        <w:rPr>
          <w:sz w:val="19"/>
        </w:rPr>
        <w:t>Bandillo</w:t>
      </w:r>
      <w:proofErr w:type="spellEnd"/>
      <w:r>
        <w:rPr>
          <w:sz w:val="19"/>
        </w:rPr>
        <w:t xml:space="preserve">, N., Richter, A., Zhang, Y. K., Ahern, K. R., </w:t>
      </w:r>
      <w:proofErr w:type="spellStart"/>
      <w:r>
        <w:rPr>
          <w:sz w:val="19"/>
        </w:rPr>
        <w:t>Artyukhin</w:t>
      </w:r>
      <w:proofErr w:type="spellEnd"/>
      <w:r>
        <w:rPr>
          <w:sz w:val="19"/>
        </w:rPr>
        <w:t xml:space="preserve">, A. B., Hui, J. X., Younkin, G. C., Schroeder, F. C., Buckler, E. S., &amp; Jander, G. (2019). Metabolome-scale genome-wide association studies reveal chemical diversity and genetic control of maize specialized metabolites. </w:t>
      </w:r>
      <w:r>
        <w:rPr>
          <w:i/>
          <w:sz w:val="19"/>
        </w:rPr>
        <w:t>The Plant Cell</w:t>
      </w:r>
      <w:r>
        <w:rPr>
          <w:sz w:val="19"/>
        </w:rPr>
        <w:t xml:space="preserve">, </w:t>
      </w:r>
      <w:r>
        <w:rPr>
          <w:i/>
          <w:sz w:val="19"/>
        </w:rPr>
        <w:t>31</w:t>
      </w:r>
      <w:r>
        <w:rPr>
          <w:sz w:val="19"/>
        </w:rPr>
        <w:t xml:space="preserve">(5), 937–955. </w:t>
      </w:r>
      <w:r>
        <w:rPr>
          <w:color w:val="0563C1"/>
          <w:u w:val="single"/>
        </w:rPr>
        <w:t>https://doi.org/10.1105/tpc.18.00772</w:t>
      </w:r>
    </w:p>
    <w:sectPr w:rsidR="00153A91" w:rsidSect="00034616">
      <w:headerReference w:type="even" r:id="rId8"/>
      <w:headerReference w:type="default" r:id="rId9"/>
      <w:footerReference w:type="even" r:id="rId10"/>
      <w:footerReference w:type="default" r:id="rId11"/>
      <w:headerReference w:type="first" r:id="rId12"/>
      <w:footerReference w:type="first" r:id="rId13"/>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09855" w14:textId="77777777" w:rsidR="00532FF6" w:rsidRDefault="00532FF6" w:rsidP="00FE78C1">
      <w:pPr>
        <w:spacing w:after="0" w:line="240" w:lineRule="auto"/>
      </w:pPr>
      <w:r>
        <w:separator/>
      </w:r>
    </w:p>
  </w:endnote>
  <w:endnote w:type="continuationSeparator" w:id="0">
    <w:p w14:paraId="0691C765" w14:textId="77777777" w:rsidR="00532FF6" w:rsidRDefault="00532FF6" w:rsidP="00FE7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79B4" w14:textId="77777777" w:rsidR="00FE78C1" w:rsidRDefault="00FE78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AA3DF" w14:textId="77777777" w:rsidR="00FE78C1" w:rsidRDefault="00FE78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6394" w14:textId="77777777" w:rsidR="00FE78C1" w:rsidRDefault="00FE78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A4D52" w14:textId="77777777" w:rsidR="00532FF6" w:rsidRDefault="00532FF6" w:rsidP="00FE78C1">
      <w:pPr>
        <w:spacing w:after="0" w:line="240" w:lineRule="auto"/>
      </w:pPr>
      <w:r>
        <w:separator/>
      </w:r>
    </w:p>
  </w:footnote>
  <w:footnote w:type="continuationSeparator" w:id="0">
    <w:p w14:paraId="40A92D9F" w14:textId="77777777" w:rsidR="00532FF6" w:rsidRDefault="00532FF6" w:rsidP="00FE7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78C14" w14:textId="0C729E0B" w:rsidR="00FE78C1" w:rsidRDefault="00FE78C1">
    <w:pPr>
      <w:pStyle w:val="Header"/>
    </w:pPr>
    <w:r>
      <w:rPr>
        <w:noProof/>
      </w:rPr>
      <w:pict w14:anchorId="5D1F14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152751"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A5F34" w14:textId="07E681B5" w:rsidR="00FE78C1" w:rsidRDefault="00FE78C1">
    <w:pPr>
      <w:pStyle w:val="Header"/>
    </w:pPr>
    <w:r>
      <w:rPr>
        <w:noProof/>
      </w:rPr>
      <w:pict w14:anchorId="39C64F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152752"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3BAFA" w14:textId="53D819C6" w:rsidR="00FE78C1" w:rsidRDefault="00FE78C1">
    <w:pPr>
      <w:pStyle w:val="Header"/>
    </w:pPr>
    <w:r>
      <w:rPr>
        <w:noProof/>
      </w:rPr>
      <w:pict w14:anchorId="0F4E8F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152750"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0439753">
    <w:abstractNumId w:val="8"/>
  </w:num>
  <w:num w:numId="2" w16cid:durableId="2093507301">
    <w:abstractNumId w:val="6"/>
  </w:num>
  <w:num w:numId="3" w16cid:durableId="222763168">
    <w:abstractNumId w:val="5"/>
  </w:num>
  <w:num w:numId="4" w16cid:durableId="1580098462">
    <w:abstractNumId w:val="4"/>
  </w:num>
  <w:num w:numId="5" w16cid:durableId="1539076888">
    <w:abstractNumId w:val="7"/>
  </w:num>
  <w:num w:numId="6" w16cid:durableId="1922566928">
    <w:abstractNumId w:val="3"/>
  </w:num>
  <w:num w:numId="7" w16cid:durableId="122500191">
    <w:abstractNumId w:val="2"/>
  </w:num>
  <w:num w:numId="8" w16cid:durableId="865289312">
    <w:abstractNumId w:val="1"/>
  </w:num>
  <w:num w:numId="9" w16cid:durableId="708336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3A91"/>
    <w:rsid w:val="0029639D"/>
    <w:rsid w:val="00326F90"/>
    <w:rsid w:val="003E223C"/>
    <w:rsid w:val="004306F1"/>
    <w:rsid w:val="00532FF6"/>
    <w:rsid w:val="008B1169"/>
    <w:rsid w:val="00AA1D8D"/>
    <w:rsid w:val="00B47730"/>
    <w:rsid w:val="00B746E1"/>
    <w:rsid w:val="00CB0664"/>
    <w:rsid w:val="00D65185"/>
    <w:rsid w:val="00FC693F"/>
    <w:rsid w:val="00FE78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71B226"/>
  <w14:defaultImageDpi w14:val="300"/>
  <w15:docId w15:val="{337F7E51-21BA-42CD-8CFB-F0F588C0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F4E79"/>
      <w:sz w:val="27"/>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TextAcademic">
    <w:name w:val="Body Text Academic"/>
    <w:pPr>
      <w:spacing w:after="120"/>
      <w:ind w:firstLine="360"/>
      <w:jc w:val="both"/>
    </w:pPr>
    <w:rPr>
      <w:rFonts w:ascii="Times New Roman" w:eastAsia="Times New Roman" w:hAnsi="Times New Roman"/>
    </w:rPr>
  </w:style>
  <w:style w:type="paragraph" w:customStyle="1" w:styleId="Author">
    <w:name w:val="Author"/>
    <w:basedOn w:val="Normal"/>
    <w:rsid w:val="008B1169"/>
    <w:pPr>
      <w:spacing w:after="0" w:line="280" w:lineRule="exact"/>
      <w:jc w:val="right"/>
    </w:pPr>
    <w:rPr>
      <w:rFonts w:ascii="Helvetica" w:hAnsi="Helvetica"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15313</Words>
  <Characters>87285</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Multi-Omics and Artificial Intelligence for Next-Generation Crop Improvement: Advances, Constraints and Future Directions</dc:title>
  <dc:subject>Critical narrative review</dc:subject>
  <dc:creator/>
  <cp:keywords>multi-omics, artificial intelligence, genomic prediction, crop improvement, plant breeding</cp:keywords>
  <dc:description>generated by python-docx</dc:description>
  <cp:lastModifiedBy>SDI 1084</cp:lastModifiedBy>
  <cp:revision>4</cp:revision>
  <dcterms:created xsi:type="dcterms:W3CDTF">2013-12-23T23:15:00Z</dcterms:created>
  <dcterms:modified xsi:type="dcterms:W3CDTF">2026-08-13T12:27:00Z</dcterms:modified>
  <cp:category/>
</cp:coreProperties>
</file>