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CF046" w14:textId="77777777" w:rsidR="000B00B9" w:rsidRPr="00F67967" w:rsidRDefault="000B00B9" w:rsidP="003F3ECD">
      <w:pPr>
        <w:spacing w:line="360" w:lineRule="auto"/>
        <w:jc w:val="center"/>
        <w:rPr>
          <w:rFonts w:ascii="Times New Roman" w:hAnsi="Times New Roman" w:cs="Times New Roman"/>
          <w:b/>
          <w:bCs/>
          <w:sz w:val="24"/>
        </w:rPr>
      </w:pPr>
      <w:r w:rsidRPr="00F67967">
        <w:rPr>
          <w:rFonts w:ascii="Times New Roman" w:hAnsi="Times New Roman" w:cs="Times New Roman"/>
          <w:b/>
          <w:sz w:val="28"/>
        </w:rPr>
        <w:t>Efficacy of Varied Liquid Microbial Formulations on the Growth and Yield Performance of Mulberry (</w:t>
      </w:r>
      <w:r w:rsidRPr="00F67967">
        <w:rPr>
          <w:rFonts w:ascii="Times New Roman" w:hAnsi="Times New Roman" w:cs="Times New Roman"/>
          <w:b/>
          <w:i/>
          <w:sz w:val="28"/>
        </w:rPr>
        <w:t>Morus indica</w:t>
      </w:r>
      <w:r w:rsidRPr="00F67967">
        <w:rPr>
          <w:rFonts w:ascii="Times New Roman" w:hAnsi="Times New Roman" w:cs="Times New Roman"/>
          <w:b/>
          <w:sz w:val="28"/>
        </w:rPr>
        <w:t xml:space="preserve"> L.)</w:t>
      </w:r>
    </w:p>
    <w:p w14:paraId="252E39B6" w14:textId="77777777" w:rsidR="00BF190C" w:rsidRDefault="00BF190C" w:rsidP="000B00B9">
      <w:pPr>
        <w:pStyle w:val="Heading2"/>
        <w:jc w:val="both"/>
        <w:rPr>
          <w:rFonts w:ascii="Times New Roman" w:hAnsi="Times New Roman" w:cs="Times New Roman"/>
          <w:color w:val="auto"/>
          <w:sz w:val="24"/>
        </w:rPr>
      </w:pPr>
    </w:p>
    <w:p w14:paraId="41526D05" w14:textId="3BEA438D" w:rsidR="000B00B9" w:rsidRPr="00F67967" w:rsidRDefault="000B00B9" w:rsidP="000B00B9">
      <w:pPr>
        <w:pStyle w:val="Heading2"/>
        <w:jc w:val="both"/>
        <w:rPr>
          <w:rFonts w:ascii="Times New Roman" w:hAnsi="Times New Roman" w:cs="Times New Roman"/>
          <w:color w:val="auto"/>
          <w:sz w:val="24"/>
        </w:rPr>
      </w:pPr>
      <w:r w:rsidRPr="00F67967">
        <w:rPr>
          <w:rFonts w:ascii="Times New Roman" w:hAnsi="Times New Roman" w:cs="Times New Roman"/>
          <w:color w:val="auto"/>
          <w:sz w:val="24"/>
        </w:rPr>
        <w:t>Abstract</w:t>
      </w:r>
    </w:p>
    <w:p w14:paraId="122D295E" w14:textId="77777777" w:rsidR="003C629C" w:rsidRPr="00F67967" w:rsidRDefault="00882F4A" w:rsidP="001B6DFF">
      <w:pPr>
        <w:spacing w:before="100" w:beforeAutospacing="1" w:after="100" w:afterAutospacing="1" w:line="360" w:lineRule="auto"/>
        <w:ind w:firstLine="720"/>
        <w:jc w:val="both"/>
        <w:rPr>
          <w:rFonts w:ascii="Times New Roman" w:eastAsia="Times New Roman" w:hAnsi="Times New Roman" w:cs="Times New Roman"/>
          <w:sz w:val="24"/>
          <w:szCs w:val="24"/>
        </w:rPr>
      </w:pPr>
      <w:r w:rsidRPr="00882F4A">
        <w:rPr>
          <w:rFonts w:ascii="Times New Roman" w:eastAsia="Times New Roman" w:hAnsi="Times New Roman" w:cs="Times New Roman"/>
          <w:sz w:val="24"/>
          <w:szCs w:val="24"/>
        </w:rPr>
        <w:t>Optimizing fertilizer application effectively boosts mulberry yields without degrading soil quality in high-density sericulture systems</w:t>
      </w:r>
      <w:r w:rsidR="003C629C" w:rsidRPr="00F67967">
        <w:rPr>
          <w:rFonts w:ascii="Times New Roman" w:eastAsia="Times New Roman" w:hAnsi="Times New Roman" w:cs="Times New Roman"/>
          <w:sz w:val="24"/>
          <w:szCs w:val="24"/>
        </w:rPr>
        <w:t xml:space="preserve">. A field experiment was conducted during 2021–22 and 2022–23 in farmers' fields at </w:t>
      </w:r>
      <w:proofErr w:type="spellStart"/>
      <w:r w:rsidR="003C629C" w:rsidRPr="00F67967">
        <w:rPr>
          <w:rFonts w:ascii="Times New Roman" w:eastAsia="Times New Roman" w:hAnsi="Times New Roman" w:cs="Times New Roman"/>
          <w:sz w:val="24"/>
          <w:szCs w:val="24"/>
        </w:rPr>
        <w:t>Gaddekannuru</w:t>
      </w:r>
      <w:proofErr w:type="spellEnd"/>
      <w:r w:rsidR="003C629C" w:rsidRPr="00F67967">
        <w:rPr>
          <w:rFonts w:ascii="Times New Roman" w:eastAsia="Times New Roman" w:hAnsi="Times New Roman" w:cs="Times New Roman"/>
          <w:sz w:val="24"/>
          <w:szCs w:val="24"/>
        </w:rPr>
        <w:t xml:space="preserve"> village, Kolar Taluk, Karnataka, by ICAR–Krishi Vigyan Kendra (KVK), Kolar, to evaluate the efficacy of different liquid microbial formulations on the growth, yield, le</w:t>
      </w:r>
      <w:r w:rsidR="00447EC7">
        <w:rPr>
          <w:rFonts w:ascii="Times New Roman" w:eastAsia="Times New Roman" w:hAnsi="Times New Roman" w:cs="Times New Roman"/>
          <w:sz w:val="24"/>
          <w:szCs w:val="24"/>
        </w:rPr>
        <w:t>af quality, cocoon productivity</w:t>
      </w:r>
      <w:r w:rsidR="003C629C" w:rsidRPr="00F67967">
        <w:rPr>
          <w:rFonts w:ascii="Times New Roman" w:eastAsia="Times New Roman" w:hAnsi="Times New Roman" w:cs="Times New Roman"/>
          <w:sz w:val="24"/>
          <w:szCs w:val="24"/>
        </w:rPr>
        <w:t xml:space="preserve"> and economics of mulberry (</w:t>
      </w:r>
      <w:r w:rsidR="003C629C" w:rsidRPr="00F67967">
        <w:rPr>
          <w:rFonts w:ascii="Times New Roman" w:eastAsia="Times New Roman" w:hAnsi="Times New Roman" w:cs="Times New Roman"/>
          <w:i/>
          <w:iCs/>
          <w:sz w:val="24"/>
          <w:szCs w:val="24"/>
        </w:rPr>
        <w:t>Morus indica</w:t>
      </w:r>
      <w:r w:rsidR="003C629C" w:rsidRPr="00F67967">
        <w:rPr>
          <w:rFonts w:ascii="Times New Roman" w:eastAsia="Times New Roman" w:hAnsi="Times New Roman" w:cs="Times New Roman"/>
          <w:sz w:val="24"/>
          <w:szCs w:val="24"/>
        </w:rPr>
        <w:t xml:space="preserve"> L.). The treatments included the recommended dose of fertilizers (RDF) and farmyard manure (FYM) alone (T₁), RDF + Liquid Microbial Consortia (T₂), RDF </w:t>
      </w:r>
      <w:r w:rsidR="00447EC7">
        <w:rPr>
          <w:rFonts w:ascii="Times New Roman" w:eastAsia="Times New Roman" w:hAnsi="Times New Roman" w:cs="Times New Roman"/>
          <w:sz w:val="24"/>
          <w:szCs w:val="24"/>
        </w:rPr>
        <w:t xml:space="preserve">+ Arka Microbial Consortia (T₃) </w:t>
      </w:r>
      <w:r w:rsidR="003C629C" w:rsidRPr="00F67967">
        <w:rPr>
          <w:rFonts w:ascii="Times New Roman" w:eastAsia="Times New Roman" w:hAnsi="Times New Roman" w:cs="Times New Roman"/>
          <w:sz w:val="24"/>
          <w:szCs w:val="24"/>
        </w:rPr>
        <w:t>and RDF +</w:t>
      </w:r>
      <w:r w:rsidR="00447EC7">
        <w:rPr>
          <w:rFonts w:ascii="Times New Roman" w:eastAsia="Times New Roman" w:hAnsi="Times New Roman" w:cs="Times New Roman"/>
          <w:sz w:val="24"/>
          <w:szCs w:val="24"/>
        </w:rPr>
        <w:t xml:space="preserve"> Waste Decomposer Solution (T₄)</w:t>
      </w:r>
      <w:r w:rsidR="003C629C" w:rsidRPr="00F67967">
        <w:rPr>
          <w:rFonts w:ascii="Times New Roman" w:eastAsia="Times New Roman" w:hAnsi="Times New Roman" w:cs="Times New Roman"/>
          <w:sz w:val="24"/>
          <w:szCs w:val="24"/>
        </w:rPr>
        <w:t xml:space="preserve"> with microbial formulations applied through drip irrigation at 8 and 25 days after pruning. Pooled </w:t>
      </w:r>
      <w:r w:rsidR="00447EC7">
        <w:rPr>
          <w:rFonts w:ascii="Times New Roman" w:eastAsia="Times New Roman" w:hAnsi="Times New Roman" w:cs="Times New Roman"/>
          <w:sz w:val="24"/>
          <w:szCs w:val="24"/>
        </w:rPr>
        <w:t>data of</w:t>
      </w:r>
      <w:r w:rsidR="003C629C" w:rsidRPr="00F67967">
        <w:rPr>
          <w:rFonts w:ascii="Times New Roman" w:eastAsia="Times New Roman" w:hAnsi="Times New Roman" w:cs="Times New Roman"/>
          <w:sz w:val="24"/>
          <w:szCs w:val="24"/>
        </w:rPr>
        <w:t xml:space="preserve"> two </w:t>
      </w:r>
      <w:r w:rsidR="00447EC7">
        <w:rPr>
          <w:rFonts w:ascii="Times New Roman" w:eastAsia="Times New Roman" w:hAnsi="Times New Roman" w:cs="Times New Roman"/>
          <w:sz w:val="24"/>
          <w:szCs w:val="24"/>
        </w:rPr>
        <w:t xml:space="preserve">consecutive </w:t>
      </w:r>
      <w:r w:rsidR="003C629C" w:rsidRPr="00F67967">
        <w:rPr>
          <w:rFonts w:ascii="Times New Roman" w:eastAsia="Times New Roman" w:hAnsi="Times New Roman" w:cs="Times New Roman"/>
          <w:sz w:val="24"/>
          <w:szCs w:val="24"/>
        </w:rPr>
        <w:t>years revealed significant differences among the treatments. Among the treatments, T₂ (RDF + Liquid Microbial Consortia) recorded the highest n</w:t>
      </w:r>
      <w:r w:rsidR="00F967B8">
        <w:rPr>
          <w:rFonts w:ascii="Times New Roman" w:eastAsia="Times New Roman" w:hAnsi="Times New Roman" w:cs="Times New Roman"/>
          <w:sz w:val="24"/>
          <w:szCs w:val="24"/>
        </w:rPr>
        <w:t>umber of branches (15.40 per plant), leaves (26.36 per branch</w:t>
      </w:r>
      <w:r w:rsidR="003C629C" w:rsidRPr="00F67967">
        <w:rPr>
          <w:rFonts w:ascii="Times New Roman" w:eastAsia="Times New Roman" w:hAnsi="Times New Roman" w:cs="Times New Roman"/>
          <w:sz w:val="24"/>
          <w:szCs w:val="24"/>
        </w:rPr>
        <w:t xml:space="preserve">), leaf yield (1.302 kg </w:t>
      </w:r>
      <w:r w:rsidR="00F967B8">
        <w:rPr>
          <w:rFonts w:ascii="Times New Roman" w:eastAsia="Times New Roman" w:hAnsi="Times New Roman" w:cs="Times New Roman"/>
          <w:sz w:val="24"/>
          <w:szCs w:val="24"/>
        </w:rPr>
        <w:t xml:space="preserve">per </w:t>
      </w:r>
      <w:r w:rsidR="003C629C" w:rsidRPr="00F67967">
        <w:rPr>
          <w:rFonts w:ascii="Times New Roman" w:eastAsia="Times New Roman" w:hAnsi="Times New Roman" w:cs="Times New Roman"/>
          <w:sz w:val="24"/>
          <w:szCs w:val="24"/>
        </w:rPr>
        <w:t>plant</w:t>
      </w:r>
      <w:r w:rsidR="00F967B8">
        <w:rPr>
          <w:rFonts w:ascii="Times New Roman" w:eastAsia="Times New Roman" w:hAnsi="Times New Roman" w:cs="Times New Roman"/>
          <w:sz w:val="24"/>
          <w:szCs w:val="24"/>
        </w:rPr>
        <w:t xml:space="preserve"> and 120.51 q per ha</w:t>
      </w:r>
      <w:r w:rsidR="003C629C" w:rsidRPr="00F67967">
        <w:rPr>
          <w:rFonts w:ascii="Times New Roman" w:eastAsia="Times New Roman" w:hAnsi="Times New Roman" w:cs="Times New Roman"/>
          <w:sz w:val="24"/>
          <w:szCs w:val="24"/>
        </w:rPr>
        <w:t xml:space="preserve"> </w:t>
      </w:r>
      <w:r w:rsidR="00F967B8">
        <w:rPr>
          <w:rFonts w:ascii="Times New Roman" w:eastAsia="Times New Roman" w:hAnsi="Times New Roman" w:cs="Times New Roman"/>
          <w:sz w:val="24"/>
          <w:szCs w:val="24"/>
        </w:rPr>
        <w:t>per crop</w:t>
      </w:r>
      <w:r w:rsidR="003C629C" w:rsidRPr="00F67967">
        <w:rPr>
          <w:rFonts w:ascii="Times New Roman" w:eastAsia="Times New Roman" w:hAnsi="Times New Roman" w:cs="Times New Roman"/>
          <w:sz w:val="24"/>
          <w:szCs w:val="24"/>
        </w:rPr>
        <w:t xml:space="preserve">), and cocoon yield (457.96 kg </w:t>
      </w:r>
      <w:r w:rsidR="00F967B8">
        <w:rPr>
          <w:rFonts w:ascii="Times New Roman" w:eastAsia="Times New Roman" w:hAnsi="Times New Roman" w:cs="Times New Roman"/>
          <w:sz w:val="24"/>
          <w:szCs w:val="24"/>
        </w:rPr>
        <w:t>per ha</w:t>
      </w:r>
      <w:r w:rsidR="003C629C" w:rsidRPr="00F67967">
        <w:rPr>
          <w:rFonts w:ascii="Times New Roman" w:eastAsia="Times New Roman" w:hAnsi="Times New Roman" w:cs="Times New Roman"/>
          <w:sz w:val="24"/>
          <w:szCs w:val="24"/>
        </w:rPr>
        <w:t>). It also</w:t>
      </w:r>
      <w:r w:rsidR="00F967B8">
        <w:rPr>
          <w:rFonts w:ascii="Times New Roman" w:eastAsia="Times New Roman" w:hAnsi="Times New Roman" w:cs="Times New Roman"/>
          <w:sz w:val="24"/>
          <w:szCs w:val="24"/>
        </w:rPr>
        <w:t xml:space="preserve"> produced superior leaf quality</w:t>
      </w:r>
      <w:r w:rsidR="003C629C" w:rsidRPr="00F67967">
        <w:rPr>
          <w:rFonts w:ascii="Times New Roman" w:eastAsia="Times New Roman" w:hAnsi="Times New Roman" w:cs="Times New Roman"/>
          <w:sz w:val="24"/>
          <w:szCs w:val="24"/>
        </w:rPr>
        <w:t xml:space="preserve"> with the highest leaf moisture content (77.50%), moisture retention capacity (71.90%), total chlorop</w:t>
      </w:r>
      <w:r w:rsidR="00F967B8">
        <w:rPr>
          <w:rFonts w:ascii="Times New Roman" w:eastAsia="Times New Roman" w:hAnsi="Times New Roman" w:cs="Times New Roman"/>
          <w:sz w:val="24"/>
          <w:szCs w:val="24"/>
        </w:rPr>
        <w:t>hyll (45.80%), protein (25.10%)</w:t>
      </w:r>
      <w:r w:rsidR="003C629C" w:rsidRPr="00F67967">
        <w:rPr>
          <w:rFonts w:ascii="Times New Roman" w:eastAsia="Times New Roman" w:hAnsi="Times New Roman" w:cs="Times New Roman"/>
          <w:sz w:val="24"/>
          <w:szCs w:val="24"/>
        </w:rPr>
        <w:t xml:space="preserve"> and carbohydrate content (16.65%). Economic analysis indicated that T₂ gener</w:t>
      </w:r>
      <w:r w:rsidR="00F967B8">
        <w:rPr>
          <w:rFonts w:ascii="Times New Roman" w:eastAsia="Times New Roman" w:hAnsi="Times New Roman" w:cs="Times New Roman"/>
          <w:sz w:val="24"/>
          <w:szCs w:val="24"/>
        </w:rPr>
        <w:t>ated the highest gross return (183,184 per ha), net return (132,734 per ha) and benefit–cost ratio (3.63)</w:t>
      </w:r>
      <w:r w:rsidR="003C629C" w:rsidRPr="00F67967">
        <w:rPr>
          <w:rFonts w:ascii="Times New Roman" w:eastAsia="Times New Roman" w:hAnsi="Times New Roman" w:cs="Times New Roman"/>
          <w:sz w:val="24"/>
          <w:szCs w:val="24"/>
        </w:rPr>
        <w:t xml:space="preserve"> followed by T₃ (RDF + Arka Microbial Consortia). </w:t>
      </w:r>
      <w:r w:rsidR="00D51519">
        <w:rPr>
          <w:rFonts w:ascii="Times New Roman" w:eastAsia="Times New Roman" w:hAnsi="Times New Roman" w:cs="Times New Roman"/>
          <w:sz w:val="24"/>
          <w:szCs w:val="24"/>
        </w:rPr>
        <w:t xml:space="preserve">Results </w:t>
      </w:r>
      <w:r w:rsidR="00D51519" w:rsidRPr="00FC196D">
        <w:rPr>
          <w:rFonts w:ascii="Times New Roman" w:eastAsia="Times New Roman" w:hAnsi="Times New Roman" w:cs="Times New Roman"/>
          <w:sz w:val="24"/>
          <w:szCs w:val="24"/>
        </w:rPr>
        <w:t>reveal</w:t>
      </w:r>
      <w:r w:rsidR="00FC196D" w:rsidRPr="00FC196D">
        <w:rPr>
          <w:rFonts w:ascii="Times New Roman" w:eastAsia="Times New Roman" w:hAnsi="Times New Roman" w:cs="Times New Roman"/>
          <w:sz w:val="24"/>
          <w:szCs w:val="24"/>
        </w:rPr>
        <w:t xml:space="preserve"> that combining liquid biofertilizers with standard nutrient recommendations significantly boosts mulberry biomass, leaf nutritive value, silkworm cocoon output, and net farm profits</w:t>
      </w:r>
      <w:r w:rsidR="00FC196D">
        <w:rPr>
          <w:rFonts w:ascii="Times New Roman" w:eastAsia="Times New Roman" w:hAnsi="Times New Roman" w:cs="Times New Roman"/>
          <w:sz w:val="24"/>
          <w:szCs w:val="24"/>
        </w:rPr>
        <w:t xml:space="preserve">. </w:t>
      </w:r>
      <w:r w:rsidR="003C629C" w:rsidRPr="00F67967">
        <w:rPr>
          <w:rFonts w:ascii="Times New Roman" w:eastAsia="Times New Roman" w:hAnsi="Times New Roman" w:cs="Times New Roman"/>
          <w:sz w:val="24"/>
          <w:szCs w:val="24"/>
        </w:rPr>
        <w:t xml:space="preserve">Adoption of liquid microbial consortia through drip irrigation represents a sustainable nutrient management approach that enhances fertilizer use efficiency, reduces dependence on chemical fertilizers and promotes environmentally sustainable sericulture. </w:t>
      </w:r>
    </w:p>
    <w:p w14:paraId="6998B8BD" w14:textId="77777777" w:rsidR="003140E4" w:rsidRPr="00F67967" w:rsidRDefault="003140E4" w:rsidP="001B6DFF">
      <w:pPr>
        <w:pStyle w:val="Heading2"/>
        <w:spacing w:line="360" w:lineRule="auto"/>
        <w:jc w:val="both"/>
        <w:rPr>
          <w:rFonts w:ascii="Times New Roman" w:eastAsia="Times New Roman" w:hAnsi="Times New Roman" w:cs="Times New Roman"/>
          <w:b w:val="0"/>
          <w:bCs w:val="0"/>
          <w:color w:val="auto"/>
          <w:sz w:val="24"/>
          <w:szCs w:val="24"/>
        </w:rPr>
      </w:pPr>
      <w:r w:rsidRPr="00F67967">
        <w:rPr>
          <w:rFonts w:ascii="Times New Roman" w:eastAsia="Times New Roman" w:hAnsi="Times New Roman" w:cs="Times New Roman"/>
          <w:color w:val="auto"/>
          <w:sz w:val="24"/>
          <w:szCs w:val="24"/>
        </w:rPr>
        <w:lastRenderedPageBreak/>
        <w:t>Keywords:</w:t>
      </w:r>
      <w:r w:rsidRPr="00F67967">
        <w:rPr>
          <w:rFonts w:ascii="Times New Roman" w:eastAsia="Times New Roman" w:hAnsi="Times New Roman" w:cs="Times New Roman"/>
          <w:b w:val="0"/>
          <w:bCs w:val="0"/>
          <w:color w:val="auto"/>
          <w:sz w:val="24"/>
          <w:szCs w:val="24"/>
        </w:rPr>
        <w:t xml:space="preserve"> </w:t>
      </w:r>
      <w:r w:rsidRPr="00F67967">
        <w:rPr>
          <w:rFonts w:ascii="Times New Roman" w:eastAsia="Times New Roman" w:hAnsi="Times New Roman" w:cs="Times New Roman"/>
          <w:b w:val="0"/>
          <w:bCs w:val="0"/>
          <w:i/>
          <w:iCs/>
          <w:color w:val="auto"/>
          <w:sz w:val="24"/>
          <w:szCs w:val="24"/>
        </w:rPr>
        <w:t>Morus indica</w:t>
      </w:r>
      <w:r w:rsidRPr="00F67967">
        <w:rPr>
          <w:rFonts w:ascii="Times New Roman" w:eastAsia="Times New Roman" w:hAnsi="Times New Roman" w:cs="Times New Roman"/>
          <w:b w:val="0"/>
          <w:bCs w:val="0"/>
          <w:color w:val="auto"/>
          <w:sz w:val="24"/>
          <w:szCs w:val="24"/>
        </w:rPr>
        <w:t>, liquid microbial consortia, waste decomposer, drip fertigation, leaf quality, cocoon yield.</w:t>
      </w:r>
    </w:p>
    <w:p w14:paraId="22F41057" w14:textId="77777777" w:rsidR="00350F3D" w:rsidRPr="00F67967" w:rsidRDefault="00350F3D" w:rsidP="00350F3D">
      <w:pPr>
        <w:pStyle w:val="Heading2"/>
        <w:jc w:val="both"/>
        <w:rPr>
          <w:rFonts w:ascii="Times New Roman" w:hAnsi="Times New Roman" w:cs="Times New Roman"/>
          <w:color w:val="auto"/>
          <w:sz w:val="24"/>
          <w:szCs w:val="24"/>
        </w:rPr>
      </w:pPr>
      <w:r w:rsidRPr="00F67967">
        <w:rPr>
          <w:rFonts w:ascii="Times New Roman" w:hAnsi="Times New Roman" w:cs="Times New Roman"/>
          <w:color w:val="auto"/>
          <w:sz w:val="24"/>
          <w:szCs w:val="24"/>
        </w:rPr>
        <w:t>Introduction</w:t>
      </w:r>
    </w:p>
    <w:p w14:paraId="08239FBE" w14:textId="77777777" w:rsidR="00A4334A" w:rsidRDefault="00A4334A" w:rsidP="00A4334A">
      <w:pPr>
        <w:autoSpaceDE w:val="0"/>
        <w:autoSpaceDN w:val="0"/>
        <w:adjustRightInd w:val="0"/>
        <w:spacing w:after="0" w:line="360" w:lineRule="auto"/>
        <w:ind w:firstLine="720"/>
        <w:jc w:val="both"/>
        <w:rPr>
          <w:rFonts w:ascii="Times New Roman" w:eastAsia="Times New Roman" w:hAnsi="Times New Roman" w:cs="Times New Roman"/>
          <w:sz w:val="24"/>
          <w:szCs w:val="24"/>
        </w:rPr>
      </w:pPr>
    </w:p>
    <w:p w14:paraId="59B3F019" w14:textId="77777777" w:rsidR="003C589D" w:rsidRPr="00F67967" w:rsidRDefault="00A4334A" w:rsidP="009D4B8A">
      <w:pPr>
        <w:autoSpaceDE w:val="0"/>
        <w:autoSpaceDN w:val="0"/>
        <w:adjustRightInd w:val="0"/>
        <w:spacing w:after="0" w:line="360" w:lineRule="auto"/>
        <w:ind w:firstLine="720"/>
        <w:jc w:val="both"/>
        <w:rPr>
          <w:rFonts w:ascii="Times New Roman" w:eastAsia="Times New Roman" w:hAnsi="Times New Roman" w:cs="Times New Roman"/>
          <w:sz w:val="24"/>
          <w:szCs w:val="24"/>
        </w:rPr>
      </w:pPr>
      <w:r w:rsidRPr="00A4334A">
        <w:rPr>
          <w:rFonts w:ascii="Times New Roman" w:eastAsia="Times New Roman" w:hAnsi="Times New Roman" w:cs="Times New Roman"/>
          <w:sz w:val="24"/>
          <w:szCs w:val="24"/>
        </w:rPr>
        <w:t>Sericulture is a unique domain of agriculture combining both botanical aspects of</w:t>
      </w:r>
      <w:r w:rsidR="001D604E">
        <w:rPr>
          <w:rFonts w:ascii="Times New Roman" w:eastAsia="Times New Roman" w:hAnsi="Times New Roman" w:cs="Times New Roman"/>
          <w:sz w:val="24"/>
          <w:szCs w:val="24"/>
        </w:rPr>
        <w:t xml:space="preserve"> </w:t>
      </w:r>
      <w:r w:rsidR="0012326C">
        <w:rPr>
          <w:rFonts w:ascii="Times New Roman" w:eastAsia="Times New Roman" w:hAnsi="Times New Roman" w:cs="Times New Roman"/>
          <w:sz w:val="24"/>
          <w:szCs w:val="24"/>
        </w:rPr>
        <w:t>mulberry</w:t>
      </w:r>
      <w:r w:rsidRPr="00A4334A">
        <w:rPr>
          <w:rFonts w:ascii="Times New Roman" w:eastAsia="Times New Roman" w:hAnsi="Times New Roman" w:cs="Times New Roman"/>
          <w:sz w:val="24"/>
          <w:szCs w:val="24"/>
        </w:rPr>
        <w:t xml:space="preserve"> cultivation and zoological aspects of silkworm rearing.</w:t>
      </w:r>
      <w:r w:rsidR="001D604E">
        <w:rPr>
          <w:rFonts w:ascii="Times New Roman" w:eastAsia="Times New Roman" w:hAnsi="Times New Roman" w:cs="Times New Roman"/>
          <w:sz w:val="24"/>
          <w:szCs w:val="24"/>
        </w:rPr>
        <w:t xml:space="preserve"> </w:t>
      </w:r>
      <w:r w:rsidR="003C589D" w:rsidRPr="00F67967">
        <w:rPr>
          <w:rFonts w:ascii="Times New Roman" w:eastAsia="Times New Roman" w:hAnsi="Times New Roman" w:cs="Times New Roman"/>
          <w:sz w:val="24"/>
          <w:szCs w:val="24"/>
        </w:rPr>
        <w:t>Mulberry (</w:t>
      </w:r>
      <w:r w:rsidR="003C589D" w:rsidRPr="001D604E">
        <w:rPr>
          <w:rFonts w:ascii="Times New Roman" w:eastAsia="Times New Roman" w:hAnsi="Times New Roman" w:cs="Times New Roman"/>
          <w:i/>
          <w:sz w:val="24"/>
          <w:szCs w:val="24"/>
        </w:rPr>
        <w:t>Morus indica</w:t>
      </w:r>
      <w:r w:rsidR="003C589D" w:rsidRPr="00F67967">
        <w:rPr>
          <w:rFonts w:ascii="Times New Roman" w:eastAsia="Times New Roman" w:hAnsi="Times New Roman" w:cs="Times New Roman"/>
          <w:sz w:val="24"/>
          <w:szCs w:val="24"/>
        </w:rPr>
        <w:t xml:space="preserve"> L.) is the </w:t>
      </w:r>
      <w:r w:rsidR="0012326C">
        <w:rPr>
          <w:rFonts w:ascii="Times New Roman" w:eastAsia="Times New Roman" w:hAnsi="Times New Roman" w:cs="Times New Roman"/>
          <w:sz w:val="24"/>
          <w:szCs w:val="24"/>
        </w:rPr>
        <w:t>sole</w:t>
      </w:r>
      <w:r w:rsidR="003C589D" w:rsidRPr="00F67967">
        <w:rPr>
          <w:rFonts w:ascii="Times New Roman" w:eastAsia="Times New Roman" w:hAnsi="Times New Roman" w:cs="Times New Roman"/>
          <w:sz w:val="24"/>
          <w:szCs w:val="24"/>
        </w:rPr>
        <w:t xml:space="preserve"> food plant of the silkworm (</w:t>
      </w:r>
      <w:r w:rsidR="003C589D" w:rsidRPr="0012326C">
        <w:rPr>
          <w:rFonts w:ascii="Times New Roman" w:eastAsia="Times New Roman" w:hAnsi="Times New Roman" w:cs="Times New Roman"/>
          <w:i/>
          <w:sz w:val="24"/>
          <w:szCs w:val="24"/>
        </w:rPr>
        <w:t>Bombyx mori</w:t>
      </w:r>
      <w:r w:rsidR="003C589D" w:rsidRPr="00F67967">
        <w:rPr>
          <w:rFonts w:ascii="Times New Roman" w:eastAsia="Times New Roman" w:hAnsi="Times New Roman" w:cs="Times New Roman"/>
          <w:sz w:val="24"/>
          <w:szCs w:val="24"/>
        </w:rPr>
        <w:t xml:space="preserve"> L.) and constitutes the </w:t>
      </w:r>
      <w:r w:rsidR="00BD50DA">
        <w:rPr>
          <w:rFonts w:ascii="Times New Roman" w:eastAsia="Times New Roman" w:hAnsi="Times New Roman" w:cs="Times New Roman"/>
          <w:sz w:val="24"/>
          <w:szCs w:val="24"/>
        </w:rPr>
        <w:t>base</w:t>
      </w:r>
      <w:r w:rsidR="003C589D" w:rsidRPr="00F67967">
        <w:rPr>
          <w:rFonts w:ascii="Times New Roman" w:eastAsia="Times New Roman" w:hAnsi="Times New Roman" w:cs="Times New Roman"/>
          <w:sz w:val="24"/>
          <w:szCs w:val="24"/>
        </w:rPr>
        <w:t xml:space="preserve"> of the sericulture industry. The productivity and quality of mulberry leaves directly influence silkworm gro</w:t>
      </w:r>
      <w:r w:rsidR="00D33340">
        <w:rPr>
          <w:rFonts w:ascii="Times New Roman" w:eastAsia="Times New Roman" w:hAnsi="Times New Roman" w:cs="Times New Roman"/>
          <w:sz w:val="24"/>
          <w:szCs w:val="24"/>
        </w:rPr>
        <w:t>wth, cocoon yield, silk quality</w:t>
      </w:r>
      <w:r w:rsidR="00752CDB">
        <w:rPr>
          <w:rFonts w:ascii="Times New Roman" w:eastAsia="Times New Roman" w:hAnsi="Times New Roman" w:cs="Times New Roman"/>
          <w:sz w:val="24"/>
          <w:szCs w:val="24"/>
        </w:rPr>
        <w:t xml:space="preserve"> and</w:t>
      </w:r>
      <w:r w:rsidR="003C589D" w:rsidRPr="00F67967">
        <w:rPr>
          <w:rFonts w:ascii="Times New Roman" w:eastAsia="Times New Roman" w:hAnsi="Times New Roman" w:cs="Times New Roman"/>
          <w:sz w:val="24"/>
          <w:szCs w:val="24"/>
        </w:rPr>
        <w:t xml:space="preserve"> profitabil</w:t>
      </w:r>
      <w:r w:rsidR="00752CDB">
        <w:rPr>
          <w:rFonts w:ascii="Times New Roman" w:eastAsia="Times New Roman" w:hAnsi="Times New Roman" w:cs="Times New Roman"/>
          <w:sz w:val="24"/>
          <w:szCs w:val="24"/>
        </w:rPr>
        <w:t xml:space="preserve">ity of sericulture. Cultivation of high </w:t>
      </w:r>
      <w:r w:rsidR="003C589D" w:rsidRPr="00F67967">
        <w:rPr>
          <w:rFonts w:ascii="Times New Roman" w:eastAsia="Times New Roman" w:hAnsi="Times New Roman" w:cs="Times New Roman"/>
          <w:sz w:val="24"/>
          <w:szCs w:val="24"/>
        </w:rPr>
        <w:t xml:space="preserve">yielding mulberry varieties under intensive harvesting requires </w:t>
      </w:r>
      <w:r w:rsidR="00752CDB">
        <w:rPr>
          <w:rFonts w:ascii="Times New Roman" w:eastAsia="Times New Roman" w:hAnsi="Times New Roman" w:cs="Times New Roman"/>
          <w:sz w:val="24"/>
          <w:szCs w:val="24"/>
        </w:rPr>
        <w:t>balanced</w:t>
      </w:r>
      <w:r w:rsidR="003C589D" w:rsidRPr="00F67967">
        <w:rPr>
          <w:rFonts w:ascii="Times New Roman" w:eastAsia="Times New Roman" w:hAnsi="Times New Roman" w:cs="Times New Roman"/>
          <w:sz w:val="24"/>
          <w:szCs w:val="24"/>
        </w:rPr>
        <w:t xml:space="preserve"> nutrient inputs, often leading to depletion of soil fertili</w:t>
      </w:r>
      <w:r w:rsidR="00752CDB">
        <w:rPr>
          <w:rFonts w:ascii="Times New Roman" w:eastAsia="Times New Roman" w:hAnsi="Times New Roman" w:cs="Times New Roman"/>
          <w:sz w:val="24"/>
          <w:szCs w:val="24"/>
        </w:rPr>
        <w:t>ty, reduced soil organic carbon</w:t>
      </w:r>
      <w:r w:rsidR="003C589D" w:rsidRPr="00F67967">
        <w:rPr>
          <w:rFonts w:ascii="Times New Roman" w:eastAsia="Times New Roman" w:hAnsi="Times New Roman" w:cs="Times New Roman"/>
          <w:sz w:val="24"/>
          <w:szCs w:val="24"/>
        </w:rPr>
        <w:t xml:space="preserve"> and deterioration of soil biological activity. Therefore, sustainable nutrient management has become </w:t>
      </w:r>
      <w:r w:rsidR="001228E9">
        <w:rPr>
          <w:rFonts w:ascii="Times New Roman" w:eastAsia="Times New Roman" w:hAnsi="Times New Roman" w:cs="Times New Roman"/>
          <w:sz w:val="24"/>
          <w:szCs w:val="24"/>
        </w:rPr>
        <w:t>crucial</w:t>
      </w:r>
      <w:r w:rsidR="003C589D" w:rsidRPr="00F67967">
        <w:rPr>
          <w:rFonts w:ascii="Times New Roman" w:eastAsia="Times New Roman" w:hAnsi="Times New Roman" w:cs="Times New Roman"/>
          <w:sz w:val="24"/>
          <w:szCs w:val="24"/>
        </w:rPr>
        <w:t xml:space="preserve"> for maintaining long</w:t>
      </w:r>
      <w:r w:rsidR="00752CDB">
        <w:rPr>
          <w:rFonts w:ascii="Times New Roman" w:eastAsia="Times New Roman" w:hAnsi="Times New Roman" w:cs="Times New Roman"/>
          <w:sz w:val="24"/>
          <w:szCs w:val="24"/>
        </w:rPr>
        <w:t xml:space="preserve"> </w:t>
      </w:r>
      <w:r w:rsidR="003C589D" w:rsidRPr="00F67967">
        <w:rPr>
          <w:rFonts w:ascii="Times New Roman" w:eastAsia="Times New Roman" w:hAnsi="Times New Roman" w:cs="Times New Roman"/>
          <w:sz w:val="24"/>
          <w:szCs w:val="24"/>
        </w:rPr>
        <w:t>term productivity and soil health in mulberry cultivation (Dandin and Giridhar, 2014).</w:t>
      </w:r>
      <w:r w:rsidR="009D4B8A">
        <w:rPr>
          <w:rFonts w:ascii="Times New Roman" w:eastAsia="Times New Roman" w:hAnsi="Times New Roman" w:cs="Times New Roman"/>
          <w:sz w:val="24"/>
          <w:szCs w:val="24"/>
        </w:rPr>
        <w:t xml:space="preserve"> </w:t>
      </w:r>
      <w:r w:rsidR="003C589D" w:rsidRPr="00F67967">
        <w:rPr>
          <w:rFonts w:ascii="Times New Roman" w:eastAsia="Times New Roman" w:hAnsi="Times New Roman" w:cs="Times New Roman"/>
          <w:sz w:val="24"/>
          <w:szCs w:val="24"/>
        </w:rPr>
        <w:t xml:space="preserve">Consequently, integrated nutrient management </w:t>
      </w:r>
      <w:proofErr w:type="spellStart"/>
      <w:r w:rsidR="001228E9">
        <w:rPr>
          <w:rFonts w:ascii="Times New Roman" w:eastAsia="Times New Roman" w:hAnsi="Times New Roman" w:cs="Times New Roman"/>
          <w:sz w:val="24"/>
          <w:szCs w:val="24"/>
        </w:rPr>
        <w:t>approches</w:t>
      </w:r>
      <w:proofErr w:type="spellEnd"/>
      <w:r w:rsidR="003C589D" w:rsidRPr="00F67967">
        <w:rPr>
          <w:rFonts w:ascii="Times New Roman" w:eastAsia="Times New Roman" w:hAnsi="Times New Roman" w:cs="Times New Roman"/>
          <w:sz w:val="24"/>
          <w:szCs w:val="24"/>
        </w:rPr>
        <w:t xml:space="preserve"> combining chemical fertilizers with biological inputs have </w:t>
      </w:r>
      <w:r w:rsidR="007B7521">
        <w:rPr>
          <w:rFonts w:ascii="Times New Roman" w:eastAsia="Times New Roman" w:hAnsi="Times New Roman" w:cs="Times New Roman"/>
          <w:sz w:val="24"/>
          <w:szCs w:val="24"/>
        </w:rPr>
        <w:t>obtained</w:t>
      </w:r>
      <w:r w:rsidR="003C589D" w:rsidRPr="00F67967">
        <w:rPr>
          <w:rFonts w:ascii="Times New Roman" w:eastAsia="Times New Roman" w:hAnsi="Times New Roman" w:cs="Times New Roman"/>
          <w:sz w:val="24"/>
          <w:szCs w:val="24"/>
        </w:rPr>
        <w:t xml:space="preserve"> considerable attention for improving soil fertility, sustaining </w:t>
      </w:r>
      <w:r w:rsidR="009D4B8A">
        <w:rPr>
          <w:rFonts w:ascii="Times New Roman" w:eastAsia="Times New Roman" w:hAnsi="Times New Roman" w:cs="Times New Roman"/>
          <w:sz w:val="24"/>
          <w:szCs w:val="24"/>
        </w:rPr>
        <w:t>leaf productivity</w:t>
      </w:r>
      <w:r w:rsidR="003C589D" w:rsidRPr="00F67967">
        <w:rPr>
          <w:rFonts w:ascii="Times New Roman" w:eastAsia="Times New Roman" w:hAnsi="Times New Roman" w:cs="Times New Roman"/>
          <w:sz w:val="24"/>
          <w:szCs w:val="24"/>
        </w:rPr>
        <w:t xml:space="preserve"> and minimizing adverse environmental </w:t>
      </w:r>
      <w:r w:rsidR="00AA40E9">
        <w:rPr>
          <w:rFonts w:ascii="Times New Roman" w:eastAsia="Times New Roman" w:hAnsi="Times New Roman" w:cs="Times New Roman"/>
          <w:sz w:val="24"/>
          <w:szCs w:val="24"/>
        </w:rPr>
        <w:t>consequences</w:t>
      </w:r>
      <w:r w:rsidR="003C589D" w:rsidRPr="00F67967">
        <w:rPr>
          <w:rFonts w:ascii="Times New Roman" w:eastAsia="Times New Roman" w:hAnsi="Times New Roman" w:cs="Times New Roman"/>
          <w:sz w:val="24"/>
          <w:szCs w:val="24"/>
        </w:rPr>
        <w:t xml:space="preserve"> (</w:t>
      </w:r>
      <w:r w:rsidR="000819CC" w:rsidRPr="00F67967">
        <w:rPr>
          <w:rFonts w:ascii="Times New Roman" w:eastAsia="Times New Roman" w:hAnsi="Times New Roman" w:cs="Times New Roman"/>
          <w:sz w:val="24"/>
          <w:szCs w:val="24"/>
        </w:rPr>
        <w:t xml:space="preserve">Ahmed </w:t>
      </w:r>
      <w:r w:rsidR="000819CC" w:rsidRPr="00DD5D27">
        <w:rPr>
          <w:rFonts w:ascii="Times New Roman" w:eastAsia="Times New Roman" w:hAnsi="Times New Roman" w:cs="Times New Roman"/>
          <w:sz w:val="24"/>
          <w:szCs w:val="24"/>
        </w:rPr>
        <w:t>et al</w:t>
      </w:r>
      <w:r w:rsidR="000819CC" w:rsidRPr="00F67967">
        <w:rPr>
          <w:rFonts w:ascii="Times New Roman" w:eastAsia="Times New Roman" w:hAnsi="Times New Roman" w:cs="Times New Roman"/>
          <w:sz w:val="24"/>
          <w:szCs w:val="24"/>
        </w:rPr>
        <w:t xml:space="preserve">., 2017; </w:t>
      </w:r>
      <w:proofErr w:type="spellStart"/>
      <w:r w:rsidR="003C589D" w:rsidRPr="00F67967">
        <w:rPr>
          <w:rFonts w:ascii="Times New Roman" w:eastAsia="Times New Roman" w:hAnsi="Times New Roman" w:cs="Times New Roman"/>
          <w:sz w:val="24"/>
          <w:szCs w:val="24"/>
        </w:rPr>
        <w:t>Allouzi</w:t>
      </w:r>
      <w:proofErr w:type="spellEnd"/>
      <w:r w:rsidR="003C589D" w:rsidRPr="00F67967">
        <w:rPr>
          <w:rFonts w:ascii="Times New Roman" w:eastAsia="Times New Roman" w:hAnsi="Times New Roman" w:cs="Times New Roman"/>
          <w:sz w:val="24"/>
          <w:szCs w:val="24"/>
        </w:rPr>
        <w:t xml:space="preserve"> </w:t>
      </w:r>
      <w:r w:rsidR="003C589D" w:rsidRPr="00DD5D27">
        <w:rPr>
          <w:rFonts w:ascii="Times New Roman" w:eastAsia="Times New Roman" w:hAnsi="Times New Roman" w:cs="Times New Roman"/>
          <w:sz w:val="24"/>
          <w:szCs w:val="24"/>
        </w:rPr>
        <w:t>et al</w:t>
      </w:r>
      <w:r w:rsidR="003C589D" w:rsidRPr="00F67967">
        <w:rPr>
          <w:rFonts w:ascii="Times New Roman" w:eastAsia="Times New Roman" w:hAnsi="Times New Roman" w:cs="Times New Roman"/>
          <w:sz w:val="24"/>
          <w:szCs w:val="24"/>
        </w:rPr>
        <w:t>., 2022).</w:t>
      </w:r>
    </w:p>
    <w:p w14:paraId="670ED223" w14:textId="77777777" w:rsidR="009D4B8A" w:rsidRDefault="009D4B8A" w:rsidP="009D4B8A">
      <w:pPr>
        <w:pStyle w:val="Default"/>
        <w:spacing w:line="360" w:lineRule="auto"/>
        <w:ind w:firstLine="720"/>
        <w:jc w:val="both"/>
        <w:rPr>
          <w:rFonts w:ascii="Times New Roman" w:eastAsia="Times New Roman" w:hAnsi="Times New Roman" w:cs="Times New Roman"/>
          <w:color w:val="auto"/>
        </w:rPr>
      </w:pPr>
    </w:p>
    <w:p w14:paraId="3EA06780" w14:textId="77777777" w:rsidR="00152A2B" w:rsidRPr="003D7ADC" w:rsidRDefault="003D7ADC" w:rsidP="00A737E8">
      <w:pPr>
        <w:spacing w:line="360" w:lineRule="auto"/>
        <w:ind w:firstLine="720"/>
        <w:jc w:val="both"/>
        <w:rPr>
          <w:rFonts w:ascii="Times New Roman" w:eastAsia="Times New Roman" w:hAnsi="Times New Roman" w:cs="Times New Roman"/>
          <w:sz w:val="24"/>
        </w:rPr>
      </w:pPr>
      <w:r w:rsidRPr="003D7ADC">
        <w:rPr>
          <w:rFonts w:ascii="Times New Roman" w:eastAsia="Times New Roman" w:hAnsi="Times New Roman" w:cs="Times New Roman"/>
          <w:sz w:val="24"/>
          <w:szCs w:val="24"/>
        </w:rPr>
        <w:t>Beneficial soil microbes play a critical role in optimizing nutrient availability and accelerating plant development by fixing nitrogen, solubi</w:t>
      </w:r>
      <w:r w:rsidR="00752F1A">
        <w:rPr>
          <w:rFonts w:ascii="Times New Roman" w:eastAsia="Times New Roman" w:hAnsi="Times New Roman" w:cs="Times New Roman"/>
          <w:sz w:val="24"/>
          <w:szCs w:val="24"/>
        </w:rPr>
        <w:t>lizing phosphorus and potassium</w:t>
      </w:r>
      <w:r w:rsidRPr="003D7ADC">
        <w:rPr>
          <w:rFonts w:ascii="Times New Roman" w:eastAsia="Times New Roman" w:hAnsi="Times New Roman" w:cs="Times New Roman"/>
          <w:sz w:val="24"/>
          <w:szCs w:val="24"/>
        </w:rPr>
        <w:t xml:space="preserve"> and mobilizing key micronutrients. Additionally, they produce vital plant hormones and defend against soil-borne diseases. Key bacterial groups like </w:t>
      </w:r>
      <w:proofErr w:type="spellStart"/>
      <w:r w:rsidRPr="003D7ADC">
        <w:rPr>
          <w:rFonts w:ascii="Times New Roman" w:eastAsia="Times New Roman" w:hAnsi="Times New Roman" w:cs="Times New Roman"/>
          <w:i/>
          <w:iCs/>
          <w:sz w:val="24"/>
          <w:szCs w:val="24"/>
        </w:rPr>
        <w:t>Azospirillum</w:t>
      </w:r>
      <w:proofErr w:type="spellEnd"/>
      <w:r w:rsidRPr="003D7ADC">
        <w:rPr>
          <w:rFonts w:ascii="Times New Roman" w:eastAsia="Times New Roman" w:hAnsi="Times New Roman" w:cs="Times New Roman"/>
          <w:sz w:val="24"/>
          <w:szCs w:val="24"/>
        </w:rPr>
        <w:t xml:space="preserve">, </w:t>
      </w:r>
      <w:r w:rsidRPr="003D7ADC">
        <w:rPr>
          <w:rFonts w:ascii="Times New Roman" w:eastAsia="Times New Roman" w:hAnsi="Times New Roman" w:cs="Times New Roman"/>
          <w:i/>
          <w:iCs/>
          <w:sz w:val="24"/>
          <w:szCs w:val="24"/>
        </w:rPr>
        <w:t>Azotobacter</w:t>
      </w:r>
      <w:r w:rsidRPr="003D7ADC">
        <w:rPr>
          <w:rFonts w:ascii="Times New Roman" w:eastAsia="Times New Roman" w:hAnsi="Times New Roman" w:cs="Times New Roman"/>
          <w:sz w:val="24"/>
          <w:szCs w:val="24"/>
        </w:rPr>
        <w:t>, PSB, and KSB directly enhanc</w:t>
      </w:r>
      <w:r w:rsidR="00EB70D4">
        <w:rPr>
          <w:rFonts w:ascii="Times New Roman" w:eastAsia="Times New Roman" w:hAnsi="Times New Roman" w:cs="Times New Roman"/>
          <w:sz w:val="24"/>
          <w:szCs w:val="24"/>
        </w:rPr>
        <w:t>e root systems, nutrient uptake</w:t>
      </w:r>
      <w:r w:rsidRPr="003D7ADC">
        <w:rPr>
          <w:rFonts w:ascii="Times New Roman" w:eastAsia="Times New Roman" w:hAnsi="Times New Roman" w:cs="Times New Roman"/>
          <w:sz w:val="24"/>
          <w:szCs w:val="24"/>
        </w:rPr>
        <w:t xml:space="preserve"> and chlorophyll production. This increases photosynthetic efficiency, ensuring stronger crop growth and higher productivity</w:t>
      </w:r>
      <w:r w:rsidRPr="00F67967">
        <w:rPr>
          <w:rFonts w:ascii="Times New Roman" w:eastAsia="Times New Roman" w:hAnsi="Times New Roman" w:cs="Times New Roman"/>
        </w:rPr>
        <w:t xml:space="preserve"> </w:t>
      </w:r>
      <w:r w:rsidR="003C589D" w:rsidRPr="003D7ADC">
        <w:rPr>
          <w:rFonts w:ascii="Times New Roman" w:eastAsia="Times New Roman" w:hAnsi="Times New Roman" w:cs="Times New Roman"/>
          <w:sz w:val="24"/>
        </w:rPr>
        <w:t xml:space="preserve">(Vessey, 2003; Naik </w:t>
      </w:r>
      <w:r w:rsidR="003C589D" w:rsidRPr="00DD5D27">
        <w:rPr>
          <w:rFonts w:ascii="Times New Roman" w:eastAsia="Times New Roman" w:hAnsi="Times New Roman" w:cs="Times New Roman"/>
          <w:sz w:val="24"/>
          <w:szCs w:val="24"/>
        </w:rPr>
        <w:t>et al</w:t>
      </w:r>
      <w:r w:rsidR="003C589D" w:rsidRPr="003D7ADC">
        <w:rPr>
          <w:rFonts w:ascii="Times New Roman" w:eastAsia="Times New Roman" w:hAnsi="Times New Roman" w:cs="Times New Roman"/>
          <w:sz w:val="24"/>
        </w:rPr>
        <w:t>., 2020). In mulberry, microbial inoculants integrated with recommended fertilizer doses have been reported to improve shoot growth, leaf yield, chlor</w:t>
      </w:r>
      <w:r w:rsidR="00EB70D4">
        <w:rPr>
          <w:rFonts w:ascii="Times New Roman" w:eastAsia="Times New Roman" w:hAnsi="Times New Roman" w:cs="Times New Roman"/>
          <w:sz w:val="24"/>
        </w:rPr>
        <w:t>ophyll content, protein content</w:t>
      </w:r>
      <w:r w:rsidR="003C589D" w:rsidRPr="003D7ADC">
        <w:rPr>
          <w:rFonts w:ascii="Times New Roman" w:eastAsia="Times New Roman" w:hAnsi="Times New Roman" w:cs="Times New Roman"/>
          <w:sz w:val="24"/>
        </w:rPr>
        <w:t xml:space="preserve"> and soil fertility (Bharathi </w:t>
      </w:r>
      <w:r w:rsidR="003C589D" w:rsidRPr="00DD5D27">
        <w:rPr>
          <w:rFonts w:ascii="Times New Roman" w:eastAsia="Times New Roman" w:hAnsi="Times New Roman" w:cs="Times New Roman"/>
          <w:sz w:val="24"/>
          <w:szCs w:val="24"/>
        </w:rPr>
        <w:t>et al</w:t>
      </w:r>
      <w:r w:rsidR="003C589D" w:rsidRPr="003D7ADC">
        <w:rPr>
          <w:rFonts w:ascii="Times New Roman" w:eastAsia="Times New Roman" w:hAnsi="Times New Roman" w:cs="Times New Roman"/>
          <w:sz w:val="24"/>
        </w:rPr>
        <w:t xml:space="preserve">., 2004; Govindan </w:t>
      </w:r>
      <w:r w:rsidR="003C589D" w:rsidRPr="00DD5D27">
        <w:rPr>
          <w:rFonts w:ascii="Times New Roman" w:eastAsia="Times New Roman" w:hAnsi="Times New Roman" w:cs="Times New Roman"/>
          <w:sz w:val="24"/>
          <w:szCs w:val="24"/>
        </w:rPr>
        <w:t>et al</w:t>
      </w:r>
      <w:r w:rsidR="003C589D" w:rsidRPr="003D7ADC">
        <w:rPr>
          <w:rFonts w:ascii="Times New Roman" w:eastAsia="Times New Roman" w:hAnsi="Times New Roman" w:cs="Times New Roman"/>
          <w:sz w:val="24"/>
        </w:rPr>
        <w:t xml:space="preserve">., 2016; Kumaresan </w:t>
      </w:r>
      <w:r w:rsidR="003C589D" w:rsidRPr="00DD5D27">
        <w:rPr>
          <w:rFonts w:ascii="Times New Roman" w:eastAsia="Times New Roman" w:hAnsi="Times New Roman" w:cs="Times New Roman"/>
          <w:sz w:val="24"/>
          <w:szCs w:val="24"/>
        </w:rPr>
        <w:t>et al</w:t>
      </w:r>
      <w:r w:rsidR="003C589D" w:rsidRPr="003D7ADC">
        <w:rPr>
          <w:rFonts w:ascii="Times New Roman" w:eastAsia="Times New Roman" w:hAnsi="Times New Roman" w:cs="Times New Roman"/>
          <w:sz w:val="24"/>
        </w:rPr>
        <w:t>., 2017</w:t>
      </w:r>
      <w:r w:rsidR="00704022">
        <w:rPr>
          <w:rFonts w:ascii="Times New Roman" w:eastAsia="Times New Roman" w:hAnsi="Times New Roman" w:cs="Times New Roman"/>
          <w:sz w:val="24"/>
        </w:rPr>
        <w:t>;</w:t>
      </w:r>
      <w:r w:rsidR="00704022" w:rsidRPr="00704022">
        <w:rPr>
          <w:rFonts w:ascii="Times New Roman" w:eastAsia="Times New Roman" w:hAnsi="Times New Roman" w:cs="Times New Roman"/>
          <w:sz w:val="24"/>
        </w:rPr>
        <w:t xml:space="preserve"> </w:t>
      </w:r>
      <w:proofErr w:type="spellStart"/>
      <w:r w:rsidR="00704022" w:rsidRPr="003D7ADC">
        <w:rPr>
          <w:rFonts w:ascii="Times New Roman" w:eastAsia="Times New Roman" w:hAnsi="Times New Roman" w:cs="Times New Roman"/>
          <w:sz w:val="24"/>
        </w:rPr>
        <w:t>Shravanilakshmi</w:t>
      </w:r>
      <w:proofErr w:type="spellEnd"/>
      <w:r w:rsidR="00704022" w:rsidRPr="003D7ADC">
        <w:rPr>
          <w:rFonts w:ascii="Times New Roman" w:eastAsia="Times New Roman" w:hAnsi="Times New Roman" w:cs="Times New Roman"/>
          <w:sz w:val="24"/>
        </w:rPr>
        <w:t xml:space="preserve"> </w:t>
      </w:r>
      <w:r w:rsidR="00704022" w:rsidRPr="00DD5D27">
        <w:rPr>
          <w:rFonts w:ascii="Times New Roman" w:eastAsia="Times New Roman" w:hAnsi="Times New Roman" w:cs="Times New Roman"/>
          <w:sz w:val="24"/>
          <w:szCs w:val="24"/>
        </w:rPr>
        <w:t>et al</w:t>
      </w:r>
      <w:r w:rsidR="00704022" w:rsidRPr="003D7ADC">
        <w:rPr>
          <w:rFonts w:ascii="Times New Roman" w:eastAsia="Times New Roman" w:hAnsi="Times New Roman" w:cs="Times New Roman"/>
          <w:sz w:val="24"/>
        </w:rPr>
        <w:t>., 2025</w:t>
      </w:r>
      <w:r w:rsidR="003C589D" w:rsidRPr="003D7ADC">
        <w:rPr>
          <w:rFonts w:ascii="Times New Roman" w:eastAsia="Times New Roman" w:hAnsi="Times New Roman" w:cs="Times New Roman"/>
          <w:sz w:val="24"/>
        </w:rPr>
        <w:t>).</w:t>
      </w:r>
      <w:r w:rsidR="00152A2B" w:rsidRPr="003D7ADC">
        <w:rPr>
          <w:rFonts w:ascii="Times New Roman" w:eastAsia="Times New Roman" w:hAnsi="Times New Roman" w:cs="Times New Roman"/>
          <w:sz w:val="24"/>
        </w:rPr>
        <w:t xml:space="preserve"> </w:t>
      </w:r>
    </w:p>
    <w:p w14:paraId="2AAF6AB9" w14:textId="77777777" w:rsidR="003C589D" w:rsidRPr="00F67967" w:rsidRDefault="003C589D" w:rsidP="001B6DFF">
      <w:pPr>
        <w:spacing w:before="100" w:beforeAutospacing="1" w:after="100" w:afterAutospacing="1" w:line="360" w:lineRule="auto"/>
        <w:ind w:firstLine="720"/>
        <w:jc w:val="both"/>
        <w:rPr>
          <w:rFonts w:ascii="Times New Roman" w:eastAsia="Times New Roman" w:hAnsi="Times New Roman" w:cs="Times New Roman"/>
          <w:sz w:val="24"/>
          <w:szCs w:val="24"/>
        </w:rPr>
      </w:pPr>
      <w:r w:rsidRPr="00F67967">
        <w:rPr>
          <w:rFonts w:ascii="Times New Roman" w:eastAsia="Times New Roman" w:hAnsi="Times New Roman" w:cs="Times New Roman"/>
          <w:sz w:val="24"/>
          <w:szCs w:val="24"/>
        </w:rPr>
        <w:t xml:space="preserve">Liquid microbial formulations have recently emerged as an effective alternative to conventional carrier-based biofertilizers because of their high microbial viability, longer shelf life, rapid rhizosphere colonization, and suitability for application through drip irrigation and </w:t>
      </w:r>
      <w:r w:rsidRPr="00F67967">
        <w:rPr>
          <w:rFonts w:ascii="Times New Roman" w:eastAsia="Times New Roman" w:hAnsi="Times New Roman" w:cs="Times New Roman"/>
          <w:sz w:val="24"/>
          <w:szCs w:val="24"/>
        </w:rPr>
        <w:lastRenderedPageBreak/>
        <w:t xml:space="preserve">fertigation. These formulations improve nutrient-use efficiency, stimulate soil biological activity, and enhance plant growth while reducing dependence on chemical fertilizers (Naik </w:t>
      </w:r>
      <w:r w:rsidRPr="00DD5D27">
        <w:rPr>
          <w:rFonts w:ascii="Times New Roman" w:eastAsia="Times New Roman" w:hAnsi="Times New Roman" w:cs="Times New Roman"/>
          <w:sz w:val="24"/>
          <w:szCs w:val="24"/>
        </w:rPr>
        <w:t>et al</w:t>
      </w:r>
      <w:r w:rsidRPr="00F67967">
        <w:rPr>
          <w:rFonts w:ascii="Times New Roman" w:eastAsia="Times New Roman" w:hAnsi="Times New Roman" w:cs="Times New Roman"/>
          <w:sz w:val="24"/>
          <w:szCs w:val="24"/>
        </w:rPr>
        <w:t xml:space="preserve">., 2020; </w:t>
      </w:r>
      <w:r w:rsidR="006E7266" w:rsidRPr="00F67967">
        <w:rPr>
          <w:rFonts w:ascii="Times New Roman" w:eastAsia="Times New Roman" w:hAnsi="Times New Roman" w:cs="Times New Roman"/>
          <w:sz w:val="24"/>
          <w:szCs w:val="24"/>
        </w:rPr>
        <w:t xml:space="preserve">Rajanna </w:t>
      </w:r>
      <w:r w:rsidR="006E7266" w:rsidRPr="00DD5D27">
        <w:rPr>
          <w:rFonts w:ascii="Times New Roman" w:eastAsia="Times New Roman" w:hAnsi="Times New Roman" w:cs="Times New Roman"/>
          <w:sz w:val="24"/>
          <w:szCs w:val="24"/>
        </w:rPr>
        <w:t>et al</w:t>
      </w:r>
      <w:r w:rsidR="006E7266" w:rsidRPr="00F67967">
        <w:rPr>
          <w:rFonts w:ascii="Times New Roman" w:eastAsia="Times New Roman" w:hAnsi="Times New Roman" w:cs="Times New Roman"/>
          <w:sz w:val="24"/>
          <w:szCs w:val="24"/>
        </w:rPr>
        <w:t>., 2021</w:t>
      </w:r>
      <w:r w:rsidRPr="00F67967">
        <w:rPr>
          <w:rFonts w:ascii="Times New Roman" w:eastAsia="Times New Roman" w:hAnsi="Times New Roman" w:cs="Times New Roman"/>
          <w:sz w:val="24"/>
          <w:szCs w:val="24"/>
        </w:rPr>
        <w:t>). However, comparative information on the performance of different liquid microbial formulations under irrigated mulberry cultivation is limited, particularly under the intensive production systems practiced in southern India.</w:t>
      </w:r>
    </w:p>
    <w:p w14:paraId="269E1127" w14:textId="77777777" w:rsidR="00350F3D" w:rsidRPr="00F67967" w:rsidRDefault="003C589D" w:rsidP="001B6DFF">
      <w:pPr>
        <w:spacing w:before="100" w:beforeAutospacing="1" w:after="100" w:afterAutospacing="1" w:line="360" w:lineRule="auto"/>
        <w:ind w:firstLine="720"/>
        <w:jc w:val="both"/>
        <w:rPr>
          <w:rFonts w:ascii="Times New Roman" w:eastAsia="Times New Roman" w:hAnsi="Times New Roman" w:cs="Times New Roman"/>
          <w:sz w:val="24"/>
          <w:szCs w:val="24"/>
        </w:rPr>
      </w:pPr>
      <w:r w:rsidRPr="00F67967">
        <w:rPr>
          <w:rFonts w:ascii="Times New Roman" w:eastAsia="Times New Roman" w:hAnsi="Times New Roman" w:cs="Times New Roman"/>
          <w:sz w:val="24"/>
          <w:szCs w:val="24"/>
        </w:rPr>
        <w:t>Therefore, the present study was undertaken to evaluate the efficacy of different liquid microbial formulations on the growth, leaf yield, le</w:t>
      </w:r>
      <w:r w:rsidR="001D03A2">
        <w:rPr>
          <w:rFonts w:ascii="Times New Roman" w:eastAsia="Times New Roman" w:hAnsi="Times New Roman" w:cs="Times New Roman"/>
          <w:sz w:val="24"/>
          <w:szCs w:val="24"/>
        </w:rPr>
        <w:t>af quality, cocoon productivity</w:t>
      </w:r>
      <w:r w:rsidRPr="00F67967">
        <w:rPr>
          <w:rFonts w:ascii="Times New Roman" w:eastAsia="Times New Roman" w:hAnsi="Times New Roman" w:cs="Times New Roman"/>
          <w:sz w:val="24"/>
          <w:szCs w:val="24"/>
        </w:rPr>
        <w:t xml:space="preserve"> and economics of mulberry (</w:t>
      </w:r>
      <w:r w:rsidRPr="00F67967">
        <w:rPr>
          <w:rFonts w:ascii="Times New Roman" w:eastAsia="Times New Roman" w:hAnsi="Times New Roman" w:cs="Times New Roman"/>
          <w:i/>
          <w:iCs/>
          <w:sz w:val="24"/>
          <w:szCs w:val="24"/>
        </w:rPr>
        <w:t>Morus indica</w:t>
      </w:r>
      <w:r w:rsidRPr="00F67967">
        <w:rPr>
          <w:rFonts w:ascii="Times New Roman" w:eastAsia="Times New Roman" w:hAnsi="Times New Roman" w:cs="Times New Roman"/>
          <w:sz w:val="24"/>
          <w:szCs w:val="24"/>
        </w:rPr>
        <w:t xml:space="preserve"> L.) under irrigated field conditions in Kolar district, Karnataka. </w:t>
      </w:r>
      <w:r w:rsidR="00350F3D" w:rsidRPr="00F67967">
        <w:t xml:space="preserve"> </w:t>
      </w:r>
      <w:r w:rsidR="00350F3D" w:rsidRPr="00F67967">
        <w:rPr>
          <w:rFonts w:ascii="Times New Roman" w:eastAsia="Times New Roman" w:hAnsi="Times New Roman" w:cs="Times New Roman"/>
          <w:sz w:val="24"/>
          <w:szCs w:val="24"/>
        </w:rPr>
        <w:t xml:space="preserve">The findings are expected to provide scientific </w:t>
      </w:r>
      <w:r w:rsidRPr="00F67967">
        <w:rPr>
          <w:rFonts w:ascii="Times New Roman" w:eastAsia="Times New Roman" w:hAnsi="Times New Roman" w:cs="Times New Roman"/>
          <w:sz w:val="24"/>
          <w:szCs w:val="24"/>
        </w:rPr>
        <w:t>basis</w:t>
      </w:r>
      <w:r w:rsidR="00350F3D" w:rsidRPr="00F67967">
        <w:rPr>
          <w:rFonts w:ascii="Times New Roman" w:eastAsia="Times New Roman" w:hAnsi="Times New Roman" w:cs="Times New Roman"/>
          <w:sz w:val="24"/>
          <w:szCs w:val="24"/>
        </w:rPr>
        <w:t xml:space="preserve"> for developing an efficient biological nutrient management strategy that </w:t>
      </w:r>
      <w:r w:rsidR="001D03A2">
        <w:rPr>
          <w:rFonts w:ascii="Times New Roman" w:eastAsia="Times New Roman" w:hAnsi="Times New Roman" w:cs="Times New Roman"/>
          <w:sz w:val="24"/>
          <w:szCs w:val="24"/>
        </w:rPr>
        <w:t>improves mulberry productivity and</w:t>
      </w:r>
      <w:r w:rsidR="00350F3D" w:rsidRPr="00F67967">
        <w:rPr>
          <w:rFonts w:ascii="Times New Roman" w:eastAsia="Times New Roman" w:hAnsi="Times New Roman" w:cs="Times New Roman"/>
          <w:sz w:val="24"/>
          <w:szCs w:val="24"/>
        </w:rPr>
        <w:t xml:space="preserve"> soil health, reduces dep</w:t>
      </w:r>
      <w:r w:rsidR="001D03A2">
        <w:rPr>
          <w:rFonts w:ascii="Times New Roman" w:eastAsia="Times New Roman" w:hAnsi="Times New Roman" w:cs="Times New Roman"/>
          <w:sz w:val="24"/>
          <w:szCs w:val="24"/>
        </w:rPr>
        <w:t>endence on chemical fertilizers</w:t>
      </w:r>
      <w:r w:rsidR="00350F3D" w:rsidRPr="00F67967">
        <w:rPr>
          <w:rFonts w:ascii="Times New Roman" w:eastAsia="Times New Roman" w:hAnsi="Times New Roman" w:cs="Times New Roman"/>
          <w:sz w:val="24"/>
          <w:szCs w:val="24"/>
        </w:rPr>
        <w:t xml:space="preserve"> and contributes to sustainable </w:t>
      </w:r>
      <w:r w:rsidR="001D03A2">
        <w:rPr>
          <w:rFonts w:ascii="Times New Roman" w:eastAsia="Times New Roman" w:hAnsi="Times New Roman" w:cs="Times New Roman"/>
          <w:sz w:val="24"/>
          <w:szCs w:val="24"/>
        </w:rPr>
        <w:t>cocoon production</w:t>
      </w:r>
      <w:r w:rsidR="00350F3D" w:rsidRPr="00F67967">
        <w:rPr>
          <w:rFonts w:ascii="Times New Roman" w:eastAsia="Times New Roman" w:hAnsi="Times New Roman" w:cs="Times New Roman"/>
          <w:sz w:val="24"/>
          <w:szCs w:val="24"/>
        </w:rPr>
        <w:t>.</w:t>
      </w:r>
    </w:p>
    <w:p w14:paraId="1904C5C2" w14:textId="77777777" w:rsidR="00D61223" w:rsidRPr="00F67967" w:rsidRDefault="00D61223" w:rsidP="00D61223">
      <w:pPr>
        <w:pStyle w:val="Heading2"/>
        <w:jc w:val="both"/>
        <w:rPr>
          <w:rFonts w:ascii="Times New Roman" w:hAnsi="Times New Roman" w:cs="Times New Roman"/>
          <w:color w:val="auto"/>
          <w:sz w:val="24"/>
          <w:szCs w:val="24"/>
        </w:rPr>
      </w:pPr>
      <w:r w:rsidRPr="00F67967">
        <w:rPr>
          <w:rFonts w:ascii="Times New Roman" w:hAnsi="Times New Roman" w:cs="Times New Roman"/>
          <w:color w:val="auto"/>
          <w:sz w:val="24"/>
          <w:szCs w:val="24"/>
        </w:rPr>
        <w:t>Materials and Methods</w:t>
      </w:r>
    </w:p>
    <w:p w14:paraId="67236CFB" w14:textId="77777777" w:rsidR="00D61223" w:rsidRPr="00F67967" w:rsidRDefault="00D61223" w:rsidP="00D61223">
      <w:pPr>
        <w:pStyle w:val="Heading3"/>
        <w:jc w:val="both"/>
        <w:rPr>
          <w:sz w:val="24"/>
          <w:szCs w:val="24"/>
        </w:rPr>
      </w:pPr>
      <w:r w:rsidRPr="00F67967">
        <w:rPr>
          <w:sz w:val="24"/>
          <w:szCs w:val="24"/>
        </w:rPr>
        <w:t>Experimental site</w:t>
      </w:r>
    </w:p>
    <w:p w14:paraId="5518BA4A" w14:textId="77777777" w:rsidR="004E329C" w:rsidRPr="00F67967" w:rsidRDefault="004E329C" w:rsidP="00D148F7">
      <w:pPr>
        <w:pStyle w:val="Heading3"/>
        <w:spacing w:line="360" w:lineRule="auto"/>
        <w:ind w:firstLine="720"/>
        <w:jc w:val="both"/>
        <w:rPr>
          <w:b w:val="0"/>
          <w:sz w:val="24"/>
        </w:rPr>
      </w:pPr>
      <w:r w:rsidRPr="00F67967">
        <w:rPr>
          <w:b w:val="0"/>
          <w:sz w:val="24"/>
        </w:rPr>
        <w:t xml:space="preserve">The present </w:t>
      </w:r>
      <w:r w:rsidR="00D062DE">
        <w:rPr>
          <w:b w:val="0"/>
          <w:sz w:val="24"/>
        </w:rPr>
        <w:t>experiment</w:t>
      </w:r>
      <w:r w:rsidRPr="00F67967">
        <w:rPr>
          <w:b w:val="0"/>
          <w:sz w:val="24"/>
        </w:rPr>
        <w:t xml:space="preserve"> was conducted</w:t>
      </w:r>
      <w:r w:rsidR="00726536">
        <w:rPr>
          <w:b w:val="0"/>
          <w:sz w:val="24"/>
        </w:rPr>
        <w:t xml:space="preserve"> </w:t>
      </w:r>
      <w:r w:rsidRPr="00F67967">
        <w:rPr>
          <w:b w:val="0"/>
          <w:sz w:val="24"/>
        </w:rPr>
        <w:t xml:space="preserve">in the cluster village of </w:t>
      </w:r>
      <w:proofErr w:type="spellStart"/>
      <w:r w:rsidRPr="00F67967">
        <w:rPr>
          <w:b w:val="0"/>
          <w:sz w:val="24"/>
        </w:rPr>
        <w:t>Gaddekannuru</w:t>
      </w:r>
      <w:proofErr w:type="spellEnd"/>
      <w:r w:rsidRPr="00F67967">
        <w:rPr>
          <w:b w:val="0"/>
          <w:sz w:val="24"/>
        </w:rPr>
        <w:t xml:space="preserve">, Kolar Taluk, Kolar District, Karnataka, </w:t>
      </w:r>
      <w:r w:rsidR="00726536" w:rsidRPr="00726536">
        <w:rPr>
          <w:b w:val="0"/>
          <w:sz w:val="24"/>
          <w:szCs w:val="24"/>
        </w:rPr>
        <w:t>consecutive years during</w:t>
      </w:r>
      <w:r w:rsidR="00726536" w:rsidRPr="00F02486">
        <w:rPr>
          <w:sz w:val="24"/>
          <w:szCs w:val="24"/>
        </w:rPr>
        <w:t xml:space="preserve"> </w:t>
      </w:r>
      <w:r w:rsidRPr="00F67967">
        <w:rPr>
          <w:b w:val="0"/>
          <w:sz w:val="24"/>
        </w:rPr>
        <w:t>2021–22 and 2022–23. The experimental site is located in the Eastern Dry Zone (Zone V) of Karnataka and is characterized by a semi-arid tropical climate with red sandy loam soils, which are well suited for irrigated mulberry cultivation.</w:t>
      </w:r>
    </w:p>
    <w:p w14:paraId="30AF924F" w14:textId="77777777" w:rsidR="00D61223" w:rsidRPr="00F67967" w:rsidRDefault="00D61223" w:rsidP="00D61223">
      <w:pPr>
        <w:pStyle w:val="Heading3"/>
        <w:jc w:val="both"/>
        <w:rPr>
          <w:sz w:val="24"/>
          <w:szCs w:val="24"/>
        </w:rPr>
      </w:pPr>
      <w:r w:rsidRPr="00F67967">
        <w:rPr>
          <w:sz w:val="24"/>
          <w:szCs w:val="24"/>
        </w:rPr>
        <w:t>Experimental crop</w:t>
      </w:r>
    </w:p>
    <w:p w14:paraId="5A8CA9FA" w14:textId="77777777" w:rsidR="004E329C" w:rsidRPr="00F67967" w:rsidRDefault="00B34E17" w:rsidP="00D148F7">
      <w:pPr>
        <w:pStyle w:val="Heading3"/>
        <w:spacing w:line="360" w:lineRule="auto"/>
        <w:ind w:firstLine="720"/>
        <w:jc w:val="both"/>
        <w:rPr>
          <w:b w:val="0"/>
          <w:sz w:val="24"/>
        </w:rPr>
      </w:pPr>
      <w:r>
        <w:rPr>
          <w:b w:val="0"/>
          <w:sz w:val="24"/>
        </w:rPr>
        <w:t xml:space="preserve">The </w:t>
      </w:r>
      <w:r w:rsidR="00816766" w:rsidRPr="00816766">
        <w:rPr>
          <w:b w:val="0"/>
          <w:sz w:val="24"/>
        </w:rPr>
        <w:t>Field trials were co</w:t>
      </w:r>
      <w:r w:rsidR="004733E6">
        <w:rPr>
          <w:b w:val="0"/>
          <w:sz w:val="24"/>
        </w:rPr>
        <w:t xml:space="preserve">nducted in an </w:t>
      </w:r>
      <w:proofErr w:type="gramStart"/>
      <w:r w:rsidR="004733E6">
        <w:rPr>
          <w:b w:val="0"/>
          <w:sz w:val="24"/>
        </w:rPr>
        <w:t>established  five</w:t>
      </w:r>
      <w:proofErr w:type="gramEnd"/>
      <w:r w:rsidR="004733E6">
        <w:rPr>
          <w:b w:val="0"/>
          <w:sz w:val="24"/>
        </w:rPr>
        <w:t xml:space="preserve"> year </w:t>
      </w:r>
      <w:r w:rsidR="00816766" w:rsidRPr="00816766">
        <w:rPr>
          <w:b w:val="0"/>
          <w:sz w:val="24"/>
        </w:rPr>
        <w:t>old V-</w:t>
      </w:r>
      <w:r w:rsidR="00816766">
        <w:rPr>
          <w:b w:val="0"/>
          <w:sz w:val="24"/>
        </w:rPr>
        <w:t xml:space="preserve">1 mulberry </w:t>
      </w:r>
      <w:r w:rsidR="004733E6">
        <w:rPr>
          <w:b w:val="0"/>
          <w:sz w:val="24"/>
        </w:rPr>
        <w:t>garden</w:t>
      </w:r>
      <w:r w:rsidR="00816766">
        <w:rPr>
          <w:b w:val="0"/>
          <w:sz w:val="24"/>
        </w:rPr>
        <w:t xml:space="preserve"> under irrigated condition</w:t>
      </w:r>
      <w:r w:rsidR="00816766" w:rsidRPr="00816766">
        <w:rPr>
          <w:b w:val="0"/>
          <w:sz w:val="24"/>
        </w:rPr>
        <w:t xml:space="preserve">, maintaining a </w:t>
      </w:r>
      <w:r w:rsidR="00816766">
        <w:rPr>
          <w:b w:val="0"/>
          <w:sz w:val="24"/>
        </w:rPr>
        <w:t>plant</w:t>
      </w:r>
      <w:r w:rsidR="00816766" w:rsidRPr="00816766">
        <w:rPr>
          <w:b w:val="0"/>
          <w:sz w:val="24"/>
        </w:rPr>
        <w:t xml:space="preserve"> spacing of 4</w:t>
      </w:r>
      <w:r w:rsidR="00816766">
        <w:rPr>
          <w:b w:val="0"/>
          <w:sz w:val="24"/>
        </w:rPr>
        <w:t xml:space="preserve"> ft × 3 ft</w:t>
      </w:r>
      <w:r w:rsidR="00816766" w:rsidRPr="00816766">
        <w:rPr>
          <w:b w:val="0"/>
          <w:sz w:val="24"/>
        </w:rPr>
        <w:t>.</w:t>
      </w:r>
      <w:r w:rsidR="00816766">
        <w:t xml:space="preserve"> </w:t>
      </w:r>
      <w:r w:rsidR="004E329C" w:rsidRPr="00F67967">
        <w:rPr>
          <w:b w:val="0"/>
          <w:sz w:val="24"/>
        </w:rPr>
        <w:t xml:space="preserve"> The crop was maintained following the recommended package of practices for mulberry cultivation prescribed by the Central Silk Board, Bengaluru, except for the nutrient management treatments evaluated in the study (Dandin and Giridhar, 2014).</w:t>
      </w:r>
    </w:p>
    <w:p w14:paraId="6161CE62" w14:textId="77777777" w:rsidR="00D61223" w:rsidRPr="00F67967" w:rsidRDefault="00D61223" w:rsidP="00D61223">
      <w:pPr>
        <w:pStyle w:val="Heading3"/>
        <w:jc w:val="both"/>
        <w:rPr>
          <w:sz w:val="24"/>
          <w:szCs w:val="24"/>
        </w:rPr>
      </w:pPr>
      <w:r w:rsidRPr="00F67967">
        <w:rPr>
          <w:sz w:val="24"/>
          <w:szCs w:val="24"/>
        </w:rPr>
        <w:t>Experimental design and treatments</w:t>
      </w:r>
    </w:p>
    <w:p w14:paraId="00377B65" w14:textId="77777777" w:rsidR="00D61223" w:rsidRPr="00F67967" w:rsidRDefault="00D61223" w:rsidP="00D148F7">
      <w:pPr>
        <w:pStyle w:val="isselectedend"/>
        <w:spacing w:line="360" w:lineRule="auto"/>
        <w:ind w:firstLine="720"/>
        <w:jc w:val="both"/>
      </w:pPr>
      <w:r w:rsidRPr="00F67967">
        <w:lastRenderedPageBreak/>
        <w:t xml:space="preserve">The experiment was laid out in a </w:t>
      </w:r>
      <w:r w:rsidRPr="00F67967">
        <w:rPr>
          <w:rStyle w:val="Strong"/>
          <w:b w:val="0"/>
        </w:rPr>
        <w:t>Randomized Complete Block Design (RCBD)</w:t>
      </w:r>
      <w:r w:rsidRPr="00F67967">
        <w:t xml:space="preserve"> comprising </w:t>
      </w:r>
      <w:r w:rsidRPr="00F67967">
        <w:rPr>
          <w:rStyle w:val="Strong"/>
          <w:b w:val="0"/>
        </w:rPr>
        <w:t>four</w:t>
      </w:r>
      <w:r w:rsidRPr="00F67967">
        <w:rPr>
          <w:rStyle w:val="Strong"/>
        </w:rPr>
        <w:t xml:space="preserve"> </w:t>
      </w:r>
      <w:r w:rsidRPr="00F67967">
        <w:rPr>
          <w:rStyle w:val="Strong"/>
          <w:b w:val="0"/>
        </w:rPr>
        <w:t>treatments</w:t>
      </w:r>
      <w:r w:rsidRPr="00F67967">
        <w:t xml:space="preserve"> and </w:t>
      </w:r>
      <w:r w:rsidRPr="00F67967">
        <w:rPr>
          <w:rStyle w:val="Strong"/>
          <w:b w:val="0"/>
        </w:rPr>
        <w:t>five replications</w:t>
      </w:r>
      <w:r w:rsidRPr="00F67967">
        <w:t>. The trial was conducted in farmers' fields, with each farmer representing one replication. The treatment details were as follows:</w:t>
      </w:r>
    </w:p>
    <w:p w14:paraId="6B85737B" w14:textId="77777777" w:rsidR="00D61223" w:rsidRPr="00F67967" w:rsidRDefault="00D61223" w:rsidP="00215687">
      <w:pPr>
        <w:pStyle w:val="isselectedend"/>
        <w:spacing w:line="360" w:lineRule="auto"/>
        <w:ind w:left="630"/>
        <w:jc w:val="both"/>
      </w:pPr>
      <w:r w:rsidRPr="00F67967">
        <w:rPr>
          <w:rStyle w:val="Strong"/>
        </w:rPr>
        <w:t>T₁:</w:t>
      </w:r>
      <w:r w:rsidRPr="00F67967">
        <w:t xml:space="preserve"> Recommended dose of fertilizers (RDF) and farmyard manure (FYM) consisting of </w:t>
      </w:r>
      <w:r w:rsidR="00921D34" w:rsidRPr="00F67967">
        <w:rPr>
          <w:rStyle w:val="Strong"/>
          <w:b w:val="0"/>
        </w:rPr>
        <w:t>350:140:140 kg NPK</w:t>
      </w:r>
      <w:r w:rsidR="004733E6">
        <w:rPr>
          <w:rStyle w:val="Strong"/>
          <w:b w:val="0"/>
        </w:rPr>
        <w:t>/ha/year</w:t>
      </w:r>
      <w:r w:rsidRPr="00F67967">
        <w:t xml:space="preserve"> along with </w:t>
      </w:r>
      <w:r w:rsidRPr="00F67967">
        <w:rPr>
          <w:rStyle w:val="Strong"/>
          <w:b w:val="0"/>
        </w:rPr>
        <w:t xml:space="preserve">20 t FYM </w:t>
      </w:r>
      <w:r w:rsidR="004733E6">
        <w:rPr>
          <w:rStyle w:val="Strong"/>
          <w:b w:val="0"/>
        </w:rPr>
        <w:t>/ha/year</w:t>
      </w:r>
      <w:r w:rsidRPr="00F67967">
        <w:rPr>
          <w:b/>
        </w:rPr>
        <w:t>,</w:t>
      </w:r>
      <w:r w:rsidRPr="00F67967">
        <w:t xml:space="preserve"> applied in five equal split doses (Farmer's practice).</w:t>
      </w:r>
    </w:p>
    <w:p w14:paraId="79AC32D0" w14:textId="77777777" w:rsidR="00D61223" w:rsidRPr="00F67967" w:rsidRDefault="00D61223" w:rsidP="00215687">
      <w:pPr>
        <w:pStyle w:val="isselectedend"/>
        <w:spacing w:line="360" w:lineRule="auto"/>
        <w:ind w:left="630"/>
        <w:jc w:val="both"/>
        <w:rPr>
          <w:b/>
        </w:rPr>
      </w:pPr>
      <w:r w:rsidRPr="00F67967">
        <w:rPr>
          <w:rStyle w:val="Strong"/>
        </w:rPr>
        <w:t>T₂:</w:t>
      </w:r>
      <w:r w:rsidRPr="00F67967">
        <w:t xml:space="preserve"> RDF + FYM + </w:t>
      </w:r>
      <w:r w:rsidRPr="00F67967">
        <w:rPr>
          <w:rStyle w:val="Strong"/>
          <w:b w:val="0"/>
        </w:rPr>
        <w:t>Liquid Microbial Consortia</w:t>
      </w:r>
      <w:r w:rsidRPr="00F67967">
        <w:t xml:space="preserve"> applied through drip irrigation at </w:t>
      </w:r>
      <w:r w:rsidR="004733E6">
        <w:rPr>
          <w:rStyle w:val="Strong"/>
          <w:b w:val="0"/>
        </w:rPr>
        <w:t>7.5 L /ha</w:t>
      </w:r>
      <w:r w:rsidRPr="00F67967">
        <w:rPr>
          <w:rStyle w:val="Strong"/>
          <w:b w:val="0"/>
        </w:rPr>
        <w:t xml:space="preserve"> </w:t>
      </w:r>
      <w:r w:rsidR="004733E6">
        <w:rPr>
          <w:rStyle w:val="Strong"/>
          <w:b w:val="0"/>
        </w:rPr>
        <w:t>/crop</w:t>
      </w:r>
      <w:r w:rsidRPr="00F67967">
        <w:rPr>
          <w:b/>
        </w:rPr>
        <w:t xml:space="preserve"> </w:t>
      </w:r>
      <w:r w:rsidRPr="00F67967">
        <w:t>at</w:t>
      </w:r>
      <w:r w:rsidRPr="00F67967">
        <w:rPr>
          <w:b/>
        </w:rPr>
        <w:t xml:space="preserve"> </w:t>
      </w:r>
      <w:r w:rsidRPr="00F67967">
        <w:rPr>
          <w:rStyle w:val="Strong"/>
          <w:b w:val="0"/>
        </w:rPr>
        <w:t>8 and 25 days after pruning (DAP).</w:t>
      </w:r>
    </w:p>
    <w:p w14:paraId="5E264AD3" w14:textId="77777777" w:rsidR="00D61223" w:rsidRPr="00F67967" w:rsidRDefault="00D61223" w:rsidP="00215687">
      <w:pPr>
        <w:pStyle w:val="isselectedend"/>
        <w:spacing w:line="360" w:lineRule="auto"/>
        <w:ind w:left="630"/>
        <w:jc w:val="both"/>
        <w:rPr>
          <w:b/>
        </w:rPr>
      </w:pPr>
      <w:r w:rsidRPr="00F67967">
        <w:rPr>
          <w:rStyle w:val="Strong"/>
        </w:rPr>
        <w:t>T₃:</w:t>
      </w:r>
      <w:r w:rsidRPr="00F67967">
        <w:t xml:space="preserve"> RDF + FYM + </w:t>
      </w:r>
      <w:r w:rsidRPr="00F67967">
        <w:rPr>
          <w:rStyle w:val="Strong"/>
          <w:b w:val="0"/>
        </w:rPr>
        <w:t>Arka Microbial Consortia</w:t>
      </w:r>
      <w:r w:rsidRPr="00F67967">
        <w:t xml:space="preserve"> applied through drip irrigation at </w:t>
      </w:r>
      <w:r w:rsidR="004733E6">
        <w:rPr>
          <w:rStyle w:val="Strong"/>
          <w:b w:val="0"/>
        </w:rPr>
        <w:t>7.5 L/ ha/crop</w:t>
      </w:r>
      <w:r w:rsidRPr="00F67967">
        <w:rPr>
          <w:b/>
        </w:rPr>
        <w:t xml:space="preserve"> </w:t>
      </w:r>
      <w:r w:rsidRPr="00F67967">
        <w:t>at</w:t>
      </w:r>
      <w:r w:rsidRPr="00F67967">
        <w:rPr>
          <w:b/>
        </w:rPr>
        <w:t xml:space="preserve"> </w:t>
      </w:r>
      <w:r w:rsidRPr="00F67967">
        <w:rPr>
          <w:rStyle w:val="Strong"/>
          <w:b w:val="0"/>
        </w:rPr>
        <w:t>8 and 25 DAP.</w:t>
      </w:r>
    </w:p>
    <w:p w14:paraId="7E1164D4" w14:textId="77777777" w:rsidR="00D61223" w:rsidRPr="00F67967" w:rsidRDefault="00D61223" w:rsidP="00215687">
      <w:pPr>
        <w:pStyle w:val="isselectedend"/>
        <w:spacing w:line="360" w:lineRule="auto"/>
        <w:ind w:left="630"/>
        <w:jc w:val="both"/>
        <w:rPr>
          <w:b/>
        </w:rPr>
      </w:pPr>
      <w:r w:rsidRPr="00F67967">
        <w:rPr>
          <w:rStyle w:val="Strong"/>
        </w:rPr>
        <w:t>T₄:</w:t>
      </w:r>
      <w:r w:rsidRPr="00F67967">
        <w:t xml:space="preserve"> RDF + FYM + </w:t>
      </w:r>
      <w:r w:rsidRPr="00F67967">
        <w:rPr>
          <w:rStyle w:val="Strong"/>
          <w:b w:val="0"/>
        </w:rPr>
        <w:t>Waste Decomposer Solution</w:t>
      </w:r>
      <w:r w:rsidRPr="00F67967">
        <w:t xml:space="preserve"> (20 g culture dissol</w:t>
      </w:r>
      <w:r w:rsidR="004733E6">
        <w:t>ved in 200 L water acre/crop</w:t>
      </w:r>
      <w:r w:rsidRPr="00F67967">
        <w:t xml:space="preserve">) applied through drip irrigation at </w:t>
      </w:r>
      <w:r w:rsidRPr="00F67967">
        <w:rPr>
          <w:rStyle w:val="Strong"/>
          <w:b w:val="0"/>
        </w:rPr>
        <w:t>8 and 25 DAP.</w:t>
      </w:r>
    </w:p>
    <w:p w14:paraId="7C561398" w14:textId="77777777" w:rsidR="00D61223" w:rsidRPr="00F67967" w:rsidRDefault="00D61223" w:rsidP="001B6DFF">
      <w:pPr>
        <w:pStyle w:val="isselectedend"/>
        <w:spacing w:line="360" w:lineRule="auto"/>
        <w:jc w:val="both"/>
      </w:pPr>
      <w:r w:rsidRPr="00F67967">
        <w:t xml:space="preserve">The </w:t>
      </w:r>
      <w:r w:rsidR="000335BB">
        <w:t>Standard crop maintenance and nutrient applications were implemented in accordance with the established packages of practices for irrigated V-1 mulberry</w:t>
      </w:r>
      <w:r w:rsidR="000335BB" w:rsidRPr="00F67967">
        <w:t xml:space="preserve"> </w:t>
      </w:r>
      <w:r w:rsidR="00341393" w:rsidRPr="00F67967">
        <w:t xml:space="preserve">(Dandin </w:t>
      </w:r>
      <w:r w:rsidR="00341393" w:rsidRPr="00A00A6D">
        <w:t>et al.,</w:t>
      </w:r>
      <w:r w:rsidR="00341393" w:rsidRPr="00F67967">
        <w:t xml:space="preserve"> 2003</w:t>
      </w:r>
      <w:r w:rsidRPr="00F67967">
        <w:t>).</w:t>
      </w:r>
    </w:p>
    <w:p w14:paraId="0D3AB4B8" w14:textId="77777777" w:rsidR="00D61223" w:rsidRPr="00F67967" w:rsidRDefault="00D61223" w:rsidP="00D61223">
      <w:pPr>
        <w:pStyle w:val="Heading3"/>
        <w:jc w:val="both"/>
        <w:rPr>
          <w:sz w:val="24"/>
          <w:szCs w:val="24"/>
        </w:rPr>
      </w:pPr>
      <w:r w:rsidRPr="00F67967">
        <w:rPr>
          <w:sz w:val="24"/>
          <w:szCs w:val="24"/>
        </w:rPr>
        <w:t>Application of liquid microbial formulations</w:t>
      </w:r>
    </w:p>
    <w:p w14:paraId="2033AC1F" w14:textId="77777777" w:rsidR="00D61223" w:rsidRPr="00DD5D27" w:rsidRDefault="00D61223" w:rsidP="00D148F7">
      <w:pPr>
        <w:pStyle w:val="isselectedend"/>
        <w:spacing w:line="360" w:lineRule="auto"/>
        <w:ind w:firstLine="720"/>
        <w:jc w:val="both"/>
      </w:pPr>
      <w:r w:rsidRPr="00F67967">
        <w:t xml:space="preserve">The liquid microbial formulations were applied through the existing drip irrigation system to ensure uniform distribution in the active root zone. Two applications were made during each crop cycle at </w:t>
      </w:r>
      <w:r w:rsidRPr="00F67967">
        <w:rPr>
          <w:rStyle w:val="Strong"/>
          <w:b w:val="0"/>
        </w:rPr>
        <w:t>8 and 25 days after pruning (</w:t>
      </w:r>
      <w:proofErr w:type="gramStart"/>
      <w:r w:rsidRPr="00F67967">
        <w:rPr>
          <w:rStyle w:val="Strong"/>
          <w:b w:val="0"/>
        </w:rPr>
        <w:t>DAP)</w:t>
      </w:r>
      <w:r w:rsidR="00640EA8">
        <w:rPr>
          <w:b/>
        </w:rPr>
        <w:t xml:space="preserve"> </w:t>
      </w:r>
      <w:r w:rsidRPr="00F67967">
        <w:t xml:space="preserve"> corresponding</w:t>
      </w:r>
      <w:proofErr w:type="gramEnd"/>
      <w:r w:rsidRPr="00F67967">
        <w:t xml:space="preserve"> to the period of active vegetative growth. Application through drip irrigation facilitates efficient colonization of beneficial microorganisms in the rhizosphere and enhances nutrient availability to plants (Naik </w:t>
      </w:r>
      <w:r w:rsidRPr="00DD5D27">
        <w:t xml:space="preserve">et al., 2020; </w:t>
      </w:r>
      <w:proofErr w:type="spellStart"/>
      <w:r w:rsidRPr="00DD5D27">
        <w:t>Allouzi</w:t>
      </w:r>
      <w:proofErr w:type="spellEnd"/>
      <w:r w:rsidRPr="00DD5D27">
        <w:t xml:space="preserve"> et al., 2022).</w:t>
      </w:r>
    </w:p>
    <w:p w14:paraId="795EDA5B" w14:textId="77777777" w:rsidR="00D61223" w:rsidRPr="00F67967" w:rsidRDefault="00D61223" w:rsidP="00D61223">
      <w:pPr>
        <w:pStyle w:val="Heading3"/>
        <w:jc w:val="both"/>
        <w:rPr>
          <w:sz w:val="24"/>
          <w:szCs w:val="24"/>
        </w:rPr>
      </w:pPr>
      <w:r w:rsidRPr="00F67967">
        <w:rPr>
          <w:sz w:val="24"/>
          <w:szCs w:val="24"/>
        </w:rPr>
        <w:t>Crop management</w:t>
      </w:r>
    </w:p>
    <w:p w14:paraId="46EBBEA2" w14:textId="77777777" w:rsidR="00D61223" w:rsidRPr="00F67967" w:rsidRDefault="00640EA8" w:rsidP="00D148F7">
      <w:pPr>
        <w:pStyle w:val="isselectedend"/>
        <w:spacing w:line="360" w:lineRule="auto"/>
        <w:ind w:firstLine="720"/>
        <w:jc w:val="both"/>
      </w:pPr>
      <w:r>
        <w:t>Regular agronomic practices viz.,</w:t>
      </w:r>
      <w:r w:rsidR="00D61223" w:rsidRPr="00F67967">
        <w:t xml:space="preserve"> irrigation scheduling, inter</w:t>
      </w:r>
      <w:r>
        <w:t xml:space="preserve"> </w:t>
      </w:r>
      <w:r w:rsidR="00D61223" w:rsidRPr="00F67967">
        <w:t>cultiv</w:t>
      </w:r>
      <w:r>
        <w:t>ation, weed management, pruning and plant protection measures</w:t>
      </w:r>
      <w:r w:rsidR="00D61223" w:rsidRPr="00F67967">
        <w:t xml:space="preserve"> were followed in all the treatments throughout the experimental period in accordance with the recommended package of practices for mulberry cultivation (</w:t>
      </w:r>
      <w:r w:rsidRPr="00F67967">
        <w:t xml:space="preserve">Dandin </w:t>
      </w:r>
      <w:r w:rsidRPr="00A00A6D">
        <w:t>et al.,</w:t>
      </w:r>
      <w:r w:rsidRPr="00F67967">
        <w:t xml:space="preserve"> 2003</w:t>
      </w:r>
      <w:r w:rsidR="00D61223" w:rsidRPr="00F67967">
        <w:t>).</w:t>
      </w:r>
    </w:p>
    <w:p w14:paraId="5CFD2424" w14:textId="77777777" w:rsidR="002452E4" w:rsidRPr="00F67967" w:rsidRDefault="002452E4" w:rsidP="00D61223">
      <w:pPr>
        <w:pStyle w:val="Heading3"/>
        <w:jc w:val="both"/>
        <w:rPr>
          <w:b w:val="0"/>
          <w:sz w:val="22"/>
          <w:szCs w:val="24"/>
        </w:rPr>
      </w:pPr>
      <w:r w:rsidRPr="00F67967">
        <w:rPr>
          <w:sz w:val="24"/>
        </w:rPr>
        <w:lastRenderedPageBreak/>
        <w:t>Observations recorded</w:t>
      </w:r>
    </w:p>
    <w:p w14:paraId="76606A5E" w14:textId="77777777" w:rsidR="00B979E1" w:rsidRPr="00F67967" w:rsidRDefault="00D34475" w:rsidP="00D148F7">
      <w:pPr>
        <w:pStyle w:val="Heading3"/>
        <w:spacing w:line="360" w:lineRule="auto"/>
        <w:ind w:firstLine="720"/>
        <w:jc w:val="both"/>
        <w:rPr>
          <w:b w:val="0"/>
          <w:sz w:val="24"/>
        </w:rPr>
      </w:pPr>
      <w:r w:rsidRPr="00F67967">
        <w:rPr>
          <w:b w:val="0"/>
          <w:sz w:val="24"/>
        </w:rPr>
        <w:t xml:space="preserve">Observations on growth, yield, leaf quality, and economic parameters were recorded from each treatment following the standard procedures recommended for mulberry experimentation (Dandin and Giridhar, 2014). Growth parameters </w:t>
      </w:r>
      <w:r w:rsidR="00F71DE5" w:rsidRPr="00F67967">
        <w:rPr>
          <w:b w:val="0"/>
          <w:sz w:val="24"/>
        </w:rPr>
        <w:t>included</w:t>
      </w:r>
      <w:r w:rsidRPr="00F67967">
        <w:rPr>
          <w:b w:val="0"/>
          <w:sz w:val="24"/>
        </w:rPr>
        <w:t xml:space="preserve"> number of shoots per plant, number of leaves per shoot</w:t>
      </w:r>
      <w:r w:rsidR="00F71DE5" w:rsidRPr="00F67967">
        <w:rPr>
          <w:b w:val="0"/>
          <w:sz w:val="24"/>
        </w:rPr>
        <w:t>, leaf</w:t>
      </w:r>
      <w:r w:rsidRPr="00F67967">
        <w:rPr>
          <w:b w:val="0"/>
          <w:sz w:val="24"/>
        </w:rPr>
        <w:t xml:space="preserve"> moisture content (%)</w:t>
      </w:r>
      <w:r w:rsidR="00B923AA" w:rsidRPr="00F67967">
        <w:rPr>
          <w:b w:val="0"/>
          <w:sz w:val="24"/>
        </w:rPr>
        <w:t xml:space="preserve"> and leaf quality</w:t>
      </w:r>
      <w:r w:rsidRPr="00F67967">
        <w:rPr>
          <w:b w:val="0"/>
          <w:sz w:val="24"/>
        </w:rPr>
        <w:t xml:space="preserve">. Leaf yield was recorded at each harvest on a plot basis and expressed as </w:t>
      </w:r>
      <w:proofErr w:type="spellStart"/>
      <w:r w:rsidRPr="00F67967">
        <w:rPr>
          <w:b w:val="0"/>
          <w:sz w:val="24"/>
        </w:rPr>
        <w:t>tonnes</w:t>
      </w:r>
      <w:proofErr w:type="spellEnd"/>
      <w:r w:rsidRPr="00F67967">
        <w:rPr>
          <w:b w:val="0"/>
          <w:sz w:val="24"/>
        </w:rPr>
        <w:t xml:space="preserve"> per hectare per crop (t </w:t>
      </w:r>
      <w:r w:rsidR="00F71DE5">
        <w:rPr>
          <w:b w:val="0"/>
          <w:sz w:val="24"/>
        </w:rPr>
        <w:t>/ha/crop</w:t>
      </w:r>
      <w:r w:rsidRPr="00F67967">
        <w:rPr>
          <w:b w:val="0"/>
          <w:sz w:val="24"/>
        </w:rPr>
        <w:t xml:space="preserve">), while annual leaf yield was calculated by summing the yields of all crops and expressed as </w:t>
      </w:r>
      <w:proofErr w:type="spellStart"/>
      <w:r w:rsidRPr="00F67967">
        <w:rPr>
          <w:b w:val="0"/>
          <w:sz w:val="24"/>
        </w:rPr>
        <w:t>tonnes</w:t>
      </w:r>
      <w:proofErr w:type="spellEnd"/>
      <w:r w:rsidRPr="00F67967">
        <w:rPr>
          <w:b w:val="0"/>
          <w:sz w:val="24"/>
        </w:rPr>
        <w:t xml:space="preserve"> per hectare per year (</w:t>
      </w:r>
      <w:r w:rsidR="00F71DE5" w:rsidRPr="00F67967">
        <w:rPr>
          <w:b w:val="0"/>
          <w:sz w:val="24"/>
        </w:rPr>
        <w:t xml:space="preserve">t </w:t>
      </w:r>
      <w:r w:rsidR="00F71DE5">
        <w:rPr>
          <w:b w:val="0"/>
          <w:sz w:val="24"/>
        </w:rPr>
        <w:t>/ha/year</w:t>
      </w:r>
      <w:r w:rsidRPr="00F67967">
        <w:rPr>
          <w:b w:val="0"/>
          <w:sz w:val="24"/>
        </w:rPr>
        <w:t xml:space="preserve">). </w:t>
      </w:r>
    </w:p>
    <w:p w14:paraId="6BDD8A90" w14:textId="77777777" w:rsidR="00B979E1" w:rsidRPr="00F67967" w:rsidRDefault="00B979E1" w:rsidP="00D148F7">
      <w:pPr>
        <w:pStyle w:val="Heading3"/>
        <w:spacing w:line="360" w:lineRule="auto"/>
        <w:ind w:firstLine="720"/>
        <w:jc w:val="both"/>
        <w:rPr>
          <w:b w:val="0"/>
          <w:sz w:val="24"/>
        </w:rPr>
      </w:pPr>
      <w:r w:rsidRPr="00F67967">
        <w:rPr>
          <w:b w:val="0"/>
          <w:sz w:val="24"/>
        </w:rPr>
        <w:t xml:space="preserve">Leaf quality parameters in mulberry were evaluated using standard gravimetric and spectrophotometric procedures, determining moisture content via oven-drying and moisture retention capacity through room-temperature desiccation (AOAC, 1980; </w:t>
      </w:r>
      <w:proofErr w:type="spellStart"/>
      <w:r w:rsidRPr="00F67967">
        <w:rPr>
          <w:b w:val="0"/>
          <w:sz w:val="24"/>
        </w:rPr>
        <w:t>Bongale</w:t>
      </w:r>
      <w:proofErr w:type="spellEnd"/>
      <w:r w:rsidRPr="00F67967">
        <w:rPr>
          <w:b w:val="0"/>
          <w:sz w:val="24"/>
        </w:rPr>
        <w:t xml:space="preserve"> and </w:t>
      </w:r>
      <w:proofErr w:type="spellStart"/>
      <w:r w:rsidRPr="00F67967">
        <w:rPr>
          <w:b w:val="0"/>
          <w:sz w:val="24"/>
        </w:rPr>
        <w:t>Chaluvachari</w:t>
      </w:r>
      <w:proofErr w:type="spellEnd"/>
      <w:r w:rsidRPr="00F67967">
        <w:rPr>
          <w:b w:val="0"/>
          <w:sz w:val="24"/>
        </w:rPr>
        <w:t xml:space="preserve">, 1995). Total chlorophyll content was extracted with 80% acetone and calculated using simultaneous spectrophotometric equations at 645 nm and 663 nm (Arnon, 1949). Finally, total soluble protein and carbohydrate contents were quantified </w:t>
      </w:r>
      <w:proofErr w:type="spellStart"/>
      <w:r w:rsidRPr="00F67967">
        <w:rPr>
          <w:b w:val="0"/>
          <w:sz w:val="24"/>
        </w:rPr>
        <w:t>colorimetrically</w:t>
      </w:r>
      <w:proofErr w:type="spellEnd"/>
      <w:r w:rsidRPr="00F67967">
        <w:rPr>
          <w:b w:val="0"/>
          <w:sz w:val="24"/>
        </w:rPr>
        <w:t xml:space="preserve"> using the Folin-</w:t>
      </w:r>
      <w:proofErr w:type="spellStart"/>
      <w:r w:rsidRPr="00F67967">
        <w:rPr>
          <w:b w:val="0"/>
          <w:sz w:val="24"/>
        </w:rPr>
        <w:t>Ciocalteu</w:t>
      </w:r>
      <w:proofErr w:type="spellEnd"/>
      <w:r w:rsidRPr="00F67967">
        <w:rPr>
          <w:b w:val="0"/>
          <w:sz w:val="24"/>
        </w:rPr>
        <w:t xml:space="preserve"> phenol reagent at 660 nm and the acid-</w:t>
      </w:r>
      <w:proofErr w:type="spellStart"/>
      <w:r w:rsidRPr="00F67967">
        <w:rPr>
          <w:b w:val="0"/>
          <w:sz w:val="24"/>
        </w:rPr>
        <w:t>anthrone</w:t>
      </w:r>
      <w:proofErr w:type="spellEnd"/>
      <w:r w:rsidRPr="00F67967">
        <w:rPr>
          <w:b w:val="0"/>
          <w:sz w:val="24"/>
        </w:rPr>
        <w:t xml:space="preserve"> hydrolysis method at 630 nm, respectively (Lowry </w:t>
      </w:r>
      <w:r w:rsidRPr="00DD5D27">
        <w:rPr>
          <w:b w:val="0"/>
          <w:sz w:val="24"/>
        </w:rPr>
        <w:t>et al., 1951; Dubois et al</w:t>
      </w:r>
      <w:r w:rsidRPr="00F67967">
        <w:rPr>
          <w:b w:val="0"/>
          <w:sz w:val="24"/>
        </w:rPr>
        <w:t>., 1956).</w:t>
      </w:r>
    </w:p>
    <w:p w14:paraId="2D199E3D" w14:textId="77777777" w:rsidR="00D34475" w:rsidRPr="00F67967" w:rsidRDefault="00D34475" w:rsidP="00D148F7">
      <w:pPr>
        <w:pStyle w:val="Heading3"/>
        <w:spacing w:line="360" w:lineRule="auto"/>
        <w:ind w:firstLine="720"/>
        <w:jc w:val="both"/>
        <w:rPr>
          <w:b w:val="0"/>
          <w:sz w:val="24"/>
        </w:rPr>
      </w:pPr>
      <w:r w:rsidRPr="00F67967">
        <w:rPr>
          <w:b w:val="0"/>
          <w:sz w:val="24"/>
        </w:rPr>
        <w:t>Economic parameters, including cost of cultivation, gross returns, net returns, and benefit–cost ratio (B), were computed using the prevailing market prices of inputs and outputs to assess the economic viability of the different liquid microbial formulations (Central Silk Board, 2020).</w:t>
      </w:r>
    </w:p>
    <w:p w14:paraId="4AD8619A" w14:textId="77777777" w:rsidR="009D783F" w:rsidRPr="009D783F" w:rsidRDefault="00D61223" w:rsidP="002F7885">
      <w:pPr>
        <w:pStyle w:val="Heading3"/>
        <w:spacing w:line="360" w:lineRule="auto"/>
        <w:jc w:val="both"/>
        <w:rPr>
          <w:b w:val="0"/>
          <w:sz w:val="24"/>
        </w:rPr>
      </w:pPr>
      <w:r w:rsidRPr="00F67967">
        <w:rPr>
          <w:sz w:val="24"/>
          <w:szCs w:val="24"/>
        </w:rPr>
        <w:t xml:space="preserve">Statistical </w:t>
      </w:r>
      <w:r w:rsidR="002F7885" w:rsidRPr="00F67967">
        <w:rPr>
          <w:sz w:val="24"/>
          <w:szCs w:val="24"/>
        </w:rPr>
        <w:t>analysis</w:t>
      </w:r>
      <w:r w:rsidR="002F7885">
        <w:rPr>
          <w:sz w:val="24"/>
          <w:szCs w:val="24"/>
        </w:rPr>
        <w:t xml:space="preserve">: </w:t>
      </w:r>
      <w:r w:rsidR="009D783F" w:rsidRPr="009D783F">
        <w:rPr>
          <w:b w:val="0"/>
          <w:sz w:val="24"/>
        </w:rPr>
        <w:t>Data were analyzed using RCBD-based ANOVA, and treatment means were compared using the LSD test (P ≤ 0.05) per Gomez and Gomez (1984)</w:t>
      </w:r>
    </w:p>
    <w:p w14:paraId="6A2529CF" w14:textId="77777777" w:rsidR="009D783F" w:rsidRDefault="009D783F" w:rsidP="000E0D58">
      <w:pPr>
        <w:pStyle w:val="Heading2"/>
        <w:jc w:val="both"/>
      </w:pPr>
    </w:p>
    <w:p w14:paraId="2EC1D460" w14:textId="77777777" w:rsidR="000E0D58" w:rsidRPr="00F67967" w:rsidRDefault="000E0D58" w:rsidP="000E0D58">
      <w:pPr>
        <w:pStyle w:val="Heading2"/>
        <w:jc w:val="both"/>
        <w:rPr>
          <w:rFonts w:ascii="Times New Roman" w:hAnsi="Times New Roman" w:cs="Times New Roman"/>
          <w:color w:val="auto"/>
          <w:sz w:val="24"/>
          <w:szCs w:val="24"/>
        </w:rPr>
      </w:pPr>
      <w:r w:rsidRPr="00F67967">
        <w:rPr>
          <w:rFonts w:ascii="Times New Roman" w:hAnsi="Times New Roman" w:cs="Times New Roman"/>
          <w:color w:val="auto"/>
          <w:sz w:val="24"/>
          <w:szCs w:val="24"/>
        </w:rPr>
        <w:t>Results and Discussion</w:t>
      </w:r>
    </w:p>
    <w:p w14:paraId="5CFD291C" w14:textId="77777777" w:rsidR="0046341B" w:rsidRPr="00F67967" w:rsidRDefault="005925B0" w:rsidP="00D148F7">
      <w:pPr>
        <w:pStyle w:val="Heading3"/>
        <w:spacing w:line="360" w:lineRule="auto"/>
        <w:ind w:firstLine="720"/>
        <w:jc w:val="both"/>
        <w:rPr>
          <w:b w:val="0"/>
          <w:sz w:val="24"/>
        </w:rPr>
      </w:pPr>
      <w:r w:rsidRPr="00F67967">
        <w:rPr>
          <w:b w:val="0"/>
          <w:sz w:val="24"/>
        </w:rPr>
        <w:t xml:space="preserve">The pooled analysis of data collected over two consecutive years (2021–22 and 2022–23) revealed that the application of different liquid microbial formulations significantly influenced </w:t>
      </w:r>
      <w:r w:rsidRPr="00F67967">
        <w:rPr>
          <w:b w:val="0"/>
          <w:sz w:val="24"/>
        </w:rPr>
        <w:lastRenderedPageBreak/>
        <w:t xml:space="preserve">mulberry growth, leaf yield, leaf quality, cocoon yield, and economic returns compared with the recommended fertilizer practice (Tables 1–3). </w:t>
      </w:r>
    </w:p>
    <w:p w14:paraId="771F06E3" w14:textId="77777777" w:rsidR="00B86628" w:rsidRPr="00F67967" w:rsidRDefault="00B86628" w:rsidP="00B86628">
      <w:pPr>
        <w:pStyle w:val="Heading4"/>
        <w:rPr>
          <w:rFonts w:ascii="Times New Roman" w:eastAsia="Times New Roman" w:hAnsi="Times New Roman" w:cs="Times New Roman"/>
          <w:i w:val="0"/>
          <w:iCs w:val="0"/>
          <w:color w:val="auto"/>
          <w:sz w:val="24"/>
          <w:szCs w:val="24"/>
        </w:rPr>
      </w:pPr>
      <w:r w:rsidRPr="00F67967">
        <w:rPr>
          <w:rFonts w:ascii="Times New Roman" w:eastAsia="Times New Roman" w:hAnsi="Times New Roman" w:cs="Times New Roman"/>
          <w:i w:val="0"/>
          <w:iCs w:val="0"/>
          <w:color w:val="auto"/>
          <w:sz w:val="24"/>
          <w:szCs w:val="24"/>
        </w:rPr>
        <w:t>Effect of Liquid Microbial Formulations on Mulberry Growth and Leaf Yield</w:t>
      </w:r>
    </w:p>
    <w:p w14:paraId="7C582BFF" w14:textId="77777777" w:rsidR="00B86628" w:rsidRPr="00F67967" w:rsidRDefault="00B86628" w:rsidP="00D148F7">
      <w:pPr>
        <w:pStyle w:val="isselectedend"/>
        <w:spacing w:line="360" w:lineRule="auto"/>
        <w:ind w:firstLine="720"/>
        <w:jc w:val="both"/>
      </w:pPr>
      <w:r w:rsidRPr="00F67967">
        <w:t>Application of liquid microbial formulations significantly enhanced the vegetative growth and leaf yield of mulberry compared with the recommended fertilizer practice (Table 1). Among the treatments, T₂ (Recommended NPK + FYM + Liquid Microbial Consortia) recorded the highest n</w:t>
      </w:r>
      <w:r w:rsidR="00220940">
        <w:t>umber of branches (15.40 per plant</w:t>
      </w:r>
      <w:r w:rsidRPr="00F67967">
        <w:t xml:space="preserve">) and leaves (26.36 </w:t>
      </w:r>
      <w:r w:rsidR="00220940">
        <w:t>per branch</w:t>
      </w:r>
      <w:r w:rsidRPr="00F67967">
        <w:t>), which were significantly superior to T₁ (Recommended NPK + FYM alone), which</w:t>
      </w:r>
      <w:r w:rsidR="00220940">
        <w:t xml:space="preserve"> produced 13.48 branches per plant</w:t>
      </w:r>
      <w:r w:rsidRPr="00F67967">
        <w:t xml:space="preserve"> and 23.40 leaves </w:t>
      </w:r>
      <w:r w:rsidR="00220940">
        <w:t>per branch</w:t>
      </w:r>
      <w:r w:rsidRPr="00F67967">
        <w:t>. Treatment T₃ (Arka Microbial Consortia) recorded statistically comparabl</w:t>
      </w:r>
      <w:r w:rsidR="00220940">
        <w:t>e values (15.31 branches per plant</w:t>
      </w:r>
      <w:r w:rsidRPr="00F67967">
        <w:t xml:space="preserve"> and 26.15 leaves </w:t>
      </w:r>
      <w:r w:rsidR="00220940">
        <w:t>per branch</w:t>
      </w:r>
      <w:r w:rsidRPr="00F67967">
        <w:t>), while T₄ (Waste Decomposer Solution) also significantly improved vegetative growth over the control.</w:t>
      </w:r>
    </w:p>
    <w:p w14:paraId="5D9CC774" w14:textId="77777777" w:rsidR="00B86628" w:rsidRPr="00F67967" w:rsidRDefault="00B86628" w:rsidP="00D148F7">
      <w:pPr>
        <w:pStyle w:val="isselectedend"/>
        <w:spacing w:line="360" w:lineRule="auto"/>
        <w:ind w:firstLine="720"/>
        <w:jc w:val="both"/>
      </w:pPr>
      <w:r w:rsidRPr="00F67967">
        <w:t>The enhanced vegetative growth observed under microbial treatments can be attributed to the synergistic action of beneficial microorganisms that promote biological nitrogen fixation, solubilization of phosphorus and potassium,</w:t>
      </w:r>
      <w:r w:rsidR="00CF028B">
        <w:t xml:space="preserve"> mobilization of micronutrients and synthesis of plant growth </w:t>
      </w:r>
      <w:r w:rsidRPr="00F67967">
        <w:t>promoting substanc</w:t>
      </w:r>
      <w:r w:rsidR="00CF028B">
        <w:t>es such as auxins, gibberellins</w:t>
      </w:r>
      <w:r w:rsidRPr="00F67967">
        <w:t xml:space="preserve"> and </w:t>
      </w:r>
      <w:proofErr w:type="spellStart"/>
      <w:r w:rsidRPr="00F67967">
        <w:t>cytokinins</w:t>
      </w:r>
      <w:proofErr w:type="spellEnd"/>
      <w:r w:rsidRPr="00F67967">
        <w:t>. These processes stimulate root development, improve nutrient upta</w:t>
      </w:r>
      <w:r w:rsidR="00CF028B">
        <w:t>ke</w:t>
      </w:r>
      <w:r w:rsidRPr="00F67967">
        <w:t xml:space="preserve"> and enhance photosynthetic efficiency, resulting in vigorous plant growth (Vessey, 2003; Naik </w:t>
      </w:r>
      <w:r w:rsidRPr="00DD5D27">
        <w:t>et al.,</w:t>
      </w:r>
      <w:r w:rsidRPr="00F67967">
        <w:t xml:space="preserve"> 2020).</w:t>
      </w:r>
    </w:p>
    <w:p w14:paraId="629C83AE" w14:textId="77777777" w:rsidR="00B86628" w:rsidRPr="0005658B" w:rsidRDefault="00B86628" w:rsidP="00D148F7">
      <w:pPr>
        <w:pStyle w:val="NormalWeb"/>
        <w:spacing w:line="360" w:lineRule="auto"/>
        <w:ind w:firstLine="720"/>
        <w:jc w:val="both"/>
      </w:pPr>
      <w:r w:rsidRPr="00F67967">
        <w:t xml:space="preserve">The improvement in vegetative growth was reflected in significantly higher leaf productivity. Treatment T₂ recorded the highest leaf yield of 1.302 kg </w:t>
      </w:r>
      <w:r w:rsidR="0005658B">
        <w:t>per plant</w:t>
      </w:r>
      <w:r w:rsidRPr="00F67967">
        <w:t xml:space="preserve"> and 120.51 q </w:t>
      </w:r>
      <w:r w:rsidR="0005658B">
        <w:t>per ha per crop</w:t>
      </w:r>
      <w:r w:rsidRPr="00F67967">
        <w:t xml:space="preserve">, </w:t>
      </w:r>
      <w:r w:rsidR="0005658B">
        <w:t>followed by T₃ (1.294 kg per plant</w:t>
      </w:r>
      <w:r w:rsidRPr="00F67967">
        <w:t xml:space="preserve"> and 119.80 q </w:t>
      </w:r>
      <w:r w:rsidR="0005658B">
        <w:t>per ha per crop</w:t>
      </w:r>
      <w:r w:rsidRPr="00F67967">
        <w:t>) and T₄ (1.241 kg</w:t>
      </w:r>
      <w:r w:rsidR="0005658B">
        <w:t xml:space="preserve"> per plant</w:t>
      </w:r>
      <w:r w:rsidRPr="00F67967">
        <w:t xml:space="preserve"> and 114.96 q </w:t>
      </w:r>
      <w:r w:rsidR="0005658B">
        <w:t>per ha per crop</w:t>
      </w:r>
      <w:r w:rsidRPr="00F67967">
        <w:t xml:space="preserve">), whereas T₁ recorded the lowest yield (1.106 kg </w:t>
      </w:r>
      <w:r w:rsidR="0005658B">
        <w:t>per plant</w:t>
      </w:r>
      <w:r w:rsidRPr="00F67967">
        <w:t xml:space="preserve"> and 102.36 q </w:t>
      </w:r>
      <w:r w:rsidR="0005658B">
        <w:t>per ha per crop</w:t>
      </w:r>
      <w:r w:rsidRPr="00F67967">
        <w:t>). The application of Liquid Microbial Consortia (T</w:t>
      </w:r>
      <w:r w:rsidR="00CF028B">
        <w:t>₂) increased leaf yield by 17.7 percent</w:t>
      </w:r>
      <w:r w:rsidRPr="00F67967">
        <w:t xml:space="preserve"> over the recommended fertilizer practice. The higher leaf yield may be attributed to improved nutrient-use efficiency, enhanced chlorophyll synthesis, greater photosynthetic activity, and increased biomass accumulation resulting from enhanced microbial activity in the rhizosphere. These findings are consistent with earlier reports on the beneficial effects of microbial inoculants on mulberry growth and leaf production </w:t>
      </w:r>
      <w:r w:rsidRPr="0005658B">
        <w:t>(Bharathi et al., 2004; Naik et al., 2020; Shahwar et al., 2023).</w:t>
      </w:r>
    </w:p>
    <w:p w14:paraId="2974A28C" w14:textId="77777777" w:rsidR="00663900" w:rsidRPr="00F67967" w:rsidRDefault="00663900" w:rsidP="00663900">
      <w:pPr>
        <w:pStyle w:val="Heading4"/>
        <w:rPr>
          <w:rFonts w:ascii="Times New Roman" w:eastAsia="Times New Roman" w:hAnsi="Times New Roman" w:cs="Times New Roman"/>
          <w:i w:val="0"/>
          <w:iCs w:val="0"/>
          <w:color w:val="auto"/>
          <w:sz w:val="24"/>
          <w:szCs w:val="24"/>
        </w:rPr>
      </w:pPr>
      <w:r w:rsidRPr="00F67967">
        <w:rPr>
          <w:rFonts w:ascii="Times New Roman" w:eastAsia="Times New Roman" w:hAnsi="Times New Roman" w:cs="Times New Roman"/>
          <w:i w:val="0"/>
          <w:iCs w:val="0"/>
          <w:color w:val="auto"/>
          <w:sz w:val="24"/>
          <w:szCs w:val="24"/>
        </w:rPr>
        <w:lastRenderedPageBreak/>
        <w:t>Effect of Liquid Microbial Formulations on Leaf Quality and Cocoon Yield</w:t>
      </w:r>
    </w:p>
    <w:p w14:paraId="7A8CA3C1" w14:textId="77777777" w:rsidR="00663900" w:rsidRPr="00F67967" w:rsidRDefault="00663900" w:rsidP="00D148F7">
      <w:pPr>
        <w:pStyle w:val="isselectedend"/>
        <w:spacing w:line="360" w:lineRule="auto"/>
        <w:ind w:firstLine="720"/>
        <w:jc w:val="both"/>
      </w:pPr>
      <w:r w:rsidRPr="00F67967">
        <w:t>Application of liquid microbial formulations significantly improved the quality of mulberry leaves compared with the recommended fertilizer practice (Table 2). Among the treatments, T₂ (Recommended NPK + FYM + Liquid Microbial Consortia) recorded the highest leaf moisture content (77.50%), moisture retention capacity (71.90%), total chlorophyll (45.80%), protein (25.10%), and carbohydrate content (16.65%). Treatment T₃ (Arka Microbial Consortia) produced statistically comparable values for most quality parameters, whereas T₁ (Recommended NPK + FYM alone) consiste</w:t>
      </w:r>
      <w:r w:rsidR="0005658B">
        <w:t>ntly recorded the lowest values with 71.20 percent</w:t>
      </w:r>
      <w:r w:rsidRPr="00F67967">
        <w:t xml:space="preserve"> leaf moisture, 64.40</w:t>
      </w:r>
      <w:r w:rsidR="0005658B" w:rsidRPr="0005658B">
        <w:t xml:space="preserve"> </w:t>
      </w:r>
      <w:r w:rsidR="0005658B">
        <w:t>percent</w:t>
      </w:r>
      <w:r w:rsidRPr="00F67967">
        <w:t xml:space="preserve"> moisture retention, 38.50</w:t>
      </w:r>
      <w:r w:rsidR="0005658B" w:rsidRPr="0005658B">
        <w:t xml:space="preserve"> </w:t>
      </w:r>
      <w:r w:rsidR="0005658B">
        <w:t>percent,</w:t>
      </w:r>
      <w:r w:rsidRPr="00F67967">
        <w:t xml:space="preserve"> total chlorophyll, 20.25</w:t>
      </w:r>
      <w:r w:rsidR="0005658B" w:rsidRPr="0005658B">
        <w:t xml:space="preserve"> </w:t>
      </w:r>
      <w:r w:rsidR="0005658B">
        <w:t>percent</w:t>
      </w:r>
      <w:r w:rsidRPr="00F67967">
        <w:t xml:space="preserve"> protein, and 13.15</w:t>
      </w:r>
      <w:r w:rsidR="0005658B" w:rsidRPr="0005658B">
        <w:t xml:space="preserve"> </w:t>
      </w:r>
      <w:r w:rsidR="0005658B">
        <w:t>percent</w:t>
      </w:r>
      <w:r w:rsidRPr="00F67967">
        <w:t xml:space="preserve"> carbohydrate content.</w:t>
      </w:r>
    </w:p>
    <w:p w14:paraId="00732D96" w14:textId="77777777" w:rsidR="00663900" w:rsidRPr="00F67967" w:rsidRDefault="00663900" w:rsidP="00D148F7">
      <w:pPr>
        <w:pStyle w:val="isselectedend"/>
        <w:spacing w:line="360" w:lineRule="auto"/>
        <w:ind w:firstLine="720"/>
        <w:jc w:val="both"/>
      </w:pPr>
      <w:r w:rsidRPr="00F67967">
        <w:t>The improvement in leaf quality may be attributed to enhanced nutrient availability and uptake resulting from the activity of beneficial microorganisms involved in biological nitrogen fixation, phosphorus and potassium solubilization, micronutrient mobilization, and phytohormone production. These processes promote nitrogen assimilation, chlorophyll biosynthesis, enzymatic activity, and photosynthetic efficiency, leading to higher accumulation of proteins and carbohydrates in mulberry leaves (</w:t>
      </w:r>
      <w:r w:rsidRPr="00215687">
        <w:t xml:space="preserve">Vessey, 2003; </w:t>
      </w:r>
      <w:proofErr w:type="spellStart"/>
      <w:r w:rsidRPr="00215687">
        <w:t>Allouzi</w:t>
      </w:r>
      <w:proofErr w:type="spellEnd"/>
      <w:r w:rsidRPr="00215687">
        <w:t xml:space="preserve"> et al., 2022; Nath et al., 2025).</w:t>
      </w:r>
      <w:r w:rsidRPr="00F67967">
        <w:t xml:space="preserve"> Increased leaf moisture and moisture retention further improve leaf succulence and maintain leaf freshness after harvest, thereby enhancing nutrient utilization by silkworm larvae.</w:t>
      </w:r>
    </w:p>
    <w:p w14:paraId="5DA87A61" w14:textId="77777777" w:rsidR="00663900" w:rsidRPr="00F67967" w:rsidRDefault="00663900" w:rsidP="00663900">
      <w:pPr>
        <w:pStyle w:val="NormalWeb"/>
        <w:spacing w:line="360" w:lineRule="auto"/>
        <w:jc w:val="both"/>
      </w:pPr>
      <w:r w:rsidRPr="00F67967">
        <w:t xml:space="preserve">The quality </w:t>
      </w:r>
      <w:r w:rsidR="00B96689">
        <w:t xml:space="preserve">of mulberry </w:t>
      </w:r>
      <w:r w:rsidR="00B96689" w:rsidRPr="00F67967">
        <w:t xml:space="preserve">leaf </w:t>
      </w:r>
      <w:r w:rsidR="00B96689">
        <w:t xml:space="preserve">converted </w:t>
      </w:r>
      <w:r w:rsidRPr="00F67967">
        <w:t>into significantly higher cocoon productivity. Treatment T₂ recorded the high</w:t>
      </w:r>
      <w:r w:rsidR="00B96689">
        <w:t>est cocoon yield (457.96 kg per ha</w:t>
      </w:r>
      <w:r w:rsidRPr="00F67967">
        <w:t xml:space="preserve">), followed by T₃ (455.25 kg </w:t>
      </w:r>
      <w:r w:rsidR="00B96689">
        <w:t>per ha) and T₄ (436.85 kg per ha</w:t>
      </w:r>
      <w:r w:rsidRPr="00F67967">
        <w:t>), whereas T₁ recorded the lowest yield (368.50 kg</w:t>
      </w:r>
      <w:r w:rsidR="00B96689">
        <w:t xml:space="preserve"> per ha</w:t>
      </w:r>
      <w:r w:rsidRPr="00F67967">
        <w:t>). The application of Liquid Microbial Consortia increased cocoon yield by approximately 24.3</w:t>
      </w:r>
      <w:r w:rsidR="00215687">
        <w:t xml:space="preserve"> percent</w:t>
      </w:r>
      <w:r w:rsidRPr="00F67967">
        <w:t xml:space="preserve"> over the recommended fertilizer practice. The enhanced cocoon yield can be attributed to the improved nutritional quality of mulberry leaves, particularly their higher protein, chlorophyll, and carbohydrate contents, which promote better larval growth, silk gland development and cocoon formation. Similar improvements in mulberry leaf quality and cocoon productivity following the integration of microbial inoculants with recommended nutrient management have been reported by </w:t>
      </w:r>
      <w:r w:rsidRPr="00DD5D27">
        <w:t>Govindan et al. (2016)</w:t>
      </w:r>
      <w:r w:rsidR="008A505D" w:rsidRPr="00DD5D27">
        <w:t>, Rajanna et al. (2021)</w:t>
      </w:r>
      <w:r w:rsidRPr="00DD5D27">
        <w:t xml:space="preserve"> and Shahwar et al. (2023).</w:t>
      </w:r>
    </w:p>
    <w:p w14:paraId="236BBF7F" w14:textId="77777777" w:rsidR="00663900" w:rsidRPr="00F67967" w:rsidRDefault="00663900" w:rsidP="00663900">
      <w:pPr>
        <w:pStyle w:val="Heading4"/>
        <w:rPr>
          <w:rFonts w:ascii="Times New Roman" w:eastAsia="Times New Roman" w:hAnsi="Times New Roman" w:cs="Times New Roman"/>
          <w:i w:val="0"/>
          <w:iCs w:val="0"/>
          <w:color w:val="auto"/>
          <w:sz w:val="24"/>
          <w:szCs w:val="24"/>
        </w:rPr>
      </w:pPr>
      <w:r w:rsidRPr="00F67967">
        <w:rPr>
          <w:rFonts w:ascii="Times New Roman" w:eastAsia="Times New Roman" w:hAnsi="Times New Roman" w:cs="Times New Roman"/>
          <w:i w:val="0"/>
          <w:iCs w:val="0"/>
          <w:color w:val="auto"/>
          <w:sz w:val="24"/>
          <w:szCs w:val="24"/>
        </w:rPr>
        <w:lastRenderedPageBreak/>
        <w:t>Effect of Liquid Microbial Formulations on Economics</w:t>
      </w:r>
    </w:p>
    <w:p w14:paraId="779E2B6C" w14:textId="77777777" w:rsidR="00663900" w:rsidRPr="00F67967" w:rsidRDefault="00663900" w:rsidP="00663900">
      <w:pPr>
        <w:pStyle w:val="isselectedend"/>
        <w:spacing w:line="360" w:lineRule="auto"/>
        <w:ind w:firstLine="720"/>
        <w:jc w:val="both"/>
      </w:pPr>
      <w:r w:rsidRPr="00F67967">
        <w:t>Economic analysis indicated that the integration of liquid microbial formulations with the recommended nutrient management practices significantly improved the profitability of mulberry cultivation (Table 3). Although the cost of cultiva</w:t>
      </w:r>
      <w:r w:rsidR="006D770E">
        <w:t>tion increased marginally from Rs.</w:t>
      </w:r>
      <w:r w:rsidRPr="00F67967">
        <w:t xml:space="preserve">50,000 </w:t>
      </w:r>
      <w:r w:rsidR="006D770E">
        <w:t>per ha</w:t>
      </w:r>
      <w:r w:rsidRPr="00F67967">
        <w:t xml:space="preserve"> in </w:t>
      </w:r>
      <w:r w:rsidR="006D770E">
        <w:t>T₁ to Rs.</w:t>
      </w:r>
      <w:r w:rsidRPr="00F67967">
        <w:t>50,450</w:t>
      </w:r>
      <w:r w:rsidR="006D770E">
        <w:t xml:space="preserve"> </w:t>
      </w:r>
      <w:r w:rsidRPr="00F67967">
        <w:t>–</w:t>
      </w:r>
      <w:r w:rsidR="006D770E">
        <w:t xml:space="preserve"> Rs.</w:t>
      </w:r>
      <w:r w:rsidRPr="00F67967">
        <w:t xml:space="preserve">50,789 </w:t>
      </w:r>
      <w:r w:rsidR="006D770E">
        <w:t>per ha</w:t>
      </w:r>
      <w:r w:rsidRPr="00F67967">
        <w:t xml:space="preserve"> in the microbial treatments due to the additional cost of the formulations, the higher productivity resulted in substantially greater economic returns.</w:t>
      </w:r>
    </w:p>
    <w:p w14:paraId="09F4C899" w14:textId="77777777" w:rsidR="00663900" w:rsidRPr="00F67967" w:rsidRDefault="00663900" w:rsidP="00663900">
      <w:pPr>
        <w:pStyle w:val="isselectedend"/>
        <w:spacing w:line="360" w:lineRule="auto"/>
        <w:jc w:val="both"/>
      </w:pPr>
      <w:r w:rsidRPr="00F67967">
        <w:t>Among the treatments, T₂ (Recommended NPK + FYM + Liquid Microbial Consortia) reco</w:t>
      </w:r>
      <w:r w:rsidR="006D770E">
        <w:t>rded the highest gross return (Rs.183,184 per ha</w:t>
      </w:r>
      <w:r w:rsidRPr="00F67967">
        <w:t>), net return (</w:t>
      </w:r>
      <w:r w:rsidR="006D770E">
        <w:t>Rs.</w:t>
      </w:r>
      <w:r w:rsidRPr="00F67967">
        <w:t xml:space="preserve">132,734 </w:t>
      </w:r>
      <w:r w:rsidR="006D770E">
        <w:t xml:space="preserve">per ha), and benefit </w:t>
      </w:r>
      <w:r w:rsidRPr="00F67967">
        <w:t>cost (B</w:t>
      </w:r>
      <w:r w:rsidR="006D770E">
        <w:t>C</w:t>
      </w:r>
      <w:r w:rsidRPr="00F67967">
        <w:t>) ratio (3.63), followed closely by T₃ (Recommended NPK + FYM + Arka Microbial Consortia), wh</w:t>
      </w:r>
      <w:r w:rsidR="006D770E">
        <w:t>ich recorded a gross return of Rs.</w:t>
      </w:r>
      <w:r w:rsidRPr="00F67967">
        <w:t xml:space="preserve">182,100 </w:t>
      </w:r>
      <w:r w:rsidR="006D770E">
        <w:t>per ha, a net return of Rs.</w:t>
      </w:r>
      <w:r w:rsidRPr="00F67967">
        <w:t xml:space="preserve">131,311 </w:t>
      </w:r>
      <w:r w:rsidR="006D770E">
        <w:t xml:space="preserve">per ha, </w:t>
      </w:r>
      <w:proofErr w:type="gramStart"/>
      <w:r w:rsidR="006D770E">
        <w:t xml:space="preserve">and </w:t>
      </w:r>
      <w:r w:rsidRPr="00F67967">
        <w:t xml:space="preserve"> B</w:t>
      </w:r>
      <w:r w:rsidR="006D770E">
        <w:t>C</w:t>
      </w:r>
      <w:proofErr w:type="gramEnd"/>
      <w:r w:rsidRPr="00F67967">
        <w:t xml:space="preserve"> ratio of 3.58. In contrast, T₁ (Recommended NPK + FYM alone) rec</w:t>
      </w:r>
      <w:r w:rsidR="006D770E">
        <w:t>orded the lowest gross return (Rs.</w:t>
      </w:r>
      <w:r w:rsidRPr="00F67967">
        <w:t xml:space="preserve">138,187 </w:t>
      </w:r>
      <w:r w:rsidR="006D770E">
        <w:t>per ha), net return (Rs.</w:t>
      </w:r>
      <w:r w:rsidRPr="00F67967">
        <w:t xml:space="preserve">88,187 </w:t>
      </w:r>
      <w:r w:rsidR="006D770E">
        <w:t xml:space="preserve">per </w:t>
      </w:r>
      <w:proofErr w:type="gramStart"/>
      <w:r w:rsidR="006D770E">
        <w:t>ha</w:t>
      </w:r>
      <w:r w:rsidR="006D770E" w:rsidRPr="00F67967">
        <w:t xml:space="preserve"> </w:t>
      </w:r>
      <w:r w:rsidRPr="00F67967">
        <w:t>)</w:t>
      </w:r>
      <w:proofErr w:type="gramEnd"/>
      <w:r w:rsidRPr="00F67967">
        <w:t>, and B ratio (2.76). The net return obtained</w:t>
      </w:r>
      <w:r w:rsidR="006D770E">
        <w:t xml:space="preserve"> with T₂ was approximately 50.5 percent</w:t>
      </w:r>
      <w:r w:rsidRPr="00F67967">
        <w:t xml:space="preserve"> higher than that of the recommended fertilizer practice, demonstrating that the modest additional investment in liquid microbial formulations was effectively compensated by the substantial increase in leaf and cocoon productivity. The enhanced economic returns achieved under T₂ can be attributed to improved nutrient-use efficiency, superior leaf yield and quality, and higher cocoon production, which collectively increased farm profitability. These findings are in agreement with earlier reports highlighting the economic benefits of integrating microbial inoculants into nutrient management </w:t>
      </w:r>
      <w:proofErr w:type="spellStart"/>
      <w:r w:rsidRPr="00F67967">
        <w:t>programmes</w:t>
      </w:r>
      <w:proofErr w:type="spellEnd"/>
      <w:r w:rsidRPr="00F67967">
        <w:t xml:space="preserve"> through enhanced crop productivity and input-use efficiency (Naik </w:t>
      </w:r>
      <w:r w:rsidRPr="00DD5D27">
        <w:t xml:space="preserve">et al., 2020; </w:t>
      </w:r>
      <w:proofErr w:type="spellStart"/>
      <w:r w:rsidRPr="00DD5D27">
        <w:t>Allouzi</w:t>
      </w:r>
      <w:proofErr w:type="spellEnd"/>
      <w:r w:rsidRPr="00DD5D27">
        <w:t xml:space="preserve"> et al.,</w:t>
      </w:r>
      <w:r w:rsidRPr="00F67967">
        <w:t xml:space="preserve"> 2022).</w:t>
      </w:r>
    </w:p>
    <w:p w14:paraId="0EC03A86" w14:textId="77777777" w:rsidR="00350F3D" w:rsidRPr="006D770E" w:rsidRDefault="00663900" w:rsidP="00663900">
      <w:pPr>
        <w:spacing w:line="360" w:lineRule="auto"/>
        <w:jc w:val="both"/>
        <w:rPr>
          <w:rFonts w:ascii="Times New Roman" w:hAnsi="Times New Roman" w:cs="Times New Roman"/>
          <w:sz w:val="24"/>
        </w:rPr>
      </w:pPr>
      <w:r w:rsidRPr="00F67967">
        <w:rPr>
          <w:rFonts w:ascii="Times New Roman" w:hAnsi="Times New Roman" w:cs="Times New Roman"/>
          <w:sz w:val="24"/>
        </w:rPr>
        <w:t xml:space="preserve">The pooled results demonstrated that </w:t>
      </w:r>
      <w:r w:rsidR="006D770E">
        <w:rPr>
          <w:rFonts w:ascii="Times New Roman" w:hAnsi="Times New Roman" w:cs="Times New Roman"/>
          <w:sz w:val="24"/>
        </w:rPr>
        <w:t>i</w:t>
      </w:r>
      <w:r w:rsidR="006D770E" w:rsidRPr="006D770E">
        <w:rPr>
          <w:rFonts w:ascii="Times New Roman" w:hAnsi="Times New Roman" w:cs="Times New Roman"/>
          <w:sz w:val="24"/>
        </w:rPr>
        <w:t xml:space="preserve">ntegrating </w:t>
      </w:r>
      <w:r w:rsidR="009627A9">
        <w:rPr>
          <w:rFonts w:ascii="Times New Roman" w:hAnsi="Times New Roman" w:cs="Times New Roman"/>
          <w:sz w:val="24"/>
        </w:rPr>
        <w:t>Liquid M</w:t>
      </w:r>
      <w:r w:rsidR="009627A9" w:rsidRPr="006D770E">
        <w:rPr>
          <w:rFonts w:ascii="Times New Roman" w:hAnsi="Times New Roman" w:cs="Times New Roman"/>
          <w:sz w:val="24"/>
        </w:rPr>
        <w:t>i</w:t>
      </w:r>
      <w:r w:rsidR="009627A9">
        <w:rPr>
          <w:rFonts w:ascii="Times New Roman" w:hAnsi="Times New Roman" w:cs="Times New Roman"/>
          <w:sz w:val="24"/>
        </w:rPr>
        <w:t>crobial C</w:t>
      </w:r>
      <w:r w:rsidR="009627A9" w:rsidRPr="006D770E">
        <w:rPr>
          <w:rFonts w:ascii="Times New Roman" w:hAnsi="Times New Roman" w:cs="Times New Roman"/>
          <w:sz w:val="24"/>
        </w:rPr>
        <w:t>onsortia</w:t>
      </w:r>
      <w:r w:rsidR="009627A9">
        <w:rPr>
          <w:rFonts w:ascii="Times New Roman" w:hAnsi="Times New Roman" w:cs="Times New Roman"/>
          <w:sz w:val="24"/>
        </w:rPr>
        <w:t xml:space="preserve"> </w:t>
      </w:r>
      <w:r w:rsidR="006D770E">
        <w:rPr>
          <w:rFonts w:ascii="Times New Roman" w:hAnsi="Times New Roman" w:cs="Times New Roman"/>
          <w:sz w:val="24"/>
        </w:rPr>
        <w:t>(T</w:t>
      </w:r>
      <w:r w:rsidR="00914BFA">
        <w:rPr>
          <w:rFonts w:ascii="Times New Roman" w:hAnsi="Times New Roman" w:cs="Times New Roman"/>
          <w:sz w:val="24"/>
          <w:vertAlign w:val="subscript"/>
        </w:rPr>
        <w:t>2</w:t>
      </w:r>
      <w:r w:rsidR="006D770E">
        <w:rPr>
          <w:rFonts w:ascii="Times New Roman" w:hAnsi="Times New Roman" w:cs="Times New Roman"/>
          <w:sz w:val="24"/>
        </w:rPr>
        <w:t>)</w:t>
      </w:r>
      <w:r w:rsidR="006D770E" w:rsidRPr="006D770E">
        <w:rPr>
          <w:rFonts w:ascii="Times New Roman" w:hAnsi="Times New Roman" w:cs="Times New Roman"/>
          <w:sz w:val="24"/>
        </w:rPr>
        <w:t xml:space="preserve"> with recommended fertilizers (RDF) and farmyard manure (FYM) constitutes the most effective nutrient management strategy for irrigated mulberry cultivation. This approach significantly enhances vegetat</w:t>
      </w:r>
      <w:r w:rsidR="006D770E">
        <w:rPr>
          <w:rFonts w:ascii="Times New Roman" w:hAnsi="Times New Roman" w:cs="Times New Roman"/>
          <w:sz w:val="24"/>
        </w:rPr>
        <w:t>ive growth, leaf yield, quality</w:t>
      </w:r>
      <w:r w:rsidR="006D770E" w:rsidRPr="006D770E">
        <w:rPr>
          <w:rFonts w:ascii="Times New Roman" w:hAnsi="Times New Roman" w:cs="Times New Roman"/>
          <w:sz w:val="24"/>
        </w:rPr>
        <w:t xml:space="preserve"> and economic returns compared to conventional practices</w:t>
      </w:r>
      <w:r w:rsidR="00914BFA">
        <w:rPr>
          <w:rFonts w:ascii="Times New Roman" w:hAnsi="Times New Roman" w:cs="Times New Roman"/>
          <w:sz w:val="24"/>
        </w:rPr>
        <w:t xml:space="preserve"> (T</w:t>
      </w:r>
      <w:r w:rsidR="00914BFA" w:rsidRPr="00914BFA">
        <w:rPr>
          <w:rFonts w:ascii="Times New Roman" w:hAnsi="Times New Roman" w:cs="Times New Roman"/>
          <w:sz w:val="24"/>
          <w:vertAlign w:val="subscript"/>
        </w:rPr>
        <w:t>1</w:t>
      </w:r>
      <w:r w:rsidR="00914BFA">
        <w:rPr>
          <w:rFonts w:ascii="Times New Roman" w:hAnsi="Times New Roman" w:cs="Times New Roman"/>
          <w:sz w:val="24"/>
        </w:rPr>
        <w:t>)</w:t>
      </w:r>
      <w:r w:rsidR="006D770E" w:rsidRPr="006D770E">
        <w:rPr>
          <w:rFonts w:ascii="Times New Roman" w:hAnsi="Times New Roman" w:cs="Times New Roman"/>
          <w:sz w:val="24"/>
        </w:rPr>
        <w:t xml:space="preserve">. While Arka Microbial Consortia </w:t>
      </w:r>
      <w:r w:rsidR="006D770E">
        <w:rPr>
          <w:rFonts w:ascii="Times New Roman" w:hAnsi="Times New Roman" w:cs="Times New Roman"/>
          <w:sz w:val="24"/>
        </w:rPr>
        <w:t>(T</w:t>
      </w:r>
      <w:r w:rsidR="006D770E" w:rsidRPr="006D770E">
        <w:rPr>
          <w:rFonts w:ascii="Times New Roman" w:hAnsi="Times New Roman" w:cs="Times New Roman"/>
          <w:sz w:val="24"/>
          <w:vertAlign w:val="subscript"/>
        </w:rPr>
        <w:t>3</w:t>
      </w:r>
      <w:r w:rsidR="006D770E">
        <w:rPr>
          <w:rFonts w:ascii="Times New Roman" w:hAnsi="Times New Roman" w:cs="Times New Roman"/>
          <w:sz w:val="24"/>
        </w:rPr>
        <w:t xml:space="preserve">) </w:t>
      </w:r>
      <w:r w:rsidR="006D770E" w:rsidRPr="006D770E">
        <w:rPr>
          <w:rFonts w:ascii="Times New Roman" w:hAnsi="Times New Roman" w:cs="Times New Roman"/>
          <w:sz w:val="24"/>
        </w:rPr>
        <w:t xml:space="preserve">provides comparable results, the Waste Decomposer Solution </w:t>
      </w:r>
      <w:r w:rsidR="006D770E">
        <w:rPr>
          <w:rFonts w:ascii="Times New Roman" w:hAnsi="Times New Roman" w:cs="Times New Roman"/>
          <w:sz w:val="24"/>
        </w:rPr>
        <w:t>(T</w:t>
      </w:r>
      <w:r w:rsidR="006D770E">
        <w:rPr>
          <w:rFonts w:ascii="Times New Roman" w:hAnsi="Times New Roman" w:cs="Times New Roman"/>
          <w:sz w:val="24"/>
          <w:vertAlign w:val="subscript"/>
        </w:rPr>
        <w:t>4</w:t>
      </w:r>
      <w:r w:rsidR="006D770E" w:rsidRPr="006D770E">
        <w:rPr>
          <w:rFonts w:ascii="Times New Roman" w:hAnsi="Times New Roman" w:cs="Times New Roman"/>
          <w:sz w:val="24"/>
        </w:rPr>
        <w:t xml:space="preserve">) also outperforms standard fertilizer methods. Enhanced nutrient cycling, nitrogen fixation, and phytohormone production driven by these consortia improve </w:t>
      </w:r>
      <w:r w:rsidR="006D770E" w:rsidRPr="006D770E">
        <w:rPr>
          <w:rFonts w:ascii="Times New Roman" w:hAnsi="Times New Roman" w:cs="Times New Roman"/>
          <w:sz w:val="24"/>
        </w:rPr>
        <w:lastRenderedPageBreak/>
        <w:t>overall plant metabolism. Ultimately, applying liquid microbial formulations through drip irrigation represents a sustainable method for boosting long-term sericulture productivity and soil health</w:t>
      </w:r>
    </w:p>
    <w:p w14:paraId="7A5BBBDF" w14:textId="77777777" w:rsidR="0044026C" w:rsidRPr="000A5C63" w:rsidRDefault="0044026C" w:rsidP="0044026C">
      <w:pPr>
        <w:spacing w:before="100" w:beforeAutospacing="1" w:after="100" w:afterAutospacing="1" w:line="240" w:lineRule="auto"/>
        <w:outlineLvl w:val="1"/>
        <w:rPr>
          <w:rFonts w:ascii="Times New Roman" w:eastAsia="Times New Roman" w:hAnsi="Times New Roman" w:cs="Times New Roman"/>
          <w:b/>
          <w:bCs/>
          <w:sz w:val="36"/>
          <w:szCs w:val="36"/>
        </w:rPr>
      </w:pPr>
      <w:r w:rsidRPr="000A5C63">
        <w:rPr>
          <w:rFonts w:ascii="Times New Roman" w:eastAsia="Times New Roman" w:hAnsi="Times New Roman" w:cs="Times New Roman"/>
          <w:b/>
          <w:bCs/>
          <w:sz w:val="36"/>
          <w:szCs w:val="36"/>
        </w:rPr>
        <w:t>Conclusions</w:t>
      </w:r>
    </w:p>
    <w:p w14:paraId="2C435C50" w14:textId="77777777" w:rsidR="0044026C" w:rsidRPr="000A5C63" w:rsidRDefault="0044026C" w:rsidP="0044026C">
      <w:pPr>
        <w:spacing w:before="100" w:beforeAutospacing="1" w:after="100" w:afterAutospacing="1" w:line="240" w:lineRule="auto"/>
        <w:rPr>
          <w:rFonts w:ascii="Times New Roman" w:eastAsia="Times New Roman" w:hAnsi="Times New Roman" w:cs="Times New Roman"/>
          <w:sz w:val="24"/>
          <w:szCs w:val="24"/>
        </w:rPr>
      </w:pPr>
      <w:r w:rsidRPr="000A5C63">
        <w:rPr>
          <w:rFonts w:ascii="Times New Roman" w:eastAsia="Times New Roman" w:hAnsi="Times New Roman" w:cs="Times New Roman"/>
          <w:sz w:val="24"/>
          <w:szCs w:val="24"/>
        </w:rPr>
        <w:t>The pooled results of the two-year field experiment indicated that application of RDF + FYM + Liquid Microbial Consortia through drip irrigation at 8 and 25 days after pruning gave the best overall response in V-1 mulberry under irrigated conditions. This treatment recorded the highest vegetative growth, leaf yield, selected leaf-quality parameters, cocoon yield, gross return, net return, and benefit–cost ratio among the tested treatments. Arka Microbial Consortia also produced comparable results for several parameters. The findings suggest that liquid microbial formulations can be integrated with recommended nutrient management practices for improving mulberry productivity and economic returns under the tested conditions.</w:t>
      </w:r>
    </w:p>
    <w:p w14:paraId="6FA725A2" w14:textId="77777777" w:rsidR="0044026C" w:rsidRDefault="0044026C" w:rsidP="001534C8">
      <w:pPr>
        <w:spacing w:before="120" w:after="120" w:line="360" w:lineRule="auto"/>
        <w:ind w:firstLine="720"/>
        <w:jc w:val="both"/>
        <w:rPr>
          <w:rFonts w:ascii="Times New Roman" w:eastAsia="Times New Roman" w:hAnsi="Times New Roman" w:cs="Times New Roman"/>
          <w:sz w:val="24"/>
          <w:szCs w:val="24"/>
        </w:rPr>
      </w:pPr>
    </w:p>
    <w:p w14:paraId="672602E2" w14:textId="77777777" w:rsidR="0044026C" w:rsidRPr="000839CE" w:rsidRDefault="0044026C" w:rsidP="0044026C">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38497B02" w14:textId="77777777" w:rsidR="0044026C" w:rsidRPr="000839CE" w:rsidRDefault="0044026C" w:rsidP="0044026C">
      <w:pPr>
        <w:spacing w:after="0" w:line="240" w:lineRule="auto"/>
        <w:rPr>
          <w:rFonts w:ascii="Times New Roman" w:hAnsi="Times New Roman" w:cs="Times New Roman"/>
        </w:rPr>
      </w:pPr>
    </w:p>
    <w:p w14:paraId="7600CC92" w14:textId="77777777" w:rsidR="0044026C" w:rsidRPr="000839CE" w:rsidRDefault="0044026C" w:rsidP="0044026C">
      <w:pPr>
        <w:spacing w:after="0" w:line="240" w:lineRule="auto"/>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7B4FCDF" w14:textId="77777777" w:rsidR="0044026C" w:rsidRDefault="0044026C" w:rsidP="0044026C"/>
    <w:p w14:paraId="47DC3D3C" w14:textId="77777777" w:rsidR="0044026C" w:rsidRPr="00F67967" w:rsidRDefault="0044026C" w:rsidP="001534C8">
      <w:pPr>
        <w:spacing w:before="120" w:after="120" w:line="360" w:lineRule="auto"/>
        <w:ind w:firstLine="720"/>
        <w:jc w:val="both"/>
        <w:rPr>
          <w:rFonts w:ascii="Times New Roman" w:eastAsia="Times New Roman" w:hAnsi="Times New Roman" w:cs="Times New Roman"/>
          <w:sz w:val="24"/>
          <w:szCs w:val="24"/>
        </w:rPr>
      </w:pPr>
    </w:p>
    <w:p w14:paraId="448A99A2" w14:textId="77777777" w:rsidR="00D5313B" w:rsidRPr="00F67967" w:rsidRDefault="00D5313B" w:rsidP="00D5313B">
      <w:pPr>
        <w:pStyle w:val="Heading2"/>
        <w:jc w:val="both"/>
        <w:rPr>
          <w:rFonts w:ascii="Times New Roman" w:hAnsi="Times New Roman" w:cs="Times New Roman"/>
          <w:color w:val="auto"/>
          <w:sz w:val="24"/>
          <w:szCs w:val="24"/>
        </w:rPr>
      </w:pPr>
      <w:r w:rsidRPr="00F67967">
        <w:rPr>
          <w:rFonts w:ascii="Times New Roman" w:hAnsi="Times New Roman" w:cs="Times New Roman"/>
          <w:color w:val="auto"/>
          <w:sz w:val="24"/>
          <w:szCs w:val="24"/>
        </w:rPr>
        <w:t>References</w:t>
      </w:r>
    </w:p>
    <w:p w14:paraId="1434A73C" w14:textId="77777777" w:rsidR="00983839" w:rsidRPr="00F67967" w:rsidRDefault="00983839" w:rsidP="00A7041A">
      <w:pPr>
        <w:spacing w:after="0" w:line="360" w:lineRule="auto"/>
        <w:ind w:left="720" w:hanging="720"/>
        <w:jc w:val="both"/>
        <w:rPr>
          <w:rFonts w:ascii="Times New Roman" w:eastAsia="Times New Roman" w:hAnsi="Times New Roman" w:cs="Times New Roman"/>
          <w:bCs/>
          <w:sz w:val="24"/>
          <w:szCs w:val="24"/>
        </w:rPr>
      </w:pPr>
    </w:p>
    <w:p w14:paraId="430051EF" w14:textId="77777777" w:rsidR="00983839" w:rsidRPr="00F67967" w:rsidRDefault="00983839" w:rsidP="00A7041A">
      <w:pPr>
        <w:spacing w:after="0" w:line="360" w:lineRule="auto"/>
        <w:ind w:left="720" w:hanging="720"/>
        <w:jc w:val="both"/>
        <w:rPr>
          <w:rFonts w:ascii="Times New Roman" w:eastAsia="Times New Roman" w:hAnsi="Times New Roman" w:cs="Times New Roman"/>
          <w:bCs/>
          <w:sz w:val="24"/>
          <w:szCs w:val="24"/>
        </w:rPr>
      </w:pPr>
      <w:r w:rsidRPr="00F67967">
        <w:rPr>
          <w:rFonts w:ascii="Times New Roman" w:eastAsia="Times New Roman" w:hAnsi="Times New Roman" w:cs="Times New Roman"/>
          <w:bCs/>
          <w:sz w:val="24"/>
          <w:szCs w:val="24"/>
        </w:rPr>
        <w:t xml:space="preserve">Ahmed, F., Sultana, R., Ahmed, O., </w:t>
      </w:r>
      <w:proofErr w:type="spellStart"/>
      <w:proofErr w:type="gramStart"/>
      <w:r w:rsidRPr="00F67967">
        <w:rPr>
          <w:rFonts w:ascii="Times New Roman" w:eastAsia="Times New Roman" w:hAnsi="Times New Roman" w:cs="Times New Roman"/>
          <w:bCs/>
          <w:sz w:val="24"/>
          <w:szCs w:val="24"/>
        </w:rPr>
        <w:t>Akhtaruzzama</w:t>
      </w:r>
      <w:proofErr w:type="spellEnd"/>
      <w:r w:rsidRPr="00F67967">
        <w:rPr>
          <w:rFonts w:ascii="Times New Roman" w:eastAsia="Times New Roman" w:hAnsi="Times New Roman" w:cs="Times New Roman"/>
          <w:bCs/>
          <w:sz w:val="24"/>
          <w:szCs w:val="24"/>
        </w:rPr>
        <w:t>,  M.,  &amp;</w:t>
      </w:r>
      <w:proofErr w:type="gramEnd"/>
      <w:r w:rsidRPr="00F67967">
        <w:rPr>
          <w:rFonts w:ascii="Times New Roman" w:eastAsia="Times New Roman" w:hAnsi="Times New Roman" w:cs="Times New Roman"/>
          <w:bCs/>
          <w:sz w:val="24"/>
          <w:szCs w:val="24"/>
        </w:rPr>
        <w:t xml:space="preserve">  </w:t>
      </w:r>
      <w:proofErr w:type="gramStart"/>
      <w:r w:rsidRPr="00F67967">
        <w:rPr>
          <w:rFonts w:ascii="Times New Roman" w:eastAsia="Times New Roman" w:hAnsi="Times New Roman" w:cs="Times New Roman"/>
          <w:bCs/>
          <w:sz w:val="24"/>
          <w:szCs w:val="24"/>
        </w:rPr>
        <w:t>Iqbal,  M.</w:t>
      </w:r>
      <w:proofErr w:type="gramEnd"/>
      <w:r w:rsidRPr="00F67967">
        <w:rPr>
          <w:rFonts w:ascii="Times New Roman" w:eastAsia="Times New Roman" w:hAnsi="Times New Roman" w:cs="Times New Roman"/>
          <w:bCs/>
          <w:sz w:val="24"/>
          <w:szCs w:val="24"/>
        </w:rPr>
        <w:t xml:space="preserve">  T.  (2017). Roles   of   different   fertilizer   management practices   on   mulberry   leaf   yield   and quality. </w:t>
      </w:r>
      <w:r w:rsidRPr="00F67967">
        <w:rPr>
          <w:rFonts w:ascii="Times New Roman" w:eastAsia="Times New Roman" w:hAnsi="Times New Roman" w:cs="Times New Roman"/>
          <w:bCs/>
          <w:i/>
          <w:sz w:val="24"/>
          <w:szCs w:val="24"/>
        </w:rPr>
        <w:t xml:space="preserve">International Journal of Agricultural </w:t>
      </w:r>
      <w:proofErr w:type="gramStart"/>
      <w:r w:rsidRPr="00F67967">
        <w:rPr>
          <w:rFonts w:ascii="Times New Roman" w:eastAsia="Times New Roman" w:hAnsi="Times New Roman" w:cs="Times New Roman"/>
          <w:bCs/>
          <w:i/>
          <w:sz w:val="24"/>
          <w:szCs w:val="24"/>
        </w:rPr>
        <w:t>and  Biological</w:t>
      </w:r>
      <w:proofErr w:type="gramEnd"/>
      <w:r w:rsidRPr="00F67967">
        <w:rPr>
          <w:rFonts w:ascii="Times New Roman" w:eastAsia="Times New Roman" w:hAnsi="Times New Roman" w:cs="Times New Roman"/>
          <w:bCs/>
          <w:i/>
          <w:sz w:val="24"/>
          <w:szCs w:val="24"/>
        </w:rPr>
        <w:t xml:space="preserve">  </w:t>
      </w:r>
      <w:proofErr w:type="gramStart"/>
      <w:r w:rsidRPr="00F67967">
        <w:rPr>
          <w:rFonts w:ascii="Times New Roman" w:eastAsia="Times New Roman" w:hAnsi="Times New Roman" w:cs="Times New Roman"/>
          <w:bCs/>
          <w:i/>
          <w:sz w:val="24"/>
          <w:szCs w:val="24"/>
        </w:rPr>
        <w:t>Engineering</w:t>
      </w:r>
      <w:r w:rsidRPr="00F67967">
        <w:rPr>
          <w:rFonts w:ascii="Times New Roman" w:eastAsia="Times New Roman" w:hAnsi="Times New Roman" w:cs="Times New Roman"/>
          <w:bCs/>
          <w:sz w:val="24"/>
          <w:szCs w:val="24"/>
        </w:rPr>
        <w:t>,  10</w:t>
      </w:r>
      <w:proofErr w:type="gramEnd"/>
      <w:r w:rsidRPr="00F67967">
        <w:rPr>
          <w:rFonts w:ascii="Times New Roman" w:eastAsia="Times New Roman" w:hAnsi="Times New Roman" w:cs="Times New Roman"/>
          <w:bCs/>
          <w:sz w:val="24"/>
          <w:szCs w:val="24"/>
        </w:rPr>
        <w:t>(5</w:t>
      </w:r>
      <w:proofErr w:type="gramStart"/>
      <w:r w:rsidRPr="00F67967">
        <w:rPr>
          <w:rFonts w:ascii="Times New Roman" w:eastAsia="Times New Roman" w:hAnsi="Times New Roman" w:cs="Times New Roman"/>
          <w:bCs/>
          <w:sz w:val="24"/>
          <w:szCs w:val="24"/>
        </w:rPr>
        <w:t>),  104</w:t>
      </w:r>
      <w:proofErr w:type="gramEnd"/>
      <w:r w:rsidRPr="00F67967">
        <w:rPr>
          <w:rFonts w:ascii="Times New Roman" w:eastAsia="Times New Roman" w:hAnsi="Times New Roman" w:cs="Times New Roman"/>
          <w:bCs/>
          <w:sz w:val="24"/>
          <w:szCs w:val="24"/>
        </w:rPr>
        <w:t>–114.</w:t>
      </w:r>
    </w:p>
    <w:p w14:paraId="7E540CF2" w14:textId="77777777" w:rsidR="00983839" w:rsidRPr="00F67967" w:rsidRDefault="00983839" w:rsidP="00A7041A">
      <w:pPr>
        <w:pStyle w:val="isselectedend"/>
        <w:spacing w:line="360" w:lineRule="auto"/>
        <w:ind w:left="720" w:hanging="720"/>
        <w:jc w:val="both"/>
      </w:pPr>
      <w:r w:rsidRPr="00F67967">
        <w:t xml:space="preserve">Allouzi, M.M.A., Allouzi, S.M.A., Keng, Z.X., Supramaniam, C.V., Singh, A. and Chong, S. (2022). Liquid biofertilizers as a sustainable solution for agriculture. </w:t>
      </w:r>
      <w:proofErr w:type="spellStart"/>
      <w:r w:rsidRPr="00F67967">
        <w:rPr>
          <w:rStyle w:val="Emphasis"/>
        </w:rPr>
        <w:t>Heliyon</w:t>
      </w:r>
      <w:proofErr w:type="spellEnd"/>
      <w:r w:rsidRPr="00F67967">
        <w:t xml:space="preserve">, </w:t>
      </w:r>
      <w:r w:rsidRPr="00F67967">
        <w:rPr>
          <w:rStyle w:val="Strong"/>
          <w:b w:val="0"/>
        </w:rPr>
        <w:t>8</w:t>
      </w:r>
      <w:r w:rsidRPr="00F67967">
        <w:t>: e12609.</w:t>
      </w:r>
    </w:p>
    <w:p w14:paraId="798198EC" w14:textId="77777777" w:rsidR="00983839" w:rsidRPr="00F67967" w:rsidRDefault="00983839" w:rsidP="00A7041A">
      <w:pPr>
        <w:spacing w:after="0" w:line="360" w:lineRule="auto"/>
        <w:ind w:left="720" w:hanging="720"/>
        <w:jc w:val="both"/>
        <w:rPr>
          <w:rFonts w:ascii="Times New Roman" w:eastAsia="Times New Roman" w:hAnsi="Times New Roman" w:cs="Times New Roman"/>
          <w:sz w:val="24"/>
          <w:szCs w:val="24"/>
        </w:rPr>
      </w:pPr>
      <w:r w:rsidRPr="00F67967">
        <w:rPr>
          <w:rFonts w:ascii="Times New Roman" w:eastAsia="Times New Roman" w:hAnsi="Times New Roman" w:cs="Times New Roman"/>
          <w:bCs/>
          <w:sz w:val="24"/>
          <w:szCs w:val="24"/>
        </w:rPr>
        <w:t>AOAC.</w:t>
      </w:r>
      <w:r w:rsidRPr="00F67967">
        <w:rPr>
          <w:rFonts w:ascii="Times New Roman" w:eastAsia="Times New Roman" w:hAnsi="Times New Roman" w:cs="Times New Roman"/>
          <w:sz w:val="24"/>
          <w:szCs w:val="24"/>
        </w:rPr>
        <w:t xml:space="preserve"> (1980). </w:t>
      </w:r>
      <w:r w:rsidRPr="00F67967">
        <w:rPr>
          <w:rFonts w:ascii="Times New Roman" w:eastAsia="Times New Roman" w:hAnsi="Times New Roman" w:cs="Times New Roman"/>
          <w:i/>
          <w:iCs/>
          <w:sz w:val="24"/>
          <w:szCs w:val="24"/>
        </w:rPr>
        <w:t>Official Methods of Analysis</w:t>
      </w:r>
      <w:r w:rsidRPr="00F67967">
        <w:rPr>
          <w:rFonts w:ascii="Times New Roman" w:eastAsia="Times New Roman" w:hAnsi="Times New Roman" w:cs="Times New Roman"/>
          <w:sz w:val="24"/>
          <w:szCs w:val="24"/>
        </w:rPr>
        <w:t>. 13th Edition, Association of Official Analytical Chemists, Washington DC.</w:t>
      </w:r>
    </w:p>
    <w:p w14:paraId="7BD47D0F" w14:textId="77777777" w:rsidR="00E4452B" w:rsidRPr="00F67967" w:rsidRDefault="00E4452B" w:rsidP="00A7041A">
      <w:pPr>
        <w:spacing w:after="0" w:line="360" w:lineRule="auto"/>
        <w:ind w:left="720" w:hanging="720"/>
        <w:jc w:val="both"/>
        <w:rPr>
          <w:rFonts w:ascii="Times New Roman" w:eastAsia="Times New Roman" w:hAnsi="Times New Roman" w:cs="Times New Roman"/>
          <w:sz w:val="24"/>
          <w:szCs w:val="24"/>
        </w:rPr>
      </w:pPr>
    </w:p>
    <w:p w14:paraId="21CE94DF" w14:textId="77777777" w:rsidR="00A7041A" w:rsidRPr="00F67967" w:rsidRDefault="00A7041A" w:rsidP="00A7041A">
      <w:pPr>
        <w:spacing w:after="0" w:line="360" w:lineRule="auto"/>
        <w:ind w:left="720" w:hanging="720"/>
        <w:jc w:val="both"/>
        <w:rPr>
          <w:rFonts w:ascii="Times New Roman" w:eastAsia="Times New Roman" w:hAnsi="Times New Roman" w:cs="Times New Roman"/>
          <w:sz w:val="24"/>
          <w:szCs w:val="24"/>
        </w:rPr>
      </w:pPr>
      <w:r w:rsidRPr="00F67967">
        <w:rPr>
          <w:rFonts w:ascii="Times New Roman" w:eastAsia="Times New Roman" w:hAnsi="Times New Roman" w:cs="Times New Roman"/>
          <w:bCs/>
          <w:sz w:val="24"/>
          <w:szCs w:val="24"/>
        </w:rPr>
        <w:t>Arnon, D. I.</w:t>
      </w:r>
      <w:r w:rsidRPr="00F67967">
        <w:rPr>
          <w:rFonts w:ascii="Times New Roman" w:eastAsia="Times New Roman" w:hAnsi="Times New Roman" w:cs="Times New Roman"/>
          <w:sz w:val="24"/>
          <w:szCs w:val="24"/>
        </w:rPr>
        <w:t xml:space="preserve"> (1949). Copper enzymes in isolated chloroplasts. </w:t>
      </w:r>
      <w:proofErr w:type="spellStart"/>
      <w:r w:rsidRPr="00F67967">
        <w:rPr>
          <w:rFonts w:ascii="Times New Roman" w:eastAsia="Times New Roman" w:hAnsi="Times New Roman" w:cs="Times New Roman"/>
          <w:sz w:val="24"/>
          <w:szCs w:val="24"/>
        </w:rPr>
        <w:t>Polyphenoloxidase</w:t>
      </w:r>
      <w:proofErr w:type="spellEnd"/>
      <w:r w:rsidRPr="00F67967">
        <w:rPr>
          <w:rFonts w:ascii="Times New Roman" w:eastAsia="Times New Roman" w:hAnsi="Times New Roman" w:cs="Times New Roman"/>
          <w:sz w:val="24"/>
          <w:szCs w:val="24"/>
        </w:rPr>
        <w:t xml:space="preserve"> in </w:t>
      </w:r>
      <w:r w:rsidRPr="00F67967">
        <w:rPr>
          <w:rFonts w:ascii="Times New Roman" w:eastAsia="Times New Roman" w:hAnsi="Times New Roman" w:cs="Times New Roman"/>
          <w:i/>
          <w:iCs/>
          <w:sz w:val="24"/>
          <w:szCs w:val="24"/>
        </w:rPr>
        <w:t>Nicotiana tabacum</w:t>
      </w:r>
      <w:r w:rsidRPr="00F67967">
        <w:rPr>
          <w:rFonts w:ascii="Times New Roman" w:eastAsia="Times New Roman" w:hAnsi="Times New Roman" w:cs="Times New Roman"/>
          <w:sz w:val="24"/>
          <w:szCs w:val="24"/>
        </w:rPr>
        <w:t xml:space="preserve">. </w:t>
      </w:r>
      <w:r w:rsidRPr="00F67967">
        <w:rPr>
          <w:rFonts w:ascii="Times New Roman" w:eastAsia="Times New Roman" w:hAnsi="Times New Roman" w:cs="Times New Roman"/>
          <w:i/>
          <w:iCs/>
          <w:sz w:val="24"/>
          <w:szCs w:val="24"/>
        </w:rPr>
        <w:t>Plant Physiology</w:t>
      </w:r>
      <w:r w:rsidRPr="00F67967">
        <w:rPr>
          <w:rFonts w:ascii="Times New Roman" w:eastAsia="Times New Roman" w:hAnsi="Times New Roman" w:cs="Times New Roman"/>
          <w:sz w:val="24"/>
          <w:szCs w:val="24"/>
        </w:rPr>
        <w:t>, 24(1), 1–15.</w:t>
      </w:r>
    </w:p>
    <w:p w14:paraId="0D32028F" w14:textId="77777777" w:rsidR="00A7041A" w:rsidRPr="00F67967" w:rsidRDefault="00A7041A" w:rsidP="00A7041A">
      <w:pPr>
        <w:pStyle w:val="isselectedend"/>
        <w:spacing w:line="360" w:lineRule="auto"/>
        <w:ind w:left="720" w:hanging="720"/>
        <w:jc w:val="both"/>
      </w:pPr>
      <w:r w:rsidRPr="00F67967">
        <w:t xml:space="preserve">Bharathi, T., </w:t>
      </w:r>
      <w:proofErr w:type="spellStart"/>
      <w:r w:rsidRPr="00F67967">
        <w:t>Bongale</w:t>
      </w:r>
      <w:proofErr w:type="spellEnd"/>
      <w:r w:rsidRPr="00F67967">
        <w:t xml:space="preserve">, U.D. and Dandin, S.B. (2004). Effect of biofertilizers on growth and leaf yield of mulberry. </w:t>
      </w:r>
      <w:r w:rsidRPr="00F67967">
        <w:rPr>
          <w:rStyle w:val="Emphasis"/>
        </w:rPr>
        <w:t>Indian Journal of Sericulture</w:t>
      </w:r>
      <w:r w:rsidRPr="00F67967">
        <w:t xml:space="preserve">, </w:t>
      </w:r>
      <w:r w:rsidRPr="00F67967">
        <w:rPr>
          <w:rStyle w:val="Strong"/>
          <w:b w:val="0"/>
        </w:rPr>
        <w:t>43</w:t>
      </w:r>
      <w:r w:rsidRPr="00F67967">
        <w:t>(2): 146–149.</w:t>
      </w:r>
    </w:p>
    <w:p w14:paraId="5298EFBB" w14:textId="77777777" w:rsidR="00A7041A" w:rsidRPr="00F67967" w:rsidRDefault="00A7041A" w:rsidP="00A7041A">
      <w:pPr>
        <w:spacing w:after="0" w:line="360" w:lineRule="auto"/>
        <w:ind w:left="720" w:hanging="720"/>
        <w:jc w:val="both"/>
        <w:rPr>
          <w:rFonts w:ascii="Times New Roman" w:eastAsia="Times New Roman" w:hAnsi="Times New Roman" w:cs="Times New Roman"/>
          <w:sz w:val="24"/>
          <w:szCs w:val="24"/>
        </w:rPr>
      </w:pPr>
      <w:proofErr w:type="spellStart"/>
      <w:r w:rsidRPr="00F67967">
        <w:rPr>
          <w:rFonts w:ascii="Times New Roman" w:eastAsia="Times New Roman" w:hAnsi="Times New Roman" w:cs="Times New Roman"/>
          <w:bCs/>
          <w:sz w:val="24"/>
          <w:szCs w:val="24"/>
        </w:rPr>
        <w:t>Bongale</w:t>
      </w:r>
      <w:proofErr w:type="spellEnd"/>
      <w:r w:rsidRPr="00F67967">
        <w:rPr>
          <w:rFonts w:ascii="Times New Roman" w:eastAsia="Times New Roman" w:hAnsi="Times New Roman" w:cs="Times New Roman"/>
          <w:bCs/>
          <w:sz w:val="24"/>
          <w:szCs w:val="24"/>
        </w:rPr>
        <w:t xml:space="preserve">, U. D., &amp; </w:t>
      </w:r>
      <w:proofErr w:type="spellStart"/>
      <w:r w:rsidRPr="00F67967">
        <w:rPr>
          <w:rFonts w:ascii="Times New Roman" w:eastAsia="Times New Roman" w:hAnsi="Times New Roman" w:cs="Times New Roman"/>
          <w:bCs/>
          <w:sz w:val="24"/>
          <w:szCs w:val="24"/>
        </w:rPr>
        <w:t>Chaluvachari</w:t>
      </w:r>
      <w:proofErr w:type="spellEnd"/>
      <w:r w:rsidRPr="00F67967">
        <w:rPr>
          <w:rFonts w:ascii="Times New Roman" w:eastAsia="Times New Roman" w:hAnsi="Times New Roman" w:cs="Times New Roman"/>
          <w:bCs/>
          <w:sz w:val="24"/>
          <w:szCs w:val="24"/>
        </w:rPr>
        <w:t>.</w:t>
      </w:r>
      <w:r w:rsidRPr="00F67967">
        <w:rPr>
          <w:rFonts w:ascii="Times New Roman" w:eastAsia="Times New Roman" w:hAnsi="Times New Roman" w:cs="Times New Roman"/>
          <w:sz w:val="24"/>
          <w:szCs w:val="24"/>
        </w:rPr>
        <w:t xml:space="preserve"> (1995). Evaluation of some elite mulberry (</w:t>
      </w:r>
      <w:r w:rsidRPr="00F67967">
        <w:rPr>
          <w:rFonts w:ascii="Times New Roman" w:eastAsia="Times New Roman" w:hAnsi="Times New Roman" w:cs="Times New Roman"/>
          <w:i/>
          <w:iCs/>
          <w:sz w:val="24"/>
          <w:szCs w:val="24"/>
        </w:rPr>
        <w:t>Morus indica</w:t>
      </w:r>
      <w:r w:rsidRPr="00F67967">
        <w:rPr>
          <w:rFonts w:ascii="Times New Roman" w:eastAsia="Times New Roman" w:hAnsi="Times New Roman" w:cs="Times New Roman"/>
          <w:sz w:val="24"/>
          <w:szCs w:val="24"/>
        </w:rPr>
        <w:t xml:space="preserve"> L.) varieties for moisture retention capacity of leaves in relation to silkworm (</w:t>
      </w:r>
      <w:r w:rsidRPr="00F67967">
        <w:rPr>
          <w:rFonts w:ascii="Times New Roman" w:eastAsia="Times New Roman" w:hAnsi="Times New Roman" w:cs="Times New Roman"/>
          <w:i/>
          <w:iCs/>
          <w:sz w:val="24"/>
          <w:szCs w:val="24"/>
        </w:rPr>
        <w:t>Bombyx mori</w:t>
      </w:r>
      <w:r w:rsidRPr="00F67967">
        <w:rPr>
          <w:rFonts w:ascii="Times New Roman" w:eastAsia="Times New Roman" w:hAnsi="Times New Roman" w:cs="Times New Roman"/>
          <w:sz w:val="24"/>
          <w:szCs w:val="24"/>
        </w:rPr>
        <w:t xml:space="preserve"> L.) rearing. </w:t>
      </w:r>
      <w:r w:rsidRPr="00F67967">
        <w:rPr>
          <w:rFonts w:ascii="Times New Roman" w:eastAsia="Times New Roman" w:hAnsi="Times New Roman" w:cs="Times New Roman"/>
          <w:i/>
          <w:iCs/>
          <w:sz w:val="24"/>
          <w:szCs w:val="24"/>
        </w:rPr>
        <w:t>Indian Journal of Sericulture</w:t>
      </w:r>
      <w:r w:rsidRPr="00F67967">
        <w:rPr>
          <w:rFonts w:ascii="Times New Roman" w:eastAsia="Times New Roman" w:hAnsi="Times New Roman" w:cs="Times New Roman"/>
          <w:sz w:val="24"/>
          <w:szCs w:val="24"/>
        </w:rPr>
        <w:t>, 34(1), 36–41.</w:t>
      </w:r>
    </w:p>
    <w:p w14:paraId="5031B339" w14:textId="77777777" w:rsidR="00A7041A" w:rsidRPr="00F67967" w:rsidRDefault="00A7041A" w:rsidP="00A7041A">
      <w:pPr>
        <w:pStyle w:val="isselectedend"/>
        <w:spacing w:line="360" w:lineRule="auto"/>
        <w:ind w:left="720" w:hanging="720"/>
        <w:jc w:val="both"/>
      </w:pPr>
      <w:r w:rsidRPr="00F67967">
        <w:t xml:space="preserve">Central Silk Board. (2020). </w:t>
      </w:r>
      <w:r w:rsidRPr="00F67967">
        <w:rPr>
          <w:rStyle w:val="Emphasis"/>
        </w:rPr>
        <w:t>Package of Practices for Mulberry Cultivation</w:t>
      </w:r>
      <w:r w:rsidRPr="00F67967">
        <w:t>. Central Silk Board, Bengaluru.</w:t>
      </w:r>
    </w:p>
    <w:p w14:paraId="1DB566D4" w14:textId="77777777" w:rsidR="00A7041A" w:rsidRPr="00F67967" w:rsidRDefault="00A7041A" w:rsidP="00A7041A">
      <w:pPr>
        <w:pStyle w:val="isselectedend"/>
        <w:spacing w:line="360" w:lineRule="auto"/>
        <w:ind w:left="720" w:hanging="720"/>
        <w:jc w:val="both"/>
      </w:pPr>
      <w:r w:rsidRPr="00F67967">
        <w:t xml:space="preserve">Dandin, S.B. and Giridhar, K. (2014). </w:t>
      </w:r>
      <w:r w:rsidRPr="00F67967">
        <w:rPr>
          <w:rStyle w:val="Emphasis"/>
        </w:rPr>
        <w:t>Handbook of Sericulture Technologies</w:t>
      </w:r>
      <w:r w:rsidRPr="00F67967">
        <w:t>. Revised Edition. Central Silk Board, Bengaluru.</w:t>
      </w:r>
      <w:r w:rsidR="00374B5E" w:rsidRPr="00F67967">
        <w:t>p-427.</w:t>
      </w:r>
    </w:p>
    <w:p w14:paraId="533693AE" w14:textId="77777777" w:rsidR="00A7041A" w:rsidRPr="00F67967" w:rsidRDefault="00A7041A" w:rsidP="00A7041A">
      <w:pPr>
        <w:pStyle w:val="isselectedend"/>
        <w:spacing w:line="360" w:lineRule="auto"/>
        <w:ind w:left="720" w:hanging="720"/>
        <w:jc w:val="both"/>
      </w:pPr>
      <w:r w:rsidRPr="00F67967">
        <w:t xml:space="preserve">Dandin, S.B., Jayaswal, J. and Giridhar, K. (2003). </w:t>
      </w:r>
      <w:r w:rsidRPr="00F67967">
        <w:rPr>
          <w:rStyle w:val="Emphasis"/>
        </w:rPr>
        <w:t>Handbook of Sericulture Technologies</w:t>
      </w:r>
      <w:r w:rsidRPr="00F67967">
        <w:t>. Central Silk Board, Bengaluru.</w:t>
      </w:r>
    </w:p>
    <w:p w14:paraId="6FCC4AAE" w14:textId="77777777" w:rsidR="00A7041A" w:rsidRPr="00F67967" w:rsidRDefault="00A7041A" w:rsidP="00A7041A">
      <w:pPr>
        <w:spacing w:after="0" w:line="360" w:lineRule="auto"/>
        <w:ind w:left="720" w:hanging="720"/>
        <w:jc w:val="both"/>
        <w:rPr>
          <w:rFonts w:ascii="Times New Roman" w:eastAsia="Times New Roman" w:hAnsi="Times New Roman" w:cs="Times New Roman"/>
          <w:sz w:val="24"/>
          <w:szCs w:val="24"/>
        </w:rPr>
      </w:pPr>
      <w:r w:rsidRPr="00F67967">
        <w:rPr>
          <w:rFonts w:ascii="Times New Roman" w:eastAsia="Times New Roman" w:hAnsi="Times New Roman" w:cs="Times New Roman"/>
          <w:bCs/>
          <w:sz w:val="24"/>
          <w:szCs w:val="24"/>
        </w:rPr>
        <w:t xml:space="preserve">Dubois, M., Gilles, K. A., Hamilton, J. K., </w:t>
      </w:r>
      <w:proofErr w:type="spellStart"/>
      <w:r w:rsidRPr="00F67967">
        <w:rPr>
          <w:rFonts w:ascii="Times New Roman" w:eastAsia="Times New Roman" w:hAnsi="Times New Roman" w:cs="Times New Roman"/>
          <w:bCs/>
          <w:sz w:val="24"/>
          <w:szCs w:val="24"/>
        </w:rPr>
        <w:t>Rebers</w:t>
      </w:r>
      <w:proofErr w:type="spellEnd"/>
      <w:r w:rsidRPr="00F67967">
        <w:rPr>
          <w:rFonts w:ascii="Times New Roman" w:eastAsia="Times New Roman" w:hAnsi="Times New Roman" w:cs="Times New Roman"/>
          <w:bCs/>
          <w:sz w:val="24"/>
          <w:szCs w:val="24"/>
        </w:rPr>
        <w:t>, P. A., &amp; Smith, F.</w:t>
      </w:r>
      <w:r w:rsidRPr="00F67967">
        <w:rPr>
          <w:rFonts w:ascii="Times New Roman" w:eastAsia="Times New Roman" w:hAnsi="Times New Roman" w:cs="Times New Roman"/>
          <w:sz w:val="24"/>
          <w:szCs w:val="24"/>
        </w:rPr>
        <w:t xml:space="preserve"> (1956). Colorimetric method for determination of sugars and related substances. </w:t>
      </w:r>
      <w:r w:rsidRPr="00F67967">
        <w:rPr>
          <w:rFonts w:ascii="Times New Roman" w:eastAsia="Times New Roman" w:hAnsi="Times New Roman" w:cs="Times New Roman"/>
          <w:i/>
          <w:iCs/>
          <w:sz w:val="24"/>
          <w:szCs w:val="24"/>
        </w:rPr>
        <w:t>Analytical Chemistry</w:t>
      </w:r>
      <w:r w:rsidRPr="00F67967">
        <w:rPr>
          <w:rFonts w:ascii="Times New Roman" w:eastAsia="Times New Roman" w:hAnsi="Times New Roman" w:cs="Times New Roman"/>
          <w:sz w:val="24"/>
          <w:szCs w:val="24"/>
        </w:rPr>
        <w:t>, 28(3), 350–356.</w:t>
      </w:r>
    </w:p>
    <w:p w14:paraId="0B59F890" w14:textId="77777777" w:rsidR="00A7041A" w:rsidRPr="00F67967" w:rsidRDefault="00A7041A" w:rsidP="00A7041A">
      <w:pPr>
        <w:pStyle w:val="isselectedend"/>
        <w:spacing w:line="360" w:lineRule="auto"/>
        <w:ind w:left="720" w:hanging="720"/>
        <w:jc w:val="both"/>
      </w:pPr>
      <w:r w:rsidRPr="00F67967">
        <w:t xml:space="preserve">Gomez, K.A. and Gomez, A.A. (1984). </w:t>
      </w:r>
      <w:r w:rsidRPr="00F67967">
        <w:rPr>
          <w:rStyle w:val="Emphasis"/>
        </w:rPr>
        <w:t>Statistical Procedures for Agricultural Research</w:t>
      </w:r>
      <w:r w:rsidRPr="00F67967">
        <w:t>. 2nd Edition. John Wiley &amp; Sons, New York.</w:t>
      </w:r>
    </w:p>
    <w:p w14:paraId="15A16FD3" w14:textId="77777777" w:rsidR="00A7041A" w:rsidRPr="00F67967" w:rsidRDefault="00A7041A" w:rsidP="00A7041A">
      <w:pPr>
        <w:pStyle w:val="isselectedend"/>
        <w:spacing w:line="360" w:lineRule="auto"/>
        <w:ind w:left="720" w:hanging="720"/>
        <w:jc w:val="both"/>
      </w:pPr>
      <w:r w:rsidRPr="00F67967">
        <w:t xml:space="preserve">Govindan, R., Ramesh, V. and Natarajan, S. (2016). Integrated nutrient management for sustainable mulberry production. </w:t>
      </w:r>
      <w:r w:rsidRPr="00F67967">
        <w:rPr>
          <w:rStyle w:val="Emphasis"/>
        </w:rPr>
        <w:t>Indian Journal of Agricultural Sciences</w:t>
      </w:r>
      <w:r w:rsidRPr="00F67967">
        <w:t xml:space="preserve">, </w:t>
      </w:r>
      <w:r w:rsidRPr="00F67967">
        <w:rPr>
          <w:rStyle w:val="Strong"/>
          <w:b w:val="0"/>
        </w:rPr>
        <w:t>86</w:t>
      </w:r>
      <w:r w:rsidRPr="00F67967">
        <w:t>(10): 1321–1326.</w:t>
      </w:r>
    </w:p>
    <w:p w14:paraId="6D4BBE60" w14:textId="77777777" w:rsidR="00A7041A" w:rsidRPr="00F67967" w:rsidRDefault="00A7041A" w:rsidP="00A7041A">
      <w:pPr>
        <w:pStyle w:val="isselectedend"/>
        <w:spacing w:line="360" w:lineRule="auto"/>
        <w:ind w:left="720" w:hanging="720"/>
        <w:jc w:val="both"/>
      </w:pPr>
      <w:r w:rsidRPr="00F67967">
        <w:t xml:space="preserve">Kumaresan, P., Sivaprasad, V. and Ramesh, H.L. (2017). Biofertilizers in mulberry cultivation for sustainable leaf production. </w:t>
      </w:r>
      <w:r w:rsidRPr="00F67967">
        <w:rPr>
          <w:rStyle w:val="Emphasis"/>
        </w:rPr>
        <w:t>Journal of Experimental Biology and Agricultural Sciences</w:t>
      </w:r>
      <w:r w:rsidRPr="00F67967">
        <w:t xml:space="preserve">, </w:t>
      </w:r>
      <w:r w:rsidRPr="00F67967">
        <w:rPr>
          <w:rStyle w:val="Strong"/>
          <w:b w:val="0"/>
        </w:rPr>
        <w:t>5</w:t>
      </w:r>
      <w:r w:rsidRPr="00F67967">
        <w:t>(Spl-1): S153–S160.</w:t>
      </w:r>
    </w:p>
    <w:p w14:paraId="0DD36915" w14:textId="77777777" w:rsidR="00A7041A" w:rsidRPr="00F67967" w:rsidRDefault="00A7041A" w:rsidP="00A7041A">
      <w:pPr>
        <w:spacing w:after="0" w:line="360" w:lineRule="auto"/>
        <w:ind w:left="720" w:hanging="720"/>
        <w:jc w:val="both"/>
        <w:rPr>
          <w:rFonts w:ascii="Times New Roman" w:eastAsia="Times New Roman" w:hAnsi="Times New Roman" w:cs="Times New Roman"/>
          <w:sz w:val="24"/>
          <w:szCs w:val="24"/>
        </w:rPr>
      </w:pPr>
      <w:r w:rsidRPr="00F67967">
        <w:rPr>
          <w:rFonts w:ascii="Times New Roman" w:eastAsia="Times New Roman" w:hAnsi="Times New Roman" w:cs="Times New Roman"/>
          <w:bCs/>
          <w:sz w:val="24"/>
          <w:szCs w:val="24"/>
        </w:rPr>
        <w:lastRenderedPageBreak/>
        <w:t>Lowry, O. H., Rosebrough, N. J., Farr, A. L., &amp; Randall, R. J.</w:t>
      </w:r>
      <w:r w:rsidRPr="00F67967">
        <w:rPr>
          <w:rFonts w:ascii="Times New Roman" w:eastAsia="Times New Roman" w:hAnsi="Times New Roman" w:cs="Times New Roman"/>
          <w:sz w:val="24"/>
          <w:szCs w:val="24"/>
        </w:rPr>
        <w:t xml:space="preserve"> (1951). Protein measurement with the Folin phenol reagent. </w:t>
      </w:r>
      <w:r w:rsidRPr="00F67967">
        <w:rPr>
          <w:rFonts w:ascii="Times New Roman" w:eastAsia="Times New Roman" w:hAnsi="Times New Roman" w:cs="Times New Roman"/>
          <w:i/>
          <w:iCs/>
          <w:sz w:val="24"/>
          <w:szCs w:val="24"/>
        </w:rPr>
        <w:t>Journal of Biological Chemistry</w:t>
      </w:r>
      <w:r w:rsidRPr="00F67967">
        <w:rPr>
          <w:rFonts w:ascii="Times New Roman" w:eastAsia="Times New Roman" w:hAnsi="Times New Roman" w:cs="Times New Roman"/>
          <w:sz w:val="24"/>
          <w:szCs w:val="24"/>
        </w:rPr>
        <w:t>, 193(1), 265–275.</w:t>
      </w:r>
    </w:p>
    <w:p w14:paraId="0272F604" w14:textId="77777777" w:rsidR="00A7041A" w:rsidRPr="00F67967" w:rsidRDefault="00A7041A" w:rsidP="00A7041A">
      <w:pPr>
        <w:pStyle w:val="isselectedend"/>
        <w:spacing w:line="360" w:lineRule="auto"/>
        <w:ind w:left="720" w:hanging="720"/>
        <w:jc w:val="both"/>
      </w:pPr>
      <w:r w:rsidRPr="00F67967">
        <w:t xml:space="preserve">Naik, K., Mishra, S., </w:t>
      </w:r>
      <w:proofErr w:type="spellStart"/>
      <w:r w:rsidRPr="00F67967">
        <w:t>Srichandan</w:t>
      </w:r>
      <w:proofErr w:type="spellEnd"/>
      <w:r w:rsidRPr="00F67967">
        <w:t xml:space="preserve">, H., Singh, P.K. and Choudhary, A. (2020). Microbial formulation and growth of cereals, pulses, oilseeds and vegetable crops. </w:t>
      </w:r>
      <w:r w:rsidRPr="00F67967">
        <w:rPr>
          <w:rStyle w:val="Emphasis"/>
        </w:rPr>
        <w:t>Sustainable Environment Research</w:t>
      </w:r>
      <w:r w:rsidRPr="00F67967">
        <w:t xml:space="preserve">, </w:t>
      </w:r>
      <w:r w:rsidRPr="00F67967">
        <w:rPr>
          <w:rStyle w:val="Strong"/>
          <w:b w:val="0"/>
        </w:rPr>
        <w:t>30</w:t>
      </w:r>
      <w:r w:rsidRPr="00F67967">
        <w:t>: 10.</w:t>
      </w:r>
    </w:p>
    <w:p w14:paraId="0F54B173" w14:textId="77777777" w:rsidR="00A7041A" w:rsidRPr="00F67967" w:rsidRDefault="00A7041A" w:rsidP="00A7041A">
      <w:pPr>
        <w:pStyle w:val="isselectedend"/>
        <w:spacing w:line="360" w:lineRule="auto"/>
        <w:ind w:left="720" w:hanging="720"/>
        <w:jc w:val="both"/>
      </w:pPr>
      <w:r w:rsidRPr="00F67967">
        <w:t xml:space="preserve">Nath, I., Rajagopal, S., Dutta, P.L., Ahmed, M.H. and Saikia, K. (2025). Impact of liquid bioformulations on mulberry leaf quality and physiological traits. </w:t>
      </w:r>
      <w:r w:rsidRPr="00F67967">
        <w:rPr>
          <w:rStyle w:val="Emphasis"/>
        </w:rPr>
        <w:t>International Journal of Plant &amp; Soil Science</w:t>
      </w:r>
      <w:r w:rsidRPr="00F67967">
        <w:t xml:space="preserve">, </w:t>
      </w:r>
      <w:r w:rsidRPr="00F67967">
        <w:rPr>
          <w:rStyle w:val="Strong"/>
          <w:b w:val="0"/>
        </w:rPr>
        <w:t>37</w:t>
      </w:r>
      <w:r w:rsidRPr="00F67967">
        <w:t>(7): 512–521.</w:t>
      </w:r>
    </w:p>
    <w:p w14:paraId="3F2852E2" w14:textId="77777777" w:rsidR="00A7041A" w:rsidRPr="00F67967" w:rsidRDefault="00A7041A" w:rsidP="00A7041A">
      <w:pPr>
        <w:pStyle w:val="isselectedend"/>
        <w:spacing w:line="360" w:lineRule="auto"/>
        <w:ind w:left="720" w:hanging="720"/>
        <w:jc w:val="both"/>
      </w:pPr>
      <w:r w:rsidRPr="00F67967">
        <w:t xml:space="preserve">Rajanna, L., Ramesh, H.L. and Ananda, N. (2021). Influence of microbial consortia on growth and nutrient uptake of mulberry under irrigated conditions. </w:t>
      </w:r>
      <w:r w:rsidRPr="00F67967">
        <w:rPr>
          <w:rStyle w:val="Emphasis"/>
        </w:rPr>
        <w:t>Journal of Soil Biology and Ecology</w:t>
      </w:r>
      <w:r w:rsidRPr="00F67967">
        <w:t xml:space="preserve">, </w:t>
      </w:r>
      <w:r w:rsidRPr="00F67967">
        <w:rPr>
          <w:rStyle w:val="Strong"/>
          <w:b w:val="0"/>
        </w:rPr>
        <w:t>41</w:t>
      </w:r>
      <w:r w:rsidRPr="00F67967">
        <w:t>: 85–93.</w:t>
      </w:r>
    </w:p>
    <w:p w14:paraId="09008B3C" w14:textId="77777777" w:rsidR="00A7041A" w:rsidRPr="00F67967" w:rsidRDefault="00A7041A" w:rsidP="00A7041A">
      <w:pPr>
        <w:pStyle w:val="isselectedend"/>
        <w:spacing w:line="360" w:lineRule="auto"/>
        <w:ind w:left="720" w:hanging="720"/>
        <w:jc w:val="both"/>
      </w:pPr>
      <w:r w:rsidRPr="00F67967">
        <w:t xml:space="preserve">Shahwar, D., Mushtaq, Z., Mushtaq, H., </w:t>
      </w:r>
      <w:proofErr w:type="spellStart"/>
      <w:r w:rsidRPr="00F67967">
        <w:t>Alqarawi</w:t>
      </w:r>
      <w:proofErr w:type="spellEnd"/>
      <w:r w:rsidRPr="00F67967">
        <w:t xml:space="preserve">, A.A., Park, Y. and Faizan, S. (2023). Role of microbial inoculants as biofertilizers for improving crop productivity: A review. </w:t>
      </w:r>
      <w:proofErr w:type="spellStart"/>
      <w:r w:rsidRPr="00F67967">
        <w:rPr>
          <w:rStyle w:val="Emphasis"/>
        </w:rPr>
        <w:t>Heliyon</w:t>
      </w:r>
      <w:proofErr w:type="spellEnd"/>
      <w:r w:rsidRPr="00F67967">
        <w:t xml:space="preserve">, </w:t>
      </w:r>
      <w:r w:rsidRPr="00F67967">
        <w:rPr>
          <w:rStyle w:val="Strong"/>
          <w:b w:val="0"/>
        </w:rPr>
        <w:t>9</w:t>
      </w:r>
      <w:r w:rsidRPr="00F67967">
        <w:rPr>
          <w:b/>
        </w:rPr>
        <w:t>:</w:t>
      </w:r>
      <w:r w:rsidRPr="00F67967">
        <w:t xml:space="preserve"> e16134.</w:t>
      </w:r>
    </w:p>
    <w:p w14:paraId="74EA3C2F" w14:textId="77777777" w:rsidR="005B715E" w:rsidRPr="00F67967" w:rsidRDefault="00A7041A" w:rsidP="005B715E">
      <w:pPr>
        <w:pStyle w:val="NormalWeb"/>
        <w:spacing w:line="360" w:lineRule="auto"/>
        <w:ind w:left="720" w:hanging="720"/>
        <w:jc w:val="both"/>
      </w:pPr>
      <w:r w:rsidRPr="00F67967">
        <w:t xml:space="preserve">Vessey, J.K. (2003). Plant growth-promoting rhizobacteria as biofertilizers. </w:t>
      </w:r>
      <w:r w:rsidRPr="00F67967">
        <w:rPr>
          <w:rStyle w:val="Emphasis"/>
        </w:rPr>
        <w:t>Plant and Soil</w:t>
      </w:r>
      <w:r w:rsidRPr="00F67967">
        <w:t xml:space="preserve">, </w:t>
      </w:r>
      <w:r w:rsidRPr="00F67967">
        <w:rPr>
          <w:rStyle w:val="Strong"/>
          <w:b w:val="0"/>
        </w:rPr>
        <w:t>255</w:t>
      </w:r>
      <w:r w:rsidRPr="00F67967">
        <w:rPr>
          <w:b/>
        </w:rPr>
        <w:t>:</w:t>
      </w:r>
      <w:r w:rsidRPr="00F67967">
        <w:t xml:space="preserve"> 571–586.</w:t>
      </w:r>
    </w:p>
    <w:p w14:paraId="5913CA8A" w14:textId="77777777" w:rsidR="001508D7" w:rsidRPr="00F67967" w:rsidRDefault="005B715E" w:rsidP="005B715E">
      <w:pPr>
        <w:pStyle w:val="NormalWeb"/>
        <w:spacing w:line="360" w:lineRule="auto"/>
        <w:ind w:left="720" w:hanging="720"/>
        <w:jc w:val="both"/>
      </w:pPr>
      <w:r w:rsidRPr="00F67967">
        <w:t xml:space="preserve">V, </w:t>
      </w:r>
      <w:proofErr w:type="spellStart"/>
      <w:r w:rsidRPr="00F67967">
        <w:t>Shravanilakshmi</w:t>
      </w:r>
      <w:proofErr w:type="spellEnd"/>
      <w:r w:rsidRPr="00F67967">
        <w:t xml:space="preserve">, C S </w:t>
      </w:r>
      <w:proofErr w:type="spellStart"/>
      <w:r w:rsidRPr="00F67967">
        <w:t>Kallimani</w:t>
      </w:r>
      <w:proofErr w:type="spellEnd"/>
      <w:r w:rsidRPr="00F67967">
        <w:t xml:space="preserve">, Veenita M K, Tejaswini A S, Shwetha G V, Gagana Sindhu S, and </w:t>
      </w:r>
      <w:proofErr w:type="spellStart"/>
      <w:r w:rsidRPr="00F67967">
        <w:t>Doreswamy</w:t>
      </w:r>
      <w:proofErr w:type="spellEnd"/>
      <w:r w:rsidRPr="00F67967">
        <w:t xml:space="preserve"> C. (2025). </w:t>
      </w:r>
      <w:r w:rsidR="00A70001" w:rsidRPr="00F67967">
        <w:t>Influence of silkworm litter liquid organic manure on soil nutrient status and microbial population in mulberry plantation</w:t>
      </w:r>
      <w:r w:rsidRPr="00F67967">
        <w:t xml:space="preserve">. </w:t>
      </w:r>
      <w:r w:rsidRPr="00F67967">
        <w:rPr>
          <w:i/>
          <w:iCs/>
        </w:rPr>
        <w:t xml:space="preserve">Plant Cell Biotechnology and Molecular </w:t>
      </w:r>
      <w:proofErr w:type="gramStart"/>
      <w:r w:rsidRPr="00F67967">
        <w:rPr>
          <w:i/>
          <w:iCs/>
        </w:rPr>
        <w:t>Biology</w:t>
      </w:r>
      <w:r w:rsidRPr="00F67967">
        <w:t>,  26</w:t>
      </w:r>
      <w:proofErr w:type="gramEnd"/>
      <w:r w:rsidRPr="00F67967">
        <w:t xml:space="preserve"> (7-8):456-70.</w:t>
      </w:r>
    </w:p>
    <w:p w14:paraId="674DE686" w14:textId="77777777" w:rsidR="00A1427F" w:rsidRPr="00F67967" w:rsidRDefault="00A1427F" w:rsidP="00E022DE">
      <w:pPr>
        <w:rPr>
          <w:rFonts w:ascii="Times New Roman" w:eastAsia="Times New Roman" w:hAnsi="Times New Roman" w:cs="Times New Roman"/>
          <w:b/>
          <w:bCs/>
          <w:kern w:val="24"/>
          <w:sz w:val="24"/>
          <w:szCs w:val="24"/>
        </w:rPr>
      </w:pPr>
    </w:p>
    <w:p w14:paraId="32918D14" w14:textId="77777777" w:rsidR="009706CE" w:rsidRDefault="009706CE" w:rsidP="00D5313B">
      <w:pPr>
        <w:jc w:val="both"/>
        <w:rPr>
          <w:rFonts w:ascii="Times New Roman" w:hAnsi="Times New Roman" w:cs="Times New Roman"/>
          <w:b/>
          <w:sz w:val="24"/>
          <w:szCs w:val="24"/>
        </w:rPr>
      </w:pPr>
    </w:p>
    <w:p w14:paraId="14DE0F69" w14:textId="77777777" w:rsidR="00194C25" w:rsidRDefault="00194C25" w:rsidP="00D5313B">
      <w:pPr>
        <w:jc w:val="both"/>
        <w:rPr>
          <w:rFonts w:ascii="Times New Roman" w:hAnsi="Times New Roman" w:cs="Times New Roman"/>
          <w:b/>
          <w:sz w:val="24"/>
          <w:szCs w:val="24"/>
        </w:rPr>
      </w:pPr>
    </w:p>
    <w:p w14:paraId="2601EC23" w14:textId="77777777" w:rsidR="00194C25" w:rsidRDefault="00194C25" w:rsidP="00D5313B">
      <w:pPr>
        <w:jc w:val="both"/>
        <w:rPr>
          <w:rFonts w:ascii="Times New Roman" w:hAnsi="Times New Roman" w:cs="Times New Roman"/>
          <w:b/>
          <w:sz w:val="24"/>
          <w:szCs w:val="24"/>
        </w:rPr>
      </w:pPr>
    </w:p>
    <w:p w14:paraId="32CCCF03" w14:textId="77777777" w:rsidR="00194C25" w:rsidRDefault="00194C25" w:rsidP="00D5313B">
      <w:pPr>
        <w:jc w:val="both"/>
        <w:rPr>
          <w:rFonts w:ascii="Times New Roman" w:hAnsi="Times New Roman" w:cs="Times New Roman"/>
          <w:b/>
          <w:sz w:val="24"/>
          <w:szCs w:val="24"/>
        </w:rPr>
      </w:pPr>
    </w:p>
    <w:p w14:paraId="762E66D3" w14:textId="77777777" w:rsidR="00194C25" w:rsidRDefault="00194C25" w:rsidP="00D5313B">
      <w:pPr>
        <w:jc w:val="both"/>
        <w:rPr>
          <w:rFonts w:ascii="Times New Roman" w:hAnsi="Times New Roman" w:cs="Times New Roman"/>
          <w:b/>
          <w:sz w:val="24"/>
          <w:szCs w:val="24"/>
        </w:rPr>
      </w:pPr>
    </w:p>
    <w:p w14:paraId="6D2BAA74" w14:textId="77777777" w:rsidR="00194C25" w:rsidRDefault="00194C25" w:rsidP="00D5313B">
      <w:pPr>
        <w:jc w:val="both"/>
        <w:rPr>
          <w:rFonts w:ascii="Times New Roman" w:hAnsi="Times New Roman" w:cs="Times New Roman"/>
          <w:b/>
          <w:sz w:val="24"/>
          <w:szCs w:val="24"/>
        </w:rPr>
      </w:pPr>
    </w:p>
    <w:p w14:paraId="3F372372" w14:textId="77777777" w:rsidR="00194C25" w:rsidRDefault="00194C25" w:rsidP="00D5313B">
      <w:pPr>
        <w:jc w:val="both"/>
        <w:rPr>
          <w:rFonts w:ascii="Times New Roman" w:hAnsi="Times New Roman" w:cs="Times New Roman"/>
          <w:b/>
          <w:sz w:val="24"/>
          <w:szCs w:val="24"/>
        </w:rPr>
      </w:pPr>
    </w:p>
    <w:p w14:paraId="41579745" w14:textId="77777777" w:rsidR="00194C25" w:rsidRDefault="00194C25" w:rsidP="00D5313B">
      <w:pPr>
        <w:jc w:val="both"/>
        <w:rPr>
          <w:rFonts w:ascii="Times New Roman" w:hAnsi="Times New Roman" w:cs="Times New Roman"/>
          <w:b/>
          <w:sz w:val="24"/>
          <w:szCs w:val="24"/>
        </w:rPr>
      </w:pPr>
    </w:p>
    <w:p w14:paraId="5852F726" w14:textId="77777777" w:rsidR="00194C25" w:rsidRDefault="00194C25" w:rsidP="00D5313B">
      <w:pPr>
        <w:jc w:val="both"/>
        <w:rPr>
          <w:rFonts w:ascii="Times New Roman" w:hAnsi="Times New Roman" w:cs="Times New Roman"/>
          <w:b/>
          <w:sz w:val="24"/>
          <w:szCs w:val="24"/>
        </w:rPr>
      </w:pPr>
    </w:p>
    <w:p w14:paraId="01E058C8" w14:textId="77777777" w:rsidR="00D5313B" w:rsidRPr="00F67967" w:rsidRDefault="00D5313B" w:rsidP="00D5313B">
      <w:pPr>
        <w:jc w:val="both"/>
        <w:rPr>
          <w:rFonts w:ascii="Times New Roman" w:hAnsi="Times New Roman" w:cs="Times New Roman"/>
          <w:sz w:val="24"/>
          <w:szCs w:val="24"/>
        </w:rPr>
      </w:pPr>
      <w:r w:rsidRPr="00F67967">
        <w:rPr>
          <w:rFonts w:ascii="Times New Roman" w:hAnsi="Times New Roman" w:cs="Times New Roman"/>
          <w:b/>
          <w:sz w:val="24"/>
          <w:szCs w:val="24"/>
        </w:rPr>
        <w:t xml:space="preserve">Table </w:t>
      </w:r>
      <w:proofErr w:type="gramStart"/>
      <w:r w:rsidRPr="00F67967">
        <w:rPr>
          <w:rFonts w:ascii="Times New Roman" w:hAnsi="Times New Roman" w:cs="Times New Roman"/>
          <w:b/>
          <w:sz w:val="24"/>
          <w:szCs w:val="24"/>
        </w:rPr>
        <w:t>1 :</w:t>
      </w:r>
      <w:proofErr w:type="gramEnd"/>
      <w:r w:rsidRPr="00F67967">
        <w:rPr>
          <w:rFonts w:ascii="Times New Roman" w:hAnsi="Times New Roman" w:cs="Times New Roman"/>
          <w:sz w:val="24"/>
          <w:szCs w:val="24"/>
        </w:rPr>
        <w:t xml:space="preserve"> </w:t>
      </w:r>
      <w:r w:rsidRPr="00F67967">
        <w:rPr>
          <w:rFonts w:ascii="Times New Roman" w:hAnsi="Times New Roman" w:cs="Times New Roman"/>
          <w:b/>
          <w:sz w:val="24"/>
          <w:szCs w:val="24"/>
        </w:rPr>
        <w:t>Efficacy of Varied Liquid Microbial Formulations on the Growth and Yield Performance of Mulberry</w:t>
      </w:r>
    </w:p>
    <w:tbl>
      <w:tblPr>
        <w:tblStyle w:val="TableGrid"/>
        <w:tblW w:w="10188" w:type="dxa"/>
        <w:tblLook w:val="04A0" w:firstRow="1" w:lastRow="0" w:firstColumn="1" w:lastColumn="0" w:noHBand="0" w:noVBand="1"/>
      </w:tblPr>
      <w:tblGrid>
        <w:gridCol w:w="1548"/>
        <w:gridCol w:w="1890"/>
        <w:gridCol w:w="1736"/>
        <w:gridCol w:w="1555"/>
        <w:gridCol w:w="1566"/>
        <w:gridCol w:w="1893"/>
      </w:tblGrid>
      <w:tr w:rsidR="00F67967" w:rsidRPr="00F67967" w14:paraId="5E56A19D" w14:textId="77777777" w:rsidTr="00CD051B">
        <w:tc>
          <w:tcPr>
            <w:tcW w:w="1548" w:type="dxa"/>
            <w:vAlign w:val="center"/>
          </w:tcPr>
          <w:p w14:paraId="16BA9A52"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Treatments</w:t>
            </w:r>
          </w:p>
        </w:tc>
        <w:tc>
          <w:tcPr>
            <w:tcW w:w="1890" w:type="dxa"/>
            <w:vAlign w:val="center"/>
          </w:tcPr>
          <w:p w14:paraId="0FBEEEF9"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No of branches/ plant</w:t>
            </w:r>
          </w:p>
        </w:tc>
        <w:tc>
          <w:tcPr>
            <w:tcW w:w="1736" w:type="dxa"/>
            <w:vAlign w:val="center"/>
          </w:tcPr>
          <w:p w14:paraId="2AE26CE6"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No of leaves/ branches</w:t>
            </w:r>
          </w:p>
        </w:tc>
        <w:tc>
          <w:tcPr>
            <w:tcW w:w="1555" w:type="dxa"/>
            <w:vAlign w:val="center"/>
          </w:tcPr>
          <w:p w14:paraId="4B786E00"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Leaf yield (kg/plant)</w:t>
            </w:r>
          </w:p>
        </w:tc>
        <w:tc>
          <w:tcPr>
            <w:tcW w:w="1566" w:type="dxa"/>
            <w:vAlign w:val="center"/>
          </w:tcPr>
          <w:p w14:paraId="6620C38C"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Leaf yield (q/ha/crop)</w:t>
            </w:r>
          </w:p>
        </w:tc>
        <w:tc>
          <w:tcPr>
            <w:tcW w:w="1893" w:type="dxa"/>
            <w:vAlign w:val="center"/>
          </w:tcPr>
          <w:p w14:paraId="11FAD1FD"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Cocoon yield (Kg/ha)</w:t>
            </w:r>
          </w:p>
        </w:tc>
      </w:tr>
      <w:tr w:rsidR="00F67967" w:rsidRPr="00F67967" w14:paraId="2B7FE495" w14:textId="77777777" w:rsidTr="00CD051B">
        <w:tc>
          <w:tcPr>
            <w:tcW w:w="1548" w:type="dxa"/>
            <w:vAlign w:val="center"/>
          </w:tcPr>
          <w:p w14:paraId="3C82E18C"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T1</w:t>
            </w:r>
          </w:p>
        </w:tc>
        <w:tc>
          <w:tcPr>
            <w:tcW w:w="1890" w:type="dxa"/>
            <w:vAlign w:val="center"/>
          </w:tcPr>
          <w:p w14:paraId="041385B7"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13.48</w:t>
            </w:r>
          </w:p>
        </w:tc>
        <w:tc>
          <w:tcPr>
            <w:tcW w:w="1736" w:type="dxa"/>
            <w:vAlign w:val="center"/>
          </w:tcPr>
          <w:p w14:paraId="7BFD6663"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23.40</w:t>
            </w:r>
          </w:p>
        </w:tc>
        <w:tc>
          <w:tcPr>
            <w:tcW w:w="1555" w:type="dxa"/>
            <w:vAlign w:val="center"/>
          </w:tcPr>
          <w:p w14:paraId="434DEAE9"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1.106</w:t>
            </w:r>
          </w:p>
        </w:tc>
        <w:tc>
          <w:tcPr>
            <w:tcW w:w="1566" w:type="dxa"/>
            <w:vAlign w:val="center"/>
          </w:tcPr>
          <w:p w14:paraId="1F39CBBB"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102.36</w:t>
            </w:r>
          </w:p>
        </w:tc>
        <w:tc>
          <w:tcPr>
            <w:tcW w:w="1893" w:type="dxa"/>
            <w:vAlign w:val="center"/>
          </w:tcPr>
          <w:p w14:paraId="07498BAB"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368.50</w:t>
            </w:r>
          </w:p>
        </w:tc>
      </w:tr>
      <w:tr w:rsidR="00F67967" w:rsidRPr="00F67967" w14:paraId="099BC881" w14:textId="77777777" w:rsidTr="00CD051B">
        <w:tc>
          <w:tcPr>
            <w:tcW w:w="1548" w:type="dxa"/>
            <w:vAlign w:val="center"/>
          </w:tcPr>
          <w:p w14:paraId="6470EA37"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T2</w:t>
            </w:r>
          </w:p>
        </w:tc>
        <w:tc>
          <w:tcPr>
            <w:tcW w:w="1890" w:type="dxa"/>
            <w:vAlign w:val="center"/>
          </w:tcPr>
          <w:p w14:paraId="5AD621C3"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15.40</w:t>
            </w:r>
          </w:p>
        </w:tc>
        <w:tc>
          <w:tcPr>
            <w:tcW w:w="1736" w:type="dxa"/>
            <w:vAlign w:val="center"/>
          </w:tcPr>
          <w:p w14:paraId="63DA1140"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26.36</w:t>
            </w:r>
          </w:p>
        </w:tc>
        <w:tc>
          <w:tcPr>
            <w:tcW w:w="1555" w:type="dxa"/>
            <w:vAlign w:val="center"/>
          </w:tcPr>
          <w:p w14:paraId="3FD4B52B"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1.302</w:t>
            </w:r>
          </w:p>
        </w:tc>
        <w:tc>
          <w:tcPr>
            <w:tcW w:w="1566" w:type="dxa"/>
            <w:vAlign w:val="center"/>
          </w:tcPr>
          <w:p w14:paraId="5E370232"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120.51</w:t>
            </w:r>
          </w:p>
        </w:tc>
        <w:tc>
          <w:tcPr>
            <w:tcW w:w="1893" w:type="dxa"/>
            <w:vAlign w:val="center"/>
          </w:tcPr>
          <w:p w14:paraId="7F5C0E41"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457.96</w:t>
            </w:r>
          </w:p>
        </w:tc>
      </w:tr>
      <w:tr w:rsidR="00F67967" w:rsidRPr="00F67967" w14:paraId="58A35D5D" w14:textId="77777777" w:rsidTr="00CD051B">
        <w:tc>
          <w:tcPr>
            <w:tcW w:w="1548" w:type="dxa"/>
            <w:vAlign w:val="center"/>
          </w:tcPr>
          <w:p w14:paraId="3867BE20"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T3</w:t>
            </w:r>
          </w:p>
        </w:tc>
        <w:tc>
          <w:tcPr>
            <w:tcW w:w="1890" w:type="dxa"/>
            <w:vAlign w:val="center"/>
          </w:tcPr>
          <w:p w14:paraId="7EF5B37A"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15.31</w:t>
            </w:r>
          </w:p>
        </w:tc>
        <w:tc>
          <w:tcPr>
            <w:tcW w:w="1736" w:type="dxa"/>
            <w:vAlign w:val="center"/>
          </w:tcPr>
          <w:p w14:paraId="32F35811"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26.15</w:t>
            </w:r>
          </w:p>
        </w:tc>
        <w:tc>
          <w:tcPr>
            <w:tcW w:w="1555" w:type="dxa"/>
            <w:vAlign w:val="center"/>
          </w:tcPr>
          <w:p w14:paraId="3C864AAF"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1.294</w:t>
            </w:r>
          </w:p>
        </w:tc>
        <w:tc>
          <w:tcPr>
            <w:tcW w:w="1566" w:type="dxa"/>
            <w:vAlign w:val="center"/>
          </w:tcPr>
          <w:p w14:paraId="06EBF27F"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119.80</w:t>
            </w:r>
          </w:p>
        </w:tc>
        <w:tc>
          <w:tcPr>
            <w:tcW w:w="1893" w:type="dxa"/>
            <w:vAlign w:val="center"/>
          </w:tcPr>
          <w:p w14:paraId="24C29A3A"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455.25</w:t>
            </w:r>
          </w:p>
        </w:tc>
      </w:tr>
      <w:tr w:rsidR="00F67967" w:rsidRPr="00F67967" w14:paraId="679DF2E4" w14:textId="77777777" w:rsidTr="00CD051B">
        <w:tc>
          <w:tcPr>
            <w:tcW w:w="1548" w:type="dxa"/>
            <w:vAlign w:val="center"/>
          </w:tcPr>
          <w:p w14:paraId="0E419EC4"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T4</w:t>
            </w:r>
          </w:p>
        </w:tc>
        <w:tc>
          <w:tcPr>
            <w:tcW w:w="1890" w:type="dxa"/>
            <w:vAlign w:val="center"/>
          </w:tcPr>
          <w:p w14:paraId="067480DA"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15.12</w:t>
            </w:r>
          </w:p>
        </w:tc>
        <w:tc>
          <w:tcPr>
            <w:tcW w:w="1736" w:type="dxa"/>
            <w:vAlign w:val="center"/>
          </w:tcPr>
          <w:p w14:paraId="3E7FCEC9"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25.63</w:t>
            </w:r>
          </w:p>
        </w:tc>
        <w:tc>
          <w:tcPr>
            <w:tcW w:w="1555" w:type="dxa"/>
            <w:vAlign w:val="center"/>
          </w:tcPr>
          <w:p w14:paraId="482CD993"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1.241</w:t>
            </w:r>
          </w:p>
        </w:tc>
        <w:tc>
          <w:tcPr>
            <w:tcW w:w="1566" w:type="dxa"/>
            <w:vAlign w:val="center"/>
          </w:tcPr>
          <w:p w14:paraId="7BA3AD19"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114.96</w:t>
            </w:r>
          </w:p>
        </w:tc>
        <w:tc>
          <w:tcPr>
            <w:tcW w:w="1893" w:type="dxa"/>
            <w:vAlign w:val="center"/>
          </w:tcPr>
          <w:p w14:paraId="513489F9"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436.85</w:t>
            </w:r>
          </w:p>
        </w:tc>
      </w:tr>
      <w:tr w:rsidR="00F67967" w:rsidRPr="00F67967" w14:paraId="7BADAEF2" w14:textId="77777777" w:rsidTr="00CD051B">
        <w:tc>
          <w:tcPr>
            <w:tcW w:w="1548" w:type="dxa"/>
            <w:vAlign w:val="center"/>
          </w:tcPr>
          <w:p w14:paraId="317C0213" w14:textId="77777777" w:rsidR="00D5313B" w:rsidRPr="00F67967" w:rsidRDefault="00D5313B" w:rsidP="00CD051B">
            <w:pPr>
              <w:jc w:val="center"/>
              <w:rPr>
                <w:rFonts w:ascii="Times New Roman" w:hAnsi="Times New Roman" w:cs="Times New Roman"/>
                <w:sz w:val="24"/>
                <w:szCs w:val="24"/>
              </w:rPr>
            </w:pPr>
            <w:proofErr w:type="spellStart"/>
            <w:r w:rsidRPr="00F67967">
              <w:rPr>
                <w:rStyle w:val="Strong"/>
                <w:rFonts w:ascii="Times New Roman" w:hAnsi="Times New Roman" w:cs="Times New Roman"/>
                <w:sz w:val="24"/>
                <w:szCs w:val="24"/>
              </w:rPr>
              <w:t>SEm</w:t>
            </w:r>
            <w:proofErr w:type="spellEnd"/>
            <w:r w:rsidRPr="00F67967">
              <w:rPr>
                <w:rStyle w:val="Strong"/>
                <w:rFonts w:ascii="Times New Roman" w:hAnsi="Times New Roman" w:cs="Times New Roman"/>
                <w:sz w:val="24"/>
                <w:szCs w:val="24"/>
              </w:rPr>
              <w:t>±</w:t>
            </w:r>
          </w:p>
        </w:tc>
        <w:tc>
          <w:tcPr>
            <w:tcW w:w="1890" w:type="dxa"/>
            <w:vAlign w:val="center"/>
          </w:tcPr>
          <w:p w14:paraId="7D68664B"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0.32</w:t>
            </w:r>
          </w:p>
        </w:tc>
        <w:tc>
          <w:tcPr>
            <w:tcW w:w="1736" w:type="dxa"/>
            <w:vAlign w:val="center"/>
          </w:tcPr>
          <w:p w14:paraId="292951D2"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0.51</w:t>
            </w:r>
          </w:p>
        </w:tc>
        <w:tc>
          <w:tcPr>
            <w:tcW w:w="1555" w:type="dxa"/>
            <w:vAlign w:val="center"/>
          </w:tcPr>
          <w:p w14:paraId="3134A175"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0.025</w:t>
            </w:r>
          </w:p>
        </w:tc>
        <w:tc>
          <w:tcPr>
            <w:tcW w:w="1566" w:type="dxa"/>
            <w:vAlign w:val="center"/>
          </w:tcPr>
          <w:p w14:paraId="4B22D9DF"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2.45</w:t>
            </w:r>
          </w:p>
        </w:tc>
        <w:tc>
          <w:tcPr>
            <w:tcW w:w="1893" w:type="dxa"/>
            <w:vAlign w:val="center"/>
          </w:tcPr>
          <w:p w14:paraId="130D2E16"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9.80</w:t>
            </w:r>
          </w:p>
        </w:tc>
      </w:tr>
      <w:tr w:rsidR="00D5313B" w:rsidRPr="00F67967" w14:paraId="5ADB3740" w14:textId="77777777" w:rsidTr="00CD051B">
        <w:tc>
          <w:tcPr>
            <w:tcW w:w="1548" w:type="dxa"/>
            <w:vAlign w:val="center"/>
          </w:tcPr>
          <w:p w14:paraId="511D7984"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CD (p=0.05)</w:t>
            </w:r>
          </w:p>
        </w:tc>
        <w:tc>
          <w:tcPr>
            <w:tcW w:w="1890" w:type="dxa"/>
            <w:vAlign w:val="center"/>
          </w:tcPr>
          <w:p w14:paraId="72CBA3AD"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0.99</w:t>
            </w:r>
          </w:p>
        </w:tc>
        <w:tc>
          <w:tcPr>
            <w:tcW w:w="1736" w:type="dxa"/>
            <w:vAlign w:val="center"/>
          </w:tcPr>
          <w:p w14:paraId="0953252D"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1.57</w:t>
            </w:r>
          </w:p>
        </w:tc>
        <w:tc>
          <w:tcPr>
            <w:tcW w:w="1555" w:type="dxa"/>
            <w:vAlign w:val="center"/>
          </w:tcPr>
          <w:p w14:paraId="55C5F69A"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0.077</w:t>
            </w:r>
          </w:p>
        </w:tc>
        <w:tc>
          <w:tcPr>
            <w:tcW w:w="1566" w:type="dxa"/>
            <w:vAlign w:val="center"/>
          </w:tcPr>
          <w:p w14:paraId="2692682F"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7.55</w:t>
            </w:r>
          </w:p>
        </w:tc>
        <w:tc>
          <w:tcPr>
            <w:tcW w:w="1893" w:type="dxa"/>
            <w:vAlign w:val="center"/>
          </w:tcPr>
          <w:p w14:paraId="59B39EAD"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30.20</w:t>
            </w:r>
          </w:p>
        </w:tc>
      </w:tr>
    </w:tbl>
    <w:p w14:paraId="26E37B60" w14:textId="77777777" w:rsidR="00D5313B" w:rsidRPr="00F67967" w:rsidRDefault="00D5313B" w:rsidP="00D5313B">
      <w:pPr>
        <w:rPr>
          <w:rFonts w:ascii="Times New Roman" w:hAnsi="Times New Roman" w:cs="Times New Roman"/>
          <w:sz w:val="24"/>
          <w:szCs w:val="24"/>
        </w:rPr>
      </w:pPr>
    </w:p>
    <w:p w14:paraId="0000E5A6" w14:textId="77777777" w:rsidR="00D5313B" w:rsidRPr="00F67967" w:rsidRDefault="00D5313B" w:rsidP="00D5313B">
      <w:pPr>
        <w:rPr>
          <w:rFonts w:ascii="Times New Roman" w:hAnsi="Times New Roman" w:cs="Times New Roman"/>
          <w:sz w:val="24"/>
          <w:szCs w:val="24"/>
        </w:rPr>
      </w:pPr>
      <w:r w:rsidRPr="00F67967">
        <w:rPr>
          <w:rFonts w:ascii="Times New Roman" w:hAnsi="Times New Roman" w:cs="Times New Roman"/>
          <w:b/>
          <w:sz w:val="24"/>
          <w:szCs w:val="24"/>
        </w:rPr>
        <w:t xml:space="preserve">Table </w:t>
      </w:r>
      <w:proofErr w:type="gramStart"/>
      <w:r w:rsidRPr="00F67967">
        <w:rPr>
          <w:rFonts w:ascii="Times New Roman" w:hAnsi="Times New Roman" w:cs="Times New Roman"/>
          <w:b/>
          <w:sz w:val="24"/>
          <w:szCs w:val="24"/>
        </w:rPr>
        <w:t>2 :</w:t>
      </w:r>
      <w:proofErr w:type="gramEnd"/>
      <w:r w:rsidRPr="00F67967">
        <w:rPr>
          <w:rFonts w:ascii="Times New Roman" w:hAnsi="Times New Roman" w:cs="Times New Roman"/>
          <w:b/>
          <w:sz w:val="24"/>
          <w:szCs w:val="24"/>
        </w:rPr>
        <w:t xml:space="preserve"> Efficacy of Varied Liquid Microbial Formulations on Quality of Mulberry </w:t>
      </w:r>
    </w:p>
    <w:tbl>
      <w:tblPr>
        <w:tblStyle w:val="TableGrid"/>
        <w:tblW w:w="10268" w:type="dxa"/>
        <w:tblLook w:val="04A0" w:firstRow="1" w:lastRow="0" w:firstColumn="1" w:lastColumn="0" w:noHBand="0" w:noVBand="1"/>
      </w:tblPr>
      <w:tblGrid>
        <w:gridCol w:w="1638"/>
        <w:gridCol w:w="1677"/>
        <w:gridCol w:w="2197"/>
        <w:gridCol w:w="1542"/>
        <w:gridCol w:w="1518"/>
        <w:gridCol w:w="1696"/>
      </w:tblGrid>
      <w:tr w:rsidR="00F67967" w:rsidRPr="00F67967" w14:paraId="50E6118A" w14:textId="77777777" w:rsidTr="00CD051B">
        <w:tc>
          <w:tcPr>
            <w:tcW w:w="1638" w:type="dxa"/>
          </w:tcPr>
          <w:p w14:paraId="3D76C7A1"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Treatments</w:t>
            </w:r>
          </w:p>
        </w:tc>
        <w:tc>
          <w:tcPr>
            <w:tcW w:w="1677" w:type="dxa"/>
          </w:tcPr>
          <w:p w14:paraId="10D5396B"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Leaf moisture content (%)</w:t>
            </w:r>
          </w:p>
        </w:tc>
        <w:tc>
          <w:tcPr>
            <w:tcW w:w="2197" w:type="dxa"/>
          </w:tcPr>
          <w:p w14:paraId="5F087B89"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Total moisture retention capacity (%)</w:t>
            </w:r>
          </w:p>
        </w:tc>
        <w:tc>
          <w:tcPr>
            <w:tcW w:w="1542" w:type="dxa"/>
          </w:tcPr>
          <w:p w14:paraId="6378236A"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Total chlorophyll (%)</w:t>
            </w:r>
          </w:p>
        </w:tc>
        <w:tc>
          <w:tcPr>
            <w:tcW w:w="1518" w:type="dxa"/>
          </w:tcPr>
          <w:p w14:paraId="12F381E3"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Total protein (%)</w:t>
            </w:r>
          </w:p>
        </w:tc>
        <w:tc>
          <w:tcPr>
            <w:tcW w:w="1696" w:type="dxa"/>
          </w:tcPr>
          <w:p w14:paraId="22CA95EB"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Total carbohydrates (%)</w:t>
            </w:r>
          </w:p>
        </w:tc>
      </w:tr>
      <w:tr w:rsidR="00F67967" w:rsidRPr="00F67967" w14:paraId="2F124FAB" w14:textId="77777777" w:rsidTr="00CD051B">
        <w:tc>
          <w:tcPr>
            <w:tcW w:w="1638" w:type="dxa"/>
          </w:tcPr>
          <w:p w14:paraId="253BCBAD"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T1</w:t>
            </w:r>
          </w:p>
        </w:tc>
        <w:tc>
          <w:tcPr>
            <w:tcW w:w="1677" w:type="dxa"/>
          </w:tcPr>
          <w:p w14:paraId="02017EF2"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71.20</w:t>
            </w:r>
          </w:p>
        </w:tc>
        <w:tc>
          <w:tcPr>
            <w:tcW w:w="2197" w:type="dxa"/>
          </w:tcPr>
          <w:p w14:paraId="0E6FCE41"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64.40</w:t>
            </w:r>
          </w:p>
        </w:tc>
        <w:tc>
          <w:tcPr>
            <w:tcW w:w="1542" w:type="dxa"/>
          </w:tcPr>
          <w:p w14:paraId="724839E7"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38.50</w:t>
            </w:r>
          </w:p>
        </w:tc>
        <w:tc>
          <w:tcPr>
            <w:tcW w:w="1518" w:type="dxa"/>
          </w:tcPr>
          <w:p w14:paraId="57E23CCA"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20.25</w:t>
            </w:r>
          </w:p>
        </w:tc>
        <w:tc>
          <w:tcPr>
            <w:tcW w:w="1696" w:type="dxa"/>
          </w:tcPr>
          <w:p w14:paraId="1D43048D"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13.15</w:t>
            </w:r>
          </w:p>
        </w:tc>
      </w:tr>
      <w:tr w:rsidR="00F67967" w:rsidRPr="00F67967" w14:paraId="3152E1AD" w14:textId="77777777" w:rsidTr="00CD051B">
        <w:tc>
          <w:tcPr>
            <w:tcW w:w="1638" w:type="dxa"/>
          </w:tcPr>
          <w:p w14:paraId="6C8720AB"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T2</w:t>
            </w:r>
          </w:p>
        </w:tc>
        <w:tc>
          <w:tcPr>
            <w:tcW w:w="1677" w:type="dxa"/>
          </w:tcPr>
          <w:p w14:paraId="16FD4040"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77.50</w:t>
            </w:r>
          </w:p>
        </w:tc>
        <w:tc>
          <w:tcPr>
            <w:tcW w:w="2197" w:type="dxa"/>
          </w:tcPr>
          <w:p w14:paraId="0C96A21B"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71.90</w:t>
            </w:r>
          </w:p>
        </w:tc>
        <w:tc>
          <w:tcPr>
            <w:tcW w:w="1542" w:type="dxa"/>
          </w:tcPr>
          <w:p w14:paraId="09D5AAE5"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45.80</w:t>
            </w:r>
          </w:p>
        </w:tc>
        <w:tc>
          <w:tcPr>
            <w:tcW w:w="1518" w:type="dxa"/>
          </w:tcPr>
          <w:p w14:paraId="6509D8CC"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25.10</w:t>
            </w:r>
          </w:p>
        </w:tc>
        <w:tc>
          <w:tcPr>
            <w:tcW w:w="1696" w:type="dxa"/>
          </w:tcPr>
          <w:p w14:paraId="45CF007F"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16.65</w:t>
            </w:r>
          </w:p>
        </w:tc>
      </w:tr>
      <w:tr w:rsidR="00F67967" w:rsidRPr="00F67967" w14:paraId="12AB25A8" w14:textId="77777777" w:rsidTr="00CD051B">
        <w:tc>
          <w:tcPr>
            <w:tcW w:w="1638" w:type="dxa"/>
          </w:tcPr>
          <w:p w14:paraId="53A88602"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T3</w:t>
            </w:r>
          </w:p>
        </w:tc>
        <w:tc>
          <w:tcPr>
            <w:tcW w:w="1677" w:type="dxa"/>
          </w:tcPr>
          <w:p w14:paraId="0329E49B"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76.90</w:t>
            </w:r>
          </w:p>
        </w:tc>
        <w:tc>
          <w:tcPr>
            <w:tcW w:w="2197" w:type="dxa"/>
          </w:tcPr>
          <w:p w14:paraId="7933B4AB"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70.55</w:t>
            </w:r>
          </w:p>
        </w:tc>
        <w:tc>
          <w:tcPr>
            <w:tcW w:w="1542" w:type="dxa"/>
          </w:tcPr>
          <w:p w14:paraId="4FA70453"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44.10</w:t>
            </w:r>
          </w:p>
        </w:tc>
        <w:tc>
          <w:tcPr>
            <w:tcW w:w="1518" w:type="dxa"/>
          </w:tcPr>
          <w:p w14:paraId="555DCCD4"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24.65</w:t>
            </w:r>
          </w:p>
        </w:tc>
        <w:tc>
          <w:tcPr>
            <w:tcW w:w="1696" w:type="dxa"/>
          </w:tcPr>
          <w:p w14:paraId="0A87B158"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 xml:space="preserve">16.10  </w:t>
            </w:r>
          </w:p>
        </w:tc>
      </w:tr>
      <w:tr w:rsidR="00F67967" w:rsidRPr="00F67967" w14:paraId="7822CF92" w14:textId="77777777" w:rsidTr="00CD051B">
        <w:tc>
          <w:tcPr>
            <w:tcW w:w="1638" w:type="dxa"/>
          </w:tcPr>
          <w:p w14:paraId="4AD069B5"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T4</w:t>
            </w:r>
          </w:p>
        </w:tc>
        <w:tc>
          <w:tcPr>
            <w:tcW w:w="1677" w:type="dxa"/>
          </w:tcPr>
          <w:p w14:paraId="38743020"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74.35</w:t>
            </w:r>
          </w:p>
        </w:tc>
        <w:tc>
          <w:tcPr>
            <w:tcW w:w="2197" w:type="dxa"/>
          </w:tcPr>
          <w:p w14:paraId="5C6720A0"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67.20</w:t>
            </w:r>
          </w:p>
        </w:tc>
        <w:tc>
          <w:tcPr>
            <w:tcW w:w="1542" w:type="dxa"/>
          </w:tcPr>
          <w:p w14:paraId="7B5B94A1"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41.40</w:t>
            </w:r>
          </w:p>
        </w:tc>
        <w:tc>
          <w:tcPr>
            <w:tcW w:w="1518" w:type="dxa"/>
          </w:tcPr>
          <w:p w14:paraId="0361E405"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22.80</w:t>
            </w:r>
          </w:p>
        </w:tc>
        <w:tc>
          <w:tcPr>
            <w:tcW w:w="1696" w:type="dxa"/>
          </w:tcPr>
          <w:p w14:paraId="5D754D49"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14.85</w:t>
            </w:r>
          </w:p>
        </w:tc>
      </w:tr>
      <w:tr w:rsidR="00F67967" w:rsidRPr="00F67967" w14:paraId="6C74F553" w14:textId="77777777" w:rsidTr="00CD051B">
        <w:tc>
          <w:tcPr>
            <w:tcW w:w="1638" w:type="dxa"/>
          </w:tcPr>
          <w:p w14:paraId="6A81FD03" w14:textId="77777777" w:rsidR="00D5313B" w:rsidRPr="00F67967" w:rsidRDefault="00D5313B" w:rsidP="00CD051B">
            <w:pPr>
              <w:jc w:val="center"/>
              <w:rPr>
                <w:rFonts w:ascii="Times New Roman" w:hAnsi="Times New Roman" w:cs="Times New Roman"/>
                <w:sz w:val="24"/>
                <w:szCs w:val="24"/>
              </w:rPr>
            </w:pPr>
            <w:proofErr w:type="spellStart"/>
            <w:r w:rsidRPr="00F67967">
              <w:rPr>
                <w:rFonts w:ascii="Times New Roman" w:eastAsia="Times New Roman" w:hAnsi="Times New Roman" w:cs="Times New Roman"/>
                <w:b/>
                <w:bCs/>
                <w:sz w:val="24"/>
                <w:szCs w:val="24"/>
              </w:rPr>
              <w:t>SEm</w:t>
            </w:r>
            <w:proofErr w:type="spellEnd"/>
            <w:r w:rsidRPr="00F67967">
              <w:rPr>
                <w:rFonts w:ascii="Times New Roman" w:eastAsia="Times New Roman" w:hAnsi="Times New Roman" w:cs="Times New Roman"/>
                <w:b/>
                <w:bCs/>
                <w:sz w:val="24"/>
                <w:szCs w:val="24"/>
              </w:rPr>
              <w:t>±</w:t>
            </w:r>
          </w:p>
        </w:tc>
        <w:tc>
          <w:tcPr>
            <w:tcW w:w="1677" w:type="dxa"/>
          </w:tcPr>
          <w:p w14:paraId="17D4485D"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1.15</w:t>
            </w:r>
          </w:p>
        </w:tc>
        <w:tc>
          <w:tcPr>
            <w:tcW w:w="2197" w:type="dxa"/>
          </w:tcPr>
          <w:p w14:paraId="45E8DD52"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1.30</w:t>
            </w:r>
          </w:p>
        </w:tc>
        <w:tc>
          <w:tcPr>
            <w:tcW w:w="1542" w:type="dxa"/>
          </w:tcPr>
          <w:p w14:paraId="117F5BD9"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0.85</w:t>
            </w:r>
          </w:p>
        </w:tc>
        <w:tc>
          <w:tcPr>
            <w:tcW w:w="1518" w:type="dxa"/>
          </w:tcPr>
          <w:p w14:paraId="5DF34B21"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0.48</w:t>
            </w:r>
          </w:p>
        </w:tc>
        <w:tc>
          <w:tcPr>
            <w:tcW w:w="1696" w:type="dxa"/>
          </w:tcPr>
          <w:p w14:paraId="59960CC6"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0.35</w:t>
            </w:r>
          </w:p>
        </w:tc>
      </w:tr>
      <w:tr w:rsidR="00D5313B" w:rsidRPr="00F67967" w14:paraId="54B90A53" w14:textId="77777777" w:rsidTr="00CD051B">
        <w:tc>
          <w:tcPr>
            <w:tcW w:w="1638" w:type="dxa"/>
          </w:tcPr>
          <w:p w14:paraId="5DF4527C"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CD (p=0.05)</w:t>
            </w:r>
          </w:p>
        </w:tc>
        <w:tc>
          <w:tcPr>
            <w:tcW w:w="1677" w:type="dxa"/>
          </w:tcPr>
          <w:p w14:paraId="010D3717"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3.54</w:t>
            </w:r>
          </w:p>
        </w:tc>
        <w:tc>
          <w:tcPr>
            <w:tcW w:w="2197" w:type="dxa"/>
            <w:vAlign w:val="center"/>
          </w:tcPr>
          <w:p w14:paraId="7307313D" w14:textId="77777777" w:rsidR="00D5313B" w:rsidRPr="00F67967" w:rsidRDefault="00D5313B" w:rsidP="00CD051B">
            <w:pPr>
              <w:jc w:val="center"/>
              <w:rPr>
                <w:rFonts w:ascii="Times New Roman" w:eastAsia="Times New Roman" w:hAnsi="Times New Roman" w:cs="Times New Roman"/>
                <w:sz w:val="24"/>
                <w:szCs w:val="24"/>
              </w:rPr>
            </w:pPr>
            <w:r w:rsidRPr="00F67967">
              <w:rPr>
                <w:rFonts w:ascii="Times New Roman" w:eastAsia="Times New Roman" w:hAnsi="Times New Roman" w:cs="Times New Roman"/>
                <w:b/>
                <w:bCs/>
                <w:sz w:val="24"/>
                <w:szCs w:val="24"/>
              </w:rPr>
              <w:t>4.01</w:t>
            </w:r>
          </w:p>
        </w:tc>
        <w:tc>
          <w:tcPr>
            <w:tcW w:w="1542" w:type="dxa"/>
          </w:tcPr>
          <w:p w14:paraId="75F8E0BA"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2.62</w:t>
            </w:r>
          </w:p>
        </w:tc>
        <w:tc>
          <w:tcPr>
            <w:tcW w:w="1518" w:type="dxa"/>
          </w:tcPr>
          <w:p w14:paraId="67D236C7"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1.48</w:t>
            </w:r>
          </w:p>
        </w:tc>
        <w:tc>
          <w:tcPr>
            <w:tcW w:w="1696" w:type="dxa"/>
          </w:tcPr>
          <w:p w14:paraId="068C7033"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1.08</w:t>
            </w:r>
          </w:p>
        </w:tc>
      </w:tr>
    </w:tbl>
    <w:p w14:paraId="59CDFC06" w14:textId="77777777" w:rsidR="00D5313B" w:rsidRPr="00F67967" w:rsidRDefault="00D5313B" w:rsidP="00D5313B">
      <w:pPr>
        <w:rPr>
          <w:rFonts w:ascii="Times New Roman" w:hAnsi="Times New Roman" w:cs="Times New Roman"/>
          <w:sz w:val="24"/>
          <w:szCs w:val="24"/>
        </w:rPr>
      </w:pPr>
    </w:p>
    <w:p w14:paraId="4E4A6545" w14:textId="77777777" w:rsidR="00D5313B" w:rsidRPr="00F67967" w:rsidRDefault="00D5313B" w:rsidP="00D5313B">
      <w:pPr>
        <w:rPr>
          <w:rFonts w:ascii="Times New Roman" w:hAnsi="Times New Roman" w:cs="Times New Roman"/>
          <w:sz w:val="24"/>
          <w:szCs w:val="24"/>
        </w:rPr>
      </w:pPr>
      <w:r w:rsidRPr="00F67967">
        <w:rPr>
          <w:rFonts w:ascii="Times New Roman" w:hAnsi="Times New Roman" w:cs="Times New Roman"/>
          <w:b/>
          <w:sz w:val="24"/>
          <w:szCs w:val="24"/>
        </w:rPr>
        <w:t xml:space="preserve">Table </w:t>
      </w:r>
      <w:proofErr w:type="gramStart"/>
      <w:r w:rsidRPr="00F67967">
        <w:rPr>
          <w:rFonts w:ascii="Times New Roman" w:hAnsi="Times New Roman" w:cs="Times New Roman"/>
          <w:b/>
          <w:sz w:val="24"/>
          <w:szCs w:val="24"/>
        </w:rPr>
        <w:t>3 :</w:t>
      </w:r>
      <w:proofErr w:type="gramEnd"/>
      <w:r w:rsidRPr="00F67967">
        <w:rPr>
          <w:rFonts w:ascii="Times New Roman" w:hAnsi="Times New Roman" w:cs="Times New Roman"/>
          <w:b/>
          <w:sz w:val="24"/>
          <w:szCs w:val="24"/>
        </w:rPr>
        <w:t xml:space="preserve"> Economic Analysis of Varied Liquid Microbial Formulations on Mulberry Yield</w:t>
      </w:r>
    </w:p>
    <w:tbl>
      <w:tblPr>
        <w:tblStyle w:val="TableGrid"/>
        <w:tblW w:w="0" w:type="auto"/>
        <w:jc w:val="center"/>
        <w:tblLook w:val="04A0" w:firstRow="1" w:lastRow="0" w:firstColumn="1" w:lastColumn="0" w:noHBand="0" w:noVBand="1"/>
      </w:tblPr>
      <w:tblGrid>
        <w:gridCol w:w="1453"/>
        <w:gridCol w:w="1693"/>
        <w:gridCol w:w="1704"/>
        <w:gridCol w:w="1531"/>
        <w:gridCol w:w="1531"/>
      </w:tblGrid>
      <w:tr w:rsidR="00F67967" w:rsidRPr="00F67967" w14:paraId="2FC278CA" w14:textId="77777777" w:rsidTr="00CD051B">
        <w:trPr>
          <w:jc w:val="center"/>
        </w:trPr>
        <w:tc>
          <w:tcPr>
            <w:tcW w:w="1453" w:type="dxa"/>
          </w:tcPr>
          <w:p w14:paraId="171BE1E9"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Treatments</w:t>
            </w:r>
          </w:p>
        </w:tc>
        <w:tc>
          <w:tcPr>
            <w:tcW w:w="1693" w:type="dxa"/>
          </w:tcPr>
          <w:p w14:paraId="23B652F5"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eastAsia="Times New Roman" w:hAnsi="Times New Roman" w:cs="Times New Roman"/>
                <w:b/>
                <w:bCs/>
                <w:kern w:val="24"/>
                <w:sz w:val="24"/>
                <w:szCs w:val="24"/>
              </w:rPr>
              <w:t>Gross cost (Rs./ha)</w:t>
            </w:r>
          </w:p>
        </w:tc>
        <w:tc>
          <w:tcPr>
            <w:tcW w:w="1704" w:type="dxa"/>
          </w:tcPr>
          <w:p w14:paraId="24993408"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eastAsia="Times New Roman" w:hAnsi="Times New Roman" w:cs="Times New Roman"/>
                <w:b/>
                <w:bCs/>
                <w:kern w:val="24"/>
                <w:sz w:val="24"/>
                <w:szCs w:val="24"/>
              </w:rPr>
              <w:t>Gross Return (Rs./ha)</w:t>
            </w:r>
          </w:p>
        </w:tc>
        <w:tc>
          <w:tcPr>
            <w:tcW w:w="1531" w:type="dxa"/>
          </w:tcPr>
          <w:p w14:paraId="246DE522"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eastAsia="Times New Roman" w:hAnsi="Times New Roman" w:cs="Times New Roman"/>
                <w:b/>
                <w:bCs/>
                <w:kern w:val="24"/>
                <w:sz w:val="24"/>
                <w:szCs w:val="24"/>
              </w:rPr>
              <w:t>Net Return (Rs./ha)</w:t>
            </w:r>
          </w:p>
        </w:tc>
        <w:tc>
          <w:tcPr>
            <w:tcW w:w="1531" w:type="dxa"/>
          </w:tcPr>
          <w:p w14:paraId="26FC151B"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eastAsia="Times New Roman" w:hAnsi="Times New Roman" w:cs="Times New Roman"/>
                <w:b/>
                <w:bCs/>
                <w:kern w:val="24"/>
                <w:sz w:val="24"/>
                <w:szCs w:val="24"/>
              </w:rPr>
              <w:t>B:C Ratio (Rs.)</w:t>
            </w:r>
          </w:p>
        </w:tc>
      </w:tr>
      <w:tr w:rsidR="00F67967" w:rsidRPr="00F67967" w14:paraId="1BBE9BC6" w14:textId="77777777" w:rsidTr="00CD051B">
        <w:trPr>
          <w:jc w:val="center"/>
        </w:trPr>
        <w:tc>
          <w:tcPr>
            <w:tcW w:w="1453" w:type="dxa"/>
          </w:tcPr>
          <w:p w14:paraId="52A097E7"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T1</w:t>
            </w:r>
          </w:p>
        </w:tc>
        <w:tc>
          <w:tcPr>
            <w:tcW w:w="1693" w:type="dxa"/>
          </w:tcPr>
          <w:p w14:paraId="75F04D6F"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lang w:val="en-IN"/>
              </w:rPr>
              <w:t>50000</w:t>
            </w:r>
          </w:p>
        </w:tc>
        <w:tc>
          <w:tcPr>
            <w:tcW w:w="1704" w:type="dxa"/>
          </w:tcPr>
          <w:p w14:paraId="1ED79755"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138187</w:t>
            </w:r>
          </w:p>
        </w:tc>
        <w:tc>
          <w:tcPr>
            <w:tcW w:w="1531" w:type="dxa"/>
          </w:tcPr>
          <w:p w14:paraId="4FD56308"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88187</w:t>
            </w:r>
          </w:p>
        </w:tc>
        <w:tc>
          <w:tcPr>
            <w:tcW w:w="1531" w:type="dxa"/>
          </w:tcPr>
          <w:p w14:paraId="48450ADD"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2.76</w:t>
            </w:r>
          </w:p>
        </w:tc>
      </w:tr>
      <w:tr w:rsidR="00F67967" w:rsidRPr="00F67967" w14:paraId="56A552DC" w14:textId="77777777" w:rsidTr="00CD051B">
        <w:trPr>
          <w:jc w:val="center"/>
        </w:trPr>
        <w:tc>
          <w:tcPr>
            <w:tcW w:w="1453" w:type="dxa"/>
          </w:tcPr>
          <w:p w14:paraId="7A6ACC73"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T2</w:t>
            </w:r>
          </w:p>
        </w:tc>
        <w:tc>
          <w:tcPr>
            <w:tcW w:w="1693" w:type="dxa"/>
          </w:tcPr>
          <w:p w14:paraId="6E324997"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50450</w:t>
            </w:r>
          </w:p>
        </w:tc>
        <w:tc>
          <w:tcPr>
            <w:tcW w:w="1704" w:type="dxa"/>
          </w:tcPr>
          <w:p w14:paraId="1A3E22C3"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183184</w:t>
            </w:r>
          </w:p>
        </w:tc>
        <w:tc>
          <w:tcPr>
            <w:tcW w:w="1531" w:type="dxa"/>
          </w:tcPr>
          <w:p w14:paraId="5CC864E3"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132734</w:t>
            </w:r>
          </w:p>
        </w:tc>
        <w:tc>
          <w:tcPr>
            <w:tcW w:w="1531" w:type="dxa"/>
          </w:tcPr>
          <w:p w14:paraId="0ED32E56"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3.63</w:t>
            </w:r>
          </w:p>
        </w:tc>
      </w:tr>
      <w:tr w:rsidR="00F67967" w:rsidRPr="00F67967" w14:paraId="588A92E1" w14:textId="77777777" w:rsidTr="00CD051B">
        <w:trPr>
          <w:jc w:val="center"/>
        </w:trPr>
        <w:tc>
          <w:tcPr>
            <w:tcW w:w="1453" w:type="dxa"/>
          </w:tcPr>
          <w:p w14:paraId="1F68B5EA"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T3</w:t>
            </w:r>
          </w:p>
        </w:tc>
        <w:tc>
          <w:tcPr>
            <w:tcW w:w="1693" w:type="dxa"/>
          </w:tcPr>
          <w:p w14:paraId="0F178C61"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50789</w:t>
            </w:r>
          </w:p>
        </w:tc>
        <w:tc>
          <w:tcPr>
            <w:tcW w:w="1704" w:type="dxa"/>
          </w:tcPr>
          <w:p w14:paraId="15712BD3"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182100</w:t>
            </w:r>
          </w:p>
        </w:tc>
        <w:tc>
          <w:tcPr>
            <w:tcW w:w="1531" w:type="dxa"/>
          </w:tcPr>
          <w:p w14:paraId="31AAF52D"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131311</w:t>
            </w:r>
          </w:p>
        </w:tc>
        <w:tc>
          <w:tcPr>
            <w:tcW w:w="1531" w:type="dxa"/>
          </w:tcPr>
          <w:p w14:paraId="068C89AE"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3.58</w:t>
            </w:r>
          </w:p>
        </w:tc>
      </w:tr>
      <w:tr w:rsidR="00F67967" w:rsidRPr="00F67967" w14:paraId="5D149B35" w14:textId="77777777" w:rsidTr="00CD051B">
        <w:trPr>
          <w:jc w:val="center"/>
        </w:trPr>
        <w:tc>
          <w:tcPr>
            <w:tcW w:w="1453" w:type="dxa"/>
          </w:tcPr>
          <w:p w14:paraId="5731A431"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T4</w:t>
            </w:r>
          </w:p>
        </w:tc>
        <w:tc>
          <w:tcPr>
            <w:tcW w:w="1693" w:type="dxa"/>
          </w:tcPr>
          <w:p w14:paraId="2674DF91"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50240</w:t>
            </w:r>
          </w:p>
        </w:tc>
        <w:tc>
          <w:tcPr>
            <w:tcW w:w="1704" w:type="dxa"/>
          </w:tcPr>
          <w:p w14:paraId="6CB18980"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174740</w:t>
            </w:r>
          </w:p>
        </w:tc>
        <w:tc>
          <w:tcPr>
            <w:tcW w:w="1531" w:type="dxa"/>
          </w:tcPr>
          <w:p w14:paraId="71F4ECCE"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124500</w:t>
            </w:r>
          </w:p>
        </w:tc>
        <w:tc>
          <w:tcPr>
            <w:tcW w:w="1531" w:type="dxa"/>
          </w:tcPr>
          <w:p w14:paraId="5C2D9E09"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3.48</w:t>
            </w:r>
          </w:p>
        </w:tc>
      </w:tr>
    </w:tbl>
    <w:p w14:paraId="7A931538" w14:textId="77777777" w:rsidR="002E5073" w:rsidRPr="00F67967" w:rsidRDefault="002E5073" w:rsidP="002E5073">
      <w:pPr>
        <w:pStyle w:val="Default"/>
        <w:jc w:val="both"/>
        <w:rPr>
          <w:rFonts w:ascii="Times New Roman" w:hAnsi="Times New Roman" w:cs="Times New Roman"/>
          <w:b/>
          <w:bCs/>
          <w:color w:val="auto"/>
        </w:rPr>
      </w:pPr>
    </w:p>
    <w:p w14:paraId="77A204CB" w14:textId="77777777" w:rsidR="002E5073" w:rsidRPr="00F67967" w:rsidRDefault="002E5073" w:rsidP="002E5073">
      <w:pPr>
        <w:pStyle w:val="Default"/>
        <w:jc w:val="both"/>
        <w:rPr>
          <w:rFonts w:ascii="Times New Roman" w:hAnsi="Times New Roman" w:cs="Times New Roman"/>
          <w:b/>
          <w:bCs/>
          <w:color w:val="auto"/>
        </w:rPr>
      </w:pPr>
    </w:p>
    <w:p w14:paraId="1D9EDEE7" w14:textId="77777777" w:rsidR="002E5073" w:rsidRPr="00F67967" w:rsidRDefault="002E5073" w:rsidP="002E5073">
      <w:pPr>
        <w:pStyle w:val="Default"/>
        <w:jc w:val="both"/>
        <w:rPr>
          <w:rFonts w:ascii="Times New Roman" w:hAnsi="Times New Roman" w:cs="Times New Roman"/>
          <w:b/>
          <w:bCs/>
          <w:color w:val="auto"/>
        </w:rPr>
      </w:pPr>
    </w:p>
    <w:p w14:paraId="72DA00D5" w14:textId="77777777" w:rsidR="00D5313B" w:rsidRPr="00F67967" w:rsidRDefault="00D5313B" w:rsidP="00E022DE"/>
    <w:sectPr w:rsidR="00D5313B" w:rsidRPr="00F6796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83371" w14:textId="77777777" w:rsidR="00E75B90" w:rsidRDefault="00E75B90" w:rsidP="00BF190C">
      <w:pPr>
        <w:spacing w:after="0" w:line="240" w:lineRule="auto"/>
      </w:pPr>
      <w:r>
        <w:separator/>
      </w:r>
    </w:p>
  </w:endnote>
  <w:endnote w:type="continuationSeparator" w:id="0">
    <w:p w14:paraId="031A29B3" w14:textId="77777777" w:rsidR="00E75B90" w:rsidRDefault="00E75B90" w:rsidP="00BF1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6C9C5" w14:textId="77777777" w:rsidR="00BF190C" w:rsidRDefault="00BF19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89751" w14:textId="77777777" w:rsidR="00BF190C" w:rsidRDefault="00BF19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A4E75" w14:textId="77777777" w:rsidR="00BF190C" w:rsidRDefault="00BF19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07ED6" w14:textId="77777777" w:rsidR="00E75B90" w:rsidRDefault="00E75B90" w:rsidP="00BF190C">
      <w:pPr>
        <w:spacing w:after="0" w:line="240" w:lineRule="auto"/>
      </w:pPr>
      <w:r>
        <w:separator/>
      </w:r>
    </w:p>
  </w:footnote>
  <w:footnote w:type="continuationSeparator" w:id="0">
    <w:p w14:paraId="73CBE4E3" w14:textId="77777777" w:rsidR="00E75B90" w:rsidRDefault="00E75B90" w:rsidP="00BF19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3639" w14:textId="1FFF0EA9" w:rsidR="00BF190C" w:rsidRDefault="00BF190C">
    <w:pPr>
      <w:pStyle w:val="Header"/>
    </w:pPr>
    <w:r>
      <w:rPr>
        <w:noProof/>
      </w:rPr>
      <w:pict w14:anchorId="6CD770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90010469"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D4426" w14:textId="5257F480" w:rsidR="00BF190C" w:rsidRDefault="00BF190C">
    <w:pPr>
      <w:pStyle w:val="Header"/>
    </w:pPr>
    <w:r>
      <w:rPr>
        <w:noProof/>
      </w:rPr>
      <w:pict w14:anchorId="479FA3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90010470"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9944C" w14:textId="504593DF" w:rsidR="00BF190C" w:rsidRDefault="00BF190C">
    <w:pPr>
      <w:pStyle w:val="Header"/>
    </w:pPr>
    <w:r>
      <w:rPr>
        <w:noProof/>
      </w:rPr>
      <w:pict w14:anchorId="76CA77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90010468"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7688B"/>
    <w:multiLevelType w:val="multilevel"/>
    <w:tmpl w:val="F99E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651FF"/>
    <w:multiLevelType w:val="multilevel"/>
    <w:tmpl w:val="CB6A5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D57FF2"/>
    <w:multiLevelType w:val="multilevel"/>
    <w:tmpl w:val="71E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FB2C2A"/>
    <w:multiLevelType w:val="multilevel"/>
    <w:tmpl w:val="F07A0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834D7C"/>
    <w:multiLevelType w:val="multilevel"/>
    <w:tmpl w:val="996C5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CF6D07"/>
    <w:multiLevelType w:val="multilevel"/>
    <w:tmpl w:val="093E0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6D53E9D"/>
    <w:multiLevelType w:val="multilevel"/>
    <w:tmpl w:val="7AFA5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FA225C"/>
    <w:multiLevelType w:val="multilevel"/>
    <w:tmpl w:val="ADD2D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0169865">
    <w:abstractNumId w:val="6"/>
  </w:num>
  <w:num w:numId="2" w16cid:durableId="463549734">
    <w:abstractNumId w:val="1"/>
  </w:num>
  <w:num w:numId="3" w16cid:durableId="180509041">
    <w:abstractNumId w:val="3"/>
  </w:num>
  <w:num w:numId="4" w16cid:durableId="1156217495">
    <w:abstractNumId w:val="0"/>
  </w:num>
  <w:num w:numId="5" w16cid:durableId="1191527644">
    <w:abstractNumId w:val="2"/>
  </w:num>
  <w:num w:numId="6" w16cid:durableId="311104677">
    <w:abstractNumId w:val="7"/>
  </w:num>
  <w:num w:numId="7" w16cid:durableId="632104037">
    <w:abstractNumId w:val="4"/>
  </w:num>
  <w:num w:numId="8" w16cid:durableId="17185529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3A2"/>
    <w:rsid w:val="000335BB"/>
    <w:rsid w:val="0005658B"/>
    <w:rsid w:val="00057495"/>
    <w:rsid w:val="000819CC"/>
    <w:rsid w:val="00097CFB"/>
    <w:rsid w:val="000B00B9"/>
    <w:rsid w:val="000D10E2"/>
    <w:rsid w:val="000E0D58"/>
    <w:rsid w:val="000E3169"/>
    <w:rsid w:val="000E3186"/>
    <w:rsid w:val="00100B98"/>
    <w:rsid w:val="001228E9"/>
    <w:rsid w:val="0012326C"/>
    <w:rsid w:val="001508D7"/>
    <w:rsid w:val="00152A2B"/>
    <w:rsid w:val="001534C8"/>
    <w:rsid w:val="00166CD9"/>
    <w:rsid w:val="00183288"/>
    <w:rsid w:val="00194C25"/>
    <w:rsid w:val="001A55C1"/>
    <w:rsid w:val="001B6DFF"/>
    <w:rsid w:val="001D03A2"/>
    <w:rsid w:val="001D604E"/>
    <w:rsid w:val="001E59BB"/>
    <w:rsid w:val="00207DA0"/>
    <w:rsid w:val="00215687"/>
    <w:rsid w:val="00216447"/>
    <w:rsid w:val="00220940"/>
    <w:rsid w:val="00220D1D"/>
    <w:rsid w:val="002452E4"/>
    <w:rsid w:val="00260194"/>
    <w:rsid w:val="002A3A9E"/>
    <w:rsid w:val="002C74C5"/>
    <w:rsid w:val="002E5073"/>
    <w:rsid w:val="002F7885"/>
    <w:rsid w:val="003067DA"/>
    <w:rsid w:val="003140E4"/>
    <w:rsid w:val="00341393"/>
    <w:rsid w:val="00350F3D"/>
    <w:rsid w:val="0035790C"/>
    <w:rsid w:val="00374B5E"/>
    <w:rsid w:val="003C589D"/>
    <w:rsid w:val="003C629C"/>
    <w:rsid w:val="003C72F9"/>
    <w:rsid w:val="003D7ADC"/>
    <w:rsid w:val="003F05EC"/>
    <w:rsid w:val="003F3ECD"/>
    <w:rsid w:val="00413694"/>
    <w:rsid w:val="004150F6"/>
    <w:rsid w:val="0044026C"/>
    <w:rsid w:val="00447EC7"/>
    <w:rsid w:val="00456DE2"/>
    <w:rsid w:val="0046341B"/>
    <w:rsid w:val="004731D1"/>
    <w:rsid w:val="004733E6"/>
    <w:rsid w:val="004A7715"/>
    <w:rsid w:val="004B53A2"/>
    <w:rsid w:val="004E329C"/>
    <w:rsid w:val="0050267A"/>
    <w:rsid w:val="00502B0C"/>
    <w:rsid w:val="005304FA"/>
    <w:rsid w:val="00531B07"/>
    <w:rsid w:val="0053515F"/>
    <w:rsid w:val="0055734B"/>
    <w:rsid w:val="005925B0"/>
    <w:rsid w:val="005929EE"/>
    <w:rsid w:val="005B715E"/>
    <w:rsid w:val="005D54AB"/>
    <w:rsid w:val="005E09A5"/>
    <w:rsid w:val="005E5699"/>
    <w:rsid w:val="005E7166"/>
    <w:rsid w:val="00640EA8"/>
    <w:rsid w:val="00657B62"/>
    <w:rsid w:val="00662901"/>
    <w:rsid w:val="00663900"/>
    <w:rsid w:val="00684923"/>
    <w:rsid w:val="006B16FC"/>
    <w:rsid w:val="006C36D3"/>
    <w:rsid w:val="006C6C1A"/>
    <w:rsid w:val="006D770E"/>
    <w:rsid w:val="006E6BCB"/>
    <w:rsid w:val="006E7266"/>
    <w:rsid w:val="006F04E7"/>
    <w:rsid w:val="006F5489"/>
    <w:rsid w:val="00704022"/>
    <w:rsid w:val="0071302A"/>
    <w:rsid w:val="00721A5A"/>
    <w:rsid w:val="00726536"/>
    <w:rsid w:val="00752CDB"/>
    <w:rsid w:val="00752F1A"/>
    <w:rsid w:val="00771C60"/>
    <w:rsid w:val="007743AC"/>
    <w:rsid w:val="007860A8"/>
    <w:rsid w:val="007B7521"/>
    <w:rsid w:val="00816766"/>
    <w:rsid w:val="008255CA"/>
    <w:rsid w:val="0083314F"/>
    <w:rsid w:val="00881C0E"/>
    <w:rsid w:val="00882F4A"/>
    <w:rsid w:val="008A46D5"/>
    <w:rsid w:val="008A505D"/>
    <w:rsid w:val="008F2DAA"/>
    <w:rsid w:val="00902218"/>
    <w:rsid w:val="00913B1F"/>
    <w:rsid w:val="00914BFA"/>
    <w:rsid w:val="00921D34"/>
    <w:rsid w:val="0092209D"/>
    <w:rsid w:val="009272F0"/>
    <w:rsid w:val="009564E7"/>
    <w:rsid w:val="009573A1"/>
    <w:rsid w:val="00960AAD"/>
    <w:rsid w:val="009627A9"/>
    <w:rsid w:val="009706CE"/>
    <w:rsid w:val="00983839"/>
    <w:rsid w:val="00984CAA"/>
    <w:rsid w:val="00993B17"/>
    <w:rsid w:val="009C2E5E"/>
    <w:rsid w:val="009D4B8A"/>
    <w:rsid w:val="009D783F"/>
    <w:rsid w:val="009E0BBB"/>
    <w:rsid w:val="009E1D5C"/>
    <w:rsid w:val="009E2399"/>
    <w:rsid w:val="009F4630"/>
    <w:rsid w:val="00A00A6D"/>
    <w:rsid w:val="00A1389C"/>
    <w:rsid w:val="00A1427F"/>
    <w:rsid w:val="00A4334A"/>
    <w:rsid w:val="00A70001"/>
    <w:rsid w:val="00A7041A"/>
    <w:rsid w:val="00A737D4"/>
    <w:rsid w:val="00A737E8"/>
    <w:rsid w:val="00A90243"/>
    <w:rsid w:val="00A927E0"/>
    <w:rsid w:val="00A93E38"/>
    <w:rsid w:val="00AA40E9"/>
    <w:rsid w:val="00AB1208"/>
    <w:rsid w:val="00AF0170"/>
    <w:rsid w:val="00B009BB"/>
    <w:rsid w:val="00B017CA"/>
    <w:rsid w:val="00B32D9D"/>
    <w:rsid w:val="00B34E17"/>
    <w:rsid w:val="00B86628"/>
    <w:rsid w:val="00B923AA"/>
    <w:rsid w:val="00B96689"/>
    <w:rsid w:val="00B979E1"/>
    <w:rsid w:val="00BD1447"/>
    <w:rsid w:val="00BD50DA"/>
    <w:rsid w:val="00BF190C"/>
    <w:rsid w:val="00C04DEA"/>
    <w:rsid w:val="00C10828"/>
    <w:rsid w:val="00C305AE"/>
    <w:rsid w:val="00C3426B"/>
    <w:rsid w:val="00C67E0E"/>
    <w:rsid w:val="00C82F36"/>
    <w:rsid w:val="00CA305C"/>
    <w:rsid w:val="00CA3F39"/>
    <w:rsid w:val="00CF028B"/>
    <w:rsid w:val="00D062DE"/>
    <w:rsid w:val="00D117F2"/>
    <w:rsid w:val="00D148F7"/>
    <w:rsid w:val="00D214C9"/>
    <w:rsid w:val="00D33340"/>
    <w:rsid w:val="00D34475"/>
    <w:rsid w:val="00D415A6"/>
    <w:rsid w:val="00D51519"/>
    <w:rsid w:val="00D5313B"/>
    <w:rsid w:val="00D61223"/>
    <w:rsid w:val="00D739C1"/>
    <w:rsid w:val="00D75FFE"/>
    <w:rsid w:val="00D81EAE"/>
    <w:rsid w:val="00D92E06"/>
    <w:rsid w:val="00DC2E98"/>
    <w:rsid w:val="00DD5D27"/>
    <w:rsid w:val="00DE254B"/>
    <w:rsid w:val="00E022DE"/>
    <w:rsid w:val="00E0382F"/>
    <w:rsid w:val="00E12596"/>
    <w:rsid w:val="00E4452B"/>
    <w:rsid w:val="00E673C8"/>
    <w:rsid w:val="00E75569"/>
    <w:rsid w:val="00E75B90"/>
    <w:rsid w:val="00E90813"/>
    <w:rsid w:val="00EA264F"/>
    <w:rsid w:val="00EA6CB7"/>
    <w:rsid w:val="00EB70D4"/>
    <w:rsid w:val="00EE6D7A"/>
    <w:rsid w:val="00F539E5"/>
    <w:rsid w:val="00F67967"/>
    <w:rsid w:val="00F71DE5"/>
    <w:rsid w:val="00F967B8"/>
    <w:rsid w:val="00FA2F05"/>
    <w:rsid w:val="00FC196D"/>
    <w:rsid w:val="00FC4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AEBA5"/>
  <w15:docId w15:val="{6175541A-79A8-4C50-8C24-E8F839855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50F3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D81EA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8662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04DE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04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D9D"/>
    <w:rPr>
      <w:b/>
      <w:bCs/>
    </w:rPr>
  </w:style>
  <w:style w:type="character" w:customStyle="1" w:styleId="inqyif">
    <w:name w:val="inqyif"/>
    <w:basedOn w:val="DefaultParagraphFont"/>
    <w:rsid w:val="00EA6CB7"/>
  </w:style>
  <w:style w:type="character" w:customStyle="1" w:styleId="Heading3Char">
    <w:name w:val="Heading 3 Char"/>
    <w:basedOn w:val="DefaultParagraphFont"/>
    <w:link w:val="Heading3"/>
    <w:uiPriority w:val="9"/>
    <w:rsid w:val="00D81EAE"/>
    <w:rPr>
      <w:rFonts w:ascii="Times New Roman" w:eastAsia="Times New Roman" w:hAnsi="Times New Roman" w:cs="Times New Roman"/>
      <w:b/>
      <w:bCs/>
      <w:sz w:val="27"/>
      <w:szCs w:val="27"/>
    </w:rPr>
  </w:style>
  <w:style w:type="character" w:styleId="Emphasis">
    <w:name w:val="Emphasis"/>
    <w:basedOn w:val="DefaultParagraphFont"/>
    <w:uiPriority w:val="20"/>
    <w:qFormat/>
    <w:rsid w:val="00D81EAE"/>
    <w:rPr>
      <w:i/>
      <w:iCs/>
    </w:rPr>
  </w:style>
  <w:style w:type="character" w:customStyle="1" w:styleId="Heading2Char">
    <w:name w:val="Heading 2 Char"/>
    <w:basedOn w:val="DefaultParagraphFont"/>
    <w:link w:val="Heading2"/>
    <w:uiPriority w:val="9"/>
    <w:semiHidden/>
    <w:rsid w:val="00350F3D"/>
    <w:rPr>
      <w:rFonts w:asciiTheme="majorHAnsi" w:eastAsiaTheme="majorEastAsia" w:hAnsiTheme="majorHAnsi" w:cstheme="majorBidi"/>
      <w:b/>
      <w:bCs/>
      <w:color w:val="4F81BD" w:themeColor="accent1"/>
      <w:sz w:val="26"/>
      <w:szCs w:val="26"/>
    </w:rPr>
  </w:style>
  <w:style w:type="paragraph" w:customStyle="1" w:styleId="isselectedend">
    <w:name w:val="isselectedend"/>
    <w:basedOn w:val="Normal"/>
    <w:rsid w:val="00350F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B86628"/>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657B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7B62"/>
    <w:rPr>
      <w:rFonts w:ascii="Tahoma" w:hAnsi="Tahoma" w:cs="Tahoma"/>
      <w:sz w:val="16"/>
      <w:szCs w:val="16"/>
    </w:rPr>
  </w:style>
  <w:style w:type="paragraph" w:customStyle="1" w:styleId="Default">
    <w:name w:val="Default"/>
    <w:rsid w:val="00D739C1"/>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BF19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90C"/>
  </w:style>
  <w:style w:type="paragraph" w:styleId="Footer">
    <w:name w:val="footer"/>
    <w:basedOn w:val="Normal"/>
    <w:link w:val="FooterChar"/>
    <w:uiPriority w:val="99"/>
    <w:unhideWhenUsed/>
    <w:rsid w:val="00BF19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9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43862">
      <w:bodyDiv w:val="1"/>
      <w:marLeft w:val="0"/>
      <w:marRight w:val="0"/>
      <w:marTop w:val="0"/>
      <w:marBottom w:val="0"/>
      <w:divBdr>
        <w:top w:val="none" w:sz="0" w:space="0" w:color="auto"/>
        <w:left w:val="none" w:sz="0" w:space="0" w:color="auto"/>
        <w:bottom w:val="none" w:sz="0" w:space="0" w:color="auto"/>
        <w:right w:val="none" w:sz="0" w:space="0" w:color="auto"/>
      </w:divBdr>
    </w:div>
    <w:div w:id="268515891">
      <w:bodyDiv w:val="1"/>
      <w:marLeft w:val="0"/>
      <w:marRight w:val="0"/>
      <w:marTop w:val="0"/>
      <w:marBottom w:val="0"/>
      <w:divBdr>
        <w:top w:val="none" w:sz="0" w:space="0" w:color="auto"/>
        <w:left w:val="none" w:sz="0" w:space="0" w:color="auto"/>
        <w:bottom w:val="none" w:sz="0" w:space="0" w:color="auto"/>
        <w:right w:val="none" w:sz="0" w:space="0" w:color="auto"/>
      </w:divBdr>
    </w:div>
    <w:div w:id="338317352">
      <w:bodyDiv w:val="1"/>
      <w:marLeft w:val="0"/>
      <w:marRight w:val="0"/>
      <w:marTop w:val="0"/>
      <w:marBottom w:val="0"/>
      <w:divBdr>
        <w:top w:val="none" w:sz="0" w:space="0" w:color="auto"/>
        <w:left w:val="none" w:sz="0" w:space="0" w:color="auto"/>
        <w:bottom w:val="none" w:sz="0" w:space="0" w:color="auto"/>
        <w:right w:val="none" w:sz="0" w:space="0" w:color="auto"/>
      </w:divBdr>
    </w:div>
    <w:div w:id="372778883">
      <w:bodyDiv w:val="1"/>
      <w:marLeft w:val="0"/>
      <w:marRight w:val="0"/>
      <w:marTop w:val="0"/>
      <w:marBottom w:val="0"/>
      <w:divBdr>
        <w:top w:val="none" w:sz="0" w:space="0" w:color="auto"/>
        <w:left w:val="none" w:sz="0" w:space="0" w:color="auto"/>
        <w:bottom w:val="none" w:sz="0" w:space="0" w:color="auto"/>
        <w:right w:val="none" w:sz="0" w:space="0" w:color="auto"/>
      </w:divBdr>
    </w:div>
    <w:div w:id="373771087">
      <w:bodyDiv w:val="1"/>
      <w:marLeft w:val="0"/>
      <w:marRight w:val="0"/>
      <w:marTop w:val="0"/>
      <w:marBottom w:val="0"/>
      <w:divBdr>
        <w:top w:val="none" w:sz="0" w:space="0" w:color="auto"/>
        <w:left w:val="none" w:sz="0" w:space="0" w:color="auto"/>
        <w:bottom w:val="none" w:sz="0" w:space="0" w:color="auto"/>
        <w:right w:val="none" w:sz="0" w:space="0" w:color="auto"/>
      </w:divBdr>
    </w:div>
    <w:div w:id="524369243">
      <w:bodyDiv w:val="1"/>
      <w:marLeft w:val="0"/>
      <w:marRight w:val="0"/>
      <w:marTop w:val="0"/>
      <w:marBottom w:val="0"/>
      <w:divBdr>
        <w:top w:val="none" w:sz="0" w:space="0" w:color="auto"/>
        <w:left w:val="none" w:sz="0" w:space="0" w:color="auto"/>
        <w:bottom w:val="none" w:sz="0" w:space="0" w:color="auto"/>
        <w:right w:val="none" w:sz="0" w:space="0" w:color="auto"/>
      </w:divBdr>
    </w:div>
    <w:div w:id="559049829">
      <w:bodyDiv w:val="1"/>
      <w:marLeft w:val="0"/>
      <w:marRight w:val="0"/>
      <w:marTop w:val="0"/>
      <w:marBottom w:val="0"/>
      <w:divBdr>
        <w:top w:val="none" w:sz="0" w:space="0" w:color="auto"/>
        <w:left w:val="none" w:sz="0" w:space="0" w:color="auto"/>
        <w:bottom w:val="none" w:sz="0" w:space="0" w:color="auto"/>
        <w:right w:val="none" w:sz="0" w:space="0" w:color="auto"/>
      </w:divBdr>
    </w:div>
    <w:div w:id="637809029">
      <w:bodyDiv w:val="1"/>
      <w:marLeft w:val="0"/>
      <w:marRight w:val="0"/>
      <w:marTop w:val="0"/>
      <w:marBottom w:val="0"/>
      <w:divBdr>
        <w:top w:val="none" w:sz="0" w:space="0" w:color="auto"/>
        <w:left w:val="none" w:sz="0" w:space="0" w:color="auto"/>
        <w:bottom w:val="none" w:sz="0" w:space="0" w:color="auto"/>
        <w:right w:val="none" w:sz="0" w:space="0" w:color="auto"/>
      </w:divBdr>
    </w:div>
    <w:div w:id="680014628">
      <w:bodyDiv w:val="1"/>
      <w:marLeft w:val="0"/>
      <w:marRight w:val="0"/>
      <w:marTop w:val="0"/>
      <w:marBottom w:val="0"/>
      <w:divBdr>
        <w:top w:val="none" w:sz="0" w:space="0" w:color="auto"/>
        <w:left w:val="none" w:sz="0" w:space="0" w:color="auto"/>
        <w:bottom w:val="none" w:sz="0" w:space="0" w:color="auto"/>
        <w:right w:val="none" w:sz="0" w:space="0" w:color="auto"/>
      </w:divBdr>
    </w:div>
    <w:div w:id="884832046">
      <w:bodyDiv w:val="1"/>
      <w:marLeft w:val="0"/>
      <w:marRight w:val="0"/>
      <w:marTop w:val="0"/>
      <w:marBottom w:val="0"/>
      <w:divBdr>
        <w:top w:val="none" w:sz="0" w:space="0" w:color="auto"/>
        <w:left w:val="none" w:sz="0" w:space="0" w:color="auto"/>
        <w:bottom w:val="none" w:sz="0" w:space="0" w:color="auto"/>
        <w:right w:val="none" w:sz="0" w:space="0" w:color="auto"/>
      </w:divBdr>
    </w:div>
    <w:div w:id="892354103">
      <w:bodyDiv w:val="1"/>
      <w:marLeft w:val="0"/>
      <w:marRight w:val="0"/>
      <w:marTop w:val="0"/>
      <w:marBottom w:val="0"/>
      <w:divBdr>
        <w:top w:val="none" w:sz="0" w:space="0" w:color="auto"/>
        <w:left w:val="none" w:sz="0" w:space="0" w:color="auto"/>
        <w:bottom w:val="none" w:sz="0" w:space="0" w:color="auto"/>
        <w:right w:val="none" w:sz="0" w:space="0" w:color="auto"/>
      </w:divBdr>
    </w:div>
    <w:div w:id="947352036">
      <w:bodyDiv w:val="1"/>
      <w:marLeft w:val="0"/>
      <w:marRight w:val="0"/>
      <w:marTop w:val="0"/>
      <w:marBottom w:val="0"/>
      <w:divBdr>
        <w:top w:val="none" w:sz="0" w:space="0" w:color="auto"/>
        <w:left w:val="none" w:sz="0" w:space="0" w:color="auto"/>
        <w:bottom w:val="none" w:sz="0" w:space="0" w:color="auto"/>
        <w:right w:val="none" w:sz="0" w:space="0" w:color="auto"/>
      </w:divBdr>
    </w:div>
    <w:div w:id="975452216">
      <w:bodyDiv w:val="1"/>
      <w:marLeft w:val="0"/>
      <w:marRight w:val="0"/>
      <w:marTop w:val="0"/>
      <w:marBottom w:val="0"/>
      <w:divBdr>
        <w:top w:val="none" w:sz="0" w:space="0" w:color="auto"/>
        <w:left w:val="none" w:sz="0" w:space="0" w:color="auto"/>
        <w:bottom w:val="none" w:sz="0" w:space="0" w:color="auto"/>
        <w:right w:val="none" w:sz="0" w:space="0" w:color="auto"/>
      </w:divBdr>
    </w:div>
    <w:div w:id="1083995441">
      <w:bodyDiv w:val="1"/>
      <w:marLeft w:val="0"/>
      <w:marRight w:val="0"/>
      <w:marTop w:val="0"/>
      <w:marBottom w:val="0"/>
      <w:divBdr>
        <w:top w:val="none" w:sz="0" w:space="0" w:color="auto"/>
        <w:left w:val="none" w:sz="0" w:space="0" w:color="auto"/>
        <w:bottom w:val="none" w:sz="0" w:space="0" w:color="auto"/>
        <w:right w:val="none" w:sz="0" w:space="0" w:color="auto"/>
      </w:divBdr>
    </w:div>
    <w:div w:id="1122309425">
      <w:bodyDiv w:val="1"/>
      <w:marLeft w:val="0"/>
      <w:marRight w:val="0"/>
      <w:marTop w:val="0"/>
      <w:marBottom w:val="0"/>
      <w:divBdr>
        <w:top w:val="none" w:sz="0" w:space="0" w:color="auto"/>
        <w:left w:val="none" w:sz="0" w:space="0" w:color="auto"/>
        <w:bottom w:val="none" w:sz="0" w:space="0" w:color="auto"/>
        <w:right w:val="none" w:sz="0" w:space="0" w:color="auto"/>
      </w:divBdr>
    </w:div>
    <w:div w:id="1149127921">
      <w:bodyDiv w:val="1"/>
      <w:marLeft w:val="0"/>
      <w:marRight w:val="0"/>
      <w:marTop w:val="0"/>
      <w:marBottom w:val="0"/>
      <w:divBdr>
        <w:top w:val="none" w:sz="0" w:space="0" w:color="auto"/>
        <w:left w:val="none" w:sz="0" w:space="0" w:color="auto"/>
        <w:bottom w:val="none" w:sz="0" w:space="0" w:color="auto"/>
        <w:right w:val="none" w:sz="0" w:space="0" w:color="auto"/>
      </w:divBdr>
    </w:div>
    <w:div w:id="1161237828">
      <w:bodyDiv w:val="1"/>
      <w:marLeft w:val="0"/>
      <w:marRight w:val="0"/>
      <w:marTop w:val="0"/>
      <w:marBottom w:val="0"/>
      <w:divBdr>
        <w:top w:val="none" w:sz="0" w:space="0" w:color="auto"/>
        <w:left w:val="none" w:sz="0" w:space="0" w:color="auto"/>
        <w:bottom w:val="none" w:sz="0" w:space="0" w:color="auto"/>
        <w:right w:val="none" w:sz="0" w:space="0" w:color="auto"/>
      </w:divBdr>
    </w:div>
    <w:div w:id="1184251093">
      <w:bodyDiv w:val="1"/>
      <w:marLeft w:val="0"/>
      <w:marRight w:val="0"/>
      <w:marTop w:val="0"/>
      <w:marBottom w:val="0"/>
      <w:divBdr>
        <w:top w:val="none" w:sz="0" w:space="0" w:color="auto"/>
        <w:left w:val="none" w:sz="0" w:space="0" w:color="auto"/>
        <w:bottom w:val="none" w:sz="0" w:space="0" w:color="auto"/>
        <w:right w:val="none" w:sz="0" w:space="0" w:color="auto"/>
      </w:divBdr>
    </w:div>
    <w:div w:id="1272275486">
      <w:bodyDiv w:val="1"/>
      <w:marLeft w:val="0"/>
      <w:marRight w:val="0"/>
      <w:marTop w:val="0"/>
      <w:marBottom w:val="0"/>
      <w:divBdr>
        <w:top w:val="none" w:sz="0" w:space="0" w:color="auto"/>
        <w:left w:val="none" w:sz="0" w:space="0" w:color="auto"/>
        <w:bottom w:val="none" w:sz="0" w:space="0" w:color="auto"/>
        <w:right w:val="none" w:sz="0" w:space="0" w:color="auto"/>
      </w:divBdr>
    </w:div>
    <w:div w:id="1382749596">
      <w:bodyDiv w:val="1"/>
      <w:marLeft w:val="0"/>
      <w:marRight w:val="0"/>
      <w:marTop w:val="0"/>
      <w:marBottom w:val="0"/>
      <w:divBdr>
        <w:top w:val="none" w:sz="0" w:space="0" w:color="auto"/>
        <w:left w:val="none" w:sz="0" w:space="0" w:color="auto"/>
        <w:bottom w:val="none" w:sz="0" w:space="0" w:color="auto"/>
        <w:right w:val="none" w:sz="0" w:space="0" w:color="auto"/>
      </w:divBdr>
    </w:div>
    <w:div w:id="1389301648">
      <w:bodyDiv w:val="1"/>
      <w:marLeft w:val="0"/>
      <w:marRight w:val="0"/>
      <w:marTop w:val="0"/>
      <w:marBottom w:val="0"/>
      <w:divBdr>
        <w:top w:val="none" w:sz="0" w:space="0" w:color="auto"/>
        <w:left w:val="none" w:sz="0" w:space="0" w:color="auto"/>
        <w:bottom w:val="none" w:sz="0" w:space="0" w:color="auto"/>
        <w:right w:val="none" w:sz="0" w:space="0" w:color="auto"/>
      </w:divBdr>
    </w:div>
    <w:div w:id="1425224576">
      <w:bodyDiv w:val="1"/>
      <w:marLeft w:val="0"/>
      <w:marRight w:val="0"/>
      <w:marTop w:val="0"/>
      <w:marBottom w:val="0"/>
      <w:divBdr>
        <w:top w:val="none" w:sz="0" w:space="0" w:color="auto"/>
        <w:left w:val="none" w:sz="0" w:space="0" w:color="auto"/>
        <w:bottom w:val="none" w:sz="0" w:space="0" w:color="auto"/>
        <w:right w:val="none" w:sz="0" w:space="0" w:color="auto"/>
      </w:divBdr>
      <w:divsChild>
        <w:div w:id="10415877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25674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580269">
      <w:bodyDiv w:val="1"/>
      <w:marLeft w:val="0"/>
      <w:marRight w:val="0"/>
      <w:marTop w:val="0"/>
      <w:marBottom w:val="0"/>
      <w:divBdr>
        <w:top w:val="none" w:sz="0" w:space="0" w:color="auto"/>
        <w:left w:val="none" w:sz="0" w:space="0" w:color="auto"/>
        <w:bottom w:val="none" w:sz="0" w:space="0" w:color="auto"/>
        <w:right w:val="none" w:sz="0" w:space="0" w:color="auto"/>
      </w:divBdr>
    </w:div>
    <w:div w:id="1449275309">
      <w:bodyDiv w:val="1"/>
      <w:marLeft w:val="0"/>
      <w:marRight w:val="0"/>
      <w:marTop w:val="0"/>
      <w:marBottom w:val="0"/>
      <w:divBdr>
        <w:top w:val="none" w:sz="0" w:space="0" w:color="auto"/>
        <w:left w:val="none" w:sz="0" w:space="0" w:color="auto"/>
        <w:bottom w:val="none" w:sz="0" w:space="0" w:color="auto"/>
        <w:right w:val="none" w:sz="0" w:space="0" w:color="auto"/>
      </w:divBdr>
    </w:div>
    <w:div w:id="1547520754">
      <w:bodyDiv w:val="1"/>
      <w:marLeft w:val="0"/>
      <w:marRight w:val="0"/>
      <w:marTop w:val="0"/>
      <w:marBottom w:val="0"/>
      <w:divBdr>
        <w:top w:val="none" w:sz="0" w:space="0" w:color="auto"/>
        <w:left w:val="none" w:sz="0" w:space="0" w:color="auto"/>
        <w:bottom w:val="none" w:sz="0" w:space="0" w:color="auto"/>
        <w:right w:val="none" w:sz="0" w:space="0" w:color="auto"/>
      </w:divBdr>
    </w:div>
    <w:div w:id="1660962678">
      <w:bodyDiv w:val="1"/>
      <w:marLeft w:val="0"/>
      <w:marRight w:val="0"/>
      <w:marTop w:val="0"/>
      <w:marBottom w:val="0"/>
      <w:divBdr>
        <w:top w:val="none" w:sz="0" w:space="0" w:color="auto"/>
        <w:left w:val="none" w:sz="0" w:space="0" w:color="auto"/>
        <w:bottom w:val="none" w:sz="0" w:space="0" w:color="auto"/>
        <w:right w:val="none" w:sz="0" w:space="0" w:color="auto"/>
      </w:divBdr>
      <w:divsChild>
        <w:div w:id="1227180446">
          <w:marLeft w:val="0"/>
          <w:marRight w:val="0"/>
          <w:marTop w:val="0"/>
          <w:marBottom w:val="0"/>
          <w:divBdr>
            <w:top w:val="none" w:sz="0" w:space="0" w:color="auto"/>
            <w:left w:val="none" w:sz="0" w:space="0" w:color="auto"/>
            <w:bottom w:val="none" w:sz="0" w:space="0" w:color="auto"/>
            <w:right w:val="none" w:sz="0" w:space="0" w:color="auto"/>
          </w:divBdr>
          <w:divsChild>
            <w:div w:id="866871041">
              <w:marLeft w:val="0"/>
              <w:marRight w:val="0"/>
              <w:marTop w:val="0"/>
              <w:marBottom w:val="0"/>
              <w:divBdr>
                <w:top w:val="none" w:sz="0" w:space="0" w:color="auto"/>
                <w:left w:val="none" w:sz="0" w:space="0" w:color="auto"/>
                <w:bottom w:val="none" w:sz="0" w:space="0" w:color="auto"/>
                <w:right w:val="none" w:sz="0" w:space="0" w:color="auto"/>
              </w:divBdr>
              <w:divsChild>
                <w:div w:id="1120295840">
                  <w:marLeft w:val="0"/>
                  <w:marRight w:val="0"/>
                  <w:marTop w:val="60"/>
                  <w:marBottom w:val="180"/>
                  <w:divBdr>
                    <w:top w:val="none" w:sz="0" w:space="0" w:color="auto"/>
                    <w:left w:val="none" w:sz="0" w:space="0" w:color="auto"/>
                    <w:bottom w:val="none" w:sz="0" w:space="0" w:color="auto"/>
                    <w:right w:val="none" w:sz="0" w:space="0" w:color="auto"/>
                  </w:divBdr>
                </w:div>
                <w:div w:id="957027369">
                  <w:marLeft w:val="0"/>
                  <w:marRight w:val="0"/>
                  <w:marTop w:val="360"/>
                  <w:marBottom w:val="180"/>
                  <w:divBdr>
                    <w:top w:val="none" w:sz="0" w:space="0" w:color="auto"/>
                    <w:left w:val="none" w:sz="0" w:space="0" w:color="auto"/>
                    <w:bottom w:val="none" w:sz="0" w:space="0" w:color="auto"/>
                    <w:right w:val="none" w:sz="0" w:space="0" w:color="auto"/>
                  </w:divBdr>
                </w:div>
                <w:div w:id="36059075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803500629">
      <w:bodyDiv w:val="1"/>
      <w:marLeft w:val="0"/>
      <w:marRight w:val="0"/>
      <w:marTop w:val="0"/>
      <w:marBottom w:val="0"/>
      <w:divBdr>
        <w:top w:val="none" w:sz="0" w:space="0" w:color="auto"/>
        <w:left w:val="none" w:sz="0" w:space="0" w:color="auto"/>
        <w:bottom w:val="none" w:sz="0" w:space="0" w:color="auto"/>
        <w:right w:val="none" w:sz="0" w:space="0" w:color="auto"/>
      </w:divBdr>
    </w:div>
    <w:div w:id="1917977352">
      <w:bodyDiv w:val="1"/>
      <w:marLeft w:val="0"/>
      <w:marRight w:val="0"/>
      <w:marTop w:val="0"/>
      <w:marBottom w:val="0"/>
      <w:divBdr>
        <w:top w:val="none" w:sz="0" w:space="0" w:color="auto"/>
        <w:left w:val="none" w:sz="0" w:space="0" w:color="auto"/>
        <w:bottom w:val="none" w:sz="0" w:space="0" w:color="auto"/>
        <w:right w:val="none" w:sz="0" w:space="0" w:color="auto"/>
      </w:divBdr>
    </w:div>
    <w:div w:id="1945334936">
      <w:bodyDiv w:val="1"/>
      <w:marLeft w:val="0"/>
      <w:marRight w:val="0"/>
      <w:marTop w:val="0"/>
      <w:marBottom w:val="0"/>
      <w:divBdr>
        <w:top w:val="none" w:sz="0" w:space="0" w:color="auto"/>
        <w:left w:val="none" w:sz="0" w:space="0" w:color="auto"/>
        <w:bottom w:val="none" w:sz="0" w:space="0" w:color="auto"/>
        <w:right w:val="none" w:sz="0" w:space="0" w:color="auto"/>
      </w:divBdr>
    </w:div>
    <w:div w:id="199669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9E310-A3FA-4757-87F5-E2C34E2B4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901</TotalTime>
  <Pages>13</Pages>
  <Words>3592</Words>
  <Characters>20480</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SDI 1084</cp:lastModifiedBy>
  <cp:revision>229</cp:revision>
  <cp:lastPrinted>2026-07-28T07:24:00Z</cp:lastPrinted>
  <dcterms:created xsi:type="dcterms:W3CDTF">2026-07-23T10:08:00Z</dcterms:created>
  <dcterms:modified xsi:type="dcterms:W3CDTF">2026-08-03T13:33:00Z</dcterms:modified>
</cp:coreProperties>
</file>