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35CC5" w14:textId="5B54847F" w:rsidR="00351DF0" w:rsidRPr="00EF0E4D" w:rsidRDefault="004135F1" w:rsidP="002A57F5">
      <w:pPr>
        <w:jc w:val="center"/>
        <w:rPr>
          <w:rFonts w:ascii="Times New Roman" w:hAnsi="Times New Roman" w:cs="Times New Roman"/>
          <w:b/>
          <w:bCs/>
        </w:rPr>
      </w:pPr>
      <w:r w:rsidRPr="00EF0E4D">
        <w:rPr>
          <w:rFonts w:ascii="Times New Roman" w:hAnsi="Times New Roman" w:cs="Times New Roman"/>
          <w:b/>
          <w:bCs/>
        </w:rPr>
        <w:t xml:space="preserve">IDENTIFICATION OF </w:t>
      </w:r>
      <w:r w:rsidR="002A57F5" w:rsidRPr="00EF0E4D">
        <w:rPr>
          <w:rFonts w:ascii="Times New Roman" w:hAnsi="Times New Roman" w:cs="Times New Roman"/>
          <w:b/>
          <w:bCs/>
        </w:rPr>
        <w:t>POLYMORPHIC SSR MARKERS FOR RAPID HYBRIDITY CONFIRMATION AND GENETIC PURITY ASSESSMENT OF SUNFLOWER (</w:t>
      </w:r>
      <w:r w:rsidR="002A57F5" w:rsidRPr="00EF0E4D">
        <w:rPr>
          <w:rFonts w:ascii="Times New Roman" w:hAnsi="Times New Roman" w:cs="Times New Roman"/>
          <w:b/>
          <w:bCs/>
          <w:i/>
          <w:iCs/>
        </w:rPr>
        <w:t>Helianthus annuus</w:t>
      </w:r>
      <w:r w:rsidR="002A57F5" w:rsidRPr="00EF0E4D">
        <w:rPr>
          <w:rFonts w:ascii="Times New Roman" w:hAnsi="Times New Roman" w:cs="Times New Roman"/>
          <w:b/>
          <w:bCs/>
        </w:rPr>
        <w:t xml:space="preserve"> L.) HYBRID KBSH-78</w:t>
      </w:r>
    </w:p>
    <w:p w14:paraId="750C9F1B" w14:textId="77777777" w:rsidR="006B11C6" w:rsidRDefault="006B11C6" w:rsidP="00CD2DD3">
      <w:pPr>
        <w:spacing w:before="240"/>
        <w:jc w:val="center"/>
        <w:rPr>
          <w:rFonts w:ascii="Times New Roman" w:hAnsi="Times New Roman" w:cs="Times New Roman"/>
          <w:b/>
          <w:bCs/>
        </w:rPr>
      </w:pPr>
    </w:p>
    <w:p w14:paraId="507801AA" w14:textId="77777777" w:rsidR="006B11C6" w:rsidRDefault="006B11C6" w:rsidP="00CD2DD3">
      <w:pPr>
        <w:spacing w:before="240"/>
        <w:jc w:val="center"/>
        <w:rPr>
          <w:rFonts w:ascii="Times New Roman" w:hAnsi="Times New Roman" w:cs="Times New Roman"/>
          <w:b/>
          <w:bCs/>
        </w:rPr>
      </w:pPr>
    </w:p>
    <w:p w14:paraId="78C87B69" w14:textId="0040C952" w:rsidR="00CD2DD3" w:rsidRPr="00EF0E4D" w:rsidRDefault="00CD2DD3" w:rsidP="00CD2DD3">
      <w:pPr>
        <w:spacing w:before="240"/>
        <w:jc w:val="center"/>
        <w:rPr>
          <w:rFonts w:ascii="Times New Roman" w:hAnsi="Times New Roman" w:cs="Times New Roman"/>
          <w:b/>
          <w:bCs/>
        </w:rPr>
      </w:pPr>
      <w:r w:rsidRPr="00EF0E4D">
        <w:rPr>
          <w:rFonts w:ascii="Times New Roman" w:hAnsi="Times New Roman" w:cs="Times New Roman"/>
          <w:b/>
          <w:bCs/>
        </w:rPr>
        <w:t>ABSTRACT</w:t>
      </w:r>
    </w:p>
    <w:p w14:paraId="2A888968" w14:textId="7F7E4028" w:rsidR="002A57F5" w:rsidRPr="00EF0E4D" w:rsidRDefault="003B3F54" w:rsidP="003B3F54">
      <w:pPr>
        <w:ind w:firstLine="720"/>
        <w:jc w:val="both"/>
        <w:rPr>
          <w:rFonts w:ascii="Times New Roman" w:hAnsi="Times New Roman" w:cs="Times New Roman"/>
        </w:rPr>
      </w:pPr>
      <w:r w:rsidRPr="00EF0E4D">
        <w:rPr>
          <w:rFonts w:ascii="Times New Roman" w:hAnsi="Times New Roman" w:cs="Times New Roman"/>
        </w:rPr>
        <w:t>The maintenance of genetic purity is a fundamental prerequisite for ensuring the commercial success, seed quality and varietal integrity of hybrid crops. Conventional grow-out tests (GOT) widely employed for genetic purity evaluation are laborious, time-consuming</w:t>
      </w:r>
      <w:r w:rsidR="00F0702D" w:rsidRPr="00EF0E4D">
        <w:rPr>
          <w:rFonts w:ascii="Times New Roman" w:hAnsi="Times New Roman" w:cs="Times New Roman"/>
        </w:rPr>
        <w:t xml:space="preserve"> </w:t>
      </w:r>
      <w:r w:rsidRPr="00EF0E4D">
        <w:rPr>
          <w:rFonts w:ascii="Times New Roman" w:hAnsi="Times New Roman" w:cs="Times New Roman"/>
        </w:rPr>
        <w:t>and influenced by environmental conditions highlighting the need for rapid, reliable</w:t>
      </w:r>
      <w:r w:rsidR="00F0702D" w:rsidRPr="00EF0E4D">
        <w:rPr>
          <w:rFonts w:ascii="Times New Roman" w:hAnsi="Times New Roman" w:cs="Times New Roman"/>
        </w:rPr>
        <w:t xml:space="preserve"> </w:t>
      </w:r>
      <w:r w:rsidRPr="00EF0E4D">
        <w:rPr>
          <w:rFonts w:ascii="Times New Roman" w:hAnsi="Times New Roman" w:cs="Times New Roman"/>
        </w:rPr>
        <w:t>and reproducible molecular approaches. The present study was undertaken to identify informative polymorphic simple sequence repeat (SSR) markers for rapid hybridity confirmation and genetic purity assessment of sunflower (</w:t>
      </w:r>
      <w:r w:rsidRPr="00EF0E4D">
        <w:rPr>
          <w:rFonts w:ascii="Times New Roman" w:hAnsi="Times New Roman" w:cs="Times New Roman"/>
          <w:i/>
          <w:iCs/>
        </w:rPr>
        <w:t>Helianthus annuus</w:t>
      </w:r>
      <w:r w:rsidRPr="00EF0E4D">
        <w:rPr>
          <w:rFonts w:ascii="Times New Roman" w:hAnsi="Times New Roman" w:cs="Times New Roman"/>
        </w:rPr>
        <w:t xml:space="preserve"> L.) hybrid KBSH-78 and its parental lines. A total of twenty SSR primer pairs were screened to detect polymorphism between the hybrid and its corresponding seed parent (CMS-78A) and pollen parent (RHA-78R). Among the primers evaluated, eighteen produced monomorphic amplification patterns, whereas two primers, HA3640 and HA4011 exhibited clear and reproducible polymorphism capable of effectively distinguishing the hybrid from its parental lines. Primer HA3640 amplified a 200 bp allele specific to the seed parent and a 150 bp allele specific to the pollen parent, while primer HA4011 amplified a 150 bp allele in the seed parent and a 100 bp allele in the pollen parent. The simultaneous presence of both parental alleles in the hybrid unequivocally confirmed its hybridity. Both informative markers exhibited a polymorphic information content (PIC) value of 0.375 demonstrating their effectiveness for hybrid identification and genetic purity assessment. The identified SSR markers provide a rapid, accurate, reproducible and environment-independent alternative to conventional grow-out testing and have significant potential for routine genetic purity testing, seed certification, varietal authentication and quality assurance in commercial sunflower hybrid seed production programmes.</w:t>
      </w:r>
    </w:p>
    <w:p w14:paraId="15452E2C" w14:textId="4B2A9466" w:rsidR="009C1BC2" w:rsidRPr="00EF0E4D" w:rsidRDefault="009C1BC2" w:rsidP="009C1BC2">
      <w:pPr>
        <w:jc w:val="both"/>
        <w:rPr>
          <w:rFonts w:ascii="Times New Roman" w:hAnsi="Times New Roman" w:cs="Times New Roman"/>
        </w:rPr>
      </w:pPr>
      <w:r w:rsidRPr="00EF0E4D">
        <w:rPr>
          <w:rFonts w:ascii="Times New Roman" w:hAnsi="Times New Roman" w:cs="Times New Roman"/>
          <w:b/>
          <w:bCs/>
        </w:rPr>
        <w:t>Keywords:</w:t>
      </w:r>
      <w:r w:rsidRPr="00EF0E4D">
        <w:rPr>
          <w:rFonts w:ascii="Times New Roman" w:hAnsi="Times New Roman" w:cs="Times New Roman"/>
        </w:rPr>
        <w:t xml:space="preserve"> </w:t>
      </w:r>
      <w:r w:rsidRPr="00EF0E4D">
        <w:rPr>
          <w:rFonts w:ascii="Times New Roman" w:hAnsi="Times New Roman" w:cs="Times New Roman"/>
          <w:i/>
          <w:iCs/>
        </w:rPr>
        <w:t>Helianthus annuus</w:t>
      </w:r>
      <w:r w:rsidRPr="00EF0E4D">
        <w:rPr>
          <w:rFonts w:ascii="Times New Roman" w:hAnsi="Times New Roman" w:cs="Times New Roman"/>
        </w:rPr>
        <w:t xml:space="preserve">, Genetic purity, </w:t>
      </w:r>
      <w:r w:rsidR="00417F27" w:rsidRPr="00EF0E4D">
        <w:rPr>
          <w:rFonts w:ascii="Times New Roman" w:hAnsi="Times New Roman" w:cs="Times New Roman"/>
        </w:rPr>
        <w:t>H</w:t>
      </w:r>
      <w:r w:rsidRPr="00EF0E4D">
        <w:rPr>
          <w:rFonts w:ascii="Times New Roman" w:hAnsi="Times New Roman" w:cs="Times New Roman"/>
        </w:rPr>
        <w:t>ybridity confirmation</w:t>
      </w:r>
      <w:r w:rsidR="00417F27" w:rsidRPr="00EF0E4D">
        <w:rPr>
          <w:rFonts w:ascii="Times New Roman" w:hAnsi="Times New Roman" w:cs="Times New Roman"/>
        </w:rPr>
        <w:t xml:space="preserve">, </w:t>
      </w:r>
      <w:r w:rsidRPr="00EF0E4D">
        <w:rPr>
          <w:rFonts w:ascii="Times New Roman" w:hAnsi="Times New Roman" w:cs="Times New Roman"/>
        </w:rPr>
        <w:t>SSR markers</w:t>
      </w:r>
    </w:p>
    <w:p w14:paraId="2F6B2643" w14:textId="77777777" w:rsidR="00C767BF" w:rsidRPr="00EF0E4D" w:rsidRDefault="00C767BF" w:rsidP="009C1BC2">
      <w:pPr>
        <w:jc w:val="both"/>
        <w:rPr>
          <w:rFonts w:ascii="Times New Roman" w:hAnsi="Times New Roman" w:cs="Times New Roman"/>
        </w:rPr>
      </w:pPr>
    </w:p>
    <w:p w14:paraId="072C4EBE" w14:textId="77777777" w:rsidR="00C767BF" w:rsidRPr="00EF0E4D" w:rsidRDefault="00C767BF" w:rsidP="009C1BC2">
      <w:pPr>
        <w:jc w:val="both"/>
        <w:rPr>
          <w:rFonts w:ascii="Times New Roman" w:hAnsi="Times New Roman" w:cs="Times New Roman"/>
        </w:rPr>
      </w:pPr>
    </w:p>
    <w:p w14:paraId="29866B95" w14:textId="13D3DB64" w:rsidR="002E7876" w:rsidRPr="00880BB1" w:rsidRDefault="00880BB1" w:rsidP="00880BB1">
      <w:pPr>
        <w:jc w:val="center"/>
        <w:rPr>
          <w:rFonts w:ascii="Times New Roman" w:hAnsi="Times New Roman" w:cs="Times New Roman"/>
          <w:b/>
          <w:bCs/>
          <w:sz w:val="28"/>
          <w:szCs w:val="28"/>
        </w:rPr>
      </w:pPr>
      <w:r w:rsidRPr="00880BB1">
        <w:rPr>
          <w:rFonts w:ascii="Times New Roman" w:hAnsi="Times New Roman" w:cs="Times New Roman"/>
          <w:b/>
          <w:bCs/>
          <w:sz w:val="28"/>
          <w:szCs w:val="28"/>
        </w:rPr>
        <w:t>INTRODUCTION</w:t>
      </w:r>
    </w:p>
    <w:p w14:paraId="24DA0BD9" w14:textId="56FCC3BE"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The increasing global demand for high-quality vegetable oils, driven by rapid population growth, changing dietary habits, expanding food-processing industries and the growing utilization of plant-derived renewable resources, has intensified the need to improve the productivity, quality and sustainability of oilseed crops</w:t>
      </w:r>
      <w:r w:rsidR="002047E3" w:rsidRPr="00EF0E4D">
        <w:rPr>
          <w:rFonts w:ascii="Times New Roman" w:hAnsi="Times New Roman" w:cs="Times New Roman"/>
        </w:rPr>
        <w:t xml:space="preserve"> (FAO, 2024))</w:t>
      </w:r>
      <w:r w:rsidRPr="00EF0E4D">
        <w:rPr>
          <w:rFonts w:ascii="Times New Roman" w:hAnsi="Times New Roman" w:cs="Times New Roman"/>
        </w:rPr>
        <w:t>. Among the cultivated oilseed species, sunflower (</w:t>
      </w:r>
      <w:r w:rsidRPr="00EF0E4D">
        <w:rPr>
          <w:rFonts w:ascii="Times New Roman" w:hAnsi="Times New Roman" w:cs="Times New Roman"/>
          <w:i/>
          <w:iCs/>
        </w:rPr>
        <w:t>Helianthus annuus</w:t>
      </w:r>
      <w:r w:rsidRPr="00EF0E4D">
        <w:rPr>
          <w:rFonts w:ascii="Times New Roman" w:hAnsi="Times New Roman" w:cs="Times New Roman"/>
        </w:rPr>
        <w:t xml:space="preserve"> L.) occupies a prominent position because of its superior oil quality, high proportion of unsaturated fatty acids, broad ecological adaptability </w:t>
      </w:r>
      <w:r w:rsidRPr="00EF0E4D">
        <w:rPr>
          <w:rFonts w:ascii="Times New Roman" w:hAnsi="Times New Roman" w:cs="Times New Roman"/>
        </w:rPr>
        <w:lastRenderedPageBreak/>
        <w:t>and remarkable response to genetic improvement. Sunflower oil is highly valued for its favourable nutritional composition, particularly its high oleic and linoleic acid content and is widely recognized as one of the healthiest edible vegetable oils</w:t>
      </w:r>
      <w:r w:rsidR="00C123DF" w:rsidRPr="00EF0E4D">
        <w:rPr>
          <w:rFonts w:ascii="Times New Roman" w:hAnsi="Times New Roman" w:cs="Times New Roman"/>
        </w:rPr>
        <w:t xml:space="preserve"> (</w:t>
      </w:r>
      <w:proofErr w:type="spellStart"/>
      <w:r w:rsidR="00C123DF" w:rsidRPr="00EF0E4D">
        <w:rPr>
          <w:rFonts w:ascii="Times New Roman" w:hAnsi="Times New Roman" w:cs="Times New Roman"/>
        </w:rPr>
        <w:t>Bozorova</w:t>
      </w:r>
      <w:proofErr w:type="spellEnd"/>
      <w:r w:rsidR="00C123DF" w:rsidRPr="00EF0E4D">
        <w:rPr>
          <w:rFonts w:ascii="Times New Roman" w:hAnsi="Times New Roman" w:cs="Times New Roman"/>
        </w:rPr>
        <w:t xml:space="preserve"> </w:t>
      </w:r>
      <w:r w:rsidR="00C123DF" w:rsidRPr="00EF0E4D">
        <w:rPr>
          <w:rFonts w:ascii="Times New Roman" w:hAnsi="Times New Roman" w:cs="Times New Roman"/>
          <w:i/>
          <w:iCs/>
        </w:rPr>
        <w:t>et al.,</w:t>
      </w:r>
      <w:r w:rsidR="00C123DF" w:rsidRPr="00EF0E4D">
        <w:rPr>
          <w:rFonts w:ascii="Times New Roman" w:hAnsi="Times New Roman" w:cs="Times New Roman"/>
        </w:rPr>
        <w:t xml:space="preserve"> 202</w:t>
      </w:r>
      <w:r w:rsidR="004147C5" w:rsidRPr="00EF0E4D">
        <w:rPr>
          <w:rFonts w:ascii="Times New Roman" w:hAnsi="Times New Roman" w:cs="Times New Roman"/>
        </w:rPr>
        <w:t>6</w:t>
      </w:r>
      <w:r w:rsidR="00C123DF" w:rsidRPr="00EF0E4D">
        <w:rPr>
          <w:rFonts w:ascii="Times New Roman" w:hAnsi="Times New Roman" w:cs="Times New Roman"/>
        </w:rPr>
        <w:t>)</w:t>
      </w:r>
      <w:r w:rsidRPr="00EF0E4D">
        <w:rPr>
          <w:rFonts w:ascii="Times New Roman" w:hAnsi="Times New Roman" w:cs="Times New Roman"/>
        </w:rPr>
        <w:t>. Besides its importance as an edible oil crop, sunflower contributes substantially to confectionery production, livestock feed, biodiesel, pharmaceuticals, cosmetics and several industrial applications, thereby playing a significant role in global food, nutritional, energy and economic security</w:t>
      </w:r>
      <w:r w:rsidR="00466745" w:rsidRPr="00EF0E4D">
        <w:rPr>
          <w:rFonts w:ascii="Times New Roman" w:hAnsi="Times New Roman" w:cs="Times New Roman"/>
        </w:rPr>
        <w:t xml:space="preserve"> (García-Vila </w:t>
      </w:r>
      <w:r w:rsidR="00466745" w:rsidRPr="00EF0E4D">
        <w:rPr>
          <w:rFonts w:ascii="Times New Roman" w:hAnsi="Times New Roman" w:cs="Times New Roman"/>
          <w:i/>
          <w:iCs/>
        </w:rPr>
        <w:t>et al.,</w:t>
      </w:r>
      <w:r w:rsidR="00466745" w:rsidRPr="00EF0E4D">
        <w:rPr>
          <w:rFonts w:ascii="Times New Roman" w:hAnsi="Times New Roman" w:cs="Times New Roman"/>
        </w:rPr>
        <w:t xml:space="preserve"> 2012</w:t>
      </w:r>
      <w:r w:rsidR="006578F7" w:rsidRPr="00EF0E4D">
        <w:rPr>
          <w:rFonts w:ascii="Times New Roman" w:hAnsi="Times New Roman" w:cs="Times New Roman"/>
        </w:rPr>
        <w:t xml:space="preserve"> and </w:t>
      </w:r>
      <w:r w:rsidR="00466745" w:rsidRPr="00EF0E4D">
        <w:rPr>
          <w:rFonts w:ascii="Times New Roman" w:hAnsi="Times New Roman" w:cs="Times New Roman"/>
        </w:rPr>
        <w:t xml:space="preserve">Guo </w:t>
      </w:r>
      <w:r w:rsidR="00466745" w:rsidRPr="00EF0E4D">
        <w:rPr>
          <w:rFonts w:ascii="Times New Roman" w:hAnsi="Times New Roman" w:cs="Times New Roman"/>
          <w:i/>
          <w:iCs/>
        </w:rPr>
        <w:t>et al.,</w:t>
      </w:r>
      <w:r w:rsidR="00466745" w:rsidRPr="00EF0E4D">
        <w:rPr>
          <w:rFonts w:ascii="Times New Roman" w:hAnsi="Times New Roman" w:cs="Times New Roman"/>
        </w:rPr>
        <w:t xml:space="preserve"> 2017)</w:t>
      </w:r>
      <w:r w:rsidRPr="00EF0E4D">
        <w:rPr>
          <w:rFonts w:ascii="Times New Roman" w:hAnsi="Times New Roman" w:cs="Times New Roman"/>
        </w:rPr>
        <w:t xml:space="preserve">. Its photo-insensitive nature, relatively short crop duration and adaptability to diverse </w:t>
      </w:r>
      <w:proofErr w:type="spellStart"/>
      <w:r w:rsidRPr="00EF0E4D">
        <w:rPr>
          <w:rFonts w:ascii="Times New Roman" w:hAnsi="Times New Roman" w:cs="Times New Roman"/>
        </w:rPr>
        <w:t>agro</w:t>
      </w:r>
      <w:proofErr w:type="spellEnd"/>
      <w:r w:rsidRPr="00EF0E4D">
        <w:rPr>
          <w:rFonts w:ascii="Times New Roman" w:hAnsi="Times New Roman" w:cs="Times New Roman"/>
        </w:rPr>
        <w:t>-climatic conditions further enhance its importance as a sustainable oilseed crop under changing climatic scenarios</w:t>
      </w:r>
      <w:r w:rsidR="000C484D" w:rsidRPr="00EF0E4D">
        <w:rPr>
          <w:rFonts w:ascii="Times New Roman" w:hAnsi="Times New Roman" w:cs="Times New Roman"/>
        </w:rPr>
        <w:t xml:space="preserve"> (</w:t>
      </w:r>
      <w:r w:rsidR="005B35F8" w:rsidRPr="00EF0E4D">
        <w:rPr>
          <w:rFonts w:ascii="Times New Roman" w:hAnsi="Times New Roman" w:cs="Times New Roman"/>
        </w:rPr>
        <w:t>Pandey, 2018</w:t>
      </w:r>
      <w:r w:rsidR="000C484D" w:rsidRPr="00EF0E4D">
        <w:rPr>
          <w:rFonts w:ascii="Times New Roman" w:hAnsi="Times New Roman" w:cs="Times New Roman"/>
        </w:rPr>
        <w:t>)</w:t>
      </w:r>
      <w:r w:rsidR="005B35F8" w:rsidRPr="00EF0E4D">
        <w:rPr>
          <w:rFonts w:ascii="Times New Roman" w:hAnsi="Times New Roman" w:cs="Times New Roman"/>
        </w:rPr>
        <w:t>.</w:t>
      </w:r>
    </w:p>
    <w:p w14:paraId="5C0539B4" w14:textId="5D1F409C"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The remarkable improvement in sunflower productivity over the past several decades has been largely attributed to the successful exploitation of heterosis through hybrid breeding. The introduction of cytoplasmic male sterility (CMS)-based hybrid technology revolutionized commercial sunflower seed production by enabling economical large-scale production of genetically uniform hybrids</w:t>
      </w:r>
      <w:r w:rsidR="00FD371C" w:rsidRPr="00EF0E4D">
        <w:rPr>
          <w:rFonts w:ascii="Times New Roman" w:hAnsi="Times New Roman" w:cs="Times New Roman"/>
        </w:rPr>
        <w:t xml:space="preserve"> (</w:t>
      </w:r>
      <w:r w:rsidR="00224806" w:rsidRPr="00EF0E4D">
        <w:rPr>
          <w:rFonts w:ascii="Times New Roman" w:hAnsi="Times New Roman" w:cs="Times New Roman"/>
        </w:rPr>
        <w:t xml:space="preserve">Tyagi </w:t>
      </w:r>
      <w:r w:rsidR="00224806" w:rsidRPr="00EF0E4D">
        <w:rPr>
          <w:rFonts w:ascii="Times New Roman" w:hAnsi="Times New Roman" w:cs="Times New Roman"/>
          <w:i/>
          <w:iCs/>
        </w:rPr>
        <w:t>et al.,</w:t>
      </w:r>
      <w:r w:rsidR="00224806" w:rsidRPr="00EF0E4D">
        <w:rPr>
          <w:rFonts w:ascii="Times New Roman" w:hAnsi="Times New Roman" w:cs="Times New Roman"/>
        </w:rPr>
        <w:t xml:space="preserve"> 2020 and </w:t>
      </w:r>
      <w:r w:rsidR="00FD371C" w:rsidRPr="00EF0E4D">
        <w:rPr>
          <w:rFonts w:ascii="Times New Roman" w:hAnsi="Times New Roman" w:cs="Times New Roman"/>
        </w:rPr>
        <w:t xml:space="preserve">Meena </w:t>
      </w:r>
      <w:r w:rsidR="00FD371C" w:rsidRPr="00EF0E4D">
        <w:rPr>
          <w:rFonts w:ascii="Times New Roman" w:hAnsi="Times New Roman" w:cs="Times New Roman"/>
          <w:i/>
          <w:iCs/>
        </w:rPr>
        <w:t>et al.</w:t>
      </w:r>
      <w:r w:rsidR="00FD371C" w:rsidRPr="00EF0E4D">
        <w:rPr>
          <w:rFonts w:ascii="Times New Roman" w:hAnsi="Times New Roman" w:cs="Times New Roman"/>
        </w:rPr>
        <w:t xml:space="preserve">, </w:t>
      </w:r>
      <w:r w:rsidR="00E93E88" w:rsidRPr="00EF0E4D">
        <w:rPr>
          <w:rFonts w:ascii="Times New Roman" w:hAnsi="Times New Roman" w:cs="Times New Roman"/>
        </w:rPr>
        <w:t>2022</w:t>
      </w:r>
      <w:r w:rsidR="00FD371C" w:rsidRPr="00EF0E4D">
        <w:rPr>
          <w:rFonts w:ascii="Times New Roman" w:hAnsi="Times New Roman" w:cs="Times New Roman"/>
        </w:rPr>
        <w:t>)</w:t>
      </w:r>
      <w:r w:rsidRPr="00EF0E4D">
        <w:rPr>
          <w:rFonts w:ascii="Times New Roman" w:hAnsi="Times New Roman" w:cs="Times New Roman"/>
        </w:rPr>
        <w:t>. Compared with open-pollinated cultivars, commercial hybrids generally exhibit superior seed yield, higher oil content, improved resistance to diseases, enhanced tolerance to abiotic stresses and greater yield stability across diverse production environments. Consequently, hybrid breeding has become the cornerstone of modern sunflower improvement programmes. However, the successful realization of hybrid vigour depends fundamentally on maintaining high genetic purity of both parental lines and commercial hybrid seed lots throughout the seed production chain</w:t>
      </w:r>
      <w:r w:rsidR="00B604B4" w:rsidRPr="00EF0E4D">
        <w:rPr>
          <w:rFonts w:ascii="Times New Roman" w:hAnsi="Times New Roman" w:cs="Times New Roman"/>
        </w:rPr>
        <w:t xml:space="preserve"> (Meena, 2015 and Sharma &amp; Shadakshari, 2021)</w:t>
      </w:r>
      <w:r w:rsidRPr="00EF0E4D">
        <w:rPr>
          <w:rFonts w:ascii="Times New Roman" w:hAnsi="Times New Roman" w:cs="Times New Roman"/>
        </w:rPr>
        <w:t>.</w:t>
      </w:r>
    </w:p>
    <w:p w14:paraId="4F839F3B" w14:textId="6C982FB7"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Genetic purity is one of the most important attributes of seed quality because it ensures the preservation of varietal identity, genetic integrity and phenotypic uniformity from breeder seed production to commercial cultivation</w:t>
      </w:r>
      <w:r w:rsidR="00F436A3" w:rsidRPr="00EF0E4D">
        <w:rPr>
          <w:rFonts w:ascii="Times New Roman" w:hAnsi="Times New Roman" w:cs="Times New Roman"/>
        </w:rPr>
        <w:t xml:space="preserve"> (Pallavi</w:t>
      </w:r>
      <w:r w:rsidR="003D5EA9" w:rsidRPr="00EF0E4D">
        <w:rPr>
          <w:rFonts w:ascii="Times New Roman" w:hAnsi="Times New Roman" w:cs="Times New Roman"/>
        </w:rPr>
        <w:t xml:space="preserve"> </w:t>
      </w:r>
      <w:r w:rsidR="003D5EA9" w:rsidRPr="00EF0E4D">
        <w:rPr>
          <w:rFonts w:ascii="Times New Roman" w:hAnsi="Times New Roman" w:cs="Times New Roman"/>
          <w:i/>
          <w:iCs/>
        </w:rPr>
        <w:t>et al.,</w:t>
      </w:r>
      <w:r w:rsidR="003D5EA9" w:rsidRPr="00EF0E4D">
        <w:rPr>
          <w:rFonts w:ascii="Times New Roman" w:hAnsi="Times New Roman" w:cs="Times New Roman"/>
        </w:rPr>
        <w:t xml:space="preserve"> 2011</w:t>
      </w:r>
      <w:r w:rsidR="00F436A3" w:rsidRPr="00EF0E4D">
        <w:rPr>
          <w:rFonts w:ascii="Times New Roman" w:hAnsi="Times New Roman" w:cs="Times New Roman"/>
        </w:rPr>
        <w:t>)</w:t>
      </w:r>
      <w:r w:rsidRPr="00EF0E4D">
        <w:rPr>
          <w:rFonts w:ascii="Times New Roman" w:hAnsi="Times New Roman" w:cs="Times New Roman"/>
        </w:rPr>
        <w:t>. Even minor levels of genetic contamination arising from pollen shedders, unintended cross-pollination, volunteer plants, mechanical admixtures, inadequate isolation or accidental seed mixing during harvesting, processing and storage may adversely affect varietal uniformity, flowering synchrony, crop establishment, seed yield, oil quality and overall agronomic performance</w:t>
      </w:r>
      <w:r w:rsidR="00E05520" w:rsidRPr="00EF0E4D">
        <w:rPr>
          <w:rFonts w:ascii="Times New Roman" w:hAnsi="Times New Roman" w:cs="Times New Roman"/>
        </w:rPr>
        <w:t xml:space="preserve"> (</w:t>
      </w:r>
      <w:proofErr w:type="spellStart"/>
      <w:r w:rsidR="00E05520" w:rsidRPr="00EF0E4D">
        <w:rPr>
          <w:rFonts w:ascii="Times New Roman" w:hAnsi="Times New Roman" w:cs="Times New Roman"/>
        </w:rPr>
        <w:t>Sendekie</w:t>
      </w:r>
      <w:proofErr w:type="spellEnd"/>
      <w:r w:rsidR="00E05520" w:rsidRPr="00EF0E4D">
        <w:rPr>
          <w:rFonts w:ascii="Times New Roman" w:hAnsi="Times New Roman" w:cs="Times New Roman"/>
        </w:rPr>
        <w:t>, 2020)</w:t>
      </w:r>
      <w:r w:rsidRPr="00EF0E4D">
        <w:rPr>
          <w:rFonts w:ascii="Times New Roman" w:hAnsi="Times New Roman" w:cs="Times New Roman"/>
        </w:rPr>
        <w:t>. Such contamination often results in phenotypic segregation, inconsistent maturity and deterioration of hybrid performance, ultimately causing economic losses to seed producers and reducing farmers' confidence in hybrid seed. Therefore, accurate assessment and maintenance of genetic purity have become indispensable components of hybrid seed production, seed certification and quality assurance programmes worldwide</w:t>
      </w:r>
      <w:r w:rsidR="0024542F" w:rsidRPr="00EF0E4D">
        <w:rPr>
          <w:rFonts w:ascii="Times New Roman" w:hAnsi="Times New Roman" w:cs="Times New Roman"/>
        </w:rPr>
        <w:t xml:space="preserve"> (</w:t>
      </w:r>
      <w:r w:rsidR="009B42A8" w:rsidRPr="00EF0E4D">
        <w:rPr>
          <w:rFonts w:ascii="Times New Roman" w:hAnsi="Times New Roman" w:cs="Times New Roman"/>
        </w:rPr>
        <w:t xml:space="preserve">Vanangamudi, 2010 and </w:t>
      </w:r>
      <w:r w:rsidR="0024542F" w:rsidRPr="00EF0E4D">
        <w:rPr>
          <w:rFonts w:ascii="Times New Roman" w:hAnsi="Times New Roman" w:cs="Times New Roman"/>
        </w:rPr>
        <w:t>Sinha</w:t>
      </w:r>
      <w:r w:rsidR="003061B7" w:rsidRPr="00EF0E4D">
        <w:rPr>
          <w:rFonts w:ascii="Times New Roman" w:hAnsi="Times New Roman" w:cs="Times New Roman"/>
        </w:rPr>
        <w:t xml:space="preserve"> </w:t>
      </w:r>
      <w:r w:rsidR="003061B7" w:rsidRPr="00EF0E4D">
        <w:rPr>
          <w:rFonts w:ascii="Times New Roman" w:hAnsi="Times New Roman" w:cs="Times New Roman"/>
          <w:i/>
          <w:iCs/>
        </w:rPr>
        <w:t>et al.,</w:t>
      </w:r>
      <w:r w:rsidR="003061B7" w:rsidRPr="00EF0E4D">
        <w:rPr>
          <w:rFonts w:ascii="Times New Roman" w:hAnsi="Times New Roman" w:cs="Times New Roman"/>
        </w:rPr>
        <w:t xml:space="preserve"> 2023</w:t>
      </w:r>
      <w:r w:rsidR="0024542F" w:rsidRPr="00EF0E4D">
        <w:rPr>
          <w:rFonts w:ascii="Times New Roman" w:hAnsi="Times New Roman" w:cs="Times New Roman"/>
        </w:rPr>
        <w:t>)</w:t>
      </w:r>
      <w:r w:rsidRPr="00EF0E4D">
        <w:rPr>
          <w:rFonts w:ascii="Times New Roman" w:hAnsi="Times New Roman" w:cs="Times New Roman"/>
        </w:rPr>
        <w:t>.</w:t>
      </w:r>
    </w:p>
    <w:p w14:paraId="07808968" w14:textId="61FAA511"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Conventionally, genetic purity of hybrid seeds has been evaluated through the Grow-Out Test (GOT), which remains the officially recognized method in many seed certification systems. The GOT assesses varietal identity based on morphological descriptors expressed under field conditions and enables the identification of off-type plants through phenotypic observations</w:t>
      </w:r>
      <w:r w:rsidR="005C37F6" w:rsidRPr="00EF0E4D">
        <w:rPr>
          <w:rFonts w:ascii="Times New Roman" w:hAnsi="Times New Roman" w:cs="Times New Roman"/>
        </w:rPr>
        <w:t xml:space="preserve"> (Olumide &amp; Bankole, 2025)</w:t>
      </w:r>
      <w:r w:rsidRPr="00EF0E4D">
        <w:rPr>
          <w:rFonts w:ascii="Times New Roman" w:hAnsi="Times New Roman" w:cs="Times New Roman"/>
        </w:rPr>
        <w:t xml:space="preserve">. Although widely accepted, the method is labour-intensive, time-consuming, season-dependent and requires considerable land, skilled manpower and financial resources. Moreover, the expression of morphological traits is frequently influenced by environmental conditions and genotype × environment interactions, </w:t>
      </w:r>
      <w:r w:rsidRPr="00EF0E4D">
        <w:rPr>
          <w:rFonts w:ascii="Times New Roman" w:hAnsi="Times New Roman" w:cs="Times New Roman"/>
        </w:rPr>
        <w:lastRenderedPageBreak/>
        <w:t>thereby reducing the accuracy and reproducibility of genetic purity assessment. Biochemical markers were subsequently introduced to overcome some of these limitations; however, their relatively low polymorphism and limited reproducibility restricted their effectiveness for distinguishing closely related parental lines and hybrids. These shortcomings have accelerated the adoption of DNA-based molecular markers, which provide rapid, precise and environment-independent assessment of genetic variation</w:t>
      </w:r>
      <w:r w:rsidR="00462E48" w:rsidRPr="00EF0E4D">
        <w:rPr>
          <w:rFonts w:ascii="Times New Roman" w:hAnsi="Times New Roman" w:cs="Times New Roman"/>
        </w:rPr>
        <w:t xml:space="preserve"> (</w:t>
      </w:r>
      <w:proofErr w:type="spellStart"/>
      <w:r w:rsidR="00462E48" w:rsidRPr="00EF0E4D">
        <w:rPr>
          <w:rFonts w:ascii="Times New Roman" w:hAnsi="Times New Roman" w:cs="Times New Roman"/>
        </w:rPr>
        <w:t>Kovincic</w:t>
      </w:r>
      <w:proofErr w:type="spellEnd"/>
      <w:r w:rsidR="00462E48" w:rsidRPr="00EF0E4D">
        <w:rPr>
          <w:rFonts w:ascii="Times New Roman" w:hAnsi="Times New Roman" w:cs="Times New Roman"/>
        </w:rPr>
        <w:t xml:space="preserve"> </w:t>
      </w:r>
      <w:r w:rsidR="00462E48" w:rsidRPr="00EF0E4D">
        <w:rPr>
          <w:rFonts w:ascii="Times New Roman" w:hAnsi="Times New Roman" w:cs="Times New Roman"/>
          <w:i/>
          <w:iCs/>
        </w:rPr>
        <w:t>et al.,</w:t>
      </w:r>
      <w:r w:rsidR="00462E48" w:rsidRPr="00EF0E4D">
        <w:rPr>
          <w:rFonts w:ascii="Times New Roman" w:hAnsi="Times New Roman" w:cs="Times New Roman"/>
        </w:rPr>
        <w:t xml:space="preserve"> 2023)</w:t>
      </w:r>
      <w:r w:rsidRPr="00EF0E4D">
        <w:rPr>
          <w:rFonts w:ascii="Times New Roman" w:hAnsi="Times New Roman" w:cs="Times New Roman"/>
        </w:rPr>
        <w:t>.</w:t>
      </w:r>
    </w:p>
    <w:p w14:paraId="5D99D3AE" w14:textId="45F96A8E"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Advances in molecular genetics have revolutionized genetic purity testing by enabling direct detection of DNA polymorphisms independent of environmental influences or developmental stage. Various molecular marker systems, including Restriction Fragment Length Polymorphism (RFLP), Random Amplified Polymorphic DNA (RAPD), Amplified Fragment Length Polymorphism (AFLP), Inter-Simple Sequence Repeat (ISSR), Sequence Characterized Amplified Region (SCAR), Simple Sequence Repeat (SSR), Single Nucleotide Polymorphism (SNP) and genotyping-by-sequencing (GBS), have been successfully utilized for genetic diversity analysis, cultivar identification, hybridity confirmation, marker-assisted breeding and genetic purity assessment in numerous crop species</w:t>
      </w:r>
      <w:r w:rsidR="00C1011B" w:rsidRPr="00EF0E4D">
        <w:rPr>
          <w:rFonts w:ascii="Times New Roman" w:hAnsi="Times New Roman" w:cs="Times New Roman"/>
        </w:rPr>
        <w:t xml:space="preserve"> (Smith &amp; Register, 1998</w:t>
      </w:r>
      <w:r w:rsidR="00690E4E" w:rsidRPr="00EF0E4D">
        <w:rPr>
          <w:rFonts w:ascii="Times New Roman" w:hAnsi="Times New Roman" w:cs="Times New Roman"/>
        </w:rPr>
        <w:t>;</w:t>
      </w:r>
      <w:r w:rsidR="001F009F" w:rsidRPr="00EF0E4D">
        <w:rPr>
          <w:rFonts w:ascii="Times New Roman" w:hAnsi="Times New Roman" w:cs="Times New Roman"/>
        </w:rPr>
        <w:t xml:space="preserve"> Josia</w:t>
      </w:r>
      <w:r w:rsidR="00690E4E" w:rsidRPr="00EF0E4D">
        <w:rPr>
          <w:rFonts w:ascii="Times New Roman" w:hAnsi="Times New Roman" w:cs="Times New Roman"/>
        </w:rPr>
        <w:t xml:space="preserve"> </w:t>
      </w:r>
      <w:r w:rsidR="00690E4E" w:rsidRPr="00EF0E4D">
        <w:rPr>
          <w:rFonts w:ascii="Times New Roman" w:hAnsi="Times New Roman" w:cs="Times New Roman"/>
          <w:i/>
          <w:iCs/>
        </w:rPr>
        <w:t>et al.,</w:t>
      </w:r>
      <w:r w:rsidR="00690E4E" w:rsidRPr="00EF0E4D">
        <w:rPr>
          <w:rFonts w:ascii="Times New Roman" w:hAnsi="Times New Roman" w:cs="Times New Roman"/>
        </w:rPr>
        <w:t xml:space="preserve"> 2021</w:t>
      </w:r>
      <w:r w:rsidR="00666E2C" w:rsidRPr="00EF0E4D">
        <w:rPr>
          <w:rFonts w:ascii="Times New Roman" w:hAnsi="Times New Roman" w:cs="Times New Roman"/>
        </w:rPr>
        <w:t xml:space="preserve">; </w:t>
      </w:r>
      <w:r w:rsidR="00CE165F" w:rsidRPr="00EF0E4D">
        <w:rPr>
          <w:rFonts w:ascii="Times New Roman" w:hAnsi="Times New Roman" w:cs="Times New Roman"/>
        </w:rPr>
        <w:t xml:space="preserve">Bhatia &amp; Bajwa, 2022 and </w:t>
      </w:r>
      <w:r w:rsidR="00666E2C" w:rsidRPr="00EF0E4D">
        <w:rPr>
          <w:rFonts w:ascii="Times New Roman" w:hAnsi="Times New Roman" w:cs="Times New Roman"/>
        </w:rPr>
        <w:t xml:space="preserve">Sinha </w:t>
      </w:r>
      <w:r w:rsidR="00666E2C" w:rsidRPr="00EF0E4D">
        <w:rPr>
          <w:rFonts w:ascii="Times New Roman" w:hAnsi="Times New Roman" w:cs="Times New Roman"/>
          <w:i/>
          <w:iCs/>
        </w:rPr>
        <w:t>et al.,</w:t>
      </w:r>
      <w:r w:rsidR="00666E2C" w:rsidRPr="00EF0E4D">
        <w:rPr>
          <w:rFonts w:ascii="Times New Roman" w:hAnsi="Times New Roman" w:cs="Times New Roman"/>
        </w:rPr>
        <w:t xml:space="preserve"> 2023 </w:t>
      </w:r>
      <w:r w:rsidR="00C1011B" w:rsidRPr="00EF0E4D">
        <w:rPr>
          <w:rFonts w:ascii="Times New Roman" w:hAnsi="Times New Roman" w:cs="Times New Roman"/>
        </w:rPr>
        <w:t>)</w:t>
      </w:r>
      <w:r w:rsidRPr="00EF0E4D">
        <w:rPr>
          <w:rFonts w:ascii="Times New Roman" w:hAnsi="Times New Roman" w:cs="Times New Roman"/>
        </w:rPr>
        <w:t xml:space="preserve">. </w:t>
      </w:r>
    </w:p>
    <w:p w14:paraId="69240EA1" w14:textId="36C5EAFA"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Among these, Simple Sequence Repeat (SSR) markers, also known as microsatellites, are regarded as one of the most informative and reliable marker systems. SSRs are short tandemly repeated DNA sequences consisting of one to six nucleotide motifs distributed throughout plant genomes. Variations in repeat number among genotypes generate length polymorphisms that can be readily detected by polymerase chain reaction (PCR) using locus-specific primers</w:t>
      </w:r>
      <w:r w:rsidR="00216E8F" w:rsidRPr="00EF0E4D">
        <w:rPr>
          <w:rFonts w:ascii="Times New Roman" w:hAnsi="Times New Roman" w:cs="Times New Roman"/>
        </w:rPr>
        <w:t xml:space="preserve"> (</w:t>
      </w:r>
      <w:r w:rsidR="008C6C6A" w:rsidRPr="00EF0E4D">
        <w:rPr>
          <w:rFonts w:ascii="Times New Roman" w:hAnsi="Times New Roman" w:cs="Times New Roman"/>
        </w:rPr>
        <w:t xml:space="preserve">Kalia </w:t>
      </w:r>
      <w:r w:rsidR="008C6C6A" w:rsidRPr="00EF0E4D">
        <w:rPr>
          <w:rFonts w:ascii="Times New Roman" w:hAnsi="Times New Roman" w:cs="Times New Roman"/>
          <w:i/>
          <w:iCs/>
        </w:rPr>
        <w:t>et al.,</w:t>
      </w:r>
      <w:r w:rsidR="00D2249E" w:rsidRPr="00EF0E4D">
        <w:rPr>
          <w:rFonts w:ascii="Times New Roman" w:hAnsi="Times New Roman" w:cs="Times New Roman"/>
        </w:rPr>
        <w:t xml:space="preserve"> 2011</w:t>
      </w:r>
      <w:r w:rsidR="008355D1" w:rsidRPr="00EF0E4D">
        <w:rPr>
          <w:rFonts w:ascii="Times New Roman" w:hAnsi="Times New Roman" w:cs="Times New Roman"/>
        </w:rPr>
        <w:t xml:space="preserve">; Mason, 2014 </w:t>
      </w:r>
      <w:r w:rsidR="00D2249E" w:rsidRPr="00EF0E4D">
        <w:rPr>
          <w:rFonts w:ascii="Times New Roman" w:hAnsi="Times New Roman" w:cs="Times New Roman"/>
        </w:rPr>
        <w:t xml:space="preserve">and </w:t>
      </w:r>
      <w:r w:rsidR="00216E8F" w:rsidRPr="00EF0E4D">
        <w:rPr>
          <w:rFonts w:ascii="Times New Roman" w:hAnsi="Times New Roman" w:cs="Times New Roman"/>
        </w:rPr>
        <w:t xml:space="preserve">Vieira </w:t>
      </w:r>
      <w:r w:rsidR="00216E8F" w:rsidRPr="00EF0E4D">
        <w:rPr>
          <w:rFonts w:ascii="Times New Roman" w:hAnsi="Times New Roman" w:cs="Times New Roman"/>
          <w:i/>
          <w:iCs/>
        </w:rPr>
        <w:t>et al.,</w:t>
      </w:r>
      <w:r w:rsidR="00216E8F" w:rsidRPr="00EF0E4D">
        <w:rPr>
          <w:rFonts w:ascii="Times New Roman" w:hAnsi="Times New Roman" w:cs="Times New Roman"/>
        </w:rPr>
        <w:t xml:space="preserve"> 2016)</w:t>
      </w:r>
      <w:r w:rsidRPr="00EF0E4D">
        <w:rPr>
          <w:rFonts w:ascii="Times New Roman" w:hAnsi="Times New Roman" w:cs="Times New Roman"/>
        </w:rPr>
        <w:t>. Owing to their co-dominant inheritance, high polymorphism, locus specificity, reproducibility and multi-allelic nature, SSR markers enable simultaneous detection of both parental alleles in hybrid progenies, allowing unequivocal confirmation of hybridity and accurate discrimination between parental lines and their hybrids</w:t>
      </w:r>
      <w:r w:rsidR="006F0443" w:rsidRPr="00EF0E4D">
        <w:rPr>
          <w:rFonts w:ascii="Times New Roman" w:hAnsi="Times New Roman" w:cs="Times New Roman"/>
        </w:rPr>
        <w:t xml:space="preserve"> (</w:t>
      </w:r>
      <w:proofErr w:type="spellStart"/>
      <w:r w:rsidR="006F0443" w:rsidRPr="00EF0E4D">
        <w:rPr>
          <w:rFonts w:ascii="Times New Roman" w:hAnsi="Times New Roman" w:cs="Times New Roman"/>
        </w:rPr>
        <w:t>Kukanur</w:t>
      </w:r>
      <w:proofErr w:type="spellEnd"/>
      <w:r w:rsidR="006F0443" w:rsidRPr="00EF0E4D">
        <w:rPr>
          <w:rFonts w:ascii="Times New Roman" w:hAnsi="Times New Roman" w:cs="Times New Roman"/>
        </w:rPr>
        <w:t>, 2016</w:t>
      </w:r>
      <w:r w:rsidR="003938CA" w:rsidRPr="00EF0E4D">
        <w:rPr>
          <w:rFonts w:ascii="Times New Roman" w:hAnsi="Times New Roman" w:cs="Times New Roman"/>
        </w:rPr>
        <w:t xml:space="preserve"> and </w:t>
      </w:r>
      <w:proofErr w:type="spellStart"/>
      <w:r w:rsidR="003938CA" w:rsidRPr="00EF0E4D">
        <w:rPr>
          <w:rFonts w:ascii="Times New Roman" w:hAnsi="Times New Roman" w:cs="Times New Roman"/>
        </w:rPr>
        <w:t>Sherakhane</w:t>
      </w:r>
      <w:proofErr w:type="spellEnd"/>
      <w:r w:rsidR="003938CA" w:rsidRPr="00EF0E4D">
        <w:rPr>
          <w:rFonts w:ascii="Times New Roman" w:hAnsi="Times New Roman" w:cs="Times New Roman"/>
        </w:rPr>
        <w:t xml:space="preserve"> </w:t>
      </w:r>
      <w:r w:rsidR="003938CA" w:rsidRPr="00EF0E4D">
        <w:rPr>
          <w:rFonts w:ascii="Times New Roman" w:hAnsi="Times New Roman" w:cs="Times New Roman"/>
          <w:i/>
          <w:iCs/>
        </w:rPr>
        <w:t>at al.,</w:t>
      </w:r>
      <w:r w:rsidR="003938CA" w:rsidRPr="00EF0E4D">
        <w:rPr>
          <w:rFonts w:ascii="Times New Roman" w:hAnsi="Times New Roman" w:cs="Times New Roman"/>
        </w:rPr>
        <w:t xml:space="preserve"> 2025</w:t>
      </w:r>
      <w:r w:rsidR="006F0443" w:rsidRPr="00EF0E4D">
        <w:rPr>
          <w:rFonts w:ascii="Times New Roman" w:hAnsi="Times New Roman" w:cs="Times New Roman"/>
        </w:rPr>
        <w:t>)</w:t>
      </w:r>
      <w:r w:rsidRPr="00EF0E4D">
        <w:rPr>
          <w:rFonts w:ascii="Times New Roman" w:hAnsi="Times New Roman" w:cs="Times New Roman"/>
        </w:rPr>
        <w:t>. Furthermore, SSR-based assays require only small quantities of DNA, can be performed at early stages of plant development and are unaffected by environmental conditions, making them highly suitable for routine genetic purity assessment, varietal authentication and quality assurance in commercial hybrid seed production</w:t>
      </w:r>
      <w:r w:rsidR="00647E2D" w:rsidRPr="00EF0E4D">
        <w:rPr>
          <w:rFonts w:ascii="Times New Roman" w:hAnsi="Times New Roman" w:cs="Times New Roman"/>
        </w:rPr>
        <w:t xml:space="preserve"> (Singh </w:t>
      </w:r>
      <w:r w:rsidR="00647E2D" w:rsidRPr="00EF0E4D">
        <w:rPr>
          <w:rFonts w:ascii="Times New Roman" w:hAnsi="Times New Roman" w:cs="Times New Roman"/>
          <w:i/>
          <w:iCs/>
        </w:rPr>
        <w:t>et al.,</w:t>
      </w:r>
      <w:r w:rsidR="00647E2D" w:rsidRPr="00EF0E4D">
        <w:rPr>
          <w:rFonts w:ascii="Times New Roman" w:hAnsi="Times New Roman" w:cs="Times New Roman"/>
        </w:rPr>
        <w:t xml:space="preserve"> 2026).</w:t>
      </w:r>
    </w:p>
    <w:p w14:paraId="27522B01" w14:textId="4D89C425" w:rsidR="002E7876" w:rsidRPr="00EF0E4D" w:rsidRDefault="002E7876" w:rsidP="002E7876">
      <w:pPr>
        <w:ind w:firstLine="720"/>
        <w:jc w:val="both"/>
        <w:rPr>
          <w:rFonts w:ascii="Times New Roman" w:hAnsi="Times New Roman" w:cs="Times New Roman"/>
        </w:rPr>
      </w:pPr>
      <w:r w:rsidRPr="00EF0E4D">
        <w:rPr>
          <w:rFonts w:ascii="Times New Roman" w:hAnsi="Times New Roman" w:cs="Times New Roman"/>
        </w:rPr>
        <w:t>The application of SSR markers for genetic purity testing has been successfully demonstrated in several crop species, including sunflower, where polymorphic loci have facilitated rapid differentiation of hybrids from their parental lines. Nevertheless, the effectiveness of SSR markers is highly genotype-specific and markers capable of distinguishing one hybrid may not necessarily be informative for another. Consequently, identification and validation of hybrid-specific polymorphic SSR markers remain essential for developing reliable molecular protocols for routine genetic purity assessment</w:t>
      </w:r>
      <w:r w:rsidR="00055FD4" w:rsidRPr="00EF0E4D">
        <w:rPr>
          <w:rFonts w:ascii="Times New Roman" w:hAnsi="Times New Roman" w:cs="Times New Roman"/>
        </w:rPr>
        <w:t xml:space="preserve"> (</w:t>
      </w:r>
      <w:r w:rsidR="00C72F30" w:rsidRPr="00EF0E4D">
        <w:rPr>
          <w:rFonts w:ascii="Times New Roman" w:hAnsi="Times New Roman" w:cs="Times New Roman"/>
        </w:rPr>
        <w:t xml:space="preserve">Vasile </w:t>
      </w:r>
      <w:r w:rsidR="00C72F30" w:rsidRPr="00EF0E4D">
        <w:rPr>
          <w:rFonts w:ascii="Times New Roman" w:hAnsi="Times New Roman" w:cs="Times New Roman"/>
          <w:i/>
          <w:iCs/>
        </w:rPr>
        <w:t>et al.,</w:t>
      </w:r>
      <w:r w:rsidR="00C72F30" w:rsidRPr="00EF0E4D">
        <w:rPr>
          <w:rFonts w:ascii="Times New Roman" w:hAnsi="Times New Roman" w:cs="Times New Roman"/>
        </w:rPr>
        <w:t xml:space="preserve"> 2022 and </w:t>
      </w:r>
      <w:proofErr w:type="spellStart"/>
      <w:r w:rsidR="003938CA" w:rsidRPr="00EF0E4D">
        <w:rPr>
          <w:rFonts w:ascii="Times New Roman" w:hAnsi="Times New Roman" w:cs="Times New Roman"/>
        </w:rPr>
        <w:t>Sherakhane</w:t>
      </w:r>
      <w:proofErr w:type="spellEnd"/>
      <w:r w:rsidR="003938CA" w:rsidRPr="00EF0E4D">
        <w:rPr>
          <w:rFonts w:ascii="Times New Roman" w:hAnsi="Times New Roman" w:cs="Times New Roman"/>
        </w:rPr>
        <w:t xml:space="preserve"> </w:t>
      </w:r>
      <w:r w:rsidR="003938CA" w:rsidRPr="00EF0E4D">
        <w:rPr>
          <w:rFonts w:ascii="Times New Roman" w:hAnsi="Times New Roman" w:cs="Times New Roman"/>
          <w:i/>
          <w:iCs/>
        </w:rPr>
        <w:t>at al.,</w:t>
      </w:r>
      <w:r w:rsidR="003938CA" w:rsidRPr="00EF0E4D">
        <w:rPr>
          <w:rFonts w:ascii="Times New Roman" w:hAnsi="Times New Roman" w:cs="Times New Roman"/>
        </w:rPr>
        <w:t xml:space="preserve"> </w:t>
      </w:r>
      <w:r w:rsidR="00055FD4" w:rsidRPr="00EF0E4D">
        <w:rPr>
          <w:rFonts w:ascii="Times New Roman" w:hAnsi="Times New Roman" w:cs="Times New Roman"/>
        </w:rPr>
        <w:t>2025)</w:t>
      </w:r>
      <w:r w:rsidRPr="00EF0E4D">
        <w:rPr>
          <w:rFonts w:ascii="Times New Roman" w:hAnsi="Times New Roman" w:cs="Times New Roman"/>
        </w:rPr>
        <w:t>. Although sunflower hybrid KBSH-78 is an important commercial hybrid cultivated for its superior agronomic performance and yield potential, validated SSR markers for its rapid molecular authentication are limited. Therefore, the present investigation was undertaken to identify informative polymorphic SSR markers for rapid hybridity confirmation and genetic purity assessment of sunflower (</w:t>
      </w:r>
      <w:r w:rsidRPr="00EF0E4D">
        <w:rPr>
          <w:rFonts w:ascii="Times New Roman" w:hAnsi="Times New Roman" w:cs="Times New Roman"/>
          <w:i/>
          <w:iCs/>
        </w:rPr>
        <w:t>Helianthus annuus</w:t>
      </w:r>
      <w:r w:rsidRPr="00EF0E4D">
        <w:rPr>
          <w:rFonts w:ascii="Times New Roman" w:hAnsi="Times New Roman" w:cs="Times New Roman"/>
        </w:rPr>
        <w:t xml:space="preserve"> L.) </w:t>
      </w:r>
      <w:r w:rsidRPr="00EF0E4D">
        <w:rPr>
          <w:rFonts w:ascii="Times New Roman" w:hAnsi="Times New Roman" w:cs="Times New Roman"/>
        </w:rPr>
        <w:lastRenderedPageBreak/>
        <w:t>hybrid KBSH-78 and its parental lines. The identified markers are expected to provide a rapid, accurate, reproducible and environment-independent molecular approach for seed certification, varietal authentication and quality assurance in commercial sunflower hybrid seed production</w:t>
      </w:r>
      <w:r w:rsidR="00D16429" w:rsidRPr="00EF0E4D">
        <w:rPr>
          <w:rFonts w:ascii="Times New Roman" w:hAnsi="Times New Roman" w:cs="Times New Roman"/>
        </w:rPr>
        <w:t xml:space="preserve"> (</w:t>
      </w:r>
      <w:r w:rsidR="00506162" w:rsidRPr="00EF0E4D">
        <w:rPr>
          <w:rFonts w:ascii="Times New Roman" w:hAnsi="Times New Roman" w:cs="Times New Roman"/>
        </w:rPr>
        <w:t xml:space="preserve">Suresha </w:t>
      </w:r>
      <w:r w:rsidR="00506162" w:rsidRPr="00EF0E4D">
        <w:rPr>
          <w:rFonts w:ascii="Times New Roman" w:hAnsi="Times New Roman" w:cs="Times New Roman"/>
          <w:i/>
          <w:iCs/>
        </w:rPr>
        <w:t>et al.,</w:t>
      </w:r>
      <w:r w:rsidR="00506162" w:rsidRPr="00EF0E4D">
        <w:rPr>
          <w:rFonts w:ascii="Times New Roman" w:hAnsi="Times New Roman" w:cs="Times New Roman"/>
        </w:rPr>
        <w:t xml:space="preserve"> 2017; </w:t>
      </w:r>
      <w:proofErr w:type="spellStart"/>
      <w:r w:rsidR="00D16429" w:rsidRPr="00EF0E4D">
        <w:rPr>
          <w:rFonts w:ascii="Times New Roman" w:hAnsi="Times New Roman" w:cs="Times New Roman"/>
        </w:rPr>
        <w:t>Dhutmal</w:t>
      </w:r>
      <w:proofErr w:type="spellEnd"/>
      <w:r w:rsidR="00D16429" w:rsidRPr="00EF0E4D">
        <w:rPr>
          <w:rFonts w:ascii="Times New Roman" w:hAnsi="Times New Roman" w:cs="Times New Roman"/>
        </w:rPr>
        <w:t xml:space="preserve"> </w:t>
      </w:r>
      <w:r w:rsidR="00D16429" w:rsidRPr="00EF0E4D">
        <w:rPr>
          <w:rFonts w:ascii="Times New Roman" w:hAnsi="Times New Roman" w:cs="Times New Roman"/>
          <w:i/>
          <w:iCs/>
        </w:rPr>
        <w:t>et a</w:t>
      </w:r>
      <w:r w:rsidR="00AC1C7E" w:rsidRPr="00EF0E4D">
        <w:rPr>
          <w:rFonts w:ascii="Times New Roman" w:hAnsi="Times New Roman" w:cs="Times New Roman"/>
          <w:i/>
          <w:iCs/>
        </w:rPr>
        <w:t>l.,</w:t>
      </w:r>
      <w:r w:rsidR="00AC1C7E" w:rsidRPr="00EF0E4D">
        <w:rPr>
          <w:rFonts w:ascii="Times New Roman" w:hAnsi="Times New Roman" w:cs="Times New Roman"/>
        </w:rPr>
        <w:t xml:space="preserve"> 2021</w:t>
      </w:r>
      <w:r w:rsidR="003E60A0" w:rsidRPr="00EF0E4D">
        <w:rPr>
          <w:rFonts w:ascii="Times New Roman" w:hAnsi="Times New Roman" w:cs="Times New Roman"/>
        </w:rPr>
        <w:t xml:space="preserve"> and </w:t>
      </w:r>
      <w:proofErr w:type="spellStart"/>
      <w:r w:rsidR="003E60A0" w:rsidRPr="00EF0E4D">
        <w:rPr>
          <w:rFonts w:ascii="Times New Roman" w:hAnsi="Times New Roman" w:cs="Times New Roman"/>
        </w:rPr>
        <w:t>Lavudya</w:t>
      </w:r>
      <w:proofErr w:type="spellEnd"/>
      <w:r w:rsidR="006322CE" w:rsidRPr="00EF0E4D">
        <w:rPr>
          <w:rFonts w:ascii="Times New Roman" w:hAnsi="Times New Roman" w:cs="Times New Roman"/>
        </w:rPr>
        <w:t xml:space="preserve"> </w:t>
      </w:r>
      <w:r w:rsidR="006322CE" w:rsidRPr="00EF0E4D">
        <w:rPr>
          <w:rFonts w:ascii="Times New Roman" w:hAnsi="Times New Roman" w:cs="Times New Roman"/>
          <w:i/>
          <w:iCs/>
        </w:rPr>
        <w:t>et al.,</w:t>
      </w:r>
      <w:r w:rsidR="006322CE" w:rsidRPr="00EF0E4D">
        <w:rPr>
          <w:rFonts w:ascii="Times New Roman" w:hAnsi="Times New Roman" w:cs="Times New Roman"/>
        </w:rPr>
        <w:t xml:space="preserve"> 2024</w:t>
      </w:r>
      <w:r w:rsidR="00D16429" w:rsidRPr="00EF0E4D">
        <w:rPr>
          <w:rFonts w:ascii="Times New Roman" w:hAnsi="Times New Roman" w:cs="Times New Roman"/>
        </w:rPr>
        <w:t>)</w:t>
      </w:r>
      <w:r w:rsidRPr="00EF0E4D">
        <w:rPr>
          <w:rFonts w:ascii="Times New Roman" w:hAnsi="Times New Roman" w:cs="Times New Roman"/>
        </w:rPr>
        <w:t>.</w:t>
      </w:r>
    </w:p>
    <w:p w14:paraId="743ADB36" w14:textId="7DCCB3E5" w:rsidR="009C6D2A" w:rsidRPr="007B4AAA" w:rsidRDefault="007B4AAA" w:rsidP="007B4AAA">
      <w:pPr>
        <w:jc w:val="center"/>
        <w:rPr>
          <w:rFonts w:ascii="Times New Roman" w:hAnsi="Times New Roman" w:cs="Times New Roman"/>
          <w:b/>
          <w:bCs/>
          <w:sz w:val="28"/>
          <w:szCs w:val="28"/>
        </w:rPr>
      </w:pPr>
      <w:r w:rsidRPr="007B4AAA">
        <w:rPr>
          <w:rFonts w:ascii="Times New Roman" w:hAnsi="Times New Roman" w:cs="Times New Roman"/>
          <w:b/>
          <w:bCs/>
          <w:sz w:val="28"/>
          <w:szCs w:val="28"/>
        </w:rPr>
        <w:t>MATERIAL AND METHODS</w:t>
      </w:r>
    </w:p>
    <w:p w14:paraId="4E8C9929" w14:textId="3A828070" w:rsidR="009C6D2A" w:rsidRPr="00EF0E4D" w:rsidRDefault="009C6D2A" w:rsidP="009C6D2A">
      <w:pPr>
        <w:jc w:val="both"/>
        <w:rPr>
          <w:rFonts w:ascii="Times New Roman" w:hAnsi="Times New Roman" w:cs="Times New Roman"/>
          <w:b/>
          <w:bCs/>
        </w:rPr>
      </w:pPr>
      <w:r w:rsidRPr="00EF0E4D">
        <w:rPr>
          <w:rFonts w:ascii="Times New Roman" w:hAnsi="Times New Roman" w:cs="Times New Roman"/>
          <w:b/>
          <w:bCs/>
        </w:rPr>
        <w:t>Plant Materials:</w:t>
      </w:r>
    </w:p>
    <w:p w14:paraId="02DC9FA7" w14:textId="04CD3BAA" w:rsidR="009C6D2A" w:rsidRPr="00EF0E4D" w:rsidRDefault="009C6D2A" w:rsidP="00E33647">
      <w:pPr>
        <w:ind w:firstLine="720"/>
        <w:jc w:val="both"/>
        <w:rPr>
          <w:rFonts w:ascii="Times New Roman" w:hAnsi="Times New Roman" w:cs="Times New Roman"/>
        </w:rPr>
      </w:pPr>
      <w:r w:rsidRPr="00EF0E4D">
        <w:rPr>
          <w:rFonts w:ascii="Times New Roman" w:hAnsi="Times New Roman" w:cs="Times New Roman"/>
        </w:rPr>
        <w:t xml:space="preserve"> The present investigation was conducted to identify polymorphic simple sequence repeat (SSR) markers for rapid hybridity confirmation and genetic purity assessment of sunflower (</w:t>
      </w:r>
      <w:r w:rsidRPr="00EF0E4D">
        <w:rPr>
          <w:rFonts w:ascii="Times New Roman" w:hAnsi="Times New Roman" w:cs="Times New Roman"/>
          <w:i/>
          <w:iCs/>
        </w:rPr>
        <w:t>Helianthus annuus</w:t>
      </w:r>
      <w:r w:rsidRPr="00EF0E4D">
        <w:rPr>
          <w:rFonts w:ascii="Times New Roman" w:hAnsi="Times New Roman" w:cs="Times New Roman"/>
        </w:rPr>
        <w:t xml:space="preserve"> L.) hybrid KBSH-78 and its parental lines. The experimental material comprised the commercial sunflower hybrid KBSH-78 along with its corresponding seed parent (CMS-78A) and pollen parent (RHA-78R). Breeder seed of the parental lines and authenticated hybrid seed were obtained from </w:t>
      </w:r>
      <w:r w:rsidR="00E33647">
        <w:rPr>
          <w:rFonts w:ascii="Times New Roman" w:hAnsi="Times New Roman" w:cs="Times New Roman"/>
        </w:rPr>
        <w:t xml:space="preserve">All India Coordinated Research Project (AICRP) on Sunflower, </w:t>
      </w:r>
      <w:r w:rsidRPr="00EF0E4D">
        <w:rPr>
          <w:rFonts w:ascii="Times New Roman" w:hAnsi="Times New Roman" w:cs="Times New Roman"/>
        </w:rPr>
        <w:t>University of Agricultural Sciences, Bengaluru, India. Healthy seedlings of the hybrid and both parental lines were raised under controlled conditions and young, fresh leaf tissues were collected at the 3</w:t>
      </w:r>
      <w:r w:rsidR="00315097" w:rsidRPr="00EF0E4D">
        <w:rPr>
          <w:rFonts w:ascii="Times New Roman" w:hAnsi="Times New Roman" w:cs="Times New Roman"/>
        </w:rPr>
        <w:t>-</w:t>
      </w:r>
      <w:r w:rsidRPr="00EF0E4D">
        <w:rPr>
          <w:rFonts w:ascii="Times New Roman" w:hAnsi="Times New Roman" w:cs="Times New Roman"/>
        </w:rPr>
        <w:t>4 leaf stage for genomic DNA isolation.</w:t>
      </w:r>
    </w:p>
    <w:p w14:paraId="455D6292" w14:textId="506F36CA" w:rsidR="007B2AFE" w:rsidRPr="00EF0E4D" w:rsidRDefault="007B2AFE" w:rsidP="007B2AFE">
      <w:pPr>
        <w:jc w:val="both"/>
        <w:rPr>
          <w:rFonts w:ascii="Times New Roman" w:hAnsi="Times New Roman" w:cs="Times New Roman"/>
          <w:b/>
          <w:bCs/>
        </w:rPr>
      </w:pPr>
      <w:r w:rsidRPr="00EF0E4D">
        <w:rPr>
          <w:rFonts w:ascii="Times New Roman" w:hAnsi="Times New Roman" w:cs="Times New Roman"/>
          <w:b/>
          <w:bCs/>
        </w:rPr>
        <w:t>Genomic DNA Isolation:</w:t>
      </w:r>
    </w:p>
    <w:p w14:paraId="2A9B42BF" w14:textId="2B2B892A" w:rsidR="007B2AFE" w:rsidRPr="00EF0E4D" w:rsidRDefault="007B2AFE" w:rsidP="00507EB1">
      <w:pPr>
        <w:ind w:firstLine="720"/>
        <w:jc w:val="both"/>
        <w:rPr>
          <w:rFonts w:ascii="Times New Roman" w:hAnsi="Times New Roman" w:cs="Times New Roman"/>
        </w:rPr>
      </w:pPr>
      <w:r w:rsidRPr="00EF0E4D">
        <w:rPr>
          <w:rFonts w:ascii="Times New Roman" w:hAnsi="Times New Roman" w:cs="Times New Roman"/>
        </w:rPr>
        <w:t xml:space="preserve">Genomic DNA was extracted from young leaf tissues using the </w:t>
      </w:r>
      <w:proofErr w:type="spellStart"/>
      <w:r w:rsidRPr="00EF0E4D">
        <w:rPr>
          <w:rFonts w:ascii="Times New Roman" w:hAnsi="Times New Roman" w:cs="Times New Roman"/>
        </w:rPr>
        <w:t>DNeasy</w:t>
      </w:r>
      <w:proofErr w:type="spellEnd"/>
      <w:r w:rsidRPr="00EF0E4D">
        <w:rPr>
          <w:rFonts w:ascii="Times New Roman" w:hAnsi="Times New Roman" w:cs="Times New Roman"/>
        </w:rPr>
        <w:t>® Plant Mini Kit (Qiagen, Hilden, Germany) following the manufacturer's protocol. Approximately 100 mg of fresh leaf tissue from each genotype was used for DNA extraction. The quality and integrity of the isolated DNA were assessed by electrophoresis on 0.8</w:t>
      </w:r>
      <w:r w:rsidR="00160613" w:rsidRPr="00EF0E4D">
        <w:rPr>
          <w:rFonts w:ascii="Times New Roman" w:hAnsi="Times New Roman" w:cs="Times New Roman"/>
        </w:rPr>
        <w:t xml:space="preserve"> </w:t>
      </w:r>
      <w:r w:rsidRPr="00EF0E4D">
        <w:rPr>
          <w:rFonts w:ascii="Times New Roman" w:hAnsi="Times New Roman" w:cs="Times New Roman"/>
        </w:rPr>
        <w:t>% agarose gel prepared in 1</w:t>
      </w:r>
      <w:r w:rsidRPr="00EF0E4D">
        <w:rPr>
          <w:rFonts w:ascii="Times New Roman" w:hAnsi="Times New Roman" w:cs="Times New Roman"/>
          <w:b/>
          <w:bCs/>
        </w:rPr>
        <w:t xml:space="preserve">× </w:t>
      </w:r>
      <w:r w:rsidRPr="00EF0E4D">
        <w:rPr>
          <w:rFonts w:ascii="Times New Roman" w:hAnsi="Times New Roman" w:cs="Times New Roman"/>
        </w:rPr>
        <w:t xml:space="preserve">Tris–Acetate–EDTA (TAE) buffer, while DNA purity and concentration were determined using a </w:t>
      </w:r>
      <w:proofErr w:type="spellStart"/>
      <w:r w:rsidRPr="00EF0E4D">
        <w:rPr>
          <w:rFonts w:ascii="Times New Roman" w:hAnsi="Times New Roman" w:cs="Times New Roman"/>
        </w:rPr>
        <w:t>NanoDrop</w:t>
      </w:r>
      <w:proofErr w:type="spellEnd"/>
      <w:r w:rsidRPr="00EF0E4D">
        <w:rPr>
          <w:rFonts w:ascii="Times New Roman" w:hAnsi="Times New Roman" w:cs="Times New Roman"/>
        </w:rPr>
        <w:t xml:space="preserve"> spectrophotometer. DNA samples exhibiting an A260/A280 ratio between 1.8 and 2.0 were considered suitable for downstream molecular analysis. The DNA concentration was subsequently normalized to approximately 50 ng µL⁻¹ using nuclease-free water and stored at −20°C until PCR amplification.</w:t>
      </w:r>
    </w:p>
    <w:p w14:paraId="492FF35F" w14:textId="26926184" w:rsidR="006C5C0D" w:rsidRPr="00EF0E4D" w:rsidRDefault="006C5C0D" w:rsidP="006C5C0D">
      <w:pPr>
        <w:jc w:val="both"/>
        <w:rPr>
          <w:rFonts w:ascii="Times New Roman" w:hAnsi="Times New Roman" w:cs="Times New Roman"/>
          <w:b/>
          <w:bCs/>
        </w:rPr>
      </w:pPr>
      <w:r w:rsidRPr="00EF0E4D">
        <w:rPr>
          <w:rFonts w:ascii="Times New Roman" w:hAnsi="Times New Roman" w:cs="Times New Roman"/>
          <w:b/>
          <w:bCs/>
        </w:rPr>
        <w:t>SSR Marker Analysis:</w:t>
      </w:r>
    </w:p>
    <w:p w14:paraId="4F98703B" w14:textId="27273753" w:rsidR="006C5C0D" w:rsidRPr="00EF0E4D" w:rsidRDefault="006C5C0D" w:rsidP="00877C4F">
      <w:pPr>
        <w:ind w:firstLine="720"/>
        <w:jc w:val="both"/>
        <w:rPr>
          <w:rFonts w:ascii="Times New Roman" w:hAnsi="Times New Roman" w:cs="Times New Roman"/>
        </w:rPr>
      </w:pPr>
      <w:r w:rsidRPr="00EF0E4D">
        <w:rPr>
          <w:rFonts w:ascii="Times New Roman" w:hAnsi="Times New Roman" w:cs="Times New Roman"/>
        </w:rPr>
        <w:t>A total of twenty sunflower-specific SSR primer pairs were selected based on their reported polymorphism and genome coverage. Polymerase chain reaction (PCR) amplification was performed in a final reaction volume of 20 µL containing genomic DNA, 1</w:t>
      </w:r>
      <w:r w:rsidRPr="00EF0E4D">
        <w:rPr>
          <w:rFonts w:ascii="Times New Roman" w:hAnsi="Times New Roman" w:cs="Times New Roman"/>
          <w:b/>
          <w:bCs/>
        </w:rPr>
        <w:t xml:space="preserve">× </w:t>
      </w:r>
      <w:r w:rsidRPr="00EF0E4D">
        <w:rPr>
          <w:rFonts w:ascii="Times New Roman" w:hAnsi="Times New Roman" w:cs="Times New Roman"/>
        </w:rPr>
        <w:t xml:space="preserve">PCR buffer, </w:t>
      </w:r>
      <w:proofErr w:type="spellStart"/>
      <w:r w:rsidRPr="00EF0E4D">
        <w:rPr>
          <w:rFonts w:ascii="Times New Roman" w:hAnsi="Times New Roman" w:cs="Times New Roman"/>
        </w:rPr>
        <w:t>MgCl</w:t>
      </w:r>
      <w:proofErr w:type="spellEnd"/>
      <w:r w:rsidRPr="00EF0E4D">
        <w:rPr>
          <w:rFonts w:ascii="Times New Roman" w:hAnsi="Times New Roman" w:cs="Times New Roman"/>
        </w:rPr>
        <w:t>₂, dNTPs, forward and reverse primers, Taq DNA polymerase and nuclease-free water. PCR amplification was carried out in a programmable thermal cycler using an initial denaturation at 94°C for 5 min followed by 35 cycles of denaturation at 94°C for 45s, primer annealing at the respective optimized annealing temperature for 45s, extension at 72°C for 1 min, and a final extension at 72°C for 10 min.</w:t>
      </w:r>
    </w:p>
    <w:p w14:paraId="261676C7" w14:textId="26824285" w:rsidR="006C5C0D" w:rsidRPr="00EF0E4D" w:rsidRDefault="006C5C0D" w:rsidP="00877C4F">
      <w:pPr>
        <w:ind w:firstLine="720"/>
        <w:jc w:val="both"/>
        <w:rPr>
          <w:rFonts w:ascii="Times New Roman" w:hAnsi="Times New Roman" w:cs="Times New Roman"/>
        </w:rPr>
      </w:pPr>
      <w:r w:rsidRPr="00EF0E4D">
        <w:rPr>
          <w:rFonts w:ascii="Times New Roman" w:hAnsi="Times New Roman" w:cs="Times New Roman"/>
        </w:rPr>
        <w:t>PCR products were resolved by electrophoresis on 3.5</w:t>
      </w:r>
      <w:r w:rsidR="00805025" w:rsidRPr="00EF0E4D">
        <w:rPr>
          <w:rFonts w:ascii="Times New Roman" w:hAnsi="Times New Roman" w:cs="Times New Roman"/>
        </w:rPr>
        <w:t xml:space="preserve"> </w:t>
      </w:r>
      <w:r w:rsidRPr="00EF0E4D">
        <w:rPr>
          <w:rFonts w:ascii="Times New Roman" w:hAnsi="Times New Roman" w:cs="Times New Roman"/>
        </w:rPr>
        <w:t>% agarose gel prepared in 1</w:t>
      </w:r>
      <w:r w:rsidRPr="00EF0E4D">
        <w:rPr>
          <w:rFonts w:ascii="Times New Roman" w:hAnsi="Times New Roman" w:cs="Times New Roman"/>
          <w:b/>
          <w:bCs/>
        </w:rPr>
        <w:t xml:space="preserve">× </w:t>
      </w:r>
      <w:r w:rsidRPr="00EF0E4D">
        <w:rPr>
          <w:rFonts w:ascii="Times New Roman" w:hAnsi="Times New Roman" w:cs="Times New Roman"/>
        </w:rPr>
        <w:t>TAE buffer and stained with ethidium bromide (or an equivalent nucleic acid stain). Electrophoresis was performed alongside a 100 bp DNA ladder to estimate fragment size. Amplified DNA fragments were visualized under a UV gel documentation system, and band sizes were determined by comparison with the molecular size marker.</w:t>
      </w:r>
    </w:p>
    <w:p w14:paraId="23F99503" w14:textId="7C4A5E5D" w:rsidR="00877C4F" w:rsidRPr="00EF0E4D" w:rsidRDefault="00877C4F" w:rsidP="00877C4F">
      <w:pPr>
        <w:jc w:val="both"/>
        <w:rPr>
          <w:rFonts w:ascii="Times New Roman" w:hAnsi="Times New Roman" w:cs="Times New Roman"/>
          <w:b/>
          <w:bCs/>
        </w:rPr>
      </w:pPr>
      <w:r w:rsidRPr="00EF0E4D">
        <w:rPr>
          <w:rFonts w:ascii="Times New Roman" w:hAnsi="Times New Roman" w:cs="Times New Roman"/>
          <w:b/>
          <w:bCs/>
        </w:rPr>
        <w:lastRenderedPageBreak/>
        <w:t>Identification of Polymorphic Markers:</w:t>
      </w:r>
    </w:p>
    <w:p w14:paraId="31AB03CD" w14:textId="5DF9C064" w:rsidR="00DE6510" w:rsidRPr="00EF0E4D" w:rsidRDefault="00877C4F" w:rsidP="00CD683E">
      <w:pPr>
        <w:ind w:firstLine="720"/>
        <w:jc w:val="both"/>
        <w:rPr>
          <w:rFonts w:ascii="Times New Roman" w:hAnsi="Times New Roman" w:cs="Times New Roman"/>
        </w:rPr>
      </w:pPr>
      <w:r w:rsidRPr="00EF0E4D">
        <w:rPr>
          <w:rFonts w:ascii="Times New Roman" w:hAnsi="Times New Roman" w:cs="Times New Roman"/>
        </w:rPr>
        <w:t>Amplification profiles generated by individual SSR primers were examined for polymorphism between the hybrid and its parental lines. Primers producing identical amplification patterns among all genotypes were considered monomorphic, whereas primers generating distinct parental alleles with simultaneous amplification of both alleles in the hybrid were considered polymorphic and informative for hybridity confirmation. Only clear, reproducible, and scorable amplification profiles were used for subsequent analysis.</w:t>
      </w:r>
    </w:p>
    <w:p w14:paraId="33D42E29" w14:textId="25C92C08" w:rsidR="001B1783" w:rsidRPr="00EF0E4D" w:rsidRDefault="001B1783" w:rsidP="008824E5">
      <w:pPr>
        <w:autoSpaceDE w:val="0"/>
        <w:autoSpaceDN w:val="0"/>
        <w:adjustRightInd w:val="0"/>
        <w:spacing w:before="120" w:after="120" w:line="440" w:lineRule="atLeast"/>
        <w:jc w:val="center"/>
        <w:rPr>
          <w:rFonts w:ascii="Times New Roman" w:hAnsi="Times New Roman" w:cs="Times New Roman"/>
          <w:b/>
          <w:bCs/>
        </w:rPr>
      </w:pPr>
      <w:r w:rsidRPr="00EF0E4D">
        <w:rPr>
          <w:rFonts w:ascii="Times New Roman" w:hAnsi="Times New Roman" w:cs="Times New Roman"/>
          <w:b/>
        </w:rPr>
        <w:t>Table 1. List of SSR Primers and their sequences used for molecular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1701"/>
        <w:gridCol w:w="1417"/>
        <w:gridCol w:w="4680"/>
      </w:tblGrid>
      <w:tr w:rsidR="001B1783" w:rsidRPr="00EF0E4D" w14:paraId="3F44F82D" w14:textId="77777777" w:rsidTr="00E3127B">
        <w:trPr>
          <w:trHeight w:val="70"/>
          <w:tblHeader/>
          <w:jc w:val="center"/>
        </w:trPr>
        <w:tc>
          <w:tcPr>
            <w:tcW w:w="1101" w:type="dxa"/>
            <w:tcBorders>
              <w:top w:val="single" w:sz="4" w:space="0" w:color="auto"/>
              <w:left w:val="single" w:sz="4" w:space="0" w:color="auto"/>
              <w:bottom w:val="single" w:sz="4" w:space="0" w:color="auto"/>
              <w:right w:val="single" w:sz="4" w:space="0" w:color="auto"/>
            </w:tcBorders>
          </w:tcPr>
          <w:p w14:paraId="6DFBBC8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b/>
                <w:lang w:val="en-US"/>
              </w:rPr>
            </w:pPr>
            <w:proofErr w:type="spellStart"/>
            <w:r w:rsidRPr="00EF0E4D">
              <w:rPr>
                <w:rFonts w:ascii="Times New Roman" w:hAnsi="Times New Roman" w:cs="Times New Roman"/>
                <w:b/>
                <w:bCs/>
                <w:lang w:val="en-US"/>
              </w:rPr>
              <w:t>Sl</w:t>
            </w:r>
            <w:proofErr w:type="spellEnd"/>
            <w:r w:rsidRPr="00EF0E4D">
              <w:rPr>
                <w:rFonts w:ascii="Times New Roman" w:hAnsi="Times New Roman" w:cs="Times New Roman"/>
                <w:b/>
                <w:bCs/>
                <w:lang w:val="en-US"/>
              </w:rPr>
              <w:t xml:space="preserve"> No</w:t>
            </w:r>
          </w:p>
        </w:tc>
        <w:tc>
          <w:tcPr>
            <w:tcW w:w="1701" w:type="dxa"/>
            <w:tcBorders>
              <w:top w:val="single" w:sz="4" w:space="0" w:color="auto"/>
              <w:left w:val="single" w:sz="4" w:space="0" w:color="auto"/>
              <w:bottom w:val="single" w:sz="4" w:space="0" w:color="auto"/>
              <w:right w:val="single" w:sz="4" w:space="0" w:color="auto"/>
            </w:tcBorders>
          </w:tcPr>
          <w:p w14:paraId="6D7C5484"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b/>
                <w:lang w:val="en-US"/>
              </w:rPr>
            </w:pPr>
            <w:r w:rsidRPr="00EF0E4D">
              <w:rPr>
                <w:rFonts w:ascii="Times New Roman" w:hAnsi="Times New Roman" w:cs="Times New Roman"/>
                <w:b/>
                <w:bCs/>
                <w:lang w:val="en-US"/>
              </w:rPr>
              <w:t>Primer Name</w:t>
            </w:r>
          </w:p>
        </w:tc>
        <w:tc>
          <w:tcPr>
            <w:tcW w:w="6097" w:type="dxa"/>
            <w:gridSpan w:val="2"/>
            <w:tcBorders>
              <w:top w:val="single" w:sz="4" w:space="0" w:color="auto"/>
              <w:left w:val="single" w:sz="4" w:space="0" w:color="auto"/>
              <w:bottom w:val="single" w:sz="4" w:space="0" w:color="auto"/>
              <w:right w:val="single" w:sz="4" w:space="0" w:color="auto"/>
            </w:tcBorders>
          </w:tcPr>
          <w:p w14:paraId="55C34543"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b/>
                <w:lang w:val="en-US"/>
              </w:rPr>
            </w:pPr>
            <w:r w:rsidRPr="00EF0E4D">
              <w:rPr>
                <w:rFonts w:ascii="Times New Roman" w:hAnsi="Times New Roman" w:cs="Times New Roman"/>
                <w:b/>
                <w:bCs/>
                <w:lang w:val="en-US"/>
              </w:rPr>
              <w:t>Nucleotide sequence</w:t>
            </w:r>
          </w:p>
        </w:tc>
      </w:tr>
      <w:tr w:rsidR="001B1783" w:rsidRPr="00EF0E4D" w14:paraId="377F2CD9"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53F1B235"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w:t>
            </w:r>
          </w:p>
        </w:tc>
        <w:tc>
          <w:tcPr>
            <w:tcW w:w="1701" w:type="dxa"/>
            <w:vMerge w:val="restart"/>
            <w:tcBorders>
              <w:top w:val="single" w:sz="4" w:space="0" w:color="auto"/>
              <w:left w:val="single" w:sz="4" w:space="0" w:color="auto"/>
              <w:bottom w:val="single" w:sz="4" w:space="0" w:color="auto"/>
              <w:right w:val="single" w:sz="4" w:space="0" w:color="auto"/>
            </w:tcBorders>
          </w:tcPr>
          <w:p w14:paraId="7A4E8F9D"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HA77</w:t>
            </w:r>
          </w:p>
        </w:tc>
        <w:tc>
          <w:tcPr>
            <w:tcW w:w="1417" w:type="dxa"/>
            <w:tcBorders>
              <w:top w:val="single" w:sz="4" w:space="0" w:color="auto"/>
              <w:left w:val="single" w:sz="4" w:space="0" w:color="auto"/>
              <w:bottom w:val="single" w:sz="4" w:space="0" w:color="auto"/>
              <w:right w:val="single" w:sz="4" w:space="0" w:color="auto"/>
            </w:tcBorders>
          </w:tcPr>
          <w:p w14:paraId="32E87D9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1C27A204"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TGTAATCTGTATCACTTCCACC</w:t>
            </w:r>
          </w:p>
        </w:tc>
      </w:tr>
      <w:tr w:rsidR="001B1783" w:rsidRPr="00EF0E4D" w14:paraId="59FC83F1"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4E85FEB"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B4811C"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4C9AE4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482F4F28"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GTTGTTCTGTTAGGTCGTTCCG</w:t>
            </w:r>
          </w:p>
        </w:tc>
      </w:tr>
      <w:tr w:rsidR="001B1783" w:rsidRPr="00EF0E4D" w14:paraId="30FFC717"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75E9DFA"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2</w:t>
            </w:r>
          </w:p>
        </w:tc>
        <w:tc>
          <w:tcPr>
            <w:tcW w:w="1701" w:type="dxa"/>
            <w:vMerge w:val="restart"/>
            <w:tcBorders>
              <w:top w:val="single" w:sz="4" w:space="0" w:color="auto"/>
              <w:left w:val="single" w:sz="4" w:space="0" w:color="auto"/>
              <w:bottom w:val="single" w:sz="4" w:space="0" w:color="auto"/>
              <w:right w:val="single" w:sz="4" w:space="0" w:color="auto"/>
            </w:tcBorders>
          </w:tcPr>
          <w:p w14:paraId="13DF491A"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HA541</w:t>
            </w:r>
          </w:p>
        </w:tc>
        <w:tc>
          <w:tcPr>
            <w:tcW w:w="1417" w:type="dxa"/>
            <w:tcBorders>
              <w:top w:val="single" w:sz="4" w:space="0" w:color="auto"/>
              <w:left w:val="single" w:sz="4" w:space="0" w:color="auto"/>
              <w:bottom w:val="single" w:sz="4" w:space="0" w:color="auto"/>
              <w:right w:val="single" w:sz="4" w:space="0" w:color="auto"/>
            </w:tcBorders>
          </w:tcPr>
          <w:p w14:paraId="780436A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4B14DB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CAACACACGCTTTGTTGGGTG</w:t>
            </w:r>
          </w:p>
        </w:tc>
      </w:tr>
      <w:tr w:rsidR="001B1783" w:rsidRPr="00EF0E4D" w14:paraId="7BB75E63"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F85941F"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905024"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155F379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00E56744"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CGATAAGGAGGGAGGGGAAGATAG</w:t>
            </w:r>
          </w:p>
        </w:tc>
      </w:tr>
      <w:tr w:rsidR="001B1783" w:rsidRPr="00EF0E4D" w14:paraId="6BC5A807"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4ACEF21"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3</w:t>
            </w:r>
          </w:p>
        </w:tc>
        <w:tc>
          <w:tcPr>
            <w:tcW w:w="1701" w:type="dxa"/>
            <w:vMerge w:val="restart"/>
            <w:tcBorders>
              <w:top w:val="single" w:sz="4" w:space="0" w:color="auto"/>
              <w:left w:val="single" w:sz="4" w:space="0" w:color="auto"/>
              <w:bottom w:val="single" w:sz="4" w:space="0" w:color="auto"/>
              <w:right w:val="single" w:sz="4" w:space="0" w:color="auto"/>
            </w:tcBorders>
          </w:tcPr>
          <w:p w14:paraId="395EB169"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HA3878</w:t>
            </w:r>
          </w:p>
        </w:tc>
        <w:tc>
          <w:tcPr>
            <w:tcW w:w="1417" w:type="dxa"/>
            <w:tcBorders>
              <w:top w:val="single" w:sz="4" w:space="0" w:color="auto"/>
              <w:left w:val="single" w:sz="4" w:space="0" w:color="auto"/>
              <w:bottom w:val="single" w:sz="4" w:space="0" w:color="auto"/>
              <w:right w:val="single" w:sz="4" w:space="0" w:color="auto"/>
            </w:tcBorders>
          </w:tcPr>
          <w:p w14:paraId="00C8DC9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4C45A3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TTTGTTTAGCATCATCATCATC</w:t>
            </w:r>
          </w:p>
        </w:tc>
      </w:tr>
      <w:tr w:rsidR="001B1783" w:rsidRPr="00EF0E4D" w14:paraId="14A5C123"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8CBF4CB"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7ABC54"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7697BF4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3691DBB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GAGACCCTAACCATAACATGA</w:t>
            </w:r>
          </w:p>
        </w:tc>
      </w:tr>
      <w:tr w:rsidR="001B1783" w:rsidRPr="00EF0E4D" w14:paraId="5FCC50C7"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35EF1928"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4</w:t>
            </w:r>
          </w:p>
        </w:tc>
        <w:tc>
          <w:tcPr>
            <w:tcW w:w="1701" w:type="dxa"/>
            <w:vMerge w:val="restart"/>
            <w:tcBorders>
              <w:top w:val="single" w:sz="4" w:space="0" w:color="auto"/>
              <w:left w:val="single" w:sz="4" w:space="0" w:color="auto"/>
              <w:bottom w:val="single" w:sz="4" w:space="0" w:color="auto"/>
              <w:right w:val="single" w:sz="4" w:space="0" w:color="auto"/>
            </w:tcBorders>
          </w:tcPr>
          <w:p w14:paraId="30A4EB46"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HA911</w:t>
            </w:r>
          </w:p>
        </w:tc>
        <w:tc>
          <w:tcPr>
            <w:tcW w:w="1417" w:type="dxa"/>
            <w:tcBorders>
              <w:top w:val="single" w:sz="4" w:space="0" w:color="auto"/>
              <w:left w:val="single" w:sz="4" w:space="0" w:color="auto"/>
              <w:bottom w:val="single" w:sz="4" w:space="0" w:color="auto"/>
              <w:right w:val="single" w:sz="4" w:space="0" w:color="auto"/>
            </w:tcBorders>
          </w:tcPr>
          <w:p w14:paraId="41E2AAC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2FBF7A8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CAAAGTTCACCTCGTTTTTC</w:t>
            </w:r>
          </w:p>
        </w:tc>
      </w:tr>
      <w:tr w:rsidR="001B1783" w:rsidRPr="00EF0E4D" w14:paraId="0AEA12D6"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C43C3ED"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EC02894"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7CE16232"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6D810D59"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AAGTGGGAAGGTCTACGAGT</w:t>
            </w:r>
          </w:p>
        </w:tc>
      </w:tr>
      <w:tr w:rsidR="001B1783" w:rsidRPr="00EF0E4D" w14:paraId="2BCA29F6"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50E146D3"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5</w:t>
            </w:r>
          </w:p>
        </w:tc>
        <w:tc>
          <w:tcPr>
            <w:tcW w:w="1701" w:type="dxa"/>
            <w:vMerge w:val="restart"/>
            <w:tcBorders>
              <w:top w:val="single" w:sz="4" w:space="0" w:color="auto"/>
              <w:left w:val="single" w:sz="4" w:space="0" w:color="auto"/>
              <w:bottom w:val="single" w:sz="4" w:space="0" w:color="auto"/>
              <w:right w:val="single" w:sz="4" w:space="0" w:color="auto"/>
            </w:tcBorders>
          </w:tcPr>
          <w:p w14:paraId="6D66F77F"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HA920</w:t>
            </w:r>
          </w:p>
        </w:tc>
        <w:tc>
          <w:tcPr>
            <w:tcW w:w="1417" w:type="dxa"/>
            <w:tcBorders>
              <w:top w:val="single" w:sz="4" w:space="0" w:color="auto"/>
              <w:left w:val="single" w:sz="4" w:space="0" w:color="auto"/>
              <w:bottom w:val="single" w:sz="4" w:space="0" w:color="auto"/>
              <w:right w:val="single" w:sz="4" w:space="0" w:color="auto"/>
            </w:tcBorders>
          </w:tcPr>
          <w:p w14:paraId="2231C41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A3C710F"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CCCCATGTAATCGCTTTAG</w:t>
            </w:r>
          </w:p>
        </w:tc>
      </w:tr>
      <w:tr w:rsidR="001B1783" w:rsidRPr="00EF0E4D" w14:paraId="077E8DEF"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5B89039" w14:textId="77777777" w:rsidR="001B1783" w:rsidRPr="00EF0E4D" w:rsidRDefault="001B1783" w:rsidP="000B2592">
            <w:pPr>
              <w:spacing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81839F" w14:textId="77777777" w:rsidR="001B1783" w:rsidRPr="00EF0E4D" w:rsidRDefault="001B1783" w:rsidP="000B2592">
            <w:pPr>
              <w:spacing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47A324FB"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58CE9031"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GTGGGGATATAGTGTTCGGC</w:t>
            </w:r>
          </w:p>
        </w:tc>
      </w:tr>
      <w:tr w:rsidR="001B1783" w:rsidRPr="00EF0E4D" w14:paraId="57A94690"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D17AD0B" w14:textId="77777777" w:rsidR="001B1783" w:rsidRPr="00EF0E4D" w:rsidRDefault="001B1783" w:rsidP="000B2592">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6</w:t>
            </w:r>
          </w:p>
        </w:tc>
        <w:tc>
          <w:tcPr>
            <w:tcW w:w="1701" w:type="dxa"/>
            <w:vMerge w:val="restart"/>
            <w:tcBorders>
              <w:top w:val="single" w:sz="4" w:space="0" w:color="auto"/>
              <w:left w:val="single" w:sz="4" w:space="0" w:color="auto"/>
              <w:bottom w:val="single" w:sz="4" w:space="0" w:color="auto"/>
              <w:right w:val="single" w:sz="4" w:space="0" w:color="auto"/>
            </w:tcBorders>
          </w:tcPr>
          <w:p w14:paraId="305640B6" w14:textId="77777777" w:rsidR="001B1783" w:rsidRPr="00EF0E4D" w:rsidRDefault="001B1783" w:rsidP="000B2592">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HA3640</w:t>
            </w:r>
          </w:p>
        </w:tc>
        <w:tc>
          <w:tcPr>
            <w:tcW w:w="1417" w:type="dxa"/>
            <w:tcBorders>
              <w:top w:val="single" w:sz="4" w:space="0" w:color="auto"/>
              <w:left w:val="single" w:sz="4" w:space="0" w:color="auto"/>
              <w:bottom w:val="single" w:sz="4" w:space="0" w:color="auto"/>
              <w:right w:val="single" w:sz="4" w:space="0" w:color="auto"/>
            </w:tcBorders>
          </w:tcPr>
          <w:p w14:paraId="77FD450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4A4F1A1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GCCATATCAATAACCAATCCC</w:t>
            </w:r>
          </w:p>
        </w:tc>
      </w:tr>
      <w:tr w:rsidR="001B1783" w:rsidRPr="00EF0E4D" w14:paraId="1F406B18"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404EA77" w14:textId="77777777" w:rsidR="001B1783" w:rsidRPr="00EF0E4D" w:rsidRDefault="001B1783" w:rsidP="00E3127B">
            <w:pPr>
              <w:spacing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A39D24" w14:textId="77777777" w:rsidR="001B1783" w:rsidRPr="00EF0E4D" w:rsidRDefault="001B1783" w:rsidP="00E3127B">
            <w:pPr>
              <w:spacing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6ED0339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4458D71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CAAAGCATGTGAGGACCAGAATG</w:t>
            </w:r>
          </w:p>
        </w:tc>
      </w:tr>
      <w:tr w:rsidR="001B1783" w:rsidRPr="00EF0E4D" w14:paraId="2285CD6E"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0559341D"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7</w:t>
            </w:r>
          </w:p>
        </w:tc>
        <w:tc>
          <w:tcPr>
            <w:tcW w:w="1701" w:type="dxa"/>
            <w:vMerge w:val="restart"/>
            <w:tcBorders>
              <w:top w:val="single" w:sz="4" w:space="0" w:color="auto"/>
              <w:left w:val="single" w:sz="4" w:space="0" w:color="auto"/>
              <w:bottom w:val="single" w:sz="4" w:space="0" w:color="auto"/>
              <w:right w:val="single" w:sz="4" w:space="0" w:color="auto"/>
            </w:tcBorders>
          </w:tcPr>
          <w:p w14:paraId="4A30FF72"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HA3971</w:t>
            </w:r>
          </w:p>
        </w:tc>
        <w:tc>
          <w:tcPr>
            <w:tcW w:w="1417" w:type="dxa"/>
            <w:tcBorders>
              <w:top w:val="single" w:sz="4" w:space="0" w:color="auto"/>
              <w:left w:val="single" w:sz="4" w:space="0" w:color="auto"/>
              <w:bottom w:val="single" w:sz="4" w:space="0" w:color="auto"/>
              <w:right w:val="single" w:sz="4" w:space="0" w:color="auto"/>
            </w:tcBorders>
          </w:tcPr>
          <w:p w14:paraId="54C49A1F"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15596BB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GGATCTCTCCTGGTCCTAGT</w:t>
            </w:r>
          </w:p>
        </w:tc>
      </w:tr>
      <w:tr w:rsidR="001B1783" w:rsidRPr="00EF0E4D" w14:paraId="4D92A0F6"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26C42A"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403283"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4DDE885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6D2207D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GATCAATATCTTCCATGTTAT</w:t>
            </w:r>
          </w:p>
        </w:tc>
      </w:tr>
      <w:tr w:rsidR="001B1783" w:rsidRPr="00EF0E4D" w14:paraId="1D610AB0"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0D35D483"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8</w:t>
            </w:r>
          </w:p>
        </w:tc>
        <w:tc>
          <w:tcPr>
            <w:tcW w:w="1701" w:type="dxa"/>
            <w:vMerge w:val="restart"/>
            <w:tcBorders>
              <w:top w:val="single" w:sz="4" w:space="0" w:color="auto"/>
              <w:left w:val="single" w:sz="4" w:space="0" w:color="auto"/>
              <w:bottom w:val="single" w:sz="4" w:space="0" w:color="auto"/>
              <w:right w:val="single" w:sz="4" w:space="0" w:color="auto"/>
            </w:tcBorders>
          </w:tcPr>
          <w:p w14:paraId="65266294"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HA4011</w:t>
            </w:r>
          </w:p>
        </w:tc>
        <w:tc>
          <w:tcPr>
            <w:tcW w:w="1417" w:type="dxa"/>
            <w:tcBorders>
              <w:top w:val="single" w:sz="4" w:space="0" w:color="auto"/>
              <w:left w:val="single" w:sz="4" w:space="0" w:color="auto"/>
              <w:bottom w:val="single" w:sz="4" w:space="0" w:color="auto"/>
              <w:right w:val="single" w:sz="4" w:space="0" w:color="auto"/>
            </w:tcBorders>
          </w:tcPr>
          <w:p w14:paraId="0CA0C26D"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0E4F905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ACTTCTACCCTCCCCTTCTT</w:t>
            </w:r>
          </w:p>
        </w:tc>
      </w:tr>
      <w:tr w:rsidR="001B1783" w:rsidRPr="00EF0E4D" w14:paraId="024E2072"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EE3B471"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8E16DC"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160FDE8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79D88408"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CTGTACACGTGCTGCTTTAG</w:t>
            </w:r>
          </w:p>
        </w:tc>
      </w:tr>
      <w:tr w:rsidR="001B1783" w:rsidRPr="00EF0E4D" w14:paraId="27D2413D"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0A3F5A82"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9</w:t>
            </w:r>
          </w:p>
        </w:tc>
        <w:tc>
          <w:tcPr>
            <w:tcW w:w="1701" w:type="dxa"/>
            <w:vMerge w:val="restart"/>
            <w:tcBorders>
              <w:top w:val="single" w:sz="4" w:space="0" w:color="auto"/>
              <w:left w:val="single" w:sz="4" w:space="0" w:color="auto"/>
              <w:bottom w:val="single" w:sz="4" w:space="0" w:color="auto"/>
              <w:right w:val="single" w:sz="4" w:space="0" w:color="auto"/>
            </w:tcBorders>
          </w:tcPr>
          <w:p w14:paraId="3B7FDD55"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HA4058</w:t>
            </w:r>
          </w:p>
        </w:tc>
        <w:tc>
          <w:tcPr>
            <w:tcW w:w="1417" w:type="dxa"/>
            <w:tcBorders>
              <w:top w:val="single" w:sz="4" w:space="0" w:color="auto"/>
              <w:left w:val="single" w:sz="4" w:space="0" w:color="auto"/>
              <w:bottom w:val="single" w:sz="4" w:space="0" w:color="auto"/>
              <w:right w:val="single" w:sz="4" w:space="0" w:color="auto"/>
            </w:tcBorders>
          </w:tcPr>
          <w:p w14:paraId="335AE7E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417E5D68"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GATTATGATTCCATGAGCCAAG</w:t>
            </w:r>
          </w:p>
        </w:tc>
      </w:tr>
      <w:tr w:rsidR="001B1783" w:rsidRPr="00EF0E4D" w14:paraId="7D913297"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81D8E90"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F2F624"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73D9960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7D5D40F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CATCCTGTAATCCTGTCAATGTC</w:t>
            </w:r>
          </w:p>
        </w:tc>
      </w:tr>
      <w:tr w:rsidR="001B1783" w:rsidRPr="00EF0E4D" w14:paraId="3BCE1A25"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64ED15A"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10</w:t>
            </w:r>
          </w:p>
        </w:tc>
        <w:tc>
          <w:tcPr>
            <w:tcW w:w="1701" w:type="dxa"/>
            <w:vMerge w:val="restart"/>
            <w:tcBorders>
              <w:top w:val="single" w:sz="4" w:space="0" w:color="auto"/>
              <w:left w:val="single" w:sz="4" w:space="0" w:color="auto"/>
              <w:bottom w:val="single" w:sz="4" w:space="0" w:color="auto"/>
              <w:right w:val="single" w:sz="4" w:space="0" w:color="auto"/>
            </w:tcBorders>
          </w:tcPr>
          <w:p w14:paraId="58C24555"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HA4105</w:t>
            </w:r>
          </w:p>
        </w:tc>
        <w:tc>
          <w:tcPr>
            <w:tcW w:w="1417" w:type="dxa"/>
            <w:tcBorders>
              <w:top w:val="single" w:sz="4" w:space="0" w:color="auto"/>
              <w:left w:val="single" w:sz="4" w:space="0" w:color="auto"/>
              <w:bottom w:val="single" w:sz="4" w:space="0" w:color="auto"/>
              <w:right w:val="single" w:sz="4" w:space="0" w:color="auto"/>
            </w:tcBorders>
          </w:tcPr>
          <w:p w14:paraId="2FEAAD5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908A5D1"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GGGACTAGTTTGTAATATCTCTC</w:t>
            </w:r>
          </w:p>
        </w:tc>
      </w:tr>
      <w:tr w:rsidR="001B1783" w:rsidRPr="00EF0E4D" w14:paraId="601634A9"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CCDC166"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815C98"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79C9F47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53B4F48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GTTTGAGAGTGGTGATAGGTTATG</w:t>
            </w:r>
          </w:p>
        </w:tc>
      </w:tr>
      <w:tr w:rsidR="001B1783" w:rsidRPr="00EF0E4D" w14:paraId="04C1D7C0"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EEF3220"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11</w:t>
            </w:r>
          </w:p>
        </w:tc>
        <w:tc>
          <w:tcPr>
            <w:tcW w:w="1701" w:type="dxa"/>
            <w:vMerge w:val="restart"/>
            <w:tcBorders>
              <w:top w:val="single" w:sz="4" w:space="0" w:color="auto"/>
              <w:left w:val="single" w:sz="4" w:space="0" w:color="auto"/>
              <w:bottom w:val="single" w:sz="4" w:space="0" w:color="auto"/>
              <w:right w:val="single" w:sz="4" w:space="0" w:color="auto"/>
            </w:tcBorders>
          </w:tcPr>
          <w:p w14:paraId="4962E3B2"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HA4112</w:t>
            </w:r>
          </w:p>
        </w:tc>
        <w:tc>
          <w:tcPr>
            <w:tcW w:w="1417" w:type="dxa"/>
            <w:tcBorders>
              <w:top w:val="single" w:sz="4" w:space="0" w:color="auto"/>
              <w:left w:val="single" w:sz="4" w:space="0" w:color="auto"/>
              <w:bottom w:val="single" w:sz="4" w:space="0" w:color="auto"/>
              <w:right w:val="single" w:sz="4" w:space="0" w:color="auto"/>
            </w:tcBorders>
          </w:tcPr>
          <w:p w14:paraId="71C5F6FB"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2A0FAC9"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TTGACTCTCCTTCTCGTCTC</w:t>
            </w:r>
          </w:p>
        </w:tc>
      </w:tr>
      <w:tr w:rsidR="001B1783" w:rsidRPr="00EF0E4D" w14:paraId="77FB4695"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B7E955A"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464CD"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F0BF4C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58BA23C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GCTCTCAAGAAATCGGTTAG</w:t>
            </w:r>
          </w:p>
        </w:tc>
      </w:tr>
      <w:tr w:rsidR="001B1783" w:rsidRPr="00EF0E4D" w14:paraId="4260DA39"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7DCFB24B"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12</w:t>
            </w:r>
          </w:p>
        </w:tc>
        <w:tc>
          <w:tcPr>
            <w:tcW w:w="1701" w:type="dxa"/>
            <w:vMerge w:val="restart"/>
            <w:tcBorders>
              <w:top w:val="single" w:sz="4" w:space="0" w:color="auto"/>
              <w:left w:val="single" w:sz="4" w:space="0" w:color="auto"/>
              <w:bottom w:val="single" w:sz="4" w:space="0" w:color="auto"/>
              <w:right w:val="single" w:sz="4" w:space="0" w:color="auto"/>
            </w:tcBorders>
          </w:tcPr>
          <w:p w14:paraId="23F7E44E"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HA4149</w:t>
            </w:r>
          </w:p>
        </w:tc>
        <w:tc>
          <w:tcPr>
            <w:tcW w:w="1417" w:type="dxa"/>
            <w:tcBorders>
              <w:top w:val="single" w:sz="4" w:space="0" w:color="auto"/>
              <w:left w:val="single" w:sz="4" w:space="0" w:color="auto"/>
              <w:bottom w:val="single" w:sz="4" w:space="0" w:color="auto"/>
              <w:right w:val="single" w:sz="4" w:space="0" w:color="auto"/>
            </w:tcBorders>
          </w:tcPr>
          <w:p w14:paraId="77FE3DF4"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F9BADA1"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TCAATTCATCGTGCATATCG</w:t>
            </w:r>
          </w:p>
        </w:tc>
      </w:tr>
      <w:tr w:rsidR="001B1783" w:rsidRPr="00EF0E4D" w14:paraId="6EAA2C88"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8A0835E"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DC6BA3"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31A38C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001586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CCAAAGTCCACCAAATCTTCC</w:t>
            </w:r>
          </w:p>
        </w:tc>
      </w:tr>
      <w:tr w:rsidR="001B1783" w:rsidRPr="00EF0E4D" w14:paraId="355113D1"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17B5392"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13</w:t>
            </w:r>
          </w:p>
        </w:tc>
        <w:tc>
          <w:tcPr>
            <w:tcW w:w="1701" w:type="dxa"/>
            <w:vMerge w:val="restart"/>
            <w:tcBorders>
              <w:top w:val="single" w:sz="4" w:space="0" w:color="auto"/>
              <w:left w:val="single" w:sz="4" w:space="0" w:color="auto"/>
              <w:bottom w:val="single" w:sz="4" w:space="0" w:color="auto"/>
              <w:right w:val="single" w:sz="4" w:space="0" w:color="auto"/>
            </w:tcBorders>
          </w:tcPr>
          <w:p w14:paraId="4341CCC0"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ORS484</w:t>
            </w:r>
          </w:p>
        </w:tc>
        <w:tc>
          <w:tcPr>
            <w:tcW w:w="1417" w:type="dxa"/>
            <w:tcBorders>
              <w:top w:val="single" w:sz="4" w:space="0" w:color="auto"/>
              <w:left w:val="single" w:sz="4" w:space="0" w:color="auto"/>
              <w:bottom w:val="single" w:sz="4" w:space="0" w:color="auto"/>
              <w:right w:val="single" w:sz="4" w:space="0" w:color="auto"/>
            </w:tcBorders>
          </w:tcPr>
          <w:p w14:paraId="4E58AAE1"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AA05E5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CCGAACAACAATCTCCACAA</w:t>
            </w:r>
          </w:p>
        </w:tc>
      </w:tr>
      <w:tr w:rsidR="001B1783" w:rsidRPr="00EF0E4D" w14:paraId="4466003D"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720056"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839AB0"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55D23BA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7D47BE8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GGTTTAGGTGTCGCATCACA</w:t>
            </w:r>
          </w:p>
        </w:tc>
      </w:tr>
      <w:tr w:rsidR="001B1783" w:rsidRPr="00EF0E4D" w14:paraId="450DD0D9"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823F5E9"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14</w:t>
            </w:r>
          </w:p>
        </w:tc>
        <w:tc>
          <w:tcPr>
            <w:tcW w:w="1701" w:type="dxa"/>
            <w:vMerge w:val="restart"/>
            <w:tcBorders>
              <w:top w:val="single" w:sz="4" w:space="0" w:color="auto"/>
              <w:left w:val="single" w:sz="4" w:space="0" w:color="auto"/>
              <w:bottom w:val="single" w:sz="4" w:space="0" w:color="auto"/>
              <w:right w:val="single" w:sz="4" w:space="0" w:color="auto"/>
            </w:tcBorders>
          </w:tcPr>
          <w:p w14:paraId="369DA5A4"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ORS662</w:t>
            </w:r>
          </w:p>
        </w:tc>
        <w:tc>
          <w:tcPr>
            <w:tcW w:w="1417" w:type="dxa"/>
            <w:tcBorders>
              <w:top w:val="single" w:sz="4" w:space="0" w:color="auto"/>
              <w:left w:val="single" w:sz="4" w:space="0" w:color="auto"/>
              <w:bottom w:val="single" w:sz="4" w:space="0" w:color="auto"/>
              <w:right w:val="single" w:sz="4" w:space="0" w:color="auto"/>
            </w:tcBorders>
          </w:tcPr>
          <w:p w14:paraId="58E84EA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31F5BB3"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CGGGTTGGATATGGAGTCAA</w:t>
            </w:r>
          </w:p>
        </w:tc>
      </w:tr>
      <w:tr w:rsidR="001B1783" w:rsidRPr="00EF0E4D" w14:paraId="1FC71755"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E11E11C"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EF5C590"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45A90FB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01CC9043"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CCTTTACAAACGAAGCACAATTC</w:t>
            </w:r>
          </w:p>
        </w:tc>
      </w:tr>
      <w:tr w:rsidR="001B1783" w:rsidRPr="00EF0E4D" w14:paraId="4B169ADC"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33D6EC2D"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15</w:t>
            </w:r>
          </w:p>
        </w:tc>
        <w:tc>
          <w:tcPr>
            <w:tcW w:w="1701" w:type="dxa"/>
            <w:vMerge w:val="restart"/>
            <w:tcBorders>
              <w:top w:val="single" w:sz="4" w:space="0" w:color="auto"/>
              <w:left w:val="single" w:sz="4" w:space="0" w:color="auto"/>
              <w:bottom w:val="single" w:sz="4" w:space="0" w:color="auto"/>
              <w:right w:val="single" w:sz="4" w:space="0" w:color="auto"/>
            </w:tcBorders>
          </w:tcPr>
          <w:p w14:paraId="572F5216"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ORS679</w:t>
            </w:r>
          </w:p>
        </w:tc>
        <w:tc>
          <w:tcPr>
            <w:tcW w:w="1417" w:type="dxa"/>
            <w:tcBorders>
              <w:top w:val="single" w:sz="4" w:space="0" w:color="auto"/>
              <w:left w:val="single" w:sz="4" w:space="0" w:color="auto"/>
              <w:bottom w:val="single" w:sz="4" w:space="0" w:color="auto"/>
              <w:right w:val="single" w:sz="4" w:space="0" w:color="auto"/>
            </w:tcBorders>
          </w:tcPr>
          <w:p w14:paraId="4D6D0ABB"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6B41819F"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CCCTCCTCCCTCTTCACTTT</w:t>
            </w:r>
          </w:p>
        </w:tc>
      </w:tr>
      <w:tr w:rsidR="001B1783" w:rsidRPr="00EF0E4D" w14:paraId="1C5E1446"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3FCB8E"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70D410"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A843C9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E15FB7F"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CTCATCGGACAACCAGAACC</w:t>
            </w:r>
          </w:p>
        </w:tc>
      </w:tr>
      <w:tr w:rsidR="001B1783" w:rsidRPr="00EF0E4D" w14:paraId="2A68C456"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603C92CD"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16</w:t>
            </w:r>
          </w:p>
        </w:tc>
        <w:tc>
          <w:tcPr>
            <w:tcW w:w="1701" w:type="dxa"/>
            <w:vMerge w:val="restart"/>
            <w:tcBorders>
              <w:top w:val="single" w:sz="4" w:space="0" w:color="auto"/>
              <w:left w:val="single" w:sz="4" w:space="0" w:color="auto"/>
              <w:bottom w:val="single" w:sz="4" w:space="0" w:color="auto"/>
              <w:right w:val="single" w:sz="4" w:space="0" w:color="auto"/>
            </w:tcBorders>
          </w:tcPr>
          <w:p w14:paraId="0ED8A65B"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ORS691</w:t>
            </w:r>
          </w:p>
        </w:tc>
        <w:tc>
          <w:tcPr>
            <w:tcW w:w="1417" w:type="dxa"/>
            <w:tcBorders>
              <w:top w:val="single" w:sz="4" w:space="0" w:color="auto"/>
              <w:left w:val="single" w:sz="4" w:space="0" w:color="auto"/>
              <w:bottom w:val="single" w:sz="4" w:space="0" w:color="auto"/>
              <w:right w:val="single" w:sz="4" w:space="0" w:color="auto"/>
            </w:tcBorders>
          </w:tcPr>
          <w:p w14:paraId="2872A968"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51D9C509"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GCATCTGAGCAACTGCGTTA</w:t>
            </w:r>
          </w:p>
        </w:tc>
      </w:tr>
      <w:tr w:rsidR="001B1783" w:rsidRPr="00EF0E4D" w14:paraId="5098DBA6"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040D775"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967088"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067E0C2"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2C2633AA"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ACCGTCCTTAGCTCTTGTGAG</w:t>
            </w:r>
          </w:p>
        </w:tc>
      </w:tr>
      <w:tr w:rsidR="001B1783" w:rsidRPr="00EF0E4D" w14:paraId="169DE030"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32F3DD5"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17</w:t>
            </w:r>
          </w:p>
        </w:tc>
        <w:tc>
          <w:tcPr>
            <w:tcW w:w="1701" w:type="dxa"/>
            <w:vMerge w:val="restart"/>
            <w:tcBorders>
              <w:top w:val="single" w:sz="4" w:space="0" w:color="auto"/>
              <w:left w:val="single" w:sz="4" w:space="0" w:color="auto"/>
              <w:bottom w:val="single" w:sz="4" w:space="0" w:color="auto"/>
              <w:right w:val="single" w:sz="4" w:space="0" w:color="auto"/>
            </w:tcBorders>
          </w:tcPr>
          <w:p w14:paraId="1663D5A5"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ORS788</w:t>
            </w:r>
          </w:p>
        </w:tc>
        <w:tc>
          <w:tcPr>
            <w:tcW w:w="1417" w:type="dxa"/>
            <w:tcBorders>
              <w:top w:val="single" w:sz="4" w:space="0" w:color="auto"/>
              <w:left w:val="single" w:sz="4" w:space="0" w:color="auto"/>
              <w:bottom w:val="single" w:sz="4" w:space="0" w:color="auto"/>
              <w:right w:val="single" w:sz="4" w:space="0" w:color="auto"/>
            </w:tcBorders>
          </w:tcPr>
          <w:p w14:paraId="0F07D67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ABA42B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CTGGATAAAGATGGGATAAAGAGAG</w:t>
            </w:r>
          </w:p>
        </w:tc>
      </w:tr>
      <w:tr w:rsidR="001B1783" w:rsidRPr="00EF0E4D" w14:paraId="365467F5"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1AE6163"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9DAE589"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3DA4990E"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6E907138"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GGACCCACCAAGATTTGTTTT</w:t>
            </w:r>
          </w:p>
        </w:tc>
      </w:tr>
      <w:tr w:rsidR="001B1783" w:rsidRPr="00EF0E4D" w14:paraId="399346F6"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5F24EA29"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18</w:t>
            </w:r>
          </w:p>
        </w:tc>
        <w:tc>
          <w:tcPr>
            <w:tcW w:w="1701" w:type="dxa"/>
            <w:vMerge w:val="restart"/>
            <w:tcBorders>
              <w:top w:val="single" w:sz="4" w:space="0" w:color="auto"/>
              <w:left w:val="single" w:sz="4" w:space="0" w:color="auto"/>
              <w:bottom w:val="single" w:sz="4" w:space="0" w:color="auto"/>
              <w:right w:val="single" w:sz="4" w:space="0" w:color="auto"/>
            </w:tcBorders>
          </w:tcPr>
          <w:p w14:paraId="2637FDAA"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ORS934</w:t>
            </w:r>
          </w:p>
        </w:tc>
        <w:tc>
          <w:tcPr>
            <w:tcW w:w="1417" w:type="dxa"/>
            <w:tcBorders>
              <w:top w:val="single" w:sz="4" w:space="0" w:color="auto"/>
              <w:left w:val="single" w:sz="4" w:space="0" w:color="auto"/>
              <w:bottom w:val="single" w:sz="4" w:space="0" w:color="auto"/>
              <w:right w:val="single" w:sz="4" w:space="0" w:color="auto"/>
            </w:tcBorders>
          </w:tcPr>
          <w:p w14:paraId="4D0B234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F54F6F7"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CGTTCCGATCTACAAGGTAAAGG</w:t>
            </w:r>
          </w:p>
        </w:tc>
      </w:tr>
      <w:tr w:rsidR="001B1783" w:rsidRPr="00EF0E4D" w14:paraId="565D23F3"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2160E0D"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325FBE4"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633D144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393F8EF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AACATACACAAATCCACGCAGAG</w:t>
            </w:r>
          </w:p>
        </w:tc>
      </w:tr>
      <w:tr w:rsidR="001B1783" w:rsidRPr="00EF0E4D" w14:paraId="116724AD"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4E390947"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lastRenderedPageBreak/>
              <w:t>19</w:t>
            </w:r>
          </w:p>
        </w:tc>
        <w:tc>
          <w:tcPr>
            <w:tcW w:w="1701" w:type="dxa"/>
            <w:vMerge w:val="restart"/>
            <w:tcBorders>
              <w:top w:val="single" w:sz="4" w:space="0" w:color="auto"/>
              <w:left w:val="single" w:sz="4" w:space="0" w:color="auto"/>
              <w:bottom w:val="single" w:sz="4" w:space="0" w:color="auto"/>
              <w:right w:val="single" w:sz="4" w:space="0" w:color="auto"/>
            </w:tcBorders>
          </w:tcPr>
          <w:p w14:paraId="7D25C720"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ORS993</w:t>
            </w:r>
          </w:p>
        </w:tc>
        <w:tc>
          <w:tcPr>
            <w:tcW w:w="1417" w:type="dxa"/>
            <w:tcBorders>
              <w:top w:val="single" w:sz="4" w:space="0" w:color="auto"/>
              <w:left w:val="single" w:sz="4" w:space="0" w:color="auto"/>
              <w:bottom w:val="single" w:sz="4" w:space="0" w:color="auto"/>
              <w:right w:val="single" w:sz="4" w:space="0" w:color="auto"/>
            </w:tcBorders>
          </w:tcPr>
          <w:p w14:paraId="2D550AC4"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328AC9A9"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GTGTTACAATCCTTGCGTCGATA</w:t>
            </w:r>
          </w:p>
        </w:tc>
      </w:tr>
      <w:tr w:rsidR="001B1783" w:rsidRPr="00EF0E4D" w14:paraId="7344387C"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CF6B0E1" w14:textId="77777777" w:rsidR="001B1783" w:rsidRPr="00EF0E4D" w:rsidRDefault="001B1783" w:rsidP="00CC4E03">
            <w:pPr>
              <w:spacing w:before="120"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EC6BC6" w14:textId="77777777" w:rsidR="001B1783" w:rsidRPr="00EF0E4D" w:rsidRDefault="001B1783" w:rsidP="00CC4E03">
            <w:pPr>
              <w:spacing w:before="120"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2EEF6213"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30922FE5"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CAAACCACAGGGACCAAAATG</w:t>
            </w:r>
          </w:p>
        </w:tc>
      </w:tr>
      <w:tr w:rsidR="001B1783" w:rsidRPr="00EF0E4D" w14:paraId="74F7EB68" w14:textId="77777777" w:rsidTr="00E3127B">
        <w:trPr>
          <w:jc w:val="center"/>
        </w:trPr>
        <w:tc>
          <w:tcPr>
            <w:tcW w:w="1101" w:type="dxa"/>
            <w:vMerge w:val="restart"/>
            <w:tcBorders>
              <w:top w:val="single" w:sz="4" w:space="0" w:color="auto"/>
              <w:left w:val="single" w:sz="4" w:space="0" w:color="auto"/>
              <w:bottom w:val="single" w:sz="4" w:space="0" w:color="auto"/>
              <w:right w:val="single" w:sz="4" w:space="0" w:color="auto"/>
            </w:tcBorders>
          </w:tcPr>
          <w:p w14:paraId="1B37D427"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20</w:t>
            </w:r>
          </w:p>
        </w:tc>
        <w:tc>
          <w:tcPr>
            <w:tcW w:w="1701" w:type="dxa"/>
            <w:vMerge w:val="restart"/>
            <w:tcBorders>
              <w:top w:val="single" w:sz="4" w:space="0" w:color="auto"/>
              <w:left w:val="single" w:sz="4" w:space="0" w:color="auto"/>
              <w:bottom w:val="single" w:sz="4" w:space="0" w:color="auto"/>
              <w:right w:val="single" w:sz="4" w:space="0" w:color="auto"/>
            </w:tcBorders>
          </w:tcPr>
          <w:p w14:paraId="47D28D3F" w14:textId="77777777" w:rsidR="001B1783" w:rsidRPr="00EF0E4D" w:rsidRDefault="001B1783" w:rsidP="00CC4E03">
            <w:pPr>
              <w:tabs>
                <w:tab w:val="left" w:pos="567"/>
              </w:tabs>
              <w:autoSpaceDE w:val="0"/>
              <w:autoSpaceDN w:val="0"/>
              <w:adjustRightInd w:val="0"/>
              <w:spacing w:before="120" w:after="0" w:line="240" w:lineRule="auto"/>
              <w:jc w:val="center"/>
              <w:rPr>
                <w:rFonts w:ascii="Times New Roman" w:hAnsi="Times New Roman" w:cs="Times New Roman"/>
                <w:lang w:val="en-US"/>
              </w:rPr>
            </w:pPr>
            <w:r w:rsidRPr="00EF0E4D">
              <w:rPr>
                <w:rFonts w:ascii="Times New Roman" w:hAnsi="Times New Roman" w:cs="Times New Roman"/>
                <w:bCs/>
                <w:lang w:val="en-US"/>
              </w:rPr>
              <w:t>ORS1065</w:t>
            </w:r>
          </w:p>
        </w:tc>
        <w:tc>
          <w:tcPr>
            <w:tcW w:w="1417" w:type="dxa"/>
            <w:tcBorders>
              <w:top w:val="single" w:sz="4" w:space="0" w:color="auto"/>
              <w:left w:val="single" w:sz="4" w:space="0" w:color="auto"/>
              <w:bottom w:val="single" w:sz="4" w:space="0" w:color="auto"/>
              <w:right w:val="single" w:sz="4" w:space="0" w:color="auto"/>
            </w:tcBorders>
          </w:tcPr>
          <w:p w14:paraId="738182C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F 5 ‘- 3’</w:t>
            </w:r>
          </w:p>
        </w:tc>
        <w:tc>
          <w:tcPr>
            <w:tcW w:w="4680" w:type="dxa"/>
            <w:tcBorders>
              <w:top w:val="single" w:sz="4" w:space="0" w:color="auto"/>
              <w:left w:val="single" w:sz="4" w:space="0" w:color="auto"/>
              <w:bottom w:val="single" w:sz="4" w:space="0" w:color="auto"/>
              <w:right w:val="single" w:sz="4" w:space="0" w:color="auto"/>
            </w:tcBorders>
          </w:tcPr>
          <w:p w14:paraId="4A81E9EC"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ACCGCTGTCAACACCTTAAACTC</w:t>
            </w:r>
          </w:p>
        </w:tc>
      </w:tr>
      <w:tr w:rsidR="001B1783" w:rsidRPr="00EF0E4D" w14:paraId="6AD0DC92" w14:textId="77777777" w:rsidTr="00E3127B">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60EEB77" w14:textId="77777777" w:rsidR="001B1783" w:rsidRPr="00EF0E4D" w:rsidRDefault="001B1783" w:rsidP="00E3127B">
            <w:pPr>
              <w:spacing w:after="0" w:line="240" w:lineRule="auto"/>
              <w:rPr>
                <w:rFonts w:ascii="Times New Roman" w:hAnsi="Times New Roman" w:cs="Times New Roman"/>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6C29A4" w14:textId="77777777" w:rsidR="001B1783" w:rsidRPr="00EF0E4D" w:rsidRDefault="001B1783" w:rsidP="00E3127B">
            <w:pPr>
              <w:spacing w:after="0" w:line="240" w:lineRule="auto"/>
              <w:rPr>
                <w:rFonts w:ascii="Times New Roman" w:hAnsi="Times New Roman" w:cs="Times New Roman"/>
                <w:lang w:val="en-US"/>
              </w:rPr>
            </w:pPr>
          </w:p>
        </w:tc>
        <w:tc>
          <w:tcPr>
            <w:tcW w:w="1417" w:type="dxa"/>
            <w:tcBorders>
              <w:top w:val="single" w:sz="4" w:space="0" w:color="auto"/>
              <w:left w:val="single" w:sz="4" w:space="0" w:color="auto"/>
              <w:bottom w:val="single" w:sz="4" w:space="0" w:color="auto"/>
              <w:right w:val="single" w:sz="4" w:space="0" w:color="auto"/>
            </w:tcBorders>
          </w:tcPr>
          <w:p w14:paraId="01866AA0"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R 5 ‘- 3’</w:t>
            </w:r>
          </w:p>
        </w:tc>
        <w:tc>
          <w:tcPr>
            <w:tcW w:w="4680" w:type="dxa"/>
            <w:tcBorders>
              <w:top w:val="single" w:sz="4" w:space="0" w:color="auto"/>
              <w:left w:val="single" w:sz="4" w:space="0" w:color="auto"/>
              <w:bottom w:val="single" w:sz="4" w:space="0" w:color="auto"/>
              <w:right w:val="single" w:sz="4" w:space="0" w:color="auto"/>
            </w:tcBorders>
          </w:tcPr>
          <w:p w14:paraId="1CB51AC6" w14:textId="77777777" w:rsidR="001B1783" w:rsidRPr="00EF0E4D" w:rsidRDefault="001B1783" w:rsidP="00E3127B">
            <w:pPr>
              <w:tabs>
                <w:tab w:val="left" w:pos="567"/>
              </w:tabs>
              <w:autoSpaceDE w:val="0"/>
              <w:autoSpaceDN w:val="0"/>
              <w:adjustRightInd w:val="0"/>
              <w:spacing w:after="0" w:line="240" w:lineRule="auto"/>
              <w:jc w:val="center"/>
              <w:rPr>
                <w:rFonts w:ascii="Times New Roman" w:hAnsi="Times New Roman" w:cs="Times New Roman"/>
                <w:lang w:val="en-US"/>
              </w:rPr>
            </w:pPr>
            <w:r w:rsidRPr="00EF0E4D">
              <w:rPr>
                <w:rFonts w:ascii="Times New Roman" w:hAnsi="Times New Roman" w:cs="Times New Roman"/>
                <w:bCs/>
                <w:lang w:val="en-US"/>
              </w:rPr>
              <w:t>GGCTGGGAATCAACTGCTACTAC</w:t>
            </w:r>
          </w:p>
        </w:tc>
      </w:tr>
    </w:tbl>
    <w:p w14:paraId="17563EBD" w14:textId="64BA2F46" w:rsidR="009B758E" w:rsidRPr="00FB4F35" w:rsidRDefault="00FB4F35" w:rsidP="00FB4F35">
      <w:pPr>
        <w:spacing w:before="120"/>
        <w:jc w:val="center"/>
        <w:rPr>
          <w:rFonts w:ascii="Times New Roman" w:hAnsi="Times New Roman" w:cs="Times New Roman"/>
          <w:b/>
          <w:bCs/>
          <w:sz w:val="28"/>
          <w:szCs w:val="28"/>
        </w:rPr>
      </w:pPr>
      <w:r w:rsidRPr="00FB4F35">
        <w:rPr>
          <w:rFonts w:ascii="Times New Roman" w:hAnsi="Times New Roman" w:cs="Times New Roman"/>
          <w:b/>
          <w:bCs/>
          <w:sz w:val="28"/>
          <w:szCs w:val="28"/>
        </w:rPr>
        <w:t>RESULTS AND DISCUSSION</w:t>
      </w:r>
    </w:p>
    <w:p w14:paraId="62B1A2B0" w14:textId="36696152" w:rsidR="009B758E" w:rsidRPr="00EF0E4D" w:rsidRDefault="009B758E" w:rsidP="009B758E">
      <w:pPr>
        <w:rPr>
          <w:rFonts w:ascii="Times New Roman" w:hAnsi="Times New Roman" w:cs="Times New Roman"/>
          <w:b/>
          <w:bCs/>
        </w:rPr>
      </w:pPr>
      <w:r w:rsidRPr="00EF0E4D">
        <w:rPr>
          <w:rFonts w:ascii="Times New Roman" w:hAnsi="Times New Roman" w:cs="Times New Roman"/>
          <w:b/>
          <w:bCs/>
        </w:rPr>
        <w:t>Screening of SSR Markers for Parental Polymorphism and Hybridity Confirmation</w:t>
      </w:r>
    </w:p>
    <w:p w14:paraId="14CD7392" w14:textId="77777777" w:rsidR="002D763A" w:rsidRPr="00EF0E4D" w:rsidRDefault="002D763A" w:rsidP="002D763A">
      <w:pPr>
        <w:ind w:firstLine="720"/>
        <w:jc w:val="both"/>
        <w:rPr>
          <w:rFonts w:ascii="Times New Roman" w:hAnsi="Times New Roman" w:cs="Times New Roman"/>
        </w:rPr>
      </w:pPr>
      <w:r w:rsidRPr="00EF0E4D">
        <w:rPr>
          <w:rFonts w:ascii="Times New Roman" w:hAnsi="Times New Roman" w:cs="Times New Roman"/>
        </w:rPr>
        <w:t xml:space="preserve">Screening of the twenty sunflower-specific simple sequence repeat (SSR) primer pairs revealed considerable variation in their ability to differentiate sunflower hybrid KBSH-78 from its parental lines, CMS-78A (seed parent) and RHA-78R (pollen parent). All primer pairs generated clear and reproducible amplification products, confirming the high quality of the isolated genomic DNA and the suitability of the PCR conditions employed in the present investigation. However, only two primers, </w:t>
      </w:r>
      <w:r w:rsidRPr="00880BB1">
        <w:rPr>
          <w:rFonts w:ascii="Times New Roman" w:hAnsi="Times New Roman" w:cs="Times New Roman"/>
        </w:rPr>
        <w:t>HA3640 and HA4011</w:t>
      </w:r>
      <w:r w:rsidRPr="00EF0E4D">
        <w:rPr>
          <w:rFonts w:ascii="Times New Roman" w:hAnsi="Times New Roman" w:cs="Times New Roman"/>
        </w:rPr>
        <w:t xml:space="preserve"> produced distinct polymorphic amplification patterns between the parental lines, whereas the remaining eighteen primers exhibited identical banding profiles and were therefore classified as monomorphic (Table 2). The polymorphic primers successfully amplified parental-specific alleles and simultaneously detected both alleles in the hybrid, enabling unequivocal confirmation of hybridity.</w:t>
      </w:r>
    </w:p>
    <w:p w14:paraId="653729F8" w14:textId="56095181" w:rsidR="00C15937" w:rsidRPr="00EF0E4D" w:rsidRDefault="00C15937" w:rsidP="00241E3A">
      <w:pPr>
        <w:spacing w:after="80" w:line="240" w:lineRule="auto"/>
        <w:jc w:val="center"/>
        <w:rPr>
          <w:rFonts w:ascii="Times New Roman" w:hAnsi="Times New Roman" w:cs="Times New Roman"/>
          <w:b/>
          <w:bCs/>
          <w:shd w:val="clear" w:color="auto" w:fill="FFFFFF"/>
        </w:rPr>
      </w:pPr>
      <w:r w:rsidRPr="00EF0E4D">
        <w:rPr>
          <w:rFonts w:ascii="Times New Roman" w:hAnsi="Times New Roman" w:cs="Times New Roman"/>
          <w:b/>
          <w:bCs/>
          <w:shd w:val="clear" w:color="auto" w:fill="FFFFFF"/>
        </w:rPr>
        <w:t>Table 2: SSR makers showed polymorphism in KBSH-78 sunflower hybrid</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3"/>
        <w:gridCol w:w="3576"/>
        <w:gridCol w:w="3576"/>
      </w:tblGrid>
      <w:tr w:rsidR="00C15937" w:rsidRPr="00EF0E4D" w14:paraId="64412AA7" w14:textId="77777777" w:rsidTr="00E3127B">
        <w:trPr>
          <w:trHeight w:val="452"/>
          <w:jc w:val="center"/>
        </w:trPr>
        <w:tc>
          <w:tcPr>
            <w:tcW w:w="1743" w:type="dxa"/>
            <w:tcBorders>
              <w:top w:val="single" w:sz="4" w:space="0" w:color="auto"/>
              <w:left w:val="single" w:sz="4" w:space="0" w:color="auto"/>
              <w:bottom w:val="single" w:sz="4" w:space="0" w:color="auto"/>
              <w:right w:val="single" w:sz="4" w:space="0" w:color="auto"/>
            </w:tcBorders>
          </w:tcPr>
          <w:p w14:paraId="365E3114" w14:textId="77777777" w:rsidR="00C15937" w:rsidRPr="00EF0E4D" w:rsidRDefault="00C15937" w:rsidP="00311C6F">
            <w:pPr>
              <w:spacing w:before="80" w:after="40" w:line="240" w:lineRule="auto"/>
              <w:jc w:val="center"/>
              <w:rPr>
                <w:rFonts w:ascii="Times New Roman" w:hAnsi="Times New Roman" w:cs="Times New Roman"/>
                <w:b/>
                <w:bCs/>
                <w:shd w:val="clear" w:color="auto" w:fill="FFFFFF"/>
              </w:rPr>
            </w:pPr>
            <w:r w:rsidRPr="00EF0E4D">
              <w:rPr>
                <w:rFonts w:ascii="Times New Roman" w:hAnsi="Times New Roman" w:cs="Times New Roman"/>
                <w:b/>
                <w:bCs/>
                <w:shd w:val="clear" w:color="auto" w:fill="FFFFFF"/>
              </w:rPr>
              <w:t>Sl. No.</w:t>
            </w:r>
          </w:p>
        </w:tc>
        <w:tc>
          <w:tcPr>
            <w:tcW w:w="3576" w:type="dxa"/>
            <w:tcBorders>
              <w:top w:val="single" w:sz="4" w:space="0" w:color="auto"/>
              <w:left w:val="single" w:sz="4" w:space="0" w:color="auto"/>
              <w:bottom w:val="single" w:sz="4" w:space="0" w:color="auto"/>
              <w:right w:val="single" w:sz="4" w:space="0" w:color="auto"/>
            </w:tcBorders>
          </w:tcPr>
          <w:p w14:paraId="568D8AFB" w14:textId="77777777" w:rsidR="00C15937" w:rsidRPr="00EF0E4D" w:rsidRDefault="00C15937" w:rsidP="00311C6F">
            <w:pPr>
              <w:spacing w:before="80" w:after="40" w:line="240" w:lineRule="auto"/>
              <w:jc w:val="center"/>
              <w:rPr>
                <w:rFonts w:ascii="Times New Roman" w:hAnsi="Times New Roman" w:cs="Times New Roman"/>
                <w:b/>
                <w:bCs/>
                <w:shd w:val="clear" w:color="auto" w:fill="FFFFFF"/>
              </w:rPr>
            </w:pPr>
            <w:r w:rsidRPr="00EF0E4D">
              <w:rPr>
                <w:rFonts w:ascii="Times New Roman" w:hAnsi="Times New Roman" w:cs="Times New Roman"/>
                <w:b/>
                <w:bCs/>
                <w:shd w:val="clear" w:color="auto" w:fill="FFFFFF"/>
              </w:rPr>
              <w:t>Primer name</w:t>
            </w:r>
          </w:p>
        </w:tc>
        <w:tc>
          <w:tcPr>
            <w:tcW w:w="3576" w:type="dxa"/>
            <w:tcBorders>
              <w:top w:val="single" w:sz="4" w:space="0" w:color="auto"/>
              <w:left w:val="single" w:sz="4" w:space="0" w:color="auto"/>
              <w:bottom w:val="single" w:sz="4" w:space="0" w:color="auto"/>
              <w:right w:val="single" w:sz="4" w:space="0" w:color="auto"/>
            </w:tcBorders>
          </w:tcPr>
          <w:p w14:paraId="0F199A4D" w14:textId="77777777" w:rsidR="00C15937" w:rsidRPr="00EF0E4D" w:rsidRDefault="00C15937" w:rsidP="00311C6F">
            <w:pPr>
              <w:spacing w:before="40" w:after="40" w:line="240" w:lineRule="auto"/>
              <w:jc w:val="center"/>
              <w:rPr>
                <w:rFonts w:ascii="Times New Roman" w:hAnsi="Times New Roman" w:cs="Times New Roman"/>
                <w:b/>
                <w:bCs/>
                <w:shd w:val="clear" w:color="auto" w:fill="FFFFFF"/>
              </w:rPr>
            </w:pPr>
            <w:r w:rsidRPr="00EF0E4D">
              <w:rPr>
                <w:rFonts w:ascii="Times New Roman" w:hAnsi="Times New Roman" w:cs="Times New Roman"/>
                <w:b/>
                <w:bCs/>
                <w:shd w:val="clear" w:color="auto" w:fill="FFFFFF"/>
              </w:rPr>
              <w:t>SSR markers showed polymorphism</w:t>
            </w:r>
          </w:p>
        </w:tc>
      </w:tr>
      <w:tr w:rsidR="00C15937" w:rsidRPr="00EF0E4D" w14:paraId="7B4D78F7"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330E28BA"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w:t>
            </w:r>
          </w:p>
        </w:tc>
        <w:tc>
          <w:tcPr>
            <w:tcW w:w="3576" w:type="dxa"/>
            <w:tcBorders>
              <w:top w:val="single" w:sz="4" w:space="0" w:color="auto"/>
              <w:left w:val="single" w:sz="4" w:space="0" w:color="auto"/>
              <w:bottom w:val="single" w:sz="4" w:space="0" w:color="auto"/>
              <w:right w:val="single" w:sz="4" w:space="0" w:color="auto"/>
            </w:tcBorders>
          </w:tcPr>
          <w:p w14:paraId="413D3C2A"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HA77</w:t>
            </w:r>
          </w:p>
        </w:tc>
        <w:tc>
          <w:tcPr>
            <w:tcW w:w="3576" w:type="dxa"/>
            <w:tcBorders>
              <w:top w:val="single" w:sz="4" w:space="0" w:color="auto"/>
              <w:left w:val="single" w:sz="4" w:space="0" w:color="auto"/>
              <w:bottom w:val="single" w:sz="4" w:space="0" w:color="auto"/>
              <w:right w:val="single" w:sz="4" w:space="0" w:color="auto"/>
            </w:tcBorders>
          </w:tcPr>
          <w:p w14:paraId="6539F3D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2C61049F"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6269C75"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2</w:t>
            </w:r>
          </w:p>
        </w:tc>
        <w:tc>
          <w:tcPr>
            <w:tcW w:w="3576" w:type="dxa"/>
            <w:tcBorders>
              <w:top w:val="single" w:sz="4" w:space="0" w:color="auto"/>
              <w:left w:val="single" w:sz="4" w:space="0" w:color="auto"/>
              <w:bottom w:val="single" w:sz="4" w:space="0" w:color="auto"/>
              <w:right w:val="single" w:sz="4" w:space="0" w:color="auto"/>
            </w:tcBorders>
          </w:tcPr>
          <w:p w14:paraId="724D10BD"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HA541</w:t>
            </w:r>
          </w:p>
        </w:tc>
        <w:tc>
          <w:tcPr>
            <w:tcW w:w="3576" w:type="dxa"/>
            <w:tcBorders>
              <w:top w:val="single" w:sz="4" w:space="0" w:color="auto"/>
              <w:left w:val="single" w:sz="4" w:space="0" w:color="auto"/>
              <w:bottom w:val="single" w:sz="4" w:space="0" w:color="auto"/>
              <w:right w:val="single" w:sz="4" w:space="0" w:color="auto"/>
            </w:tcBorders>
          </w:tcPr>
          <w:p w14:paraId="11881381"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7492A284"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20FB098D"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3</w:t>
            </w:r>
          </w:p>
        </w:tc>
        <w:tc>
          <w:tcPr>
            <w:tcW w:w="3576" w:type="dxa"/>
            <w:tcBorders>
              <w:top w:val="single" w:sz="4" w:space="0" w:color="auto"/>
              <w:left w:val="single" w:sz="4" w:space="0" w:color="auto"/>
              <w:bottom w:val="single" w:sz="4" w:space="0" w:color="auto"/>
              <w:right w:val="single" w:sz="4" w:space="0" w:color="auto"/>
            </w:tcBorders>
          </w:tcPr>
          <w:p w14:paraId="59AA2C21"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HA3878</w:t>
            </w:r>
          </w:p>
        </w:tc>
        <w:tc>
          <w:tcPr>
            <w:tcW w:w="3576" w:type="dxa"/>
            <w:tcBorders>
              <w:top w:val="single" w:sz="4" w:space="0" w:color="auto"/>
              <w:left w:val="single" w:sz="4" w:space="0" w:color="auto"/>
              <w:bottom w:val="single" w:sz="4" w:space="0" w:color="auto"/>
              <w:right w:val="single" w:sz="4" w:space="0" w:color="auto"/>
            </w:tcBorders>
          </w:tcPr>
          <w:p w14:paraId="706BD9E2"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57D35AF7"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3871A60D"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4</w:t>
            </w:r>
          </w:p>
        </w:tc>
        <w:tc>
          <w:tcPr>
            <w:tcW w:w="3576" w:type="dxa"/>
            <w:tcBorders>
              <w:top w:val="single" w:sz="4" w:space="0" w:color="auto"/>
              <w:left w:val="single" w:sz="4" w:space="0" w:color="auto"/>
              <w:bottom w:val="single" w:sz="4" w:space="0" w:color="auto"/>
              <w:right w:val="single" w:sz="4" w:space="0" w:color="auto"/>
            </w:tcBorders>
          </w:tcPr>
          <w:p w14:paraId="7AFC238D"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HA911</w:t>
            </w:r>
          </w:p>
        </w:tc>
        <w:tc>
          <w:tcPr>
            <w:tcW w:w="3576" w:type="dxa"/>
            <w:tcBorders>
              <w:top w:val="single" w:sz="4" w:space="0" w:color="auto"/>
              <w:left w:val="single" w:sz="4" w:space="0" w:color="auto"/>
              <w:bottom w:val="single" w:sz="4" w:space="0" w:color="auto"/>
              <w:right w:val="single" w:sz="4" w:space="0" w:color="auto"/>
            </w:tcBorders>
          </w:tcPr>
          <w:p w14:paraId="35ECC877"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4FD26195"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255987C"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5</w:t>
            </w:r>
          </w:p>
        </w:tc>
        <w:tc>
          <w:tcPr>
            <w:tcW w:w="3576" w:type="dxa"/>
            <w:tcBorders>
              <w:top w:val="single" w:sz="4" w:space="0" w:color="auto"/>
              <w:left w:val="single" w:sz="4" w:space="0" w:color="auto"/>
              <w:bottom w:val="single" w:sz="4" w:space="0" w:color="auto"/>
              <w:right w:val="single" w:sz="4" w:space="0" w:color="auto"/>
            </w:tcBorders>
          </w:tcPr>
          <w:p w14:paraId="08C7B653"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HA920</w:t>
            </w:r>
          </w:p>
        </w:tc>
        <w:tc>
          <w:tcPr>
            <w:tcW w:w="3576" w:type="dxa"/>
            <w:tcBorders>
              <w:top w:val="single" w:sz="4" w:space="0" w:color="auto"/>
              <w:left w:val="single" w:sz="4" w:space="0" w:color="auto"/>
              <w:bottom w:val="single" w:sz="4" w:space="0" w:color="auto"/>
              <w:right w:val="single" w:sz="4" w:space="0" w:color="auto"/>
            </w:tcBorders>
          </w:tcPr>
          <w:p w14:paraId="70AA497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64D8B46F"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4F65FE1"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6</w:t>
            </w:r>
          </w:p>
        </w:tc>
        <w:tc>
          <w:tcPr>
            <w:tcW w:w="3576" w:type="dxa"/>
            <w:tcBorders>
              <w:top w:val="single" w:sz="4" w:space="0" w:color="auto"/>
              <w:left w:val="single" w:sz="4" w:space="0" w:color="auto"/>
              <w:bottom w:val="single" w:sz="4" w:space="0" w:color="auto"/>
              <w:right w:val="single" w:sz="4" w:space="0" w:color="auto"/>
            </w:tcBorders>
          </w:tcPr>
          <w:p w14:paraId="0AC910E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HA3640</w:t>
            </w:r>
          </w:p>
        </w:tc>
        <w:tc>
          <w:tcPr>
            <w:tcW w:w="3576" w:type="dxa"/>
            <w:tcBorders>
              <w:top w:val="single" w:sz="4" w:space="0" w:color="auto"/>
              <w:left w:val="single" w:sz="4" w:space="0" w:color="auto"/>
              <w:bottom w:val="single" w:sz="4" w:space="0" w:color="auto"/>
              <w:right w:val="single" w:sz="4" w:space="0" w:color="auto"/>
            </w:tcBorders>
          </w:tcPr>
          <w:p w14:paraId="5E9A69C6"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P</w:t>
            </w:r>
          </w:p>
        </w:tc>
      </w:tr>
      <w:tr w:rsidR="00C15937" w:rsidRPr="00EF0E4D" w14:paraId="2C198322"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88EE88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7</w:t>
            </w:r>
          </w:p>
        </w:tc>
        <w:tc>
          <w:tcPr>
            <w:tcW w:w="3576" w:type="dxa"/>
            <w:tcBorders>
              <w:top w:val="single" w:sz="4" w:space="0" w:color="auto"/>
              <w:left w:val="single" w:sz="4" w:space="0" w:color="auto"/>
              <w:bottom w:val="single" w:sz="4" w:space="0" w:color="auto"/>
              <w:right w:val="single" w:sz="4" w:space="0" w:color="auto"/>
            </w:tcBorders>
          </w:tcPr>
          <w:p w14:paraId="4D7C6E72"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HA3971</w:t>
            </w:r>
          </w:p>
        </w:tc>
        <w:tc>
          <w:tcPr>
            <w:tcW w:w="3576" w:type="dxa"/>
            <w:tcBorders>
              <w:top w:val="single" w:sz="4" w:space="0" w:color="auto"/>
              <w:left w:val="single" w:sz="4" w:space="0" w:color="auto"/>
              <w:bottom w:val="single" w:sz="4" w:space="0" w:color="auto"/>
              <w:right w:val="single" w:sz="4" w:space="0" w:color="auto"/>
            </w:tcBorders>
          </w:tcPr>
          <w:p w14:paraId="39A5E39B"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2AB12E3E"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9C87050"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8</w:t>
            </w:r>
          </w:p>
        </w:tc>
        <w:tc>
          <w:tcPr>
            <w:tcW w:w="3576" w:type="dxa"/>
            <w:tcBorders>
              <w:top w:val="single" w:sz="4" w:space="0" w:color="auto"/>
              <w:left w:val="single" w:sz="4" w:space="0" w:color="auto"/>
              <w:bottom w:val="single" w:sz="4" w:space="0" w:color="auto"/>
              <w:right w:val="single" w:sz="4" w:space="0" w:color="auto"/>
            </w:tcBorders>
          </w:tcPr>
          <w:p w14:paraId="4989996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HA4011</w:t>
            </w:r>
          </w:p>
        </w:tc>
        <w:tc>
          <w:tcPr>
            <w:tcW w:w="3576" w:type="dxa"/>
            <w:tcBorders>
              <w:top w:val="single" w:sz="4" w:space="0" w:color="auto"/>
              <w:left w:val="single" w:sz="4" w:space="0" w:color="auto"/>
              <w:bottom w:val="single" w:sz="4" w:space="0" w:color="auto"/>
              <w:right w:val="single" w:sz="4" w:space="0" w:color="auto"/>
            </w:tcBorders>
          </w:tcPr>
          <w:p w14:paraId="3ECF1DA6"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P</w:t>
            </w:r>
          </w:p>
        </w:tc>
      </w:tr>
      <w:tr w:rsidR="00C15937" w:rsidRPr="00EF0E4D" w14:paraId="02E54AF6"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A47B831"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9</w:t>
            </w:r>
          </w:p>
        </w:tc>
        <w:tc>
          <w:tcPr>
            <w:tcW w:w="3576" w:type="dxa"/>
            <w:tcBorders>
              <w:top w:val="single" w:sz="4" w:space="0" w:color="auto"/>
              <w:left w:val="single" w:sz="4" w:space="0" w:color="auto"/>
              <w:bottom w:val="single" w:sz="4" w:space="0" w:color="auto"/>
              <w:right w:val="single" w:sz="4" w:space="0" w:color="auto"/>
            </w:tcBorders>
          </w:tcPr>
          <w:p w14:paraId="5C722E6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HA4058</w:t>
            </w:r>
          </w:p>
        </w:tc>
        <w:tc>
          <w:tcPr>
            <w:tcW w:w="3576" w:type="dxa"/>
            <w:tcBorders>
              <w:top w:val="single" w:sz="4" w:space="0" w:color="auto"/>
              <w:left w:val="single" w:sz="4" w:space="0" w:color="auto"/>
              <w:bottom w:val="single" w:sz="4" w:space="0" w:color="auto"/>
              <w:right w:val="single" w:sz="4" w:space="0" w:color="auto"/>
            </w:tcBorders>
          </w:tcPr>
          <w:p w14:paraId="236C0AC1"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213E3D66"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31795F5D"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10</w:t>
            </w:r>
          </w:p>
        </w:tc>
        <w:tc>
          <w:tcPr>
            <w:tcW w:w="3576" w:type="dxa"/>
            <w:tcBorders>
              <w:top w:val="single" w:sz="4" w:space="0" w:color="auto"/>
              <w:left w:val="single" w:sz="4" w:space="0" w:color="auto"/>
              <w:bottom w:val="single" w:sz="4" w:space="0" w:color="auto"/>
              <w:right w:val="single" w:sz="4" w:space="0" w:color="auto"/>
            </w:tcBorders>
          </w:tcPr>
          <w:p w14:paraId="184C3BC5"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HA4105</w:t>
            </w:r>
          </w:p>
        </w:tc>
        <w:tc>
          <w:tcPr>
            <w:tcW w:w="3576" w:type="dxa"/>
            <w:tcBorders>
              <w:top w:val="single" w:sz="4" w:space="0" w:color="auto"/>
              <w:left w:val="single" w:sz="4" w:space="0" w:color="auto"/>
              <w:bottom w:val="single" w:sz="4" w:space="0" w:color="auto"/>
              <w:right w:val="single" w:sz="4" w:space="0" w:color="auto"/>
            </w:tcBorders>
          </w:tcPr>
          <w:p w14:paraId="3F9DBBE6"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7E10BD43" w14:textId="77777777" w:rsidTr="00E3127B">
        <w:trPr>
          <w:trHeight w:val="232"/>
          <w:jc w:val="center"/>
        </w:trPr>
        <w:tc>
          <w:tcPr>
            <w:tcW w:w="1743" w:type="dxa"/>
            <w:tcBorders>
              <w:top w:val="single" w:sz="4" w:space="0" w:color="auto"/>
              <w:left w:val="single" w:sz="4" w:space="0" w:color="auto"/>
              <w:bottom w:val="single" w:sz="4" w:space="0" w:color="auto"/>
              <w:right w:val="single" w:sz="4" w:space="0" w:color="auto"/>
            </w:tcBorders>
          </w:tcPr>
          <w:p w14:paraId="6BC6398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11</w:t>
            </w:r>
          </w:p>
        </w:tc>
        <w:tc>
          <w:tcPr>
            <w:tcW w:w="3576" w:type="dxa"/>
            <w:tcBorders>
              <w:top w:val="single" w:sz="4" w:space="0" w:color="auto"/>
              <w:left w:val="single" w:sz="4" w:space="0" w:color="auto"/>
              <w:bottom w:val="single" w:sz="4" w:space="0" w:color="auto"/>
              <w:right w:val="single" w:sz="4" w:space="0" w:color="auto"/>
            </w:tcBorders>
          </w:tcPr>
          <w:p w14:paraId="2E9A218D"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HA4112</w:t>
            </w:r>
          </w:p>
        </w:tc>
        <w:tc>
          <w:tcPr>
            <w:tcW w:w="3576" w:type="dxa"/>
            <w:tcBorders>
              <w:top w:val="single" w:sz="4" w:space="0" w:color="auto"/>
              <w:left w:val="single" w:sz="4" w:space="0" w:color="auto"/>
              <w:bottom w:val="single" w:sz="4" w:space="0" w:color="auto"/>
              <w:right w:val="single" w:sz="4" w:space="0" w:color="auto"/>
            </w:tcBorders>
          </w:tcPr>
          <w:p w14:paraId="6A05DD8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62CC40D3"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339B424"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12</w:t>
            </w:r>
          </w:p>
        </w:tc>
        <w:tc>
          <w:tcPr>
            <w:tcW w:w="3576" w:type="dxa"/>
            <w:tcBorders>
              <w:top w:val="single" w:sz="4" w:space="0" w:color="auto"/>
              <w:left w:val="single" w:sz="4" w:space="0" w:color="auto"/>
              <w:bottom w:val="single" w:sz="4" w:space="0" w:color="auto"/>
              <w:right w:val="single" w:sz="4" w:space="0" w:color="auto"/>
            </w:tcBorders>
          </w:tcPr>
          <w:p w14:paraId="37C0AC36"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HA4149</w:t>
            </w:r>
          </w:p>
        </w:tc>
        <w:tc>
          <w:tcPr>
            <w:tcW w:w="3576" w:type="dxa"/>
            <w:tcBorders>
              <w:top w:val="single" w:sz="4" w:space="0" w:color="auto"/>
              <w:left w:val="single" w:sz="4" w:space="0" w:color="auto"/>
              <w:bottom w:val="single" w:sz="4" w:space="0" w:color="auto"/>
              <w:right w:val="single" w:sz="4" w:space="0" w:color="auto"/>
            </w:tcBorders>
          </w:tcPr>
          <w:p w14:paraId="759B5301"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2B72448D"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0DFDB68"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13</w:t>
            </w:r>
          </w:p>
        </w:tc>
        <w:tc>
          <w:tcPr>
            <w:tcW w:w="3576" w:type="dxa"/>
            <w:tcBorders>
              <w:top w:val="single" w:sz="4" w:space="0" w:color="auto"/>
              <w:left w:val="single" w:sz="4" w:space="0" w:color="auto"/>
              <w:bottom w:val="single" w:sz="4" w:space="0" w:color="auto"/>
              <w:right w:val="single" w:sz="4" w:space="0" w:color="auto"/>
            </w:tcBorders>
          </w:tcPr>
          <w:p w14:paraId="36F10F2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ORS484</w:t>
            </w:r>
          </w:p>
        </w:tc>
        <w:tc>
          <w:tcPr>
            <w:tcW w:w="3576" w:type="dxa"/>
            <w:tcBorders>
              <w:top w:val="single" w:sz="4" w:space="0" w:color="auto"/>
              <w:left w:val="single" w:sz="4" w:space="0" w:color="auto"/>
              <w:bottom w:val="single" w:sz="4" w:space="0" w:color="auto"/>
              <w:right w:val="single" w:sz="4" w:space="0" w:color="auto"/>
            </w:tcBorders>
          </w:tcPr>
          <w:p w14:paraId="58E02EDA"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15C1F7E9"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9BCA984"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14</w:t>
            </w:r>
          </w:p>
        </w:tc>
        <w:tc>
          <w:tcPr>
            <w:tcW w:w="3576" w:type="dxa"/>
            <w:tcBorders>
              <w:top w:val="single" w:sz="4" w:space="0" w:color="auto"/>
              <w:left w:val="single" w:sz="4" w:space="0" w:color="auto"/>
              <w:bottom w:val="single" w:sz="4" w:space="0" w:color="auto"/>
              <w:right w:val="single" w:sz="4" w:space="0" w:color="auto"/>
            </w:tcBorders>
          </w:tcPr>
          <w:p w14:paraId="35C0140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ORS662</w:t>
            </w:r>
          </w:p>
        </w:tc>
        <w:tc>
          <w:tcPr>
            <w:tcW w:w="3576" w:type="dxa"/>
            <w:tcBorders>
              <w:top w:val="single" w:sz="4" w:space="0" w:color="auto"/>
              <w:left w:val="single" w:sz="4" w:space="0" w:color="auto"/>
              <w:bottom w:val="single" w:sz="4" w:space="0" w:color="auto"/>
              <w:right w:val="single" w:sz="4" w:space="0" w:color="auto"/>
            </w:tcBorders>
          </w:tcPr>
          <w:p w14:paraId="24CE3487"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55E87D68"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4D506974"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15</w:t>
            </w:r>
          </w:p>
        </w:tc>
        <w:tc>
          <w:tcPr>
            <w:tcW w:w="3576" w:type="dxa"/>
            <w:tcBorders>
              <w:top w:val="single" w:sz="4" w:space="0" w:color="auto"/>
              <w:left w:val="single" w:sz="4" w:space="0" w:color="auto"/>
              <w:bottom w:val="single" w:sz="4" w:space="0" w:color="auto"/>
              <w:right w:val="single" w:sz="4" w:space="0" w:color="auto"/>
            </w:tcBorders>
          </w:tcPr>
          <w:p w14:paraId="20EA6FB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ORS679</w:t>
            </w:r>
          </w:p>
        </w:tc>
        <w:tc>
          <w:tcPr>
            <w:tcW w:w="3576" w:type="dxa"/>
            <w:tcBorders>
              <w:top w:val="single" w:sz="4" w:space="0" w:color="auto"/>
              <w:left w:val="single" w:sz="4" w:space="0" w:color="auto"/>
              <w:bottom w:val="single" w:sz="4" w:space="0" w:color="auto"/>
              <w:right w:val="single" w:sz="4" w:space="0" w:color="auto"/>
            </w:tcBorders>
          </w:tcPr>
          <w:p w14:paraId="5CCD9560"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6EE14F2F"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31FF072"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16</w:t>
            </w:r>
          </w:p>
        </w:tc>
        <w:tc>
          <w:tcPr>
            <w:tcW w:w="3576" w:type="dxa"/>
            <w:tcBorders>
              <w:top w:val="single" w:sz="4" w:space="0" w:color="auto"/>
              <w:left w:val="single" w:sz="4" w:space="0" w:color="auto"/>
              <w:bottom w:val="single" w:sz="4" w:space="0" w:color="auto"/>
              <w:right w:val="single" w:sz="4" w:space="0" w:color="auto"/>
            </w:tcBorders>
          </w:tcPr>
          <w:p w14:paraId="0B583450"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ORS691</w:t>
            </w:r>
          </w:p>
        </w:tc>
        <w:tc>
          <w:tcPr>
            <w:tcW w:w="3576" w:type="dxa"/>
            <w:tcBorders>
              <w:top w:val="single" w:sz="4" w:space="0" w:color="auto"/>
              <w:left w:val="single" w:sz="4" w:space="0" w:color="auto"/>
              <w:bottom w:val="single" w:sz="4" w:space="0" w:color="auto"/>
              <w:right w:val="single" w:sz="4" w:space="0" w:color="auto"/>
            </w:tcBorders>
          </w:tcPr>
          <w:p w14:paraId="51DB8DF2"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71A53AE2"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54A7A8D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17</w:t>
            </w:r>
          </w:p>
        </w:tc>
        <w:tc>
          <w:tcPr>
            <w:tcW w:w="3576" w:type="dxa"/>
            <w:tcBorders>
              <w:top w:val="single" w:sz="4" w:space="0" w:color="auto"/>
              <w:left w:val="single" w:sz="4" w:space="0" w:color="auto"/>
              <w:bottom w:val="single" w:sz="4" w:space="0" w:color="auto"/>
              <w:right w:val="single" w:sz="4" w:space="0" w:color="auto"/>
            </w:tcBorders>
          </w:tcPr>
          <w:p w14:paraId="3F056087"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ORS788</w:t>
            </w:r>
          </w:p>
        </w:tc>
        <w:tc>
          <w:tcPr>
            <w:tcW w:w="3576" w:type="dxa"/>
            <w:tcBorders>
              <w:top w:val="single" w:sz="4" w:space="0" w:color="auto"/>
              <w:left w:val="single" w:sz="4" w:space="0" w:color="auto"/>
              <w:bottom w:val="single" w:sz="4" w:space="0" w:color="auto"/>
              <w:right w:val="single" w:sz="4" w:space="0" w:color="auto"/>
            </w:tcBorders>
          </w:tcPr>
          <w:p w14:paraId="4C54F0C3"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0E0BF61B"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6AD0EC55"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18</w:t>
            </w:r>
          </w:p>
        </w:tc>
        <w:tc>
          <w:tcPr>
            <w:tcW w:w="3576" w:type="dxa"/>
            <w:tcBorders>
              <w:top w:val="single" w:sz="4" w:space="0" w:color="auto"/>
              <w:left w:val="single" w:sz="4" w:space="0" w:color="auto"/>
              <w:bottom w:val="single" w:sz="4" w:space="0" w:color="auto"/>
              <w:right w:val="single" w:sz="4" w:space="0" w:color="auto"/>
            </w:tcBorders>
          </w:tcPr>
          <w:p w14:paraId="6C075902"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ORS934</w:t>
            </w:r>
          </w:p>
        </w:tc>
        <w:tc>
          <w:tcPr>
            <w:tcW w:w="3576" w:type="dxa"/>
            <w:tcBorders>
              <w:top w:val="single" w:sz="4" w:space="0" w:color="auto"/>
              <w:left w:val="single" w:sz="4" w:space="0" w:color="auto"/>
              <w:bottom w:val="single" w:sz="4" w:space="0" w:color="auto"/>
              <w:right w:val="single" w:sz="4" w:space="0" w:color="auto"/>
            </w:tcBorders>
          </w:tcPr>
          <w:p w14:paraId="70EEA3B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7A7FD368" w14:textId="77777777" w:rsidTr="00E3127B">
        <w:trPr>
          <w:trHeight w:val="220"/>
          <w:jc w:val="center"/>
        </w:trPr>
        <w:tc>
          <w:tcPr>
            <w:tcW w:w="1743" w:type="dxa"/>
            <w:tcBorders>
              <w:top w:val="single" w:sz="4" w:space="0" w:color="auto"/>
              <w:left w:val="single" w:sz="4" w:space="0" w:color="auto"/>
              <w:bottom w:val="single" w:sz="4" w:space="0" w:color="auto"/>
              <w:right w:val="single" w:sz="4" w:space="0" w:color="auto"/>
            </w:tcBorders>
          </w:tcPr>
          <w:p w14:paraId="7BED340F"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lastRenderedPageBreak/>
              <w:t>19</w:t>
            </w:r>
          </w:p>
        </w:tc>
        <w:tc>
          <w:tcPr>
            <w:tcW w:w="3576" w:type="dxa"/>
            <w:tcBorders>
              <w:top w:val="single" w:sz="4" w:space="0" w:color="auto"/>
              <w:left w:val="single" w:sz="4" w:space="0" w:color="auto"/>
              <w:bottom w:val="single" w:sz="4" w:space="0" w:color="auto"/>
              <w:right w:val="single" w:sz="4" w:space="0" w:color="auto"/>
            </w:tcBorders>
          </w:tcPr>
          <w:p w14:paraId="55F323E0"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ORS993</w:t>
            </w:r>
          </w:p>
        </w:tc>
        <w:tc>
          <w:tcPr>
            <w:tcW w:w="3576" w:type="dxa"/>
            <w:tcBorders>
              <w:top w:val="single" w:sz="4" w:space="0" w:color="auto"/>
              <w:left w:val="single" w:sz="4" w:space="0" w:color="auto"/>
              <w:bottom w:val="single" w:sz="4" w:space="0" w:color="auto"/>
              <w:right w:val="single" w:sz="4" w:space="0" w:color="auto"/>
            </w:tcBorders>
          </w:tcPr>
          <w:p w14:paraId="6BB42F19"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r w:rsidR="00C15937" w:rsidRPr="00EF0E4D" w14:paraId="2E360421" w14:textId="77777777" w:rsidTr="00E3127B">
        <w:trPr>
          <w:trHeight w:val="232"/>
          <w:jc w:val="center"/>
        </w:trPr>
        <w:tc>
          <w:tcPr>
            <w:tcW w:w="1743" w:type="dxa"/>
            <w:tcBorders>
              <w:top w:val="single" w:sz="4" w:space="0" w:color="auto"/>
              <w:left w:val="single" w:sz="4" w:space="0" w:color="auto"/>
              <w:bottom w:val="single" w:sz="4" w:space="0" w:color="auto"/>
              <w:right w:val="single" w:sz="4" w:space="0" w:color="auto"/>
            </w:tcBorders>
          </w:tcPr>
          <w:p w14:paraId="14DE2A68"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20</w:t>
            </w:r>
          </w:p>
        </w:tc>
        <w:tc>
          <w:tcPr>
            <w:tcW w:w="3576" w:type="dxa"/>
            <w:tcBorders>
              <w:top w:val="single" w:sz="4" w:space="0" w:color="auto"/>
              <w:left w:val="single" w:sz="4" w:space="0" w:color="auto"/>
              <w:bottom w:val="single" w:sz="4" w:space="0" w:color="auto"/>
              <w:right w:val="single" w:sz="4" w:space="0" w:color="auto"/>
            </w:tcBorders>
          </w:tcPr>
          <w:p w14:paraId="2A0D815E"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ORS1065</w:t>
            </w:r>
          </w:p>
        </w:tc>
        <w:tc>
          <w:tcPr>
            <w:tcW w:w="3576" w:type="dxa"/>
            <w:tcBorders>
              <w:top w:val="single" w:sz="4" w:space="0" w:color="auto"/>
              <w:left w:val="single" w:sz="4" w:space="0" w:color="auto"/>
              <w:bottom w:val="single" w:sz="4" w:space="0" w:color="auto"/>
              <w:right w:val="single" w:sz="4" w:space="0" w:color="auto"/>
            </w:tcBorders>
          </w:tcPr>
          <w:p w14:paraId="6328C5B8" w14:textId="77777777" w:rsidR="00C15937" w:rsidRPr="00EF0E4D" w:rsidRDefault="00C15937" w:rsidP="00311C6F">
            <w:pPr>
              <w:spacing w:before="40" w:after="40" w:line="240" w:lineRule="auto"/>
              <w:jc w:val="center"/>
              <w:rPr>
                <w:rFonts w:ascii="Times New Roman" w:hAnsi="Times New Roman" w:cs="Times New Roman"/>
                <w:shd w:val="clear" w:color="auto" w:fill="FFFFFF"/>
              </w:rPr>
            </w:pPr>
            <w:r w:rsidRPr="00EF0E4D">
              <w:rPr>
                <w:rFonts w:ascii="Times New Roman" w:hAnsi="Times New Roman" w:cs="Times New Roman"/>
                <w:shd w:val="clear" w:color="auto" w:fill="FFFFFF"/>
              </w:rPr>
              <w:t>M</w:t>
            </w:r>
          </w:p>
        </w:tc>
      </w:tr>
    </w:tbl>
    <w:p w14:paraId="36BB80E0" w14:textId="5640B48C" w:rsidR="00C15937" w:rsidRPr="00EF0E4D" w:rsidRDefault="00C15937" w:rsidP="00A01289">
      <w:pPr>
        <w:spacing w:after="240" w:line="240" w:lineRule="auto"/>
        <w:jc w:val="center"/>
        <w:rPr>
          <w:rFonts w:ascii="Times New Roman" w:hAnsi="Times New Roman" w:cs="Times New Roman"/>
          <w:shd w:val="clear" w:color="auto" w:fill="FFFFFF"/>
        </w:rPr>
      </w:pPr>
      <w:r w:rsidRPr="00692237">
        <w:rPr>
          <w:rFonts w:ascii="Times New Roman" w:hAnsi="Times New Roman" w:cs="Times New Roman"/>
          <w:b/>
          <w:bCs/>
          <w:color w:val="C00000"/>
          <w:shd w:val="clear" w:color="auto" w:fill="FFFFFF"/>
        </w:rPr>
        <w:t>M</w:t>
      </w:r>
      <w:r w:rsidRPr="00EF0E4D">
        <w:rPr>
          <w:rFonts w:ascii="Times New Roman" w:hAnsi="Times New Roman" w:cs="Times New Roman"/>
          <w:shd w:val="clear" w:color="auto" w:fill="FFFFFF"/>
        </w:rPr>
        <w:t>-</w:t>
      </w:r>
      <w:r w:rsidR="00F83049" w:rsidRPr="00EF0E4D">
        <w:rPr>
          <w:rFonts w:ascii="Times New Roman" w:hAnsi="Times New Roman" w:cs="Times New Roman"/>
          <w:shd w:val="clear" w:color="auto" w:fill="FFFFFF"/>
        </w:rPr>
        <w:t xml:space="preserve"> </w:t>
      </w:r>
      <w:r w:rsidRPr="00EF0E4D">
        <w:rPr>
          <w:rFonts w:ascii="Times New Roman" w:hAnsi="Times New Roman" w:cs="Times New Roman"/>
          <w:b/>
          <w:bCs/>
          <w:shd w:val="clear" w:color="auto" w:fill="FFFFFF"/>
        </w:rPr>
        <w:t>Monomorphic</w:t>
      </w:r>
      <w:r w:rsidRPr="00EF0E4D">
        <w:rPr>
          <w:rFonts w:ascii="Times New Roman" w:hAnsi="Times New Roman" w:cs="Times New Roman"/>
          <w:shd w:val="clear" w:color="auto" w:fill="FFFFFF"/>
        </w:rPr>
        <w:t xml:space="preserve">                                             </w:t>
      </w:r>
      <w:r w:rsidRPr="00692237">
        <w:rPr>
          <w:rFonts w:ascii="Times New Roman" w:hAnsi="Times New Roman" w:cs="Times New Roman"/>
          <w:b/>
          <w:bCs/>
          <w:color w:val="C00000"/>
          <w:shd w:val="clear" w:color="auto" w:fill="FFFFFF"/>
        </w:rPr>
        <w:t>P</w:t>
      </w:r>
      <w:r w:rsidRPr="00EF0E4D">
        <w:rPr>
          <w:rFonts w:ascii="Times New Roman" w:hAnsi="Times New Roman" w:cs="Times New Roman"/>
          <w:shd w:val="clear" w:color="auto" w:fill="FFFFFF"/>
        </w:rPr>
        <w:t>-</w:t>
      </w:r>
      <w:r w:rsidR="00F83049" w:rsidRPr="00EF0E4D">
        <w:rPr>
          <w:rFonts w:ascii="Times New Roman" w:hAnsi="Times New Roman" w:cs="Times New Roman"/>
          <w:shd w:val="clear" w:color="auto" w:fill="FFFFFF"/>
        </w:rPr>
        <w:t xml:space="preserve"> </w:t>
      </w:r>
      <w:r w:rsidRPr="00EF0E4D">
        <w:rPr>
          <w:rFonts w:ascii="Times New Roman" w:hAnsi="Times New Roman" w:cs="Times New Roman"/>
          <w:b/>
          <w:bCs/>
          <w:shd w:val="clear" w:color="auto" w:fill="FFFFFF"/>
        </w:rPr>
        <w:t>Polymorphic</w:t>
      </w:r>
    </w:p>
    <w:p w14:paraId="6770E33D" w14:textId="40A169D7" w:rsidR="00D20EB7" w:rsidRPr="00EF0E4D" w:rsidRDefault="00D20EB7" w:rsidP="00D20EB7">
      <w:pPr>
        <w:ind w:firstLine="720"/>
        <w:jc w:val="both"/>
        <w:rPr>
          <w:rFonts w:ascii="Times New Roman" w:hAnsi="Times New Roman" w:cs="Times New Roman"/>
        </w:rPr>
      </w:pPr>
      <w:r w:rsidRPr="00EF0E4D">
        <w:rPr>
          <w:rFonts w:ascii="Times New Roman" w:hAnsi="Times New Roman" w:cs="Times New Roman"/>
        </w:rPr>
        <w:t xml:space="preserve">The predominance of monomorphic markers (90 %) and the relatively low polymorphism frequency (10 %) observed in the present study are consistent with the genetic constitution of elite sunflower breeding materials. Commercial parental lines are developed through repeated cycles of </w:t>
      </w:r>
      <w:proofErr w:type="spellStart"/>
      <w:r w:rsidRPr="00EF0E4D">
        <w:rPr>
          <w:rFonts w:ascii="Times New Roman" w:hAnsi="Times New Roman" w:cs="Times New Roman"/>
        </w:rPr>
        <w:t>selfing</w:t>
      </w:r>
      <w:proofErr w:type="spellEnd"/>
      <w:r w:rsidRPr="00EF0E4D">
        <w:rPr>
          <w:rFonts w:ascii="Times New Roman" w:hAnsi="Times New Roman" w:cs="Times New Roman"/>
        </w:rPr>
        <w:t>, selection and genetic stabilization to achieve high levels of homozygosity and phenotypic uniformity</w:t>
      </w:r>
      <w:r w:rsidR="00490A56" w:rsidRPr="00EF0E4D">
        <w:rPr>
          <w:rFonts w:ascii="Times New Roman" w:hAnsi="Times New Roman" w:cs="Times New Roman"/>
        </w:rPr>
        <w:t xml:space="preserve"> (</w:t>
      </w:r>
      <w:r w:rsidR="00F212CA" w:rsidRPr="00EF0E4D">
        <w:rPr>
          <w:rFonts w:ascii="Times New Roman" w:hAnsi="Times New Roman" w:cs="Times New Roman"/>
        </w:rPr>
        <w:t xml:space="preserve">Berry </w:t>
      </w:r>
      <w:r w:rsidR="00F212CA" w:rsidRPr="00EF0E4D">
        <w:rPr>
          <w:rFonts w:ascii="Times New Roman" w:hAnsi="Times New Roman" w:cs="Times New Roman"/>
          <w:i/>
          <w:iCs/>
        </w:rPr>
        <w:t>et al.,</w:t>
      </w:r>
      <w:r w:rsidR="00F212CA" w:rsidRPr="00EF0E4D">
        <w:rPr>
          <w:rFonts w:ascii="Times New Roman" w:hAnsi="Times New Roman" w:cs="Times New Roman"/>
        </w:rPr>
        <w:t xml:space="preserve"> 1994</w:t>
      </w:r>
      <w:r w:rsidR="000B7657" w:rsidRPr="00EF0E4D">
        <w:rPr>
          <w:rFonts w:ascii="Times New Roman" w:hAnsi="Times New Roman" w:cs="Times New Roman"/>
        </w:rPr>
        <w:t xml:space="preserve"> and </w:t>
      </w:r>
      <w:r w:rsidR="00490A56" w:rsidRPr="00EF0E4D">
        <w:rPr>
          <w:rFonts w:ascii="Times New Roman" w:hAnsi="Times New Roman" w:cs="Times New Roman"/>
        </w:rPr>
        <w:t xml:space="preserve">Fusari </w:t>
      </w:r>
      <w:r w:rsidR="00490A56" w:rsidRPr="00EF0E4D">
        <w:rPr>
          <w:rFonts w:ascii="Times New Roman" w:hAnsi="Times New Roman" w:cs="Times New Roman"/>
          <w:i/>
          <w:iCs/>
        </w:rPr>
        <w:t>et al.,</w:t>
      </w:r>
      <w:r w:rsidR="00490A56" w:rsidRPr="00EF0E4D">
        <w:rPr>
          <w:rFonts w:ascii="Times New Roman" w:hAnsi="Times New Roman" w:cs="Times New Roman"/>
        </w:rPr>
        <w:t xml:space="preserve"> 2008)</w:t>
      </w:r>
      <w:r w:rsidRPr="00EF0E4D">
        <w:rPr>
          <w:rFonts w:ascii="Times New Roman" w:hAnsi="Times New Roman" w:cs="Times New Roman"/>
        </w:rPr>
        <w:t>. Consequently, the extent of detectable DNA polymorphism between elite parental lines is often limited, and only a small proportion of SSR loci possess sufficient allelic variation to serve as informative diagnostic markers. Similar observations have been reported in several hybrid breeding programmes where closely related parental lines exhibited extensive genomic similarity despite producing highly heterotic hybrids</w:t>
      </w:r>
      <w:r w:rsidR="00E47DB7" w:rsidRPr="00EF0E4D">
        <w:rPr>
          <w:rFonts w:ascii="Times New Roman" w:hAnsi="Times New Roman" w:cs="Times New Roman"/>
        </w:rPr>
        <w:t xml:space="preserve"> (Pallavi</w:t>
      </w:r>
      <w:r w:rsidR="00AF1D1E" w:rsidRPr="00EF0E4D">
        <w:rPr>
          <w:rFonts w:ascii="Times New Roman" w:hAnsi="Times New Roman" w:cs="Times New Roman"/>
        </w:rPr>
        <w:t xml:space="preserve"> </w:t>
      </w:r>
      <w:r w:rsidR="00AF1D1E" w:rsidRPr="00EF0E4D">
        <w:rPr>
          <w:rFonts w:ascii="Times New Roman" w:hAnsi="Times New Roman" w:cs="Times New Roman"/>
          <w:i/>
          <w:iCs/>
        </w:rPr>
        <w:t>et al.,</w:t>
      </w:r>
      <w:r w:rsidR="00AF1D1E" w:rsidRPr="00EF0E4D">
        <w:rPr>
          <w:rFonts w:ascii="Times New Roman" w:hAnsi="Times New Roman" w:cs="Times New Roman"/>
        </w:rPr>
        <w:t xml:space="preserve"> 2011</w:t>
      </w:r>
      <w:r w:rsidR="009D7922" w:rsidRPr="00EF0E4D">
        <w:rPr>
          <w:rFonts w:ascii="Times New Roman" w:hAnsi="Times New Roman" w:cs="Times New Roman"/>
        </w:rPr>
        <w:t xml:space="preserve"> and </w:t>
      </w:r>
      <w:proofErr w:type="spellStart"/>
      <w:r w:rsidR="009D7922" w:rsidRPr="00EF0E4D">
        <w:rPr>
          <w:rFonts w:ascii="Times New Roman" w:hAnsi="Times New Roman" w:cs="Times New Roman"/>
        </w:rPr>
        <w:t>Lavudya</w:t>
      </w:r>
      <w:proofErr w:type="spellEnd"/>
      <w:r w:rsidR="009D7922" w:rsidRPr="00EF0E4D">
        <w:rPr>
          <w:rFonts w:ascii="Times New Roman" w:hAnsi="Times New Roman" w:cs="Times New Roman"/>
        </w:rPr>
        <w:t xml:space="preserve"> </w:t>
      </w:r>
      <w:r w:rsidR="009D7922" w:rsidRPr="00EF0E4D">
        <w:rPr>
          <w:rFonts w:ascii="Times New Roman" w:hAnsi="Times New Roman" w:cs="Times New Roman"/>
          <w:i/>
          <w:iCs/>
        </w:rPr>
        <w:t>et al.,</w:t>
      </w:r>
      <w:r w:rsidR="009D7922" w:rsidRPr="00EF0E4D">
        <w:rPr>
          <w:rFonts w:ascii="Times New Roman" w:hAnsi="Times New Roman" w:cs="Times New Roman"/>
        </w:rPr>
        <w:t xml:space="preserve"> 2024</w:t>
      </w:r>
      <w:r w:rsidR="00E47DB7" w:rsidRPr="00EF0E4D">
        <w:rPr>
          <w:rFonts w:ascii="Times New Roman" w:hAnsi="Times New Roman" w:cs="Times New Roman"/>
        </w:rPr>
        <w:t>)</w:t>
      </w:r>
      <w:r w:rsidRPr="00EF0E4D">
        <w:rPr>
          <w:rFonts w:ascii="Times New Roman" w:hAnsi="Times New Roman" w:cs="Times New Roman"/>
        </w:rPr>
        <w:t>.</w:t>
      </w:r>
    </w:p>
    <w:p w14:paraId="70CA9644" w14:textId="6EDEA489" w:rsidR="00D20EB7" w:rsidRPr="00EF0E4D" w:rsidRDefault="00D20EB7" w:rsidP="00D20EB7">
      <w:pPr>
        <w:ind w:firstLine="720"/>
        <w:jc w:val="both"/>
        <w:rPr>
          <w:rFonts w:ascii="Times New Roman" w:hAnsi="Times New Roman" w:cs="Times New Roman"/>
        </w:rPr>
      </w:pPr>
      <w:r w:rsidRPr="00EF0E4D">
        <w:rPr>
          <w:rFonts w:ascii="Times New Roman" w:hAnsi="Times New Roman" w:cs="Times New Roman"/>
        </w:rPr>
        <w:t>The identification of informative SSR markers is largely dependent upon the presence of allelic variation at specific genomic loci between the parental genotypes. SSR markers detect polymorphism based on variation in the number of tandem repeat units and because of their co-dominant inheritance, simultaneously amplify alleles inherited from both parents in heterozygous hybrids. Consequently, only markers exhibiting clear parental polymorphism are suitable for hybridity confirmation and genetic purity assessment</w:t>
      </w:r>
      <w:r w:rsidR="00E01DF0" w:rsidRPr="00EF0E4D">
        <w:rPr>
          <w:rFonts w:ascii="Times New Roman" w:hAnsi="Times New Roman" w:cs="Times New Roman"/>
        </w:rPr>
        <w:t xml:space="preserve"> (Kumar </w:t>
      </w:r>
      <w:r w:rsidR="00E01DF0" w:rsidRPr="00EF0E4D">
        <w:rPr>
          <w:rFonts w:ascii="Times New Roman" w:hAnsi="Times New Roman" w:cs="Times New Roman"/>
          <w:i/>
          <w:iCs/>
        </w:rPr>
        <w:t>et al.,</w:t>
      </w:r>
      <w:r w:rsidR="00E01DF0" w:rsidRPr="00EF0E4D">
        <w:rPr>
          <w:rFonts w:ascii="Times New Roman" w:hAnsi="Times New Roman" w:cs="Times New Roman"/>
        </w:rPr>
        <w:t xml:space="preserve"> 2014</w:t>
      </w:r>
      <w:r w:rsidR="009A3746" w:rsidRPr="00EF0E4D">
        <w:rPr>
          <w:rFonts w:ascii="Times New Roman" w:hAnsi="Times New Roman" w:cs="Times New Roman"/>
        </w:rPr>
        <w:t xml:space="preserve"> and Ahmed </w:t>
      </w:r>
      <w:r w:rsidR="009A3746" w:rsidRPr="00EF0E4D">
        <w:rPr>
          <w:rFonts w:ascii="Times New Roman" w:hAnsi="Times New Roman" w:cs="Times New Roman"/>
          <w:i/>
          <w:iCs/>
        </w:rPr>
        <w:t>et al.,</w:t>
      </w:r>
      <w:r w:rsidR="009A3746" w:rsidRPr="00EF0E4D">
        <w:rPr>
          <w:rFonts w:ascii="Times New Roman" w:hAnsi="Times New Roman" w:cs="Times New Roman"/>
        </w:rPr>
        <w:t xml:space="preserve"> 2022</w:t>
      </w:r>
      <w:r w:rsidR="00E01DF0" w:rsidRPr="00EF0E4D">
        <w:rPr>
          <w:rFonts w:ascii="Times New Roman" w:hAnsi="Times New Roman" w:cs="Times New Roman"/>
        </w:rPr>
        <w:t>)</w:t>
      </w:r>
      <w:r w:rsidRPr="00EF0E4D">
        <w:rPr>
          <w:rFonts w:ascii="Times New Roman" w:hAnsi="Times New Roman" w:cs="Times New Roman"/>
        </w:rPr>
        <w:t>. The successful identification of HA3640 and HA4011 therefore demonstrates the importance of systematic screening of multiple SSR loci before selecting hybrid-specific diagnostic markers for routine molecular testing</w:t>
      </w:r>
      <w:r w:rsidR="006F0866" w:rsidRPr="00EF0E4D">
        <w:rPr>
          <w:rFonts w:ascii="Times New Roman" w:hAnsi="Times New Roman" w:cs="Times New Roman"/>
        </w:rPr>
        <w:t xml:space="preserve"> (Naresh </w:t>
      </w:r>
      <w:r w:rsidR="006F0866" w:rsidRPr="00EF0E4D">
        <w:rPr>
          <w:rFonts w:ascii="Times New Roman" w:hAnsi="Times New Roman" w:cs="Times New Roman"/>
          <w:i/>
          <w:iCs/>
        </w:rPr>
        <w:t>et al.,</w:t>
      </w:r>
      <w:r w:rsidR="006F0866" w:rsidRPr="00EF0E4D">
        <w:rPr>
          <w:rFonts w:ascii="Times New Roman" w:hAnsi="Times New Roman" w:cs="Times New Roman"/>
        </w:rPr>
        <w:t xml:space="preserve"> 2009)</w:t>
      </w:r>
      <w:r w:rsidRPr="00EF0E4D">
        <w:rPr>
          <w:rFonts w:ascii="Times New Roman" w:hAnsi="Times New Roman" w:cs="Times New Roman"/>
        </w:rPr>
        <w:t>.</w:t>
      </w:r>
    </w:p>
    <w:p w14:paraId="26F39941" w14:textId="0CC55DC8" w:rsidR="00D20EB7" w:rsidRPr="00EF0E4D" w:rsidRDefault="00D20EB7" w:rsidP="00D20EB7">
      <w:pPr>
        <w:ind w:firstLine="720"/>
        <w:jc w:val="both"/>
        <w:rPr>
          <w:rFonts w:ascii="Times New Roman" w:hAnsi="Times New Roman" w:cs="Times New Roman"/>
        </w:rPr>
      </w:pPr>
      <w:r w:rsidRPr="00EF0E4D">
        <w:rPr>
          <w:rFonts w:ascii="Times New Roman" w:hAnsi="Times New Roman" w:cs="Times New Roman"/>
        </w:rPr>
        <w:t>Although only two informative markers were identified, their diagnostic efficiency was exceptionally high because each marker clearly distinguished the seed parent, pollen parent and hybrid through reproducible parental-specific amplification profiles</w:t>
      </w:r>
      <w:r w:rsidR="007D7514" w:rsidRPr="00EF0E4D">
        <w:rPr>
          <w:rFonts w:ascii="Times New Roman" w:hAnsi="Times New Roman" w:cs="Times New Roman"/>
        </w:rPr>
        <w:t xml:space="preserve"> (Fig 1)</w:t>
      </w:r>
      <w:r w:rsidRPr="00EF0E4D">
        <w:rPr>
          <w:rFonts w:ascii="Times New Roman" w:hAnsi="Times New Roman" w:cs="Times New Roman"/>
        </w:rPr>
        <w:t>. This observation indicates that the usefulness of an SSR marker is determined by its discriminatory ability rather than by the total number of polymorphic loci detected. Therefore, the identification of a limited number of highly informative markers should be considered sufficient for reliable hybridity confirmation when they consistently differentiate the hybrid from both parental lines</w:t>
      </w:r>
      <w:r w:rsidR="00730130" w:rsidRPr="00EF0E4D">
        <w:rPr>
          <w:rFonts w:ascii="Times New Roman" w:hAnsi="Times New Roman" w:cs="Times New Roman"/>
        </w:rPr>
        <w:t xml:space="preserve"> (</w:t>
      </w:r>
      <w:r w:rsidR="00633CB4" w:rsidRPr="00EF0E4D">
        <w:rPr>
          <w:rFonts w:ascii="Times New Roman" w:hAnsi="Times New Roman" w:cs="Times New Roman"/>
        </w:rPr>
        <w:t xml:space="preserve">Sundaram </w:t>
      </w:r>
      <w:r w:rsidR="00633CB4" w:rsidRPr="00EF0E4D">
        <w:rPr>
          <w:rFonts w:ascii="Times New Roman" w:hAnsi="Times New Roman" w:cs="Times New Roman"/>
          <w:i/>
          <w:iCs/>
        </w:rPr>
        <w:t>et al.,</w:t>
      </w:r>
      <w:r w:rsidR="00633CB4" w:rsidRPr="00EF0E4D">
        <w:rPr>
          <w:rFonts w:ascii="Times New Roman" w:hAnsi="Times New Roman" w:cs="Times New Roman"/>
        </w:rPr>
        <w:t xml:space="preserve"> 200</w:t>
      </w:r>
      <w:r w:rsidR="00FC77AC" w:rsidRPr="00EF0E4D">
        <w:rPr>
          <w:rFonts w:ascii="Times New Roman" w:hAnsi="Times New Roman" w:cs="Times New Roman"/>
        </w:rPr>
        <w:t xml:space="preserve">8 and </w:t>
      </w:r>
      <w:r w:rsidR="00730130" w:rsidRPr="00EF0E4D">
        <w:rPr>
          <w:rFonts w:ascii="Times New Roman" w:hAnsi="Times New Roman" w:cs="Times New Roman"/>
        </w:rPr>
        <w:t xml:space="preserve">Gaikwad </w:t>
      </w:r>
      <w:r w:rsidR="00730130" w:rsidRPr="00EF0E4D">
        <w:rPr>
          <w:rFonts w:ascii="Times New Roman" w:hAnsi="Times New Roman" w:cs="Times New Roman"/>
          <w:i/>
          <w:iCs/>
        </w:rPr>
        <w:t>et al.,</w:t>
      </w:r>
      <w:r w:rsidR="00730130" w:rsidRPr="00EF0E4D">
        <w:rPr>
          <w:rFonts w:ascii="Times New Roman" w:hAnsi="Times New Roman" w:cs="Times New Roman"/>
        </w:rPr>
        <w:t xml:space="preserve"> 2026)</w:t>
      </w:r>
      <w:r w:rsidRPr="00EF0E4D">
        <w:rPr>
          <w:rFonts w:ascii="Times New Roman" w:hAnsi="Times New Roman" w:cs="Times New Roman"/>
        </w:rPr>
        <w:t>.</w:t>
      </w:r>
    </w:p>
    <w:p w14:paraId="36397D15" w14:textId="17EC8CFE" w:rsidR="00981AFE" w:rsidRPr="00EF0E4D" w:rsidRDefault="00981AFE" w:rsidP="00981AFE">
      <w:pPr>
        <w:jc w:val="both"/>
        <w:rPr>
          <w:rFonts w:ascii="Times New Roman" w:hAnsi="Times New Roman" w:cs="Times New Roman"/>
        </w:rPr>
      </w:pPr>
      <w:r w:rsidRPr="00EF0E4D">
        <w:rPr>
          <w:rFonts w:ascii="Times New Roman" w:hAnsi="Times New Roman" w:cs="Times New Roman"/>
          <w:noProof/>
        </w:rPr>
        <w:lastRenderedPageBreak/>
        <w:drawing>
          <wp:inline distT="0" distB="0" distL="0" distR="0" wp14:anchorId="68E9A418" wp14:editId="4631C8FC">
            <wp:extent cx="5779698" cy="4614545"/>
            <wp:effectExtent l="0" t="0" r="0" b="0"/>
            <wp:docPr id="5051683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68312" name="Picture 505168312"/>
                    <pic:cNvPicPr/>
                  </pic:nvPicPr>
                  <pic:blipFill>
                    <a:blip r:embed="rId6">
                      <a:extLst>
                        <a:ext uri="{28A0092B-C50C-407E-A947-70E740481C1C}">
                          <a14:useLocalDpi xmlns:a14="http://schemas.microsoft.com/office/drawing/2010/main" val="0"/>
                        </a:ext>
                      </a:extLst>
                    </a:blip>
                    <a:stretch>
                      <a:fillRect/>
                    </a:stretch>
                  </pic:blipFill>
                  <pic:spPr>
                    <a:xfrm>
                      <a:off x="0" y="0"/>
                      <a:ext cx="5796711" cy="4628128"/>
                    </a:xfrm>
                    <a:prstGeom prst="rect">
                      <a:avLst/>
                    </a:prstGeom>
                  </pic:spPr>
                </pic:pic>
              </a:graphicData>
            </a:graphic>
          </wp:inline>
        </w:drawing>
      </w:r>
    </w:p>
    <w:p w14:paraId="2B20E8FE" w14:textId="34AFDB91" w:rsidR="008777E3" w:rsidRPr="00EF0E4D" w:rsidRDefault="008777E3" w:rsidP="00694092">
      <w:pPr>
        <w:spacing w:before="120" w:after="0"/>
        <w:ind w:right="140"/>
        <w:jc w:val="center"/>
        <w:rPr>
          <w:rFonts w:ascii="Times New Roman" w:hAnsi="Times New Roman" w:cs="Times New Roman"/>
          <w:b/>
          <w:bCs/>
        </w:rPr>
      </w:pPr>
      <w:r w:rsidRPr="00EF0E4D">
        <w:rPr>
          <w:rFonts w:ascii="Times New Roman" w:hAnsi="Times New Roman" w:cs="Times New Roman"/>
          <w:b/>
          <w:bCs/>
        </w:rPr>
        <w:t>Fig 1. SSR markers HA 3640 and HA 4011 profile confirming hybridity of sunflower hybrid KBSH-78 obtained on Ethidium bromide stained on Agarose gel (3.5 %)</w:t>
      </w:r>
    </w:p>
    <w:p w14:paraId="6A4B117A" w14:textId="7B1F38B4" w:rsidR="00D20EB7" w:rsidRPr="00EF0E4D" w:rsidRDefault="00D20EB7" w:rsidP="00694092">
      <w:pPr>
        <w:spacing w:before="120"/>
        <w:ind w:firstLine="720"/>
        <w:jc w:val="both"/>
        <w:rPr>
          <w:rFonts w:ascii="Times New Roman" w:hAnsi="Times New Roman" w:cs="Times New Roman"/>
        </w:rPr>
      </w:pPr>
      <w:r w:rsidRPr="00EF0E4D">
        <w:rPr>
          <w:rFonts w:ascii="Times New Roman" w:hAnsi="Times New Roman" w:cs="Times New Roman"/>
        </w:rPr>
        <w:t>The present findings demonstrate that SSR marker screening provides a rapid, accurate and environment-independent approach for identifying hybrid-specific polymorphisms. Unlike conventional grow-out tests, which require extensive field evaluation and are influenced by environmental conditions, SSR-based assays permit precise identification of parental alleles at the DNA level irrespective of the developmental stage of the plant</w:t>
      </w:r>
      <w:r w:rsidR="003635C3" w:rsidRPr="00EF0E4D">
        <w:rPr>
          <w:rFonts w:ascii="Times New Roman" w:hAnsi="Times New Roman" w:cs="Times New Roman"/>
        </w:rPr>
        <w:t xml:space="preserve"> (Dutta, 2009</w:t>
      </w:r>
      <w:r w:rsidR="008926C5" w:rsidRPr="00EF0E4D">
        <w:rPr>
          <w:rFonts w:ascii="Times New Roman" w:hAnsi="Times New Roman" w:cs="Times New Roman"/>
        </w:rPr>
        <w:t xml:space="preserve"> and </w:t>
      </w:r>
      <w:proofErr w:type="spellStart"/>
      <w:r w:rsidR="008926C5" w:rsidRPr="00EF0E4D">
        <w:rPr>
          <w:rFonts w:ascii="Times New Roman" w:hAnsi="Times New Roman" w:cs="Times New Roman"/>
        </w:rPr>
        <w:t>Bunjkar</w:t>
      </w:r>
      <w:proofErr w:type="spellEnd"/>
      <w:r w:rsidR="0005398F" w:rsidRPr="00EF0E4D">
        <w:rPr>
          <w:rFonts w:ascii="Times New Roman" w:hAnsi="Times New Roman" w:cs="Times New Roman"/>
        </w:rPr>
        <w:t xml:space="preserve"> et al., 2024</w:t>
      </w:r>
      <w:r w:rsidR="003635C3" w:rsidRPr="00EF0E4D">
        <w:rPr>
          <w:rFonts w:ascii="Times New Roman" w:hAnsi="Times New Roman" w:cs="Times New Roman"/>
        </w:rPr>
        <w:t>)</w:t>
      </w:r>
      <w:r w:rsidRPr="00EF0E4D">
        <w:rPr>
          <w:rFonts w:ascii="Times New Roman" w:hAnsi="Times New Roman" w:cs="Times New Roman"/>
        </w:rPr>
        <w:t>. Consequently, the polymorphic markers identified in the present investigation constitute valuable molecular tools for routine hybridity confirmation, genetic purity assessment, varietal authentication and quality assurance in commercial sunflower hybrid seed production programmes</w:t>
      </w:r>
      <w:r w:rsidR="00DF2B44" w:rsidRPr="00EF0E4D">
        <w:rPr>
          <w:rFonts w:ascii="Times New Roman" w:hAnsi="Times New Roman" w:cs="Times New Roman"/>
        </w:rPr>
        <w:t xml:space="preserve"> (Pradhan </w:t>
      </w:r>
      <w:r w:rsidR="00DF2B44" w:rsidRPr="00EF0E4D">
        <w:rPr>
          <w:rFonts w:ascii="Times New Roman" w:hAnsi="Times New Roman" w:cs="Times New Roman"/>
          <w:i/>
          <w:iCs/>
        </w:rPr>
        <w:t xml:space="preserve">et al., </w:t>
      </w:r>
      <w:r w:rsidR="00DF2B44" w:rsidRPr="00EF0E4D">
        <w:rPr>
          <w:rFonts w:ascii="Times New Roman" w:hAnsi="Times New Roman" w:cs="Times New Roman"/>
        </w:rPr>
        <w:t>2026)</w:t>
      </w:r>
      <w:r w:rsidRPr="00EF0E4D">
        <w:rPr>
          <w:rFonts w:ascii="Times New Roman" w:hAnsi="Times New Roman" w:cs="Times New Roman"/>
        </w:rPr>
        <w:t>.</w:t>
      </w:r>
    </w:p>
    <w:p w14:paraId="48099BBC" w14:textId="53AA25E2" w:rsidR="0009525E" w:rsidRPr="00EF0E4D" w:rsidRDefault="0009525E" w:rsidP="00D20EB7">
      <w:pPr>
        <w:ind w:firstLine="720"/>
        <w:jc w:val="both"/>
        <w:rPr>
          <w:rFonts w:ascii="Times New Roman" w:hAnsi="Times New Roman" w:cs="Times New Roman"/>
        </w:rPr>
      </w:pPr>
      <w:r w:rsidRPr="00EF0E4D">
        <w:rPr>
          <w:rFonts w:ascii="Times New Roman" w:hAnsi="Times New Roman" w:cs="Times New Roman"/>
        </w:rPr>
        <w:t>The polymorphic markers identified in this investigation exhibited clear and reproducible amplification profiles with distinct parental alleles and simultaneous amplification of both alleles in the hybrid</w:t>
      </w:r>
      <w:r w:rsidR="00DE6312" w:rsidRPr="00EF0E4D">
        <w:rPr>
          <w:rFonts w:ascii="Times New Roman" w:hAnsi="Times New Roman" w:cs="Times New Roman"/>
        </w:rPr>
        <w:t xml:space="preserve"> (Ongom </w:t>
      </w:r>
      <w:r w:rsidR="00DE6312" w:rsidRPr="00EF0E4D">
        <w:rPr>
          <w:rFonts w:ascii="Times New Roman" w:hAnsi="Times New Roman" w:cs="Times New Roman"/>
          <w:i/>
          <w:iCs/>
        </w:rPr>
        <w:t>et al.,</w:t>
      </w:r>
      <w:r w:rsidR="00DE6312" w:rsidRPr="00EF0E4D">
        <w:rPr>
          <w:rFonts w:ascii="Times New Roman" w:hAnsi="Times New Roman" w:cs="Times New Roman"/>
        </w:rPr>
        <w:t xml:space="preserve"> 2021)</w:t>
      </w:r>
      <w:r w:rsidRPr="00EF0E4D">
        <w:rPr>
          <w:rFonts w:ascii="Times New Roman" w:hAnsi="Times New Roman" w:cs="Times New Roman"/>
        </w:rPr>
        <w:t>. Such co-dominant inheritance represents one of the major advantages of SSR markers over dominant marker systems because it enables direct discrimination between homozygous parental genotypes and heterozygous hybrid individuals. The ability to detect both parental alleles in a single amplification reaction substantially enhances the accuracy of hybridity confirmation while minimizing the possibility of false-positive or ambiguous interpretations</w:t>
      </w:r>
      <w:r w:rsidR="00280102" w:rsidRPr="00EF0E4D">
        <w:rPr>
          <w:rFonts w:ascii="Times New Roman" w:hAnsi="Times New Roman" w:cs="Times New Roman"/>
        </w:rPr>
        <w:t xml:space="preserve"> </w:t>
      </w:r>
      <w:r w:rsidR="004D332C" w:rsidRPr="00EF0E4D">
        <w:rPr>
          <w:rFonts w:ascii="Times New Roman" w:hAnsi="Times New Roman" w:cs="Times New Roman"/>
        </w:rPr>
        <w:t>(</w:t>
      </w:r>
      <w:r w:rsidR="006F6D78" w:rsidRPr="00EF0E4D">
        <w:rPr>
          <w:rFonts w:ascii="Times New Roman" w:hAnsi="Times New Roman" w:cs="Times New Roman"/>
        </w:rPr>
        <w:t xml:space="preserve">Pallavi </w:t>
      </w:r>
      <w:r w:rsidR="006F6D78" w:rsidRPr="00EF0E4D">
        <w:rPr>
          <w:rFonts w:ascii="Times New Roman" w:hAnsi="Times New Roman" w:cs="Times New Roman"/>
          <w:i/>
          <w:iCs/>
        </w:rPr>
        <w:t>et al.,</w:t>
      </w:r>
      <w:r w:rsidR="006F6D78" w:rsidRPr="00EF0E4D">
        <w:rPr>
          <w:rFonts w:ascii="Times New Roman" w:hAnsi="Times New Roman" w:cs="Times New Roman"/>
        </w:rPr>
        <w:t xml:space="preserve"> 2011</w:t>
      </w:r>
      <w:r w:rsidR="00EE73D0" w:rsidRPr="00EF0E4D">
        <w:rPr>
          <w:rFonts w:ascii="Times New Roman" w:hAnsi="Times New Roman" w:cs="Times New Roman"/>
        </w:rPr>
        <w:t xml:space="preserve">; Ramesh </w:t>
      </w:r>
      <w:r w:rsidR="00860561" w:rsidRPr="00EF0E4D">
        <w:rPr>
          <w:rFonts w:ascii="Times New Roman" w:hAnsi="Times New Roman" w:cs="Times New Roman"/>
          <w:i/>
          <w:iCs/>
        </w:rPr>
        <w:t>et al.</w:t>
      </w:r>
      <w:r w:rsidR="00B63A44" w:rsidRPr="00EF0E4D">
        <w:rPr>
          <w:rFonts w:ascii="Times New Roman" w:hAnsi="Times New Roman" w:cs="Times New Roman"/>
          <w:i/>
          <w:iCs/>
        </w:rPr>
        <w:t>,</w:t>
      </w:r>
      <w:r w:rsidR="00860561" w:rsidRPr="00EF0E4D">
        <w:rPr>
          <w:rFonts w:ascii="Times New Roman" w:hAnsi="Times New Roman" w:cs="Times New Roman"/>
        </w:rPr>
        <w:t xml:space="preserve"> 2020 and </w:t>
      </w:r>
      <w:proofErr w:type="spellStart"/>
      <w:r w:rsidR="004D332C" w:rsidRPr="00EF0E4D">
        <w:rPr>
          <w:rFonts w:ascii="Times New Roman" w:hAnsi="Times New Roman" w:cs="Times New Roman"/>
        </w:rPr>
        <w:lastRenderedPageBreak/>
        <w:t>Amiteye</w:t>
      </w:r>
      <w:proofErr w:type="spellEnd"/>
      <w:r w:rsidR="004D332C" w:rsidRPr="00EF0E4D">
        <w:rPr>
          <w:rFonts w:ascii="Times New Roman" w:hAnsi="Times New Roman" w:cs="Times New Roman"/>
        </w:rPr>
        <w:t>,</w:t>
      </w:r>
      <w:r w:rsidR="00280102" w:rsidRPr="00EF0E4D">
        <w:rPr>
          <w:rFonts w:ascii="Times New Roman" w:hAnsi="Times New Roman" w:cs="Times New Roman"/>
        </w:rPr>
        <w:t xml:space="preserve"> 2021</w:t>
      </w:r>
      <w:r w:rsidR="004D332C" w:rsidRPr="00EF0E4D">
        <w:rPr>
          <w:rFonts w:ascii="Times New Roman" w:hAnsi="Times New Roman" w:cs="Times New Roman"/>
        </w:rPr>
        <w:t>)</w:t>
      </w:r>
      <w:r w:rsidRPr="00EF0E4D">
        <w:rPr>
          <w:rFonts w:ascii="Times New Roman" w:hAnsi="Times New Roman" w:cs="Times New Roman"/>
        </w:rPr>
        <w:t>. Consequently, the identified markers possess considerable potential for routine application in molecular genetic purity testing, hybrid seed authentication and quality assurance programmes.</w:t>
      </w:r>
    </w:p>
    <w:p w14:paraId="4830B62E" w14:textId="6566ACB9" w:rsidR="00C476D2" w:rsidRPr="007B0D5F" w:rsidRDefault="007B0D5F" w:rsidP="007B0D5F">
      <w:pPr>
        <w:jc w:val="center"/>
        <w:rPr>
          <w:rFonts w:ascii="Times New Roman" w:hAnsi="Times New Roman" w:cs="Times New Roman"/>
          <w:b/>
          <w:bCs/>
          <w:sz w:val="28"/>
          <w:szCs w:val="28"/>
        </w:rPr>
      </w:pPr>
      <w:r w:rsidRPr="007B0D5F">
        <w:rPr>
          <w:rFonts w:ascii="Times New Roman" w:hAnsi="Times New Roman" w:cs="Times New Roman"/>
          <w:b/>
          <w:bCs/>
          <w:sz w:val="28"/>
          <w:szCs w:val="28"/>
        </w:rPr>
        <w:t>CONCLUSION</w:t>
      </w:r>
    </w:p>
    <w:p w14:paraId="78CBB72F" w14:textId="4DAD8432" w:rsidR="00D20EB7" w:rsidRPr="00EF0E4D" w:rsidRDefault="00C476D2" w:rsidP="00566A80">
      <w:pPr>
        <w:ind w:firstLine="720"/>
        <w:jc w:val="both"/>
        <w:rPr>
          <w:rFonts w:ascii="Times New Roman" w:hAnsi="Times New Roman" w:cs="Times New Roman"/>
        </w:rPr>
      </w:pPr>
      <w:r w:rsidRPr="00EF0E4D">
        <w:rPr>
          <w:rFonts w:ascii="Times New Roman" w:hAnsi="Times New Roman" w:cs="Times New Roman"/>
        </w:rPr>
        <w:t xml:space="preserve">The present investigation identified </w:t>
      </w:r>
      <w:r w:rsidRPr="00880BB1">
        <w:rPr>
          <w:rFonts w:ascii="Times New Roman" w:hAnsi="Times New Roman" w:cs="Times New Roman"/>
        </w:rPr>
        <w:t>HA3640 and HA4011</w:t>
      </w:r>
      <w:r w:rsidRPr="00EF0E4D">
        <w:rPr>
          <w:rFonts w:ascii="Times New Roman" w:hAnsi="Times New Roman" w:cs="Times New Roman"/>
        </w:rPr>
        <w:t xml:space="preserve"> as robust polymorphic SSR markers for rapid hybridity confirmation and genetic purity assessment of sunflower (</w:t>
      </w:r>
      <w:r w:rsidRPr="00EF0E4D">
        <w:rPr>
          <w:rFonts w:ascii="Times New Roman" w:hAnsi="Times New Roman" w:cs="Times New Roman"/>
          <w:i/>
          <w:iCs/>
        </w:rPr>
        <w:t>Helianthus annuus</w:t>
      </w:r>
      <w:r w:rsidRPr="00EF0E4D">
        <w:rPr>
          <w:rFonts w:ascii="Times New Roman" w:hAnsi="Times New Roman" w:cs="Times New Roman"/>
        </w:rPr>
        <w:t xml:space="preserve"> L.) hybrid KBSH-78. These markers exhibited clear co-dominant polymorphism between the parental lines and simultaneously amplified both parental alleles in the hybrid, unequivocally confirming hybrid authenticity. Compared with the conventional grow-out test, the SSR-based approach provides a rapid, accurate, reproducible and environment-independent alternative for genetic purity testing. The validated markers offer an efficient molecular platform for routine hybridity confirmation, varietal authentication, seed certification, and quality assurance in commercial sunflower hybrid seed production. Their adoption in molecular seed testing programmes has the potential to improve the accuracy, efficiency, and reliability of genetic purity assessment while supporting the production and distribution of genetically pure, high-quality hybrid seed.</w:t>
      </w:r>
    </w:p>
    <w:p w14:paraId="0CE8FA0D" w14:textId="77777777" w:rsidR="00F94BF5" w:rsidRDefault="00F94BF5" w:rsidP="008E279F">
      <w:pPr>
        <w:spacing w:before="120" w:after="0" w:line="240" w:lineRule="auto"/>
        <w:ind w:firstLine="720"/>
        <w:jc w:val="both"/>
        <w:rPr>
          <w:rFonts w:ascii="Times New Roman" w:hAnsi="Times New Roman" w:cs="Times New Roman"/>
          <w:bCs/>
        </w:rPr>
      </w:pPr>
    </w:p>
    <w:p w14:paraId="7B304280" w14:textId="77777777" w:rsidR="00F94BF5" w:rsidRPr="003A29C6" w:rsidRDefault="00F94BF5" w:rsidP="00F94BF5">
      <w:pPr>
        <w:jc w:val="both"/>
        <w:outlineLvl w:val="0"/>
        <w:rPr>
          <w:rFonts w:ascii="Arial" w:hAnsi="Arial" w:cs="Arial"/>
        </w:rPr>
      </w:pPr>
      <w:r w:rsidRPr="003A29C6">
        <w:rPr>
          <w:rFonts w:ascii="Arial" w:hAnsi="Arial" w:cs="Arial"/>
          <w:b/>
          <w:bCs/>
        </w:rPr>
        <w:t>COMPETING INTERESTS DISCLAIMER:</w:t>
      </w:r>
    </w:p>
    <w:p w14:paraId="05742A21" w14:textId="77777777" w:rsidR="00F94BF5" w:rsidRDefault="00F94BF5" w:rsidP="00F94BF5">
      <w:r w:rsidRPr="00A10EDE">
        <w:t>Authors have declared that they have no known competing financial interests OR non-financial interests OR personal relationships that could have appeared to influence the work reported in this paper.</w:t>
      </w:r>
    </w:p>
    <w:p w14:paraId="185CB06C" w14:textId="77777777" w:rsidR="002668F3" w:rsidRPr="000839CE" w:rsidRDefault="002668F3" w:rsidP="002668F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6E8E8BD" w14:textId="77777777" w:rsidR="002668F3" w:rsidRPr="000839CE" w:rsidRDefault="002668F3" w:rsidP="002668F3">
      <w:pPr>
        <w:spacing w:after="0" w:line="240" w:lineRule="auto"/>
        <w:rPr>
          <w:rFonts w:ascii="Times New Roman" w:hAnsi="Times New Roman" w:cs="Times New Roman"/>
        </w:rPr>
      </w:pPr>
    </w:p>
    <w:p w14:paraId="20357BC5" w14:textId="77777777" w:rsidR="002668F3" w:rsidRPr="000839CE" w:rsidRDefault="002668F3" w:rsidP="002668F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C067D8" w14:textId="77777777" w:rsidR="002668F3" w:rsidRDefault="002668F3" w:rsidP="00F94BF5"/>
    <w:p w14:paraId="43A0642F" w14:textId="77777777" w:rsidR="00F94BF5" w:rsidRPr="00EF0E4D" w:rsidRDefault="00F94BF5" w:rsidP="008E279F">
      <w:pPr>
        <w:spacing w:before="120" w:after="0" w:line="240" w:lineRule="auto"/>
        <w:ind w:firstLine="720"/>
        <w:jc w:val="both"/>
        <w:rPr>
          <w:rFonts w:ascii="Times New Roman" w:hAnsi="Times New Roman" w:cs="Times New Roman"/>
          <w:bCs/>
        </w:rPr>
      </w:pPr>
    </w:p>
    <w:p w14:paraId="361BDA7D" w14:textId="7F702FD2" w:rsidR="008E279F" w:rsidRDefault="006248F0" w:rsidP="006248F0">
      <w:pPr>
        <w:spacing w:before="120" w:line="276" w:lineRule="auto"/>
        <w:jc w:val="center"/>
        <w:rPr>
          <w:rFonts w:ascii="Times New Roman" w:hAnsi="Times New Roman" w:cs="Times New Roman"/>
          <w:b/>
          <w:bCs/>
          <w:sz w:val="28"/>
          <w:szCs w:val="28"/>
        </w:rPr>
      </w:pPr>
      <w:r w:rsidRPr="006248F0">
        <w:rPr>
          <w:rFonts w:ascii="Times New Roman" w:hAnsi="Times New Roman" w:cs="Times New Roman"/>
          <w:b/>
          <w:bCs/>
          <w:sz w:val="28"/>
          <w:szCs w:val="28"/>
        </w:rPr>
        <w:t>REFERENCE</w:t>
      </w:r>
    </w:p>
    <w:p w14:paraId="218B5269" w14:textId="77777777" w:rsidR="00F94BF5" w:rsidRPr="006248F0" w:rsidRDefault="00F94BF5" w:rsidP="006248F0">
      <w:pPr>
        <w:spacing w:before="120" w:line="276" w:lineRule="auto"/>
        <w:jc w:val="center"/>
        <w:rPr>
          <w:rFonts w:ascii="Times New Roman" w:hAnsi="Times New Roman" w:cs="Times New Roman"/>
          <w:b/>
          <w:bCs/>
          <w:sz w:val="28"/>
          <w:szCs w:val="28"/>
        </w:rPr>
      </w:pPr>
    </w:p>
    <w:p w14:paraId="2F6135AC"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Ahmed, H. G. M. D., Rizwan, M., Naeem, M., Khan, M. A., Baloch, F. S., Sun, S., &amp; Chung, G. (2022). Molecular characterization and validation of sunflower (Helianthus annuus L.) hybrids through SSR markers. </w:t>
      </w:r>
      <w:proofErr w:type="spellStart"/>
      <w:r w:rsidRPr="00EF0E4D">
        <w:rPr>
          <w:rFonts w:ascii="Times New Roman" w:hAnsi="Times New Roman" w:cs="Times New Roman"/>
          <w:i/>
          <w:iCs/>
        </w:rPr>
        <w:t>PloS</w:t>
      </w:r>
      <w:proofErr w:type="spellEnd"/>
      <w:r w:rsidRPr="00EF0E4D">
        <w:rPr>
          <w:rFonts w:ascii="Times New Roman" w:hAnsi="Times New Roman" w:cs="Times New Roman"/>
          <w:i/>
          <w:iCs/>
        </w:rPr>
        <w:t xml:space="preserve"> one</w:t>
      </w:r>
      <w:r w:rsidRPr="00EF0E4D">
        <w:rPr>
          <w:rFonts w:ascii="Times New Roman" w:hAnsi="Times New Roman" w:cs="Times New Roman"/>
        </w:rPr>
        <w:t>, </w:t>
      </w:r>
      <w:r w:rsidRPr="00EF0E4D">
        <w:rPr>
          <w:rFonts w:ascii="Times New Roman" w:hAnsi="Times New Roman" w:cs="Times New Roman"/>
          <w:i/>
          <w:iCs/>
        </w:rPr>
        <w:t>17</w:t>
      </w:r>
      <w:r w:rsidRPr="00EF0E4D">
        <w:rPr>
          <w:rFonts w:ascii="Times New Roman" w:hAnsi="Times New Roman" w:cs="Times New Roman"/>
        </w:rPr>
        <w:t>(5), e0267383.</w:t>
      </w:r>
    </w:p>
    <w:p w14:paraId="3F54DC4E"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lastRenderedPageBreak/>
        <w:t>Amiteye</w:t>
      </w:r>
      <w:proofErr w:type="spellEnd"/>
      <w:r w:rsidRPr="00EF0E4D">
        <w:rPr>
          <w:rFonts w:ascii="Times New Roman" w:hAnsi="Times New Roman" w:cs="Times New Roman"/>
        </w:rPr>
        <w:t>, S. (2021). Basic concepts and methodologies of DNA marker systems in plant molecular breeding. </w:t>
      </w:r>
      <w:proofErr w:type="spellStart"/>
      <w:r w:rsidRPr="00EF0E4D">
        <w:rPr>
          <w:rFonts w:ascii="Times New Roman" w:hAnsi="Times New Roman" w:cs="Times New Roman"/>
          <w:i/>
          <w:iCs/>
        </w:rPr>
        <w:t>Heliyon</w:t>
      </w:r>
      <w:proofErr w:type="spellEnd"/>
      <w:r w:rsidRPr="00EF0E4D">
        <w:rPr>
          <w:rFonts w:ascii="Times New Roman" w:hAnsi="Times New Roman" w:cs="Times New Roman"/>
        </w:rPr>
        <w:t>, </w:t>
      </w:r>
      <w:r w:rsidRPr="00EF0E4D">
        <w:rPr>
          <w:rFonts w:ascii="Times New Roman" w:hAnsi="Times New Roman" w:cs="Times New Roman"/>
          <w:i/>
          <w:iCs/>
        </w:rPr>
        <w:t>7</w:t>
      </w:r>
      <w:r w:rsidRPr="00EF0E4D">
        <w:rPr>
          <w:rFonts w:ascii="Times New Roman" w:hAnsi="Times New Roman" w:cs="Times New Roman"/>
        </w:rPr>
        <w:t>(10).</w:t>
      </w:r>
    </w:p>
    <w:p w14:paraId="3594677D"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Berry, S. T., Allen, R. J., Barnes, S. R., &amp; Caligari, P. D. S. (1994). Molecular marker analysis of Helianthus annuus L. 1. Restriction fragment length polymorphism between inbred lines of cultivated sunflower. </w:t>
      </w:r>
      <w:r w:rsidRPr="00EF0E4D">
        <w:rPr>
          <w:rFonts w:ascii="Times New Roman" w:hAnsi="Times New Roman" w:cs="Times New Roman"/>
          <w:i/>
          <w:iCs/>
        </w:rPr>
        <w:t>Theoretical and applied genetics</w:t>
      </w:r>
      <w:r w:rsidRPr="00EF0E4D">
        <w:rPr>
          <w:rFonts w:ascii="Times New Roman" w:hAnsi="Times New Roman" w:cs="Times New Roman"/>
        </w:rPr>
        <w:t>, </w:t>
      </w:r>
      <w:r w:rsidRPr="00EF0E4D">
        <w:rPr>
          <w:rFonts w:ascii="Times New Roman" w:hAnsi="Times New Roman" w:cs="Times New Roman"/>
          <w:i/>
          <w:iCs/>
        </w:rPr>
        <w:t>89</w:t>
      </w:r>
      <w:r w:rsidRPr="00EF0E4D">
        <w:rPr>
          <w:rFonts w:ascii="Times New Roman" w:hAnsi="Times New Roman" w:cs="Times New Roman"/>
        </w:rPr>
        <w:t>(4), 435-441.</w:t>
      </w:r>
    </w:p>
    <w:p w14:paraId="1953075F"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Bhatia, D., &amp; Bajwa, G. S. (2022). Molecular marker techniques and recent advancements. </w:t>
      </w:r>
      <w:r w:rsidRPr="00EF0E4D">
        <w:rPr>
          <w:rFonts w:ascii="Times New Roman" w:hAnsi="Times New Roman" w:cs="Times New Roman"/>
          <w:i/>
          <w:iCs/>
        </w:rPr>
        <w:t>Genotyping by Sequencing for Crop Improvement</w:t>
      </w:r>
      <w:r w:rsidRPr="00EF0E4D">
        <w:rPr>
          <w:rFonts w:ascii="Times New Roman" w:hAnsi="Times New Roman" w:cs="Times New Roman"/>
        </w:rPr>
        <w:t>, 1-21.</w:t>
      </w:r>
    </w:p>
    <w:p w14:paraId="214E7CA3"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Bozorova, R., Amanov, B., Ruziyev, F., Amirov, K. H., </w:t>
      </w:r>
      <w:proofErr w:type="spellStart"/>
      <w:r w:rsidRPr="00EF0E4D">
        <w:rPr>
          <w:rFonts w:ascii="Times New Roman" w:hAnsi="Times New Roman" w:cs="Times New Roman"/>
        </w:rPr>
        <w:t>Ubaydullayev</w:t>
      </w:r>
      <w:proofErr w:type="spellEnd"/>
      <w:r w:rsidRPr="00EF0E4D">
        <w:rPr>
          <w:rFonts w:ascii="Times New Roman" w:hAnsi="Times New Roman" w:cs="Times New Roman"/>
        </w:rPr>
        <w:t xml:space="preserve">, E., </w:t>
      </w:r>
      <w:proofErr w:type="spellStart"/>
      <w:r w:rsidRPr="00EF0E4D">
        <w:rPr>
          <w:rFonts w:ascii="Times New Roman" w:hAnsi="Times New Roman" w:cs="Times New Roman"/>
        </w:rPr>
        <w:t>Muminov</w:t>
      </w:r>
      <w:proofErr w:type="spellEnd"/>
      <w:r w:rsidRPr="00EF0E4D">
        <w:rPr>
          <w:rFonts w:ascii="Times New Roman" w:hAnsi="Times New Roman" w:cs="Times New Roman"/>
        </w:rPr>
        <w:t>, K. H., ... &amp; Valiyev, L. (2026). Genetic and agronomic characteristics of sunflower (Helianthus annuus L.) and its resistance to pests and diseases.</w:t>
      </w:r>
    </w:p>
    <w:p w14:paraId="5B104ABC"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t>Bunjkar</w:t>
      </w:r>
      <w:proofErr w:type="spellEnd"/>
      <w:r w:rsidRPr="00EF0E4D">
        <w:rPr>
          <w:rFonts w:ascii="Times New Roman" w:hAnsi="Times New Roman" w:cs="Times New Roman"/>
        </w:rPr>
        <w:t>, A., Walia, P., &amp; Sandal, S. S. (2024). Unlocking genetic diversity and germplasm characterization with molecular markers: strategies for crop improvement. </w:t>
      </w:r>
      <w:r w:rsidRPr="00EF0E4D">
        <w:rPr>
          <w:rFonts w:ascii="Times New Roman" w:hAnsi="Times New Roman" w:cs="Times New Roman"/>
          <w:i/>
          <w:iCs/>
        </w:rPr>
        <w:t xml:space="preserve">J. Adv. Biol. </w:t>
      </w:r>
      <w:proofErr w:type="spellStart"/>
      <w:r w:rsidRPr="00EF0E4D">
        <w:rPr>
          <w:rFonts w:ascii="Times New Roman" w:hAnsi="Times New Roman" w:cs="Times New Roman"/>
          <w:i/>
          <w:iCs/>
        </w:rPr>
        <w:t>Biotechnol</w:t>
      </w:r>
      <w:proofErr w:type="spellEnd"/>
      <w:r w:rsidRPr="00EF0E4D">
        <w:rPr>
          <w:rFonts w:ascii="Times New Roman" w:hAnsi="Times New Roman" w:cs="Times New Roman"/>
        </w:rPr>
        <w:t>, </w:t>
      </w:r>
      <w:r w:rsidRPr="00EF0E4D">
        <w:rPr>
          <w:rFonts w:ascii="Times New Roman" w:hAnsi="Times New Roman" w:cs="Times New Roman"/>
          <w:i/>
          <w:iCs/>
        </w:rPr>
        <w:t>27</w:t>
      </w:r>
      <w:r w:rsidRPr="00EF0E4D">
        <w:rPr>
          <w:rFonts w:ascii="Times New Roman" w:hAnsi="Times New Roman" w:cs="Times New Roman"/>
        </w:rPr>
        <w:t>(6), 160-173.</w:t>
      </w:r>
    </w:p>
    <w:p w14:paraId="1B10001E"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t>Dhutmal</w:t>
      </w:r>
      <w:proofErr w:type="spellEnd"/>
      <w:r w:rsidRPr="00EF0E4D">
        <w:rPr>
          <w:rFonts w:ascii="Times New Roman" w:hAnsi="Times New Roman" w:cs="Times New Roman"/>
        </w:rPr>
        <w:t>, R., Maloo, S. R., More, A. W., Sharma, V., Anu, A., &amp; Singh, V. K. (2021). Study of genetic diversity using molecular markers in sunflower (Helianthus annuus). </w:t>
      </w:r>
      <w:r w:rsidRPr="00EF0E4D">
        <w:rPr>
          <w:rFonts w:ascii="Times New Roman" w:hAnsi="Times New Roman" w:cs="Times New Roman"/>
          <w:i/>
          <w:iCs/>
        </w:rPr>
        <w:t>Indian J Agric Sci</w:t>
      </w:r>
      <w:r w:rsidRPr="00EF0E4D">
        <w:rPr>
          <w:rFonts w:ascii="Times New Roman" w:hAnsi="Times New Roman" w:cs="Times New Roman"/>
        </w:rPr>
        <w:t>, </w:t>
      </w:r>
      <w:r w:rsidRPr="00EF0E4D">
        <w:rPr>
          <w:rFonts w:ascii="Times New Roman" w:hAnsi="Times New Roman" w:cs="Times New Roman"/>
          <w:i/>
          <w:iCs/>
        </w:rPr>
        <w:t>91</w:t>
      </w:r>
      <w:r w:rsidRPr="00EF0E4D">
        <w:rPr>
          <w:rFonts w:ascii="Times New Roman" w:hAnsi="Times New Roman" w:cs="Times New Roman"/>
        </w:rPr>
        <w:t>(7), 1058-62110.</w:t>
      </w:r>
    </w:p>
    <w:p w14:paraId="4FE12F00"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Dutta, S. (2009). </w:t>
      </w:r>
      <w:r w:rsidRPr="00EF0E4D">
        <w:rPr>
          <w:rFonts w:ascii="Times New Roman" w:hAnsi="Times New Roman" w:cs="Times New Roman"/>
          <w:i/>
          <w:iCs/>
        </w:rPr>
        <w:t xml:space="preserve">Application of Molecular Markers in Analysis of Genetic Diversity and Testing of Hybrid Purity in Capsicum </w:t>
      </w:r>
      <w:proofErr w:type="spellStart"/>
      <w:r w:rsidRPr="00EF0E4D">
        <w:rPr>
          <w:rFonts w:ascii="Times New Roman" w:hAnsi="Times New Roman" w:cs="Times New Roman"/>
          <w:i/>
          <w:iCs/>
        </w:rPr>
        <w:t>Spp</w:t>
      </w:r>
      <w:proofErr w:type="spellEnd"/>
      <w:r w:rsidRPr="00EF0E4D">
        <w:rPr>
          <w:rFonts w:ascii="Times New Roman" w:hAnsi="Times New Roman" w:cs="Times New Roman"/>
        </w:rPr>
        <w:t> (Doctoral dissertation, IARI, Division of Seed Science and Technology, New Delhi).</w:t>
      </w:r>
    </w:p>
    <w:p w14:paraId="0CD5045F"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FAO (2024). FAOSTAT. Food and Agriculture Organization of the United Nations (FAO). </w:t>
      </w:r>
    </w:p>
    <w:p w14:paraId="63155D2B"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Fusari, C. M., Lia, V. V., Hopp, H. E., Heinz, R. A., &amp; </w:t>
      </w:r>
      <w:proofErr w:type="spellStart"/>
      <w:r w:rsidRPr="00EF0E4D">
        <w:rPr>
          <w:rFonts w:ascii="Times New Roman" w:hAnsi="Times New Roman" w:cs="Times New Roman"/>
        </w:rPr>
        <w:t>Paniego</w:t>
      </w:r>
      <w:proofErr w:type="spellEnd"/>
      <w:r w:rsidRPr="00EF0E4D">
        <w:rPr>
          <w:rFonts w:ascii="Times New Roman" w:hAnsi="Times New Roman" w:cs="Times New Roman"/>
        </w:rPr>
        <w:t>, N. B. (2008). Identification of single nucleotide polymorphisms and analysis of linkage disequilibrium in sunflower elite inbred lines using the candidate gene approach. </w:t>
      </w:r>
      <w:r w:rsidRPr="00EF0E4D">
        <w:rPr>
          <w:rFonts w:ascii="Times New Roman" w:hAnsi="Times New Roman" w:cs="Times New Roman"/>
          <w:i/>
          <w:iCs/>
        </w:rPr>
        <w:t>BMC plant biology</w:t>
      </w:r>
      <w:r w:rsidRPr="00EF0E4D">
        <w:rPr>
          <w:rFonts w:ascii="Times New Roman" w:hAnsi="Times New Roman" w:cs="Times New Roman"/>
        </w:rPr>
        <w:t>, </w:t>
      </w:r>
      <w:r w:rsidRPr="00EF0E4D">
        <w:rPr>
          <w:rFonts w:ascii="Times New Roman" w:hAnsi="Times New Roman" w:cs="Times New Roman"/>
          <w:i/>
          <w:iCs/>
        </w:rPr>
        <w:t>8</w:t>
      </w:r>
      <w:r w:rsidRPr="00EF0E4D">
        <w:rPr>
          <w:rFonts w:ascii="Times New Roman" w:hAnsi="Times New Roman" w:cs="Times New Roman"/>
        </w:rPr>
        <w:t>(1), 7.</w:t>
      </w:r>
    </w:p>
    <w:p w14:paraId="45A41E5A"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Gaikwad, P. N., Sidhu, G. S., &amp; </w:t>
      </w:r>
      <w:proofErr w:type="spellStart"/>
      <w:r w:rsidRPr="00EF0E4D">
        <w:rPr>
          <w:rFonts w:ascii="Times New Roman" w:hAnsi="Times New Roman" w:cs="Times New Roman"/>
        </w:rPr>
        <w:t>Chintale</w:t>
      </w:r>
      <w:proofErr w:type="spellEnd"/>
      <w:r w:rsidRPr="00EF0E4D">
        <w:rPr>
          <w:rFonts w:ascii="Times New Roman" w:hAnsi="Times New Roman" w:cs="Times New Roman"/>
        </w:rPr>
        <w:t>, Y. S. (2026). Dissecting genetic diversity and population structure in intergeneric citrus population using morphological and SSR markers. </w:t>
      </w:r>
      <w:r w:rsidRPr="00EF0E4D">
        <w:rPr>
          <w:rFonts w:ascii="Times New Roman" w:hAnsi="Times New Roman" w:cs="Times New Roman"/>
          <w:i/>
          <w:iCs/>
        </w:rPr>
        <w:t>Scientific Reports</w:t>
      </w:r>
      <w:r w:rsidRPr="00EF0E4D">
        <w:rPr>
          <w:rFonts w:ascii="Times New Roman" w:hAnsi="Times New Roman" w:cs="Times New Roman"/>
        </w:rPr>
        <w:t>.</w:t>
      </w:r>
    </w:p>
    <w:p w14:paraId="442D3378"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García-Vila M, </w:t>
      </w:r>
      <w:proofErr w:type="spellStart"/>
      <w:r w:rsidRPr="00EF0E4D">
        <w:rPr>
          <w:rFonts w:ascii="Times New Roman" w:hAnsi="Times New Roman" w:cs="Times New Roman"/>
        </w:rPr>
        <w:t>Fereres</w:t>
      </w:r>
      <w:proofErr w:type="spellEnd"/>
      <w:r w:rsidRPr="00EF0E4D">
        <w:rPr>
          <w:rFonts w:ascii="Times New Roman" w:hAnsi="Times New Roman" w:cs="Times New Roman"/>
        </w:rPr>
        <w:t xml:space="preserve"> E, Prieto MH, Ruz C, Soriano MA (2012). Sunflower. In: Crop Yield Response to Water. FAO Irrigation and Drainage: Rome, Italy, pp. 66.</w:t>
      </w:r>
    </w:p>
    <w:p w14:paraId="151C5518"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Guo, S., Ge, Y., &amp; Na </w:t>
      </w:r>
      <w:proofErr w:type="spellStart"/>
      <w:r w:rsidRPr="00EF0E4D">
        <w:rPr>
          <w:rFonts w:ascii="Times New Roman" w:hAnsi="Times New Roman" w:cs="Times New Roman"/>
        </w:rPr>
        <w:t>Jom</w:t>
      </w:r>
      <w:proofErr w:type="spellEnd"/>
      <w:r w:rsidRPr="00EF0E4D">
        <w:rPr>
          <w:rFonts w:ascii="Times New Roman" w:hAnsi="Times New Roman" w:cs="Times New Roman"/>
        </w:rPr>
        <w:t>, K. (2017). A review of phytochemistry, metabolite changes, and medicinal uses of the common sunflower seed and sprouts (Helianthus annuus L.). </w:t>
      </w:r>
      <w:r w:rsidRPr="00EF0E4D">
        <w:rPr>
          <w:rFonts w:ascii="Times New Roman" w:hAnsi="Times New Roman" w:cs="Times New Roman"/>
          <w:i/>
          <w:iCs/>
        </w:rPr>
        <w:t>Chemistry Central Journal</w:t>
      </w:r>
      <w:r w:rsidRPr="00EF0E4D">
        <w:rPr>
          <w:rFonts w:ascii="Times New Roman" w:hAnsi="Times New Roman" w:cs="Times New Roman"/>
        </w:rPr>
        <w:t>, </w:t>
      </w:r>
      <w:r w:rsidRPr="00EF0E4D">
        <w:rPr>
          <w:rFonts w:ascii="Times New Roman" w:hAnsi="Times New Roman" w:cs="Times New Roman"/>
          <w:i/>
          <w:iCs/>
        </w:rPr>
        <w:t>11</w:t>
      </w:r>
      <w:r w:rsidRPr="00EF0E4D">
        <w:rPr>
          <w:rFonts w:ascii="Times New Roman" w:hAnsi="Times New Roman" w:cs="Times New Roman"/>
        </w:rPr>
        <w:t>(1), 95.</w:t>
      </w:r>
    </w:p>
    <w:p w14:paraId="7AF92CAB"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Josia, C., Mashingaidze, K., Amelework, A. B., </w:t>
      </w:r>
      <w:proofErr w:type="spellStart"/>
      <w:r w:rsidRPr="00EF0E4D">
        <w:rPr>
          <w:rFonts w:ascii="Times New Roman" w:hAnsi="Times New Roman" w:cs="Times New Roman"/>
        </w:rPr>
        <w:t>Kondwakwenda</w:t>
      </w:r>
      <w:proofErr w:type="spellEnd"/>
      <w:r w:rsidRPr="00EF0E4D">
        <w:rPr>
          <w:rFonts w:ascii="Times New Roman" w:hAnsi="Times New Roman" w:cs="Times New Roman"/>
        </w:rPr>
        <w:t xml:space="preserve">, A., </w:t>
      </w:r>
      <w:proofErr w:type="spellStart"/>
      <w:r w:rsidRPr="00EF0E4D">
        <w:rPr>
          <w:rFonts w:ascii="Times New Roman" w:hAnsi="Times New Roman" w:cs="Times New Roman"/>
        </w:rPr>
        <w:t>Musvosvi</w:t>
      </w:r>
      <w:proofErr w:type="spellEnd"/>
      <w:r w:rsidRPr="00EF0E4D">
        <w:rPr>
          <w:rFonts w:ascii="Times New Roman" w:hAnsi="Times New Roman" w:cs="Times New Roman"/>
        </w:rPr>
        <w:t>, C., &amp; Sibiya, J. (2021). SNP-based assessment of genetic purity and diversity in maize hybrid breeding. </w:t>
      </w:r>
      <w:proofErr w:type="spellStart"/>
      <w:r w:rsidRPr="00EF0E4D">
        <w:rPr>
          <w:rFonts w:ascii="Times New Roman" w:hAnsi="Times New Roman" w:cs="Times New Roman"/>
          <w:i/>
          <w:iCs/>
        </w:rPr>
        <w:t>PLoS</w:t>
      </w:r>
      <w:proofErr w:type="spellEnd"/>
      <w:r w:rsidRPr="00EF0E4D">
        <w:rPr>
          <w:rFonts w:ascii="Times New Roman" w:hAnsi="Times New Roman" w:cs="Times New Roman"/>
          <w:i/>
          <w:iCs/>
        </w:rPr>
        <w:t xml:space="preserve"> One</w:t>
      </w:r>
      <w:r w:rsidRPr="00EF0E4D">
        <w:rPr>
          <w:rFonts w:ascii="Times New Roman" w:hAnsi="Times New Roman" w:cs="Times New Roman"/>
        </w:rPr>
        <w:t>, </w:t>
      </w:r>
      <w:r w:rsidRPr="00EF0E4D">
        <w:rPr>
          <w:rFonts w:ascii="Times New Roman" w:hAnsi="Times New Roman" w:cs="Times New Roman"/>
          <w:i/>
          <w:iCs/>
        </w:rPr>
        <w:t>16</w:t>
      </w:r>
      <w:r w:rsidRPr="00EF0E4D">
        <w:rPr>
          <w:rFonts w:ascii="Times New Roman" w:hAnsi="Times New Roman" w:cs="Times New Roman"/>
        </w:rPr>
        <w:t>(8), e0249505.</w:t>
      </w:r>
    </w:p>
    <w:p w14:paraId="443389BE"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Kalia, R. K., Rai, M. K., Kalia, S., Singh, R., &amp; Dhawan, A. K. (2011). Microsatellite markers: an overview of the recent progress in plants. </w:t>
      </w:r>
      <w:proofErr w:type="spellStart"/>
      <w:r w:rsidRPr="00EF0E4D">
        <w:rPr>
          <w:rFonts w:ascii="Times New Roman" w:hAnsi="Times New Roman" w:cs="Times New Roman"/>
          <w:i/>
          <w:iCs/>
        </w:rPr>
        <w:t>Euphytica</w:t>
      </w:r>
      <w:proofErr w:type="spellEnd"/>
      <w:r w:rsidRPr="00EF0E4D">
        <w:rPr>
          <w:rFonts w:ascii="Times New Roman" w:hAnsi="Times New Roman" w:cs="Times New Roman"/>
        </w:rPr>
        <w:t>, </w:t>
      </w:r>
      <w:r w:rsidRPr="00EF0E4D">
        <w:rPr>
          <w:rFonts w:ascii="Times New Roman" w:hAnsi="Times New Roman" w:cs="Times New Roman"/>
          <w:i/>
          <w:iCs/>
        </w:rPr>
        <w:t>177</w:t>
      </w:r>
      <w:r w:rsidRPr="00EF0E4D">
        <w:rPr>
          <w:rFonts w:ascii="Times New Roman" w:hAnsi="Times New Roman" w:cs="Times New Roman"/>
        </w:rPr>
        <w:t>(3), 309-334.</w:t>
      </w:r>
    </w:p>
    <w:p w14:paraId="08380DFA"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lastRenderedPageBreak/>
        <w:t xml:space="preserve">Kovincic, A., Markovic, K., Ristic, D., Babic, V., Petrovic, T., Zivanovic, T., &amp; </w:t>
      </w:r>
      <w:proofErr w:type="spellStart"/>
      <w:r w:rsidRPr="00EF0E4D">
        <w:rPr>
          <w:rFonts w:ascii="Times New Roman" w:hAnsi="Times New Roman" w:cs="Times New Roman"/>
        </w:rPr>
        <w:t>Kravic</w:t>
      </w:r>
      <w:proofErr w:type="spellEnd"/>
      <w:r w:rsidRPr="00EF0E4D">
        <w:rPr>
          <w:rFonts w:ascii="Times New Roman" w:hAnsi="Times New Roman" w:cs="Times New Roman"/>
        </w:rPr>
        <w:t>, N. (2023). Efficiency of biological typing methods in maize hybrid genetic purity estimation. </w:t>
      </w:r>
      <w:r w:rsidRPr="00EF0E4D">
        <w:rPr>
          <w:rFonts w:ascii="Times New Roman" w:hAnsi="Times New Roman" w:cs="Times New Roman"/>
          <w:i/>
          <w:iCs/>
        </w:rPr>
        <w:t>Genes</w:t>
      </w:r>
      <w:r w:rsidRPr="00EF0E4D">
        <w:rPr>
          <w:rFonts w:ascii="Times New Roman" w:hAnsi="Times New Roman" w:cs="Times New Roman"/>
        </w:rPr>
        <w:t>, </w:t>
      </w:r>
      <w:r w:rsidRPr="00EF0E4D">
        <w:rPr>
          <w:rFonts w:ascii="Times New Roman" w:hAnsi="Times New Roman" w:cs="Times New Roman"/>
          <w:i/>
          <w:iCs/>
        </w:rPr>
        <w:t>14</w:t>
      </w:r>
      <w:r w:rsidRPr="00EF0E4D">
        <w:rPr>
          <w:rFonts w:ascii="Times New Roman" w:hAnsi="Times New Roman" w:cs="Times New Roman"/>
        </w:rPr>
        <w:t>(6), 1195.</w:t>
      </w:r>
    </w:p>
    <w:p w14:paraId="697CDC07"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t>Kukanur</w:t>
      </w:r>
      <w:proofErr w:type="spellEnd"/>
      <w:r w:rsidRPr="00EF0E4D">
        <w:rPr>
          <w:rFonts w:ascii="Times New Roman" w:hAnsi="Times New Roman" w:cs="Times New Roman"/>
        </w:rPr>
        <w:t xml:space="preserve">, S. S. (2019). Marker-Trait Association Studies for Yield Components in Sunflower Interspecific Cross </w:t>
      </w:r>
      <w:r w:rsidRPr="00EF0E4D">
        <w:rPr>
          <w:rFonts w:ascii="Times New Roman" w:hAnsi="Times New Roman" w:cs="Times New Roman"/>
          <w:i/>
          <w:iCs/>
        </w:rPr>
        <w:t>Helianthus annuus</w:t>
      </w:r>
      <w:r w:rsidRPr="00EF0E4D">
        <w:rPr>
          <w:rFonts w:ascii="Times New Roman" w:hAnsi="Times New Roman" w:cs="Times New Roman"/>
        </w:rPr>
        <w:t xml:space="preserve"> L. and </w:t>
      </w:r>
      <w:r w:rsidRPr="00EF0E4D">
        <w:rPr>
          <w:rFonts w:ascii="Times New Roman" w:hAnsi="Times New Roman" w:cs="Times New Roman"/>
          <w:i/>
          <w:iCs/>
        </w:rPr>
        <w:t xml:space="preserve">Helianthus </w:t>
      </w:r>
      <w:proofErr w:type="spellStart"/>
      <w:r w:rsidRPr="00EF0E4D">
        <w:rPr>
          <w:rFonts w:ascii="Times New Roman" w:hAnsi="Times New Roman" w:cs="Times New Roman"/>
          <w:i/>
          <w:iCs/>
        </w:rPr>
        <w:t>argophyllus</w:t>
      </w:r>
      <w:proofErr w:type="spellEnd"/>
      <w:r w:rsidRPr="00EF0E4D">
        <w:rPr>
          <w:rFonts w:ascii="Times New Roman" w:hAnsi="Times New Roman" w:cs="Times New Roman"/>
        </w:rPr>
        <w:t xml:space="preserve"> Torr. &amp; A. Gray.</w:t>
      </w:r>
    </w:p>
    <w:p w14:paraId="7611D8D3"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Kumar, A., Dadlani, M., Kumar, R., &amp; Jacob, S. R. (2014). Identification and validation of informative SSR markers suitable for ensuring the genetic purity of brinjal (Solanum melongena L.) hybrid seeds. </w:t>
      </w:r>
      <w:r w:rsidRPr="00EF0E4D">
        <w:rPr>
          <w:rFonts w:ascii="Times New Roman" w:hAnsi="Times New Roman" w:cs="Times New Roman"/>
          <w:i/>
          <w:iCs/>
        </w:rPr>
        <w:t xml:space="preserve">Scientia </w:t>
      </w:r>
      <w:proofErr w:type="spellStart"/>
      <w:r w:rsidRPr="00EF0E4D">
        <w:rPr>
          <w:rFonts w:ascii="Times New Roman" w:hAnsi="Times New Roman" w:cs="Times New Roman"/>
          <w:i/>
          <w:iCs/>
        </w:rPr>
        <w:t>Horticulturae</w:t>
      </w:r>
      <w:proofErr w:type="spellEnd"/>
      <w:r w:rsidRPr="00EF0E4D">
        <w:rPr>
          <w:rFonts w:ascii="Times New Roman" w:hAnsi="Times New Roman" w:cs="Times New Roman"/>
        </w:rPr>
        <w:t>, </w:t>
      </w:r>
      <w:r w:rsidRPr="00EF0E4D">
        <w:rPr>
          <w:rFonts w:ascii="Times New Roman" w:hAnsi="Times New Roman" w:cs="Times New Roman"/>
          <w:i/>
          <w:iCs/>
        </w:rPr>
        <w:t>171</w:t>
      </w:r>
      <w:r w:rsidRPr="00EF0E4D">
        <w:rPr>
          <w:rFonts w:ascii="Times New Roman" w:hAnsi="Times New Roman" w:cs="Times New Roman"/>
        </w:rPr>
        <w:t>, 95-100.</w:t>
      </w:r>
    </w:p>
    <w:p w14:paraId="25B80027"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t>Lavudya</w:t>
      </w:r>
      <w:proofErr w:type="spellEnd"/>
      <w:r w:rsidRPr="00EF0E4D">
        <w:rPr>
          <w:rFonts w:ascii="Times New Roman" w:hAnsi="Times New Roman" w:cs="Times New Roman"/>
        </w:rPr>
        <w:t>, S., Thiyagarajan, K., Ramasamy, S., Sankarasubramanian, H., Muniyandi, S., Bellie, A., ... &amp; Dhanapal, S. (2024). Assessing population structure and morpho-molecular characterization of sunflower (Helianthus annuus L.) for elite germplasm identification. </w:t>
      </w:r>
      <w:proofErr w:type="spellStart"/>
      <w:r w:rsidRPr="00EF0E4D">
        <w:rPr>
          <w:rFonts w:ascii="Times New Roman" w:hAnsi="Times New Roman" w:cs="Times New Roman"/>
          <w:i/>
          <w:iCs/>
        </w:rPr>
        <w:t>PeerJ</w:t>
      </w:r>
      <w:proofErr w:type="spellEnd"/>
      <w:r w:rsidRPr="00EF0E4D">
        <w:rPr>
          <w:rFonts w:ascii="Times New Roman" w:hAnsi="Times New Roman" w:cs="Times New Roman"/>
        </w:rPr>
        <w:t>, </w:t>
      </w:r>
      <w:r w:rsidRPr="00EF0E4D">
        <w:rPr>
          <w:rFonts w:ascii="Times New Roman" w:hAnsi="Times New Roman" w:cs="Times New Roman"/>
          <w:i/>
          <w:iCs/>
        </w:rPr>
        <w:t>12</w:t>
      </w:r>
      <w:r w:rsidRPr="00EF0E4D">
        <w:rPr>
          <w:rFonts w:ascii="Times New Roman" w:hAnsi="Times New Roman" w:cs="Times New Roman"/>
        </w:rPr>
        <w:t>, e18205.</w:t>
      </w:r>
    </w:p>
    <w:p w14:paraId="1EEAA86B"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Mason, A. S. (2014). SSR genotyping. In </w:t>
      </w:r>
      <w:r w:rsidRPr="00EF0E4D">
        <w:rPr>
          <w:rFonts w:ascii="Times New Roman" w:hAnsi="Times New Roman" w:cs="Times New Roman"/>
          <w:i/>
          <w:iCs/>
        </w:rPr>
        <w:t>Plant genotyping: methods and protocols</w:t>
      </w:r>
      <w:r w:rsidRPr="00EF0E4D">
        <w:rPr>
          <w:rFonts w:ascii="Times New Roman" w:hAnsi="Times New Roman" w:cs="Times New Roman"/>
        </w:rPr>
        <w:t> (pp. 77-89). New York, NY: Springer New York.</w:t>
      </w:r>
    </w:p>
    <w:p w14:paraId="2B4BD8F4"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Meena, H. (2015). Development of new sources of male sterility in sunflower (Helianthus annuus L.): Limitations and opportunities. </w:t>
      </w:r>
      <w:r w:rsidRPr="00EF0E4D">
        <w:rPr>
          <w:rFonts w:ascii="Times New Roman" w:hAnsi="Times New Roman" w:cs="Times New Roman"/>
          <w:i/>
          <w:iCs/>
        </w:rPr>
        <w:t>THE INDIAN SOCIETY OF OILSEEDS RESEARCH</w:t>
      </w:r>
      <w:r w:rsidRPr="00EF0E4D">
        <w:rPr>
          <w:rFonts w:ascii="Times New Roman" w:hAnsi="Times New Roman" w:cs="Times New Roman"/>
        </w:rPr>
        <w:t>, 25.</w:t>
      </w:r>
    </w:p>
    <w:p w14:paraId="17CED871"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Meena, H. P., Sujatha, M., &amp; Reddy, A. V. (2022). Advances in Male Sterility Systems and Hybrid Breeding in Sunflower. In </w:t>
      </w:r>
      <w:r w:rsidRPr="00EF0E4D">
        <w:rPr>
          <w:rFonts w:ascii="Times New Roman" w:hAnsi="Times New Roman" w:cs="Times New Roman"/>
          <w:i/>
          <w:iCs/>
        </w:rPr>
        <w:t>Plant Male Sterility Systems for Accelerating Crop Improvement</w:t>
      </w:r>
      <w:r w:rsidRPr="00EF0E4D">
        <w:rPr>
          <w:rFonts w:ascii="Times New Roman" w:hAnsi="Times New Roman" w:cs="Times New Roman"/>
        </w:rPr>
        <w:t> (pp. 91-147). Singapore: Springer Nature Singapore.</w:t>
      </w:r>
    </w:p>
    <w:p w14:paraId="75522BAF"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Naresh, V., Yamini, K. N., Rajendrakumar, P., &amp; Dinesh Kumar, V. (2009). EST-SSR marker-based assay for the genetic purity assessment of safflower hybrids. </w:t>
      </w:r>
      <w:proofErr w:type="spellStart"/>
      <w:r w:rsidRPr="00EF0E4D">
        <w:rPr>
          <w:rFonts w:ascii="Times New Roman" w:hAnsi="Times New Roman" w:cs="Times New Roman"/>
          <w:i/>
          <w:iCs/>
        </w:rPr>
        <w:t>Euphytica</w:t>
      </w:r>
      <w:proofErr w:type="spellEnd"/>
      <w:r w:rsidRPr="00EF0E4D">
        <w:rPr>
          <w:rFonts w:ascii="Times New Roman" w:hAnsi="Times New Roman" w:cs="Times New Roman"/>
        </w:rPr>
        <w:t>, </w:t>
      </w:r>
      <w:r w:rsidRPr="00EF0E4D">
        <w:rPr>
          <w:rFonts w:ascii="Times New Roman" w:hAnsi="Times New Roman" w:cs="Times New Roman"/>
          <w:i/>
          <w:iCs/>
        </w:rPr>
        <w:t>170</w:t>
      </w:r>
      <w:r w:rsidRPr="00EF0E4D">
        <w:rPr>
          <w:rFonts w:ascii="Times New Roman" w:hAnsi="Times New Roman" w:cs="Times New Roman"/>
        </w:rPr>
        <w:t>(3), 347-353.</w:t>
      </w:r>
    </w:p>
    <w:p w14:paraId="6C62C119"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Olumide, J. O., &amp; Bankole, U. (2025). </w:t>
      </w:r>
      <w:r w:rsidRPr="00EF0E4D">
        <w:rPr>
          <w:rFonts w:ascii="Times New Roman" w:hAnsi="Times New Roman" w:cs="Times New Roman"/>
          <w:i/>
          <w:iCs/>
        </w:rPr>
        <w:t>Assessment of genetic purity in hybrid rice seeds using grow-out test and DNA markers</w:t>
      </w:r>
      <w:r w:rsidRPr="00EF0E4D">
        <w:rPr>
          <w:rFonts w:ascii="Times New Roman" w:hAnsi="Times New Roman" w:cs="Times New Roman"/>
        </w:rPr>
        <w:t xml:space="preserve">. </w:t>
      </w:r>
      <w:r w:rsidRPr="00EF0E4D">
        <w:rPr>
          <w:rFonts w:ascii="Times New Roman" w:hAnsi="Times New Roman" w:cs="Times New Roman"/>
          <w:i/>
          <w:iCs/>
        </w:rPr>
        <w:t>International Journal of Advanced Biochemistry Research, 7</w:t>
      </w:r>
      <w:r w:rsidRPr="00EF0E4D">
        <w:rPr>
          <w:rFonts w:ascii="Times New Roman" w:hAnsi="Times New Roman" w:cs="Times New Roman"/>
        </w:rPr>
        <w:t>(12); 164-167.</w:t>
      </w:r>
    </w:p>
    <w:p w14:paraId="2396C4E9"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Ongom, P. O., </w:t>
      </w:r>
      <w:proofErr w:type="spellStart"/>
      <w:r w:rsidRPr="00EF0E4D">
        <w:rPr>
          <w:rFonts w:ascii="Times New Roman" w:hAnsi="Times New Roman" w:cs="Times New Roman"/>
        </w:rPr>
        <w:t>Fatokun</w:t>
      </w:r>
      <w:proofErr w:type="spellEnd"/>
      <w:r w:rsidRPr="00EF0E4D">
        <w:rPr>
          <w:rFonts w:ascii="Times New Roman" w:hAnsi="Times New Roman" w:cs="Times New Roman"/>
        </w:rPr>
        <w:t xml:space="preserve">, C., Togola, A., Salvo, S., </w:t>
      </w:r>
      <w:proofErr w:type="spellStart"/>
      <w:r w:rsidRPr="00EF0E4D">
        <w:rPr>
          <w:rFonts w:ascii="Times New Roman" w:hAnsi="Times New Roman" w:cs="Times New Roman"/>
        </w:rPr>
        <w:t>Oyebode</w:t>
      </w:r>
      <w:proofErr w:type="spellEnd"/>
      <w:r w:rsidRPr="00EF0E4D">
        <w:rPr>
          <w:rFonts w:ascii="Times New Roman" w:hAnsi="Times New Roman" w:cs="Times New Roman"/>
        </w:rPr>
        <w:t xml:space="preserve">, O. G., Ahmad, M. S., ... &amp; Boukar, O. (2021). Molecular fingerprinting and hybridity authentication in cowpea using single nucleotide polymorphism based </w:t>
      </w:r>
      <w:proofErr w:type="spellStart"/>
      <w:r w:rsidRPr="00EF0E4D">
        <w:rPr>
          <w:rFonts w:ascii="Times New Roman" w:hAnsi="Times New Roman" w:cs="Times New Roman"/>
        </w:rPr>
        <w:t>kompetitive</w:t>
      </w:r>
      <w:proofErr w:type="spellEnd"/>
      <w:r w:rsidRPr="00EF0E4D">
        <w:rPr>
          <w:rFonts w:ascii="Times New Roman" w:hAnsi="Times New Roman" w:cs="Times New Roman"/>
        </w:rPr>
        <w:t xml:space="preserve"> allele-specific PCR assay. </w:t>
      </w:r>
      <w:r w:rsidRPr="00EF0E4D">
        <w:rPr>
          <w:rFonts w:ascii="Times New Roman" w:hAnsi="Times New Roman" w:cs="Times New Roman"/>
          <w:i/>
          <w:iCs/>
        </w:rPr>
        <w:t>Frontiers in Plant Science</w:t>
      </w:r>
      <w:r w:rsidRPr="00EF0E4D">
        <w:rPr>
          <w:rFonts w:ascii="Times New Roman" w:hAnsi="Times New Roman" w:cs="Times New Roman"/>
        </w:rPr>
        <w:t>, </w:t>
      </w:r>
      <w:r w:rsidRPr="00EF0E4D">
        <w:rPr>
          <w:rFonts w:ascii="Times New Roman" w:hAnsi="Times New Roman" w:cs="Times New Roman"/>
          <w:i/>
          <w:iCs/>
        </w:rPr>
        <w:t>12</w:t>
      </w:r>
      <w:r w:rsidRPr="00EF0E4D">
        <w:rPr>
          <w:rFonts w:ascii="Times New Roman" w:hAnsi="Times New Roman" w:cs="Times New Roman"/>
        </w:rPr>
        <w:t>, 734117.</w:t>
      </w:r>
    </w:p>
    <w:p w14:paraId="6A0CD69D"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Pallavi, H. M., Gowda, R., Vishwanath, K., Shadakshari, Y. G., &amp; Bhanuprakash, K. (2011). Identification of SSR markers for hybridity and seed genetic purity testing in sunflower (Helianthus annuus L.). </w:t>
      </w:r>
      <w:r w:rsidRPr="00EF0E4D">
        <w:rPr>
          <w:rFonts w:ascii="Times New Roman" w:hAnsi="Times New Roman" w:cs="Times New Roman"/>
          <w:i/>
          <w:iCs/>
        </w:rPr>
        <w:t>Seed Science and Technology</w:t>
      </w:r>
      <w:r w:rsidRPr="00EF0E4D">
        <w:rPr>
          <w:rFonts w:ascii="Times New Roman" w:hAnsi="Times New Roman" w:cs="Times New Roman"/>
        </w:rPr>
        <w:t>, </w:t>
      </w:r>
      <w:r w:rsidRPr="00EF0E4D">
        <w:rPr>
          <w:rFonts w:ascii="Times New Roman" w:hAnsi="Times New Roman" w:cs="Times New Roman"/>
          <w:i/>
          <w:iCs/>
        </w:rPr>
        <w:t>39</w:t>
      </w:r>
      <w:r w:rsidRPr="00EF0E4D">
        <w:rPr>
          <w:rFonts w:ascii="Times New Roman" w:hAnsi="Times New Roman" w:cs="Times New Roman"/>
        </w:rPr>
        <w:t>(1), 259-264</w:t>
      </w:r>
    </w:p>
    <w:p w14:paraId="49A83BA7"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Pandey, G. (2018). Challenges and future prospects of </w:t>
      </w:r>
      <w:proofErr w:type="spellStart"/>
      <w:r w:rsidRPr="00EF0E4D">
        <w:rPr>
          <w:rFonts w:ascii="Times New Roman" w:hAnsi="Times New Roman" w:cs="Times New Roman"/>
        </w:rPr>
        <w:t>agri</w:t>
      </w:r>
      <w:proofErr w:type="spellEnd"/>
      <w:r w:rsidRPr="00EF0E4D">
        <w:rPr>
          <w:rFonts w:ascii="Times New Roman" w:hAnsi="Times New Roman" w:cs="Times New Roman"/>
        </w:rPr>
        <w:t>-nanotechnology for sustainable agriculture in India. </w:t>
      </w:r>
      <w:r w:rsidRPr="00EF0E4D">
        <w:rPr>
          <w:rFonts w:ascii="Times New Roman" w:hAnsi="Times New Roman" w:cs="Times New Roman"/>
          <w:i/>
          <w:iCs/>
        </w:rPr>
        <w:t>Environmental Technology &amp; Innovation</w:t>
      </w:r>
      <w:r w:rsidRPr="00EF0E4D">
        <w:rPr>
          <w:rFonts w:ascii="Times New Roman" w:hAnsi="Times New Roman" w:cs="Times New Roman"/>
        </w:rPr>
        <w:t>, </w:t>
      </w:r>
      <w:r w:rsidRPr="00EF0E4D">
        <w:rPr>
          <w:rFonts w:ascii="Times New Roman" w:hAnsi="Times New Roman" w:cs="Times New Roman"/>
          <w:i/>
          <w:iCs/>
        </w:rPr>
        <w:t>11</w:t>
      </w:r>
      <w:r w:rsidRPr="00EF0E4D">
        <w:rPr>
          <w:rFonts w:ascii="Times New Roman" w:hAnsi="Times New Roman" w:cs="Times New Roman"/>
        </w:rPr>
        <w:t>, 299-307.</w:t>
      </w:r>
    </w:p>
    <w:p w14:paraId="56055A5F"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lastRenderedPageBreak/>
        <w:t>Pradhan, L., Parida, P., Pradhan, D., &amp; Surabhi, G. K. (2026). Recent advances in molecular markers in deciphering genetic diversity of wild and crop species for conservation and food security. </w:t>
      </w:r>
      <w:r w:rsidRPr="00EF0E4D">
        <w:rPr>
          <w:rFonts w:ascii="Times New Roman" w:hAnsi="Times New Roman" w:cs="Times New Roman"/>
          <w:i/>
          <w:iCs/>
        </w:rPr>
        <w:t>Discover Plants</w:t>
      </w:r>
      <w:r w:rsidRPr="00EF0E4D">
        <w:rPr>
          <w:rFonts w:ascii="Times New Roman" w:hAnsi="Times New Roman" w:cs="Times New Roman"/>
        </w:rPr>
        <w:t>, </w:t>
      </w:r>
      <w:r w:rsidRPr="00EF0E4D">
        <w:rPr>
          <w:rFonts w:ascii="Times New Roman" w:hAnsi="Times New Roman" w:cs="Times New Roman"/>
          <w:i/>
          <w:iCs/>
        </w:rPr>
        <w:t>3</w:t>
      </w:r>
      <w:r w:rsidRPr="00EF0E4D">
        <w:rPr>
          <w:rFonts w:ascii="Times New Roman" w:hAnsi="Times New Roman" w:cs="Times New Roman"/>
        </w:rPr>
        <w:t>(1), 137.</w:t>
      </w:r>
    </w:p>
    <w:p w14:paraId="2668CD26"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Ramesh, P., Mallikarjuna, G., Sameena, S., Kumar, A., Gurulakshmi, K., Reddy, B. V., ... &amp; Sekhar, A. C. (2020). Advancements in molecular marker technologies and their applications in diversity studies: P. Ramesh et al. </w:t>
      </w:r>
      <w:r w:rsidRPr="00EF0E4D">
        <w:rPr>
          <w:rFonts w:ascii="Times New Roman" w:hAnsi="Times New Roman" w:cs="Times New Roman"/>
          <w:i/>
          <w:iCs/>
        </w:rPr>
        <w:t>Journal of biosciences</w:t>
      </w:r>
      <w:r w:rsidRPr="00EF0E4D">
        <w:rPr>
          <w:rFonts w:ascii="Times New Roman" w:hAnsi="Times New Roman" w:cs="Times New Roman"/>
        </w:rPr>
        <w:t>, </w:t>
      </w:r>
      <w:r w:rsidRPr="00EF0E4D">
        <w:rPr>
          <w:rFonts w:ascii="Times New Roman" w:hAnsi="Times New Roman" w:cs="Times New Roman"/>
          <w:i/>
          <w:iCs/>
        </w:rPr>
        <w:t>45</w:t>
      </w:r>
      <w:r w:rsidRPr="00EF0E4D">
        <w:rPr>
          <w:rFonts w:ascii="Times New Roman" w:hAnsi="Times New Roman" w:cs="Times New Roman"/>
        </w:rPr>
        <w:t>(1), 123.</w:t>
      </w:r>
    </w:p>
    <w:p w14:paraId="1D92EE18"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t>Sendekie</w:t>
      </w:r>
      <w:proofErr w:type="spellEnd"/>
      <w:r w:rsidRPr="00EF0E4D">
        <w:rPr>
          <w:rFonts w:ascii="Times New Roman" w:hAnsi="Times New Roman" w:cs="Times New Roman"/>
        </w:rPr>
        <w:t>, Y. (2020). Review on; Seed genetic purity for quality seed production. </w:t>
      </w:r>
      <w:r w:rsidRPr="00EF0E4D">
        <w:rPr>
          <w:rFonts w:ascii="Times New Roman" w:hAnsi="Times New Roman" w:cs="Times New Roman"/>
          <w:i/>
          <w:iCs/>
        </w:rPr>
        <w:t>International Journal of Scientific Engineering and Science</w:t>
      </w:r>
      <w:r w:rsidRPr="00EF0E4D">
        <w:rPr>
          <w:rFonts w:ascii="Times New Roman" w:hAnsi="Times New Roman" w:cs="Times New Roman"/>
        </w:rPr>
        <w:t>, </w:t>
      </w:r>
      <w:r w:rsidRPr="00EF0E4D">
        <w:rPr>
          <w:rFonts w:ascii="Times New Roman" w:hAnsi="Times New Roman" w:cs="Times New Roman"/>
          <w:i/>
          <w:iCs/>
        </w:rPr>
        <w:t>4</w:t>
      </w:r>
      <w:r w:rsidRPr="00EF0E4D">
        <w:rPr>
          <w:rFonts w:ascii="Times New Roman" w:hAnsi="Times New Roman" w:cs="Times New Roman"/>
        </w:rPr>
        <w:t>(10), 1-7.</w:t>
      </w:r>
    </w:p>
    <w:p w14:paraId="28C4C68B"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Sharma, M., &amp; Shadakshari, Y. G. (2021). Economic heterosis in sunflower hybrids based on different cytoplasmic combinations for seed yield and its component traits.</w:t>
      </w:r>
    </w:p>
    <w:p w14:paraId="20018256" w14:textId="77777777" w:rsidR="00800FD4" w:rsidRPr="00EF0E4D" w:rsidRDefault="00800FD4" w:rsidP="00800FD4">
      <w:pPr>
        <w:ind w:left="720" w:hanging="720"/>
        <w:jc w:val="both"/>
        <w:rPr>
          <w:rFonts w:ascii="Times New Roman" w:hAnsi="Times New Roman" w:cs="Times New Roman"/>
        </w:rPr>
      </w:pPr>
      <w:proofErr w:type="spellStart"/>
      <w:r w:rsidRPr="00EF0E4D">
        <w:rPr>
          <w:rFonts w:ascii="Times New Roman" w:hAnsi="Times New Roman" w:cs="Times New Roman"/>
        </w:rPr>
        <w:t>Sherakhane</w:t>
      </w:r>
      <w:proofErr w:type="spellEnd"/>
      <w:r w:rsidRPr="00EF0E4D">
        <w:rPr>
          <w:rFonts w:ascii="Times New Roman" w:hAnsi="Times New Roman" w:cs="Times New Roman"/>
        </w:rPr>
        <w:t xml:space="preserve">, M., </w:t>
      </w:r>
      <w:proofErr w:type="spellStart"/>
      <w:r w:rsidRPr="00EF0E4D">
        <w:rPr>
          <w:rFonts w:ascii="Times New Roman" w:hAnsi="Times New Roman" w:cs="Times New Roman"/>
        </w:rPr>
        <w:t>Lohithaswa</w:t>
      </w:r>
      <w:proofErr w:type="spellEnd"/>
      <w:r w:rsidRPr="00EF0E4D">
        <w:rPr>
          <w:rFonts w:ascii="Times New Roman" w:hAnsi="Times New Roman" w:cs="Times New Roman"/>
        </w:rPr>
        <w:t xml:space="preserve">, H. C., Sinchana Kashyap, G. S., Gowda, B., </w:t>
      </w:r>
      <w:proofErr w:type="spellStart"/>
      <w:r w:rsidRPr="00EF0E4D">
        <w:rPr>
          <w:rFonts w:ascii="Times New Roman" w:hAnsi="Times New Roman" w:cs="Times New Roman"/>
        </w:rPr>
        <w:t>Siddaraju</w:t>
      </w:r>
      <w:proofErr w:type="spellEnd"/>
      <w:r w:rsidRPr="00EF0E4D">
        <w:rPr>
          <w:rFonts w:ascii="Times New Roman" w:hAnsi="Times New Roman" w:cs="Times New Roman"/>
        </w:rPr>
        <w:t xml:space="preserve">, R., &amp; </w:t>
      </w:r>
      <w:proofErr w:type="spellStart"/>
      <w:r w:rsidRPr="00EF0E4D">
        <w:rPr>
          <w:rFonts w:ascii="Times New Roman" w:hAnsi="Times New Roman" w:cs="Times New Roman"/>
        </w:rPr>
        <w:t>Keshavareddy</w:t>
      </w:r>
      <w:proofErr w:type="spellEnd"/>
      <w:r w:rsidRPr="00EF0E4D">
        <w:rPr>
          <w:rFonts w:ascii="Times New Roman" w:hAnsi="Times New Roman" w:cs="Times New Roman"/>
        </w:rPr>
        <w:t>, G. (2025). Genetic Purity Assessment of Maize Hybrid (Zea mays L.) and Its Parental Lines Employing SSR Markers. </w:t>
      </w:r>
      <w:r w:rsidRPr="00EF0E4D">
        <w:rPr>
          <w:rFonts w:ascii="Times New Roman" w:hAnsi="Times New Roman" w:cs="Times New Roman"/>
          <w:i/>
          <w:iCs/>
        </w:rPr>
        <w:t>Journal of Advances in Biology &amp; Biotechnology</w:t>
      </w:r>
      <w:r w:rsidRPr="00EF0E4D">
        <w:rPr>
          <w:rFonts w:ascii="Times New Roman" w:hAnsi="Times New Roman" w:cs="Times New Roman"/>
        </w:rPr>
        <w:t>, </w:t>
      </w:r>
      <w:r w:rsidRPr="00EF0E4D">
        <w:rPr>
          <w:rFonts w:ascii="Times New Roman" w:hAnsi="Times New Roman" w:cs="Times New Roman"/>
          <w:i/>
          <w:iCs/>
        </w:rPr>
        <w:t>28</w:t>
      </w:r>
      <w:r w:rsidRPr="00EF0E4D">
        <w:rPr>
          <w:rFonts w:ascii="Times New Roman" w:hAnsi="Times New Roman" w:cs="Times New Roman"/>
        </w:rPr>
        <w:t>(2), 779-785.</w:t>
      </w:r>
    </w:p>
    <w:p w14:paraId="74F1EDCA"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Singh, C. P., Monika, S., Angmo, C., </w:t>
      </w:r>
      <w:proofErr w:type="spellStart"/>
      <w:r w:rsidRPr="00EF0E4D">
        <w:rPr>
          <w:rFonts w:ascii="Times New Roman" w:hAnsi="Times New Roman" w:cs="Times New Roman"/>
        </w:rPr>
        <w:t>Farooqkhan</w:t>
      </w:r>
      <w:proofErr w:type="spellEnd"/>
      <w:r w:rsidRPr="00EF0E4D">
        <w:rPr>
          <w:rFonts w:ascii="Times New Roman" w:hAnsi="Times New Roman" w:cs="Times New Roman"/>
        </w:rPr>
        <w:t xml:space="preserve">, P., &amp; </w:t>
      </w:r>
      <w:proofErr w:type="spellStart"/>
      <w:r w:rsidRPr="00EF0E4D">
        <w:rPr>
          <w:rFonts w:ascii="Times New Roman" w:hAnsi="Times New Roman" w:cs="Times New Roman"/>
        </w:rPr>
        <w:t>Longchar</w:t>
      </w:r>
      <w:proofErr w:type="spellEnd"/>
      <w:r w:rsidRPr="00EF0E4D">
        <w:rPr>
          <w:rFonts w:ascii="Times New Roman" w:hAnsi="Times New Roman" w:cs="Times New Roman"/>
        </w:rPr>
        <w:t>, A. (2026). Seeds of Innovation: Genetics and Modern Plant Breeding.</w:t>
      </w:r>
    </w:p>
    <w:p w14:paraId="003C4257"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Sinha, J. P., Kumar, A., &amp; Weissmann, E. (2023). Seed processing for quality upgradation. In </w:t>
      </w:r>
      <w:r w:rsidRPr="00EF0E4D">
        <w:rPr>
          <w:rFonts w:ascii="Times New Roman" w:hAnsi="Times New Roman" w:cs="Times New Roman"/>
          <w:i/>
          <w:iCs/>
        </w:rPr>
        <w:t>Seed science and technology: Biology, production, quality</w:t>
      </w:r>
      <w:r w:rsidRPr="00EF0E4D">
        <w:rPr>
          <w:rFonts w:ascii="Times New Roman" w:hAnsi="Times New Roman" w:cs="Times New Roman"/>
        </w:rPr>
        <w:t> (pp. 213-237). Singapore: Springer Nature Singapore.</w:t>
      </w:r>
    </w:p>
    <w:p w14:paraId="22C9C312"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Sinha, S., Singh, S., Kumar, M., Singh, R. S., Satyendra, &amp; Thakur, D. (2023). Recent advancements in molecular marker technologies and their applications in crop improvement. In </w:t>
      </w:r>
      <w:r w:rsidRPr="00EF0E4D">
        <w:rPr>
          <w:rFonts w:ascii="Times New Roman" w:hAnsi="Times New Roman" w:cs="Times New Roman"/>
          <w:i/>
          <w:iCs/>
        </w:rPr>
        <w:t>Molecular marker techniques: a potential approach of crop improvement</w:t>
      </w:r>
      <w:r w:rsidRPr="00EF0E4D">
        <w:rPr>
          <w:rFonts w:ascii="Times New Roman" w:hAnsi="Times New Roman" w:cs="Times New Roman"/>
        </w:rPr>
        <w:t> (pp. 319-337). Singapore: Springer Nature Singapore.</w:t>
      </w:r>
    </w:p>
    <w:p w14:paraId="314D5D9C"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Smith, J. S. C., &amp; Register III, J. C. (1998). Genetic purity and testing technologies for seed quality: a company perspective. </w:t>
      </w:r>
      <w:r w:rsidRPr="00EF0E4D">
        <w:rPr>
          <w:rFonts w:ascii="Times New Roman" w:hAnsi="Times New Roman" w:cs="Times New Roman"/>
          <w:i/>
          <w:iCs/>
        </w:rPr>
        <w:t>Seed Science Research</w:t>
      </w:r>
      <w:r w:rsidRPr="00EF0E4D">
        <w:rPr>
          <w:rFonts w:ascii="Times New Roman" w:hAnsi="Times New Roman" w:cs="Times New Roman"/>
        </w:rPr>
        <w:t>, </w:t>
      </w:r>
      <w:r w:rsidRPr="00EF0E4D">
        <w:rPr>
          <w:rFonts w:ascii="Times New Roman" w:hAnsi="Times New Roman" w:cs="Times New Roman"/>
          <w:i/>
          <w:iCs/>
        </w:rPr>
        <w:t>8</w:t>
      </w:r>
      <w:r w:rsidRPr="00EF0E4D">
        <w:rPr>
          <w:rFonts w:ascii="Times New Roman" w:hAnsi="Times New Roman" w:cs="Times New Roman"/>
        </w:rPr>
        <w:t>(2), 285-294.</w:t>
      </w:r>
    </w:p>
    <w:p w14:paraId="000D0A42"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 xml:space="preserve">Sundaram, R. M., Naveenkumar, B., Biradar, S. K., Balachandran, S. M., Mishra, B., </w:t>
      </w:r>
      <w:proofErr w:type="spellStart"/>
      <w:r w:rsidRPr="00EF0E4D">
        <w:rPr>
          <w:rFonts w:ascii="Times New Roman" w:hAnsi="Times New Roman" w:cs="Times New Roman"/>
        </w:rPr>
        <w:t>IlyasAhmed</w:t>
      </w:r>
      <w:proofErr w:type="spellEnd"/>
      <w:r w:rsidRPr="00EF0E4D">
        <w:rPr>
          <w:rFonts w:ascii="Times New Roman" w:hAnsi="Times New Roman" w:cs="Times New Roman"/>
        </w:rPr>
        <w:t>, M., ... &amp; Sarma, N. P. (2008). Identification of informative SSR markers capable of distinguishing hybrid rice parental lines and their utilization in seed purity assessment. </w:t>
      </w:r>
      <w:proofErr w:type="spellStart"/>
      <w:r w:rsidRPr="00EF0E4D">
        <w:rPr>
          <w:rFonts w:ascii="Times New Roman" w:hAnsi="Times New Roman" w:cs="Times New Roman"/>
          <w:i/>
          <w:iCs/>
        </w:rPr>
        <w:t>Euphytica</w:t>
      </w:r>
      <w:proofErr w:type="spellEnd"/>
      <w:r w:rsidRPr="00EF0E4D">
        <w:rPr>
          <w:rFonts w:ascii="Times New Roman" w:hAnsi="Times New Roman" w:cs="Times New Roman"/>
        </w:rPr>
        <w:t>, </w:t>
      </w:r>
      <w:r w:rsidRPr="00EF0E4D">
        <w:rPr>
          <w:rFonts w:ascii="Times New Roman" w:hAnsi="Times New Roman" w:cs="Times New Roman"/>
          <w:i/>
          <w:iCs/>
        </w:rPr>
        <w:t>163</w:t>
      </w:r>
      <w:r w:rsidRPr="00EF0E4D">
        <w:rPr>
          <w:rFonts w:ascii="Times New Roman" w:hAnsi="Times New Roman" w:cs="Times New Roman"/>
        </w:rPr>
        <w:t>(2), 215-224.</w:t>
      </w:r>
    </w:p>
    <w:p w14:paraId="0F4F3EA0"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Suresha, P. G., Kulkarni, V. V., Supriya, S. M., Darshan, S., &amp; Patil, C. B. (2017). Genetic diversity analysis in sunflower (Helianthus annuus L.) parental lines using SSR and RAPD markers. </w:t>
      </w:r>
      <w:r w:rsidRPr="00EF0E4D">
        <w:rPr>
          <w:rFonts w:ascii="Times New Roman" w:hAnsi="Times New Roman" w:cs="Times New Roman"/>
          <w:i/>
          <w:iCs/>
        </w:rPr>
        <w:t xml:space="preserve">Int. J. Curr. </w:t>
      </w:r>
      <w:proofErr w:type="spellStart"/>
      <w:r w:rsidRPr="00EF0E4D">
        <w:rPr>
          <w:rFonts w:ascii="Times New Roman" w:hAnsi="Times New Roman" w:cs="Times New Roman"/>
          <w:i/>
          <w:iCs/>
        </w:rPr>
        <w:t>Microbiol</w:t>
      </w:r>
      <w:proofErr w:type="spellEnd"/>
      <w:r w:rsidRPr="00EF0E4D">
        <w:rPr>
          <w:rFonts w:ascii="Times New Roman" w:hAnsi="Times New Roman" w:cs="Times New Roman"/>
          <w:i/>
          <w:iCs/>
        </w:rPr>
        <w:t>. App. Sci</w:t>
      </w:r>
      <w:r w:rsidRPr="00EF0E4D">
        <w:rPr>
          <w:rFonts w:ascii="Times New Roman" w:hAnsi="Times New Roman" w:cs="Times New Roman"/>
        </w:rPr>
        <w:t>, </w:t>
      </w:r>
      <w:r w:rsidRPr="00EF0E4D">
        <w:rPr>
          <w:rFonts w:ascii="Times New Roman" w:hAnsi="Times New Roman" w:cs="Times New Roman"/>
          <w:i/>
          <w:iCs/>
        </w:rPr>
        <w:t>6</w:t>
      </w:r>
      <w:r w:rsidRPr="00EF0E4D">
        <w:rPr>
          <w:rFonts w:ascii="Times New Roman" w:hAnsi="Times New Roman" w:cs="Times New Roman"/>
        </w:rPr>
        <w:t>(7), 2069-2076.</w:t>
      </w:r>
    </w:p>
    <w:p w14:paraId="6E223FE3"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Tyagi, V., Dhillon, S. K., Kaur, G., &amp; Kaushik, P. (2020). Heterotic effect of different cytoplasmic combinations in sunflower hybrids cultivated under diverse irrigation regimes. </w:t>
      </w:r>
      <w:r w:rsidRPr="00EF0E4D">
        <w:rPr>
          <w:rFonts w:ascii="Times New Roman" w:hAnsi="Times New Roman" w:cs="Times New Roman"/>
          <w:i/>
          <w:iCs/>
        </w:rPr>
        <w:t>Plants</w:t>
      </w:r>
      <w:r w:rsidRPr="00EF0E4D">
        <w:rPr>
          <w:rFonts w:ascii="Times New Roman" w:hAnsi="Times New Roman" w:cs="Times New Roman"/>
        </w:rPr>
        <w:t>, </w:t>
      </w:r>
      <w:r w:rsidRPr="00EF0E4D">
        <w:rPr>
          <w:rFonts w:ascii="Times New Roman" w:hAnsi="Times New Roman" w:cs="Times New Roman"/>
          <w:i/>
          <w:iCs/>
        </w:rPr>
        <w:t>9</w:t>
      </w:r>
      <w:r w:rsidRPr="00EF0E4D">
        <w:rPr>
          <w:rFonts w:ascii="Times New Roman" w:hAnsi="Times New Roman" w:cs="Times New Roman"/>
        </w:rPr>
        <w:t>(4), 465.</w:t>
      </w:r>
    </w:p>
    <w:p w14:paraId="32F9E511"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Vanangamudi, K., Sastry, G., Kalaivani, S., Selvakumari, A., Vanangamudi, M., &amp; Srimathi, P. (2010). </w:t>
      </w:r>
      <w:r w:rsidRPr="00EF0E4D">
        <w:rPr>
          <w:rFonts w:ascii="Times New Roman" w:hAnsi="Times New Roman" w:cs="Times New Roman"/>
          <w:i/>
          <w:iCs/>
        </w:rPr>
        <w:t>Seed quality enhancement: principles and practices</w:t>
      </w:r>
      <w:r w:rsidRPr="00EF0E4D">
        <w:rPr>
          <w:rFonts w:ascii="Times New Roman" w:hAnsi="Times New Roman" w:cs="Times New Roman"/>
        </w:rPr>
        <w:t>. Scientific Publishers.</w:t>
      </w:r>
    </w:p>
    <w:p w14:paraId="37D57958"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lastRenderedPageBreak/>
        <w:t>Vasile, V., CIUCĂ, M., Nicolae, E., VOAIDEȘ, C., &amp; CORNEA, C. P. (2022). Assessment of genetic similarity and purity degree among several Romanian maize inbred lines using SSR markers. </w:t>
      </w:r>
      <w:r w:rsidRPr="00EF0E4D">
        <w:rPr>
          <w:rFonts w:ascii="Times New Roman" w:hAnsi="Times New Roman" w:cs="Times New Roman"/>
          <w:i/>
          <w:iCs/>
        </w:rPr>
        <w:t>Scientific Bulletin Series F. Biotechnologies</w:t>
      </w:r>
      <w:r w:rsidRPr="00EF0E4D">
        <w:rPr>
          <w:rFonts w:ascii="Times New Roman" w:hAnsi="Times New Roman" w:cs="Times New Roman"/>
        </w:rPr>
        <w:t>, </w:t>
      </w:r>
      <w:r w:rsidRPr="00EF0E4D">
        <w:rPr>
          <w:rFonts w:ascii="Times New Roman" w:hAnsi="Times New Roman" w:cs="Times New Roman"/>
          <w:i/>
          <w:iCs/>
        </w:rPr>
        <w:t>26</w:t>
      </w:r>
      <w:r w:rsidRPr="00EF0E4D">
        <w:rPr>
          <w:rFonts w:ascii="Times New Roman" w:hAnsi="Times New Roman" w:cs="Times New Roman"/>
        </w:rPr>
        <w:t>(1).</w:t>
      </w:r>
    </w:p>
    <w:p w14:paraId="139CF957" w14:textId="77777777" w:rsidR="00800FD4" w:rsidRPr="00EF0E4D" w:rsidRDefault="00800FD4" w:rsidP="00800FD4">
      <w:pPr>
        <w:ind w:left="720" w:hanging="720"/>
        <w:jc w:val="both"/>
        <w:rPr>
          <w:rFonts w:ascii="Times New Roman" w:hAnsi="Times New Roman" w:cs="Times New Roman"/>
        </w:rPr>
      </w:pPr>
      <w:r w:rsidRPr="00EF0E4D">
        <w:rPr>
          <w:rFonts w:ascii="Times New Roman" w:hAnsi="Times New Roman" w:cs="Times New Roman"/>
        </w:rPr>
        <w:t>Vieira, M. L. C., Santini, L., Diniz, A. L., &amp; Munhoz, C. D. F. (2016). Microsatellite markers: what they mean and why they are so useful. </w:t>
      </w:r>
      <w:r w:rsidRPr="00EF0E4D">
        <w:rPr>
          <w:rFonts w:ascii="Times New Roman" w:hAnsi="Times New Roman" w:cs="Times New Roman"/>
          <w:i/>
          <w:iCs/>
        </w:rPr>
        <w:t>Genetics and molecular biology</w:t>
      </w:r>
      <w:r w:rsidRPr="00EF0E4D">
        <w:rPr>
          <w:rFonts w:ascii="Times New Roman" w:hAnsi="Times New Roman" w:cs="Times New Roman"/>
        </w:rPr>
        <w:t>, </w:t>
      </w:r>
      <w:r w:rsidRPr="00EF0E4D">
        <w:rPr>
          <w:rFonts w:ascii="Times New Roman" w:hAnsi="Times New Roman" w:cs="Times New Roman"/>
          <w:i/>
          <w:iCs/>
        </w:rPr>
        <w:t>39</w:t>
      </w:r>
      <w:r w:rsidRPr="00EF0E4D">
        <w:rPr>
          <w:rFonts w:ascii="Times New Roman" w:hAnsi="Times New Roman" w:cs="Times New Roman"/>
        </w:rPr>
        <w:t>, 312-328.</w:t>
      </w:r>
    </w:p>
    <w:p w14:paraId="78218940" w14:textId="4DE561B1" w:rsidR="00591266" w:rsidRPr="00EF0E4D" w:rsidRDefault="00591266" w:rsidP="00591266">
      <w:pPr>
        <w:jc w:val="both"/>
        <w:rPr>
          <w:rFonts w:ascii="Times New Roman" w:hAnsi="Times New Roman" w:cs="Times New Roman"/>
        </w:rPr>
      </w:pPr>
    </w:p>
    <w:sectPr w:rsidR="00591266" w:rsidRPr="00EF0E4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1C90" w14:textId="77777777" w:rsidR="00FB1E0B" w:rsidRDefault="00FB1E0B" w:rsidP="006B11C6">
      <w:pPr>
        <w:spacing w:after="0" w:line="240" w:lineRule="auto"/>
      </w:pPr>
      <w:r>
        <w:separator/>
      </w:r>
    </w:p>
  </w:endnote>
  <w:endnote w:type="continuationSeparator" w:id="0">
    <w:p w14:paraId="0AC5AD9F" w14:textId="77777777" w:rsidR="00FB1E0B" w:rsidRDefault="00FB1E0B" w:rsidP="006B1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CBE5" w14:textId="77777777" w:rsidR="006B11C6" w:rsidRDefault="006B1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0C20" w14:textId="77777777" w:rsidR="006B11C6" w:rsidRDefault="006B1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B53B" w14:textId="77777777" w:rsidR="006B11C6" w:rsidRDefault="006B1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58E8" w14:textId="77777777" w:rsidR="00FB1E0B" w:rsidRDefault="00FB1E0B" w:rsidP="006B11C6">
      <w:pPr>
        <w:spacing w:after="0" w:line="240" w:lineRule="auto"/>
      </w:pPr>
      <w:r>
        <w:separator/>
      </w:r>
    </w:p>
  </w:footnote>
  <w:footnote w:type="continuationSeparator" w:id="0">
    <w:p w14:paraId="63A1A41F" w14:textId="77777777" w:rsidR="00FB1E0B" w:rsidRDefault="00FB1E0B" w:rsidP="006B1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1DB" w14:textId="0C9E97BA" w:rsidR="006B11C6" w:rsidRDefault="006B11C6">
    <w:pPr>
      <w:pStyle w:val="Header"/>
    </w:pPr>
    <w:r>
      <w:rPr>
        <w:noProof/>
      </w:rPr>
      <w:pict w14:anchorId="7116A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895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AFD7" w14:textId="35CFE969" w:rsidR="006B11C6" w:rsidRDefault="006B11C6">
    <w:pPr>
      <w:pStyle w:val="Header"/>
    </w:pPr>
    <w:r>
      <w:rPr>
        <w:noProof/>
      </w:rPr>
      <w:pict w14:anchorId="0A994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895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71BE" w14:textId="227C7885" w:rsidR="006B11C6" w:rsidRDefault="006B11C6">
    <w:pPr>
      <w:pStyle w:val="Header"/>
    </w:pPr>
    <w:r>
      <w:rPr>
        <w:noProof/>
      </w:rPr>
      <w:pict w14:anchorId="1E5AF5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9895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F0"/>
    <w:rsid w:val="000103AC"/>
    <w:rsid w:val="00010A0D"/>
    <w:rsid w:val="00017F48"/>
    <w:rsid w:val="00024363"/>
    <w:rsid w:val="0005398F"/>
    <w:rsid w:val="00055FD4"/>
    <w:rsid w:val="00070518"/>
    <w:rsid w:val="0009525E"/>
    <w:rsid w:val="000A4DAF"/>
    <w:rsid w:val="000B2592"/>
    <w:rsid w:val="000B7283"/>
    <w:rsid w:val="000B7657"/>
    <w:rsid w:val="000C484D"/>
    <w:rsid w:val="000D795A"/>
    <w:rsid w:val="000F7C92"/>
    <w:rsid w:val="00113EF1"/>
    <w:rsid w:val="0012717D"/>
    <w:rsid w:val="00142458"/>
    <w:rsid w:val="00160613"/>
    <w:rsid w:val="00174916"/>
    <w:rsid w:val="001B1783"/>
    <w:rsid w:val="001F009F"/>
    <w:rsid w:val="002047E3"/>
    <w:rsid w:val="00216E8F"/>
    <w:rsid w:val="00224806"/>
    <w:rsid w:val="00241E3A"/>
    <w:rsid w:val="0024542F"/>
    <w:rsid w:val="0025643B"/>
    <w:rsid w:val="002668F3"/>
    <w:rsid w:val="00277266"/>
    <w:rsid w:val="00280102"/>
    <w:rsid w:val="00283996"/>
    <w:rsid w:val="00294CB7"/>
    <w:rsid w:val="002A57F5"/>
    <w:rsid w:val="002A5C40"/>
    <w:rsid w:val="002B52C2"/>
    <w:rsid w:val="002D5958"/>
    <w:rsid w:val="002D763A"/>
    <w:rsid w:val="002E7876"/>
    <w:rsid w:val="003061B7"/>
    <w:rsid w:val="00311C6F"/>
    <w:rsid w:val="00315097"/>
    <w:rsid w:val="003262A6"/>
    <w:rsid w:val="00351DF0"/>
    <w:rsid w:val="00352091"/>
    <w:rsid w:val="003635C3"/>
    <w:rsid w:val="00376284"/>
    <w:rsid w:val="00392429"/>
    <w:rsid w:val="003938CA"/>
    <w:rsid w:val="003B3F54"/>
    <w:rsid w:val="003C03AA"/>
    <w:rsid w:val="003D4F8E"/>
    <w:rsid w:val="003D5EA9"/>
    <w:rsid w:val="003E60A0"/>
    <w:rsid w:val="003E7E1D"/>
    <w:rsid w:val="004135F1"/>
    <w:rsid w:val="004147C5"/>
    <w:rsid w:val="00417F27"/>
    <w:rsid w:val="00430880"/>
    <w:rsid w:val="00451C02"/>
    <w:rsid w:val="0045714F"/>
    <w:rsid w:val="00462E48"/>
    <w:rsid w:val="00466745"/>
    <w:rsid w:val="00483D5D"/>
    <w:rsid w:val="00490A56"/>
    <w:rsid w:val="0049344D"/>
    <w:rsid w:val="004A5B8D"/>
    <w:rsid w:val="004B6C7E"/>
    <w:rsid w:val="004D332C"/>
    <w:rsid w:val="00506162"/>
    <w:rsid w:val="005071B9"/>
    <w:rsid w:val="00507EB1"/>
    <w:rsid w:val="005114D6"/>
    <w:rsid w:val="00517B45"/>
    <w:rsid w:val="00534BD3"/>
    <w:rsid w:val="00537412"/>
    <w:rsid w:val="00555315"/>
    <w:rsid w:val="00566A80"/>
    <w:rsid w:val="00591266"/>
    <w:rsid w:val="005B35F8"/>
    <w:rsid w:val="005C37F6"/>
    <w:rsid w:val="005D056A"/>
    <w:rsid w:val="00603569"/>
    <w:rsid w:val="006248F0"/>
    <w:rsid w:val="006322CE"/>
    <w:rsid w:val="00633B10"/>
    <w:rsid w:val="00633CB4"/>
    <w:rsid w:val="00647E2D"/>
    <w:rsid w:val="006578F7"/>
    <w:rsid w:val="00666E2C"/>
    <w:rsid w:val="0067529C"/>
    <w:rsid w:val="00677991"/>
    <w:rsid w:val="00690E4E"/>
    <w:rsid w:val="00692237"/>
    <w:rsid w:val="006935C3"/>
    <w:rsid w:val="00694092"/>
    <w:rsid w:val="006A30D8"/>
    <w:rsid w:val="006A4A96"/>
    <w:rsid w:val="006B05EC"/>
    <w:rsid w:val="006B11C6"/>
    <w:rsid w:val="006C5C0D"/>
    <w:rsid w:val="006D3AEE"/>
    <w:rsid w:val="006D7005"/>
    <w:rsid w:val="006F0443"/>
    <w:rsid w:val="006F0866"/>
    <w:rsid w:val="006F6D78"/>
    <w:rsid w:val="00703014"/>
    <w:rsid w:val="00721250"/>
    <w:rsid w:val="00730130"/>
    <w:rsid w:val="00771BFE"/>
    <w:rsid w:val="00793924"/>
    <w:rsid w:val="00794E3F"/>
    <w:rsid w:val="007B0D5F"/>
    <w:rsid w:val="007B2AFE"/>
    <w:rsid w:val="007B4AAA"/>
    <w:rsid w:val="007B5702"/>
    <w:rsid w:val="007C671F"/>
    <w:rsid w:val="007D1665"/>
    <w:rsid w:val="007D7514"/>
    <w:rsid w:val="007F317C"/>
    <w:rsid w:val="00800FD4"/>
    <w:rsid w:val="00805025"/>
    <w:rsid w:val="008355D1"/>
    <w:rsid w:val="00836933"/>
    <w:rsid w:val="00842799"/>
    <w:rsid w:val="00860561"/>
    <w:rsid w:val="00876344"/>
    <w:rsid w:val="008777E3"/>
    <w:rsid w:val="00877C4F"/>
    <w:rsid w:val="00880BB1"/>
    <w:rsid w:val="008824E5"/>
    <w:rsid w:val="008926C5"/>
    <w:rsid w:val="008A6175"/>
    <w:rsid w:val="008B358D"/>
    <w:rsid w:val="008C6C6A"/>
    <w:rsid w:val="008D3DA0"/>
    <w:rsid w:val="008E279F"/>
    <w:rsid w:val="008E2F50"/>
    <w:rsid w:val="0093449A"/>
    <w:rsid w:val="00947087"/>
    <w:rsid w:val="00960D76"/>
    <w:rsid w:val="0098027B"/>
    <w:rsid w:val="00981AFE"/>
    <w:rsid w:val="00992C19"/>
    <w:rsid w:val="0099318A"/>
    <w:rsid w:val="009A3746"/>
    <w:rsid w:val="009B42A8"/>
    <w:rsid w:val="009B758E"/>
    <w:rsid w:val="009C1BC2"/>
    <w:rsid w:val="009C4B42"/>
    <w:rsid w:val="009C6D2A"/>
    <w:rsid w:val="009D1AC0"/>
    <w:rsid w:val="009D7922"/>
    <w:rsid w:val="00A01289"/>
    <w:rsid w:val="00A31FCC"/>
    <w:rsid w:val="00A32DB7"/>
    <w:rsid w:val="00A9733E"/>
    <w:rsid w:val="00AC1C7E"/>
    <w:rsid w:val="00AC349C"/>
    <w:rsid w:val="00AF1D1E"/>
    <w:rsid w:val="00AF2919"/>
    <w:rsid w:val="00B35A2E"/>
    <w:rsid w:val="00B604B4"/>
    <w:rsid w:val="00B634B3"/>
    <w:rsid w:val="00B63A44"/>
    <w:rsid w:val="00BC7DF3"/>
    <w:rsid w:val="00BF0B71"/>
    <w:rsid w:val="00BF4447"/>
    <w:rsid w:val="00C1011B"/>
    <w:rsid w:val="00C123DF"/>
    <w:rsid w:val="00C15937"/>
    <w:rsid w:val="00C208A0"/>
    <w:rsid w:val="00C476D2"/>
    <w:rsid w:val="00C56B9A"/>
    <w:rsid w:val="00C72F30"/>
    <w:rsid w:val="00C73766"/>
    <w:rsid w:val="00C767BF"/>
    <w:rsid w:val="00C976FB"/>
    <w:rsid w:val="00CB4C73"/>
    <w:rsid w:val="00CC056F"/>
    <w:rsid w:val="00CC4E03"/>
    <w:rsid w:val="00CD2DD3"/>
    <w:rsid w:val="00CD683E"/>
    <w:rsid w:val="00CE165F"/>
    <w:rsid w:val="00D16429"/>
    <w:rsid w:val="00D20EB7"/>
    <w:rsid w:val="00D2249E"/>
    <w:rsid w:val="00D40205"/>
    <w:rsid w:val="00D53092"/>
    <w:rsid w:val="00DE6312"/>
    <w:rsid w:val="00DE6510"/>
    <w:rsid w:val="00DF2898"/>
    <w:rsid w:val="00DF2B44"/>
    <w:rsid w:val="00E01DF0"/>
    <w:rsid w:val="00E033DF"/>
    <w:rsid w:val="00E05520"/>
    <w:rsid w:val="00E21B7A"/>
    <w:rsid w:val="00E33647"/>
    <w:rsid w:val="00E47DB7"/>
    <w:rsid w:val="00E701A8"/>
    <w:rsid w:val="00E93E88"/>
    <w:rsid w:val="00EE2ABB"/>
    <w:rsid w:val="00EE73D0"/>
    <w:rsid w:val="00EF0E4D"/>
    <w:rsid w:val="00F00FEB"/>
    <w:rsid w:val="00F04CB1"/>
    <w:rsid w:val="00F0702D"/>
    <w:rsid w:val="00F16105"/>
    <w:rsid w:val="00F212CA"/>
    <w:rsid w:val="00F25BED"/>
    <w:rsid w:val="00F30888"/>
    <w:rsid w:val="00F34A3A"/>
    <w:rsid w:val="00F40FFE"/>
    <w:rsid w:val="00F436A3"/>
    <w:rsid w:val="00F74580"/>
    <w:rsid w:val="00F83049"/>
    <w:rsid w:val="00F86011"/>
    <w:rsid w:val="00F94BF5"/>
    <w:rsid w:val="00FB1E0B"/>
    <w:rsid w:val="00FB4F35"/>
    <w:rsid w:val="00FC0A5F"/>
    <w:rsid w:val="00FC77AC"/>
    <w:rsid w:val="00FD37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1CD16"/>
  <w15:chartTrackingRefBased/>
  <w15:docId w15:val="{1B4C855E-4F8F-4E35-9421-CABB1E8B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DF0"/>
    <w:rPr>
      <w:rFonts w:eastAsiaTheme="majorEastAsia" w:cstheme="majorBidi"/>
      <w:color w:val="272727" w:themeColor="text1" w:themeTint="D8"/>
    </w:rPr>
  </w:style>
  <w:style w:type="paragraph" w:styleId="Title">
    <w:name w:val="Title"/>
    <w:basedOn w:val="Normal"/>
    <w:next w:val="Normal"/>
    <w:link w:val="TitleChar"/>
    <w:uiPriority w:val="10"/>
    <w:qFormat/>
    <w:rsid w:val="00351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DF0"/>
    <w:pPr>
      <w:spacing w:before="160"/>
      <w:jc w:val="center"/>
    </w:pPr>
    <w:rPr>
      <w:i/>
      <w:iCs/>
      <w:color w:val="404040" w:themeColor="text1" w:themeTint="BF"/>
    </w:rPr>
  </w:style>
  <w:style w:type="character" w:customStyle="1" w:styleId="QuoteChar">
    <w:name w:val="Quote Char"/>
    <w:basedOn w:val="DefaultParagraphFont"/>
    <w:link w:val="Quote"/>
    <w:uiPriority w:val="29"/>
    <w:rsid w:val="00351DF0"/>
    <w:rPr>
      <w:i/>
      <w:iCs/>
      <w:color w:val="404040" w:themeColor="text1" w:themeTint="BF"/>
    </w:rPr>
  </w:style>
  <w:style w:type="paragraph" w:styleId="ListParagraph">
    <w:name w:val="List Paragraph"/>
    <w:basedOn w:val="Normal"/>
    <w:uiPriority w:val="34"/>
    <w:qFormat/>
    <w:rsid w:val="00351DF0"/>
    <w:pPr>
      <w:ind w:left="720"/>
      <w:contextualSpacing/>
    </w:pPr>
  </w:style>
  <w:style w:type="character" w:styleId="IntenseEmphasis">
    <w:name w:val="Intense Emphasis"/>
    <w:basedOn w:val="DefaultParagraphFont"/>
    <w:uiPriority w:val="21"/>
    <w:qFormat/>
    <w:rsid w:val="00351DF0"/>
    <w:rPr>
      <w:i/>
      <w:iCs/>
      <w:color w:val="0F4761" w:themeColor="accent1" w:themeShade="BF"/>
    </w:rPr>
  </w:style>
  <w:style w:type="paragraph" w:styleId="IntenseQuote">
    <w:name w:val="Intense Quote"/>
    <w:basedOn w:val="Normal"/>
    <w:next w:val="Normal"/>
    <w:link w:val="IntenseQuoteChar"/>
    <w:uiPriority w:val="30"/>
    <w:qFormat/>
    <w:rsid w:val="00351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DF0"/>
    <w:rPr>
      <w:i/>
      <w:iCs/>
      <w:color w:val="0F4761" w:themeColor="accent1" w:themeShade="BF"/>
    </w:rPr>
  </w:style>
  <w:style w:type="character" w:styleId="IntenseReference">
    <w:name w:val="Intense Reference"/>
    <w:basedOn w:val="DefaultParagraphFont"/>
    <w:uiPriority w:val="32"/>
    <w:qFormat/>
    <w:rsid w:val="00351DF0"/>
    <w:rPr>
      <w:b/>
      <w:bCs/>
      <w:smallCaps/>
      <w:color w:val="0F4761" w:themeColor="accent1" w:themeShade="BF"/>
      <w:spacing w:val="5"/>
    </w:rPr>
  </w:style>
  <w:style w:type="character" w:styleId="Hyperlink">
    <w:name w:val="Hyperlink"/>
    <w:basedOn w:val="DefaultParagraphFont"/>
    <w:uiPriority w:val="99"/>
    <w:unhideWhenUsed/>
    <w:rsid w:val="00BC7DF3"/>
    <w:rPr>
      <w:color w:val="467886" w:themeColor="hyperlink"/>
      <w:u w:val="single"/>
    </w:rPr>
  </w:style>
  <w:style w:type="character" w:styleId="UnresolvedMention">
    <w:name w:val="Unresolved Mention"/>
    <w:basedOn w:val="DefaultParagraphFont"/>
    <w:uiPriority w:val="99"/>
    <w:semiHidden/>
    <w:unhideWhenUsed/>
    <w:rsid w:val="003C03AA"/>
    <w:rPr>
      <w:color w:val="605E5C"/>
      <w:shd w:val="clear" w:color="auto" w:fill="E1DFDD"/>
    </w:rPr>
  </w:style>
  <w:style w:type="paragraph" w:styleId="Header">
    <w:name w:val="header"/>
    <w:basedOn w:val="Normal"/>
    <w:link w:val="HeaderChar"/>
    <w:uiPriority w:val="99"/>
    <w:unhideWhenUsed/>
    <w:rsid w:val="006B1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1C6"/>
  </w:style>
  <w:style w:type="paragraph" w:styleId="Footer">
    <w:name w:val="footer"/>
    <w:basedOn w:val="Normal"/>
    <w:link w:val="FooterChar"/>
    <w:uiPriority w:val="99"/>
    <w:unhideWhenUsed/>
    <w:rsid w:val="006B1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13</Pages>
  <Words>4735</Words>
  <Characters>26991</Characters>
  <Application>Microsoft Office Word</Application>
  <DocSecurity>0</DocSecurity>
  <Lines>224</Lines>
  <Paragraphs>63</Paragraphs>
  <ScaleCrop>false</ScaleCrop>
  <Company/>
  <LinksUpToDate>false</LinksUpToDate>
  <CharactersWithSpaces>31663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Mallikarjun S Sherakhane</dc:creator>
  <cp:keywords/>
  <dc:description/>
  <cp:lastModifiedBy>SDI 1084</cp:lastModifiedBy>
  <cp:revision>58</cp:revision>
  <cp:lastPrinted>2026-07-23T10:20:00Z</cp:lastPrinted>
  <dcterms:created xsi:type="dcterms:W3CDTF">2026-07-23T10:03:00Z</dcterms:created>
  <dcterms:modified xsi:type="dcterms:W3CDTF">2026-07-24T12:43:00Z</dcterms:modified>
</cp:coreProperties>
</file>