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2EAE2" w14:textId="77777777" w:rsidR="00B93DDE" w:rsidRPr="006D641C" w:rsidRDefault="00B93DDE" w:rsidP="00B93DDE">
      <w:pPr>
        <w:pStyle w:val="Author"/>
        <w:outlineLvl w:val="0"/>
        <w:rPr>
          <w:rFonts w:ascii="Arial" w:hAnsi="Arial" w:cs="Arial"/>
          <w:bCs/>
          <w:i/>
          <w:iCs/>
          <w:kern w:val="28"/>
          <w:sz w:val="36"/>
          <w:u w:val="single"/>
        </w:rPr>
      </w:pPr>
      <w:bookmarkStart w:id="0" w:name="X835bb4ec9a402c238db759aee79f64d84765e54"/>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77CEEE74" w14:textId="77777777" w:rsidR="002E2825" w:rsidRDefault="00000000" w:rsidP="00F16767">
      <w:pPr>
        <w:pStyle w:val="Heading1"/>
        <w:jc w:val="center"/>
      </w:pPr>
      <w:r>
        <w:t>Chest Pain in the Emergency Department: A Critical Narrative Review of Diagnostic Strategies, Risk Stratification and Unresolved Evidence Gaps</w:t>
      </w:r>
    </w:p>
    <w:p w14:paraId="589EC66F" w14:textId="77777777" w:rsidR="002E2825" w:rsidRDefault="00000000">
      <w:pPr>
        <w:pStyle w:val="Heading2"/>
      </w:pPr>
      <w:bookmarkStart w:id="1" w:name="abstract"/>
      <w:r>
        <w:t>Abstract</w:t>
      </w:r>
    </w:p>
    <w:p w14:paraId="5E2F788C" w14:textId="77777777" w:rsidR="002E2825" w:rsidRDefault="00000000">
      <w:pPr>
        <w:pStyle w:val="FirstParagraph"/>
      </w:pPr>
      <w:r>
        <w:t xml:space="preserve">Chest pain remains one of the most frequent reasons for attendance at emergency departments worldwide, and the diagnostic task it presents is unusually asymmetric: a small proportion of patients </w:t>
      </w:r>
      <w:proofErr w:type="spellStart"/>
      <w:r>
        <w:t>harbour</w:t>
      </w:r>
      <w:proofErr w:type="spellEnd"/>
      <w:r>
        <w:t xml:space="preserve"> an immediately life-threatening condition, while the majority have benign or self-limiting causes that nonetheless consume substantial diagnostic resources. The past decade has transformed the evidence base. High-sensitivity cardiac troponin assays, rapid serial-sampling algorithms, structured clinical decision pathways, early coronary computed tomography angiography and, more recently, machine-learning decision support have all been evaluated in large cohorts and </w:t>
      </w:r>
      <w:proofErr w:type="spellStart"/>
      <w:r>
        <w:t>randomised</w:t>
      </w:r>
      <w:proofErr w:type="spellEnd"/>
      <w:r>
        <w:t xml:space="preserve"> trials. This critical narrative review examines how far that transformation has improved patient-relevant outcomes rather than diagnostic process measures alone. Literature was identified through structured searching of a biomedical bibliographic index and a scholarly metadata registry, with citation-based supplementation, and appraised for design adequacy, spectrum representativeness, outcome definition and reproducibility. The synthesis identifies a consistent pattern: analytical and diagnostic performance has improved markedly, yet </w:t>
      </w:r>
      <w:proofErr w:type="spellStart"/>
      <w:r>
        <w:t>randomised</w:t>
      </w:r>
      <w:proofErr w:type="spellEnd"/>
      <w:r>
        <w:t xml:space="preserve"> evidence repeatedly shows neutral effects on death and recurrent infarction, and a persistent gap separates rule-out efficiency from therapeutic benefit. Performance of validated algorithms degrades in renal impairment, older age, very early presentation and among women assessed against undifferentiated thresholds. Structured pathways demonstrate </w:t>
      </w:r>
      <w:proofErr w:type="spellStart"/>
      <w:r>
        <w:t>favourable</w:t>
      </w:r>
      <w:proofErr w:type="spellEnd"/>
      <w:r>
        <w:t xml:space="preserve"> safety in observational validation but heterogeneous adherence in practice, and the definition of an acceptable missed-event threshold remains a value judgement rather than an empirical finding. Conditions outside the acute coronary syndrome framework, including acute aortic syndromes, pulmonary embolism, myocardial infarction with non-obstructive coronary arteries and non-cardiac causes, remain comparatively neglected in pathway design and in follow-up provision. Equity gaps in triage, testing and treatment persist across sex, ethnicity, language and health-system context. Priority research needs include outcome-anchored trials of rule-out strategies, prospective evaluation of computational decision support in routine practice, and evidence generation in settings where troponin testing and advanced imaging are not universally available.</w:t>
      </w:r>
    </w:p>
    <w:p w14:paraId="5E308619" w14:textId="77777777" w:rsidR="002E2825" w:rsidRDefault="00000000">
      <w:pPr>
        <w:pStyle w:val="BodyText"/>
      </w:pPr>
      <w:r>
        <w:rPr>
          <w:b/>
          <w:bCs/>
        </w:rPr>
        <w:t>Keywords:</w:t>
      </w:r>
      <w:r>
        <w:t xml:space="preserve"> chest pain; emergency service, hospital; high-sensitivity cardiac troponin; acute coronary syndrome; clinical decision rules; diagnostic accuracy; risk stratification</w:t>
      </w:r>
    </w:p>
    <w:p w14:paraId="069554DD" w14:textId="77777777" w:rsidR="002E2825" w:rsidRDefault="00000000">
      <w:pPr>
        <w:pStyle w:val="Heading2"/>
      </w:pPr>
      <w:bookmarkStart w:id="2" w:name="introduction"/>
      <w:bookmarkEnd w:id="1"/>
      <w:r>
        <w:lastRenderedPageBreak/>
        <w:t>1. Introduction</w:t>
      </w:r>
    </w:p>
    <w:p w14:paraId="29E5455A" w14:textId="77777777" w:rsidR="002E2825" w:rsidRDefault="00000000">
      <w:pPr>
        <w:pStyle w:val="FirstParagraph"/>
      </w:pPr>
      <w:r>
        <w:t xml:space="preserve">Acute chest pain occupies a distinctive position in emergency medicine. It is simultaneously among the most common presenting complaints and among the most consequential to misclassify, because the differential diagnosis spans conditions that require intervention within minutes and conditions that require reassurance and discharge. </w:t>
      </w:r>
      <w:proofErr w:type="spellStart"/>
      <w:r>
        <w:t>Ischaemic</w:t>
      </w:r>
      <w:proofErr w:type="spellEnd"/>
      <w:r>
        <w:t xml:space="preserve"> heart disease remains the single largest contributor to global mortality, and its acute manifestations frequently present first to emergency services rather than to cardiology (GBD 2021 Causes of Death Collaborators, 2024). The resulting clinical problem is not simply the detection of myocardial infarction but the efficient and safe separation of a small high-risk group from a much larger low-risk group, under time pressure and with incomplete information.</w:t>
      </w:r>
    </w:p>
    <w:p w14:paraId="5BA267D5" w14:textId="77777777" w:rsidR="002E2825" w:rsidRDefault="00000000">
      <w:pPr>
        <w:pStyle w:val="BodyText"/>
      </w:pPr>
      <w:r>
        <w:t xml:space="preserve">The conceptual framework used to approach this task has changed substantially. The Fourth Universal Definition of Myocardial Infarction reoriented diagnosis around the detection of myocardial injury, defined by a cardiac troponin concentration above the sex-specific ninety-ninth percentile upper reference limit, and then required evidence of </w:t>
      </w:r>
      <w:proofErr w:type="spellStart"/>
      <w:r>
        <w:t>ischaemia</w:t>
      </w:r>
      <w:proofErr w:type="spellEnd"/>
      <w:r>
        <w:t xml:space="preserve"> to distinguish infarction from injury of other origin (Thygesen et al., 2018). That definitional shift interacted with an analytical one. High-sensitivity cardiac troponin assays, capable of quantifying concentrations in most healthy individuals, permitted diagnostic decisions within one to two hours of arrival rather than six to twelve, and made the observation of small serial changes clinically interpretable (Sandoval et al., 2022). Contemporary guidance from both North American and European bodies now recommends serial high-sensitivity troponin measurement embedded within a structured clinical pathway as the default approach to suspected acute coronary syndrome (Byrne et al., 2023; Gulati et al., 2021).</w:t>
      </w:r>
    </w:p>
    <w:p w14:paraId="007643EE" w14:textId="77777777" w:rsidR="002E2825" w:rsidRDefault="00000000">
      <w:pPr>
        <w:pStyle w:val="BodyText"/>
      </w:pPr>
      <w:r>
        <w:t xml:space="preserve">Historical context clarifies why these developments were pursued so vigorously. Before rapid biomarker strategies, approximately two per cent of patients with acute myocardial infarction and a comparable proportion with unstable angina were inadvertently discharged from emergency departments, and those patients experienced substantially higher risk-adjusted mortality than admitted counterparts (Pope et al., 2000). That finding shaped a generation of practice, encouraging prolonged observation, liberal admission and extensive provocative testing. The costs of this defensive posture were rarely measured with the same </w:t>
      </w:r>
      <w:proofErr w:type="spellStart"/>
      <w:r>
        <w:t>rigour</w:t>
      </w:r>
      <w:proofErr w:type="spellEnd"/>
      <w:r>
        <w:t xml:space="preserve"> as the harms of missed diagnosis, and the asymmetry persists in the design of much subsequent research.</w:t>
      </w:r>
    </w:p>
    <w:p w14:paraId="5418A401" w14:textId="77777777" w:rsidR="002E2825" w:rsidRDefault="00000000">
      <w:pPr>
        <w:pStyle w:val="BodyText"/>
      </w:pPr>
      <w:r>
        <w:t xml:space="preserve">Three tensions now dominate the field. The first concerns the relationship between diagnostic performance and clinical benefit. Improvements in analytical sensitivity reliably identify more patients with myocardial injury, but the largest </w:t>
      </w:r>
      <w:proofErr w:type="spellStart"/>
      <w:r>
        <w:t>randomised</w:t>
      </w:r>
      <w:proofErr w:type="spellEnd"/>
      <w:r>
        <w:t xml:space="preserve"> implementation studies have not demonstrated corresponding reductions in subsequent infarction or death (Lee et al., 2023; Shah et al., 2018). The second concerns </w:t>
      </w:r>
      <w:proofErr w:type="spellStart"/>
      <w:r>
        <w:t>generalisability</w:t>
      </w:r>
      <w:proofErr w:type="spellEnd"/>
      <w:r>
        <w:t>. Algorithms derived and validated in well-</w:t>
      </w:r>
      <w:proofErr w:type="spellStart"/>
      <w:r>
        <w:t>characterised</w:t>
      </w:r>
      <w:proofErr w:type="spellEnd"/>
      <w:r>
        <w:t xml:space="preserve"> prospective cohorts perform less consistently in patients with renal impairment, in older patients with multimorbidity, in those presenting very early after symptom onset, and in women evaluated against thresholds derived from mixed populations (Gallacher et al., 2022; Lee et al., 2019). The third concerns scope. Diagnostic pathways are constructed around type 1 myocardial infarction, yet </w:t>
      </w:r>
      <w:r>
        <w:lastRenderedPageBreak/>
        <w:t>emergency departments must also identify acute aortic syndromes and pulmonary embolism, must interpret troponin elevation arising from supply–demand imbalance, and must manage the substantial group whose chest pain is not cardiac in origin (</w:t>
      </w:r>
      <w:proofErr w:type="spellStart"/>
      <w:r>
        <w:t>Bularga</w:t>
      </w:r>
      <w:proofErr w:type="spellEnd"/>
      <w:r>
        <w:t xml:space="preserve"> et al., 2022; Frieling, 2018; </w:t>
      </w:r>
      <w:proofErr w:type="spellStart"/>
      <w:r>
        <w:t>Nazerian</w:t>
      </w:r>
      <w:proofErr w:type="spellEnd"/>
      <w:r>
        <w:t xml:space="preserve"> et al., 2018).</w:t>
      </w:r>
    </w:p>
    <w:p w14:paraId="50588A16" w14:textId="77777777" w:rsidR="002E2825" w:rsidRDefault="00000000">
      <w:pPr>
        <w:pStyle w:val="BodyText"/>
      </w:pPr>
      <w:r>
        <w:t xml:space="preserve">Existing reviews address components of this landscape competently but rarely address the tensions together. Biomarker-focused syntheses evaluate assay performance and algorithm accuracy in depth while treating implementation and equity as peripheral (Jaffe et al., 2023; Westwood, Armstrong, et al., 2021). Guideline documents necessarily </w:t>
      </w:r>
      <w:proofErr w:type="spellStart"/>
      <w:r>
        <w:t>prioritise</w:t>
      </w:r>
      <w:proofErr w:type="spellEnd"/>
      <w:r>
        <w:t xml:space="preserve"> recommendation formulation over critical appraisal of the underlying inconsistencies (Byrne et al., 2023; Gulati et al., 2021). Concise clinical overviews </w:t>
      </w:r>
      <w:proofErr w:type="spellStart"/>
      <w:r>
        <w:t>summarise</w:t>
      </w:r>
      <w:proofErr w:type="spellEnd"/>
      <w:r>
        <w:t xml:space="preserve"> current practice usefully but without extended methodological interrogation (</w:t>
      </w:r>
      <w:proofErr w:type="spellStart"/>
      <w:r>
        <w:t>Bellolio</w:t>
      </w:r>
      <w:proofErr w:type="spellEnd"/>
      <w:r>
        <w:t xml:space="preserve"> et al., 2025). Meanwhile, machine-learning decision support and artificial-intelligence electrocardiogram interpretation have advanced rapidly enough that syntheses published before 2024 no longer describe the state of the field (</w:t>
      </w:r>
      <w:proofErr w:type="spellStart"/>
      <w:r>
        <w:t>Boeddinghaus</w:t>
      </w:r>
      <w:proofErr w:type="spellEnd"/>
      <w:r>
        <w:t xml:space="preserve"> et al., 2024; Gustafsson et al., 2026).</w:t>
      </w:r>
    </w:p>
    <w:p w14:paraId="6FB65D7C" w14:textId="77777777" w:rsidR="002E2825" w:rsidRDefault="00000000">
      <w:pPr>
        <w:pStyle w:val="Heading3"/>
      </w:pPr>
      <w:bookmarkStart w:id="3" w:name="scope-research-gap-and-objectives"/>
      <w:r>
        <w:t>1.1 Scope, Research Gap and Objectives</w:t>
      </w:r>
    </w:p>
    <w:p w14:paraId="422D42AD" w14:textId="77777777" w:rsidR="002E2825" w:rsidRDefault="00000000">
      <w:pPr>
        <w:pStyle w:val="FirstParagraph"/>
      </w:pPr>
      <w:r>
        <w:t xml:space="preserve">This review addresses the adult patient presenting to a hospital emergency department with acute non-traumatic chest pain or an equivalent symptom, from the moment of arrival to the point of admission or discharge, together with the short-term follow-up period during which the consequences of that decision become apparent. Attention is directed at diagnostic strategy, risk stratification and decision architecture rather than at definitive treatment of established acute coronary syndrome, which is governed by a separate and mature evidence base. </w:t>
      </w:r>
      <w:proofErr w:type="spellStart"/>
      <w:r>
        <w:t>Paediatric</w:t>
      </w:r>
      <w:proofErr w:type="spellEnd"/>
      <w:r>
        <w:t xml:space="preserve"> presentations, traumatic chest injury, out-of-hospital cardiac arrest, in-patient chest pain and stable angina evaluated in outpatient settings are excluded, as is detailed discussion of </w:t>
      </w:r>
      <w:proofErr w:type="spellStart"/>
      <w:r>
        <w:t>revascularisation</w:t>
      </w:r>
      <w:proofErr w:type="spellEnd"/>
      <w:r>
        <w:t xml:space="preserve"> technique and antithrombotic pharmacotherapy.</w:t>
      </w:r>
    </w:p>
    <w:p w14:paraId="5D63BE96" w14:textId="77777777" w:rsidR="002E2825" w:rsidRDefault="00000000">
      <w:pPr>
        <w:pStyle w:val="BodyText"/>
      </w:pPr>
      <w:r>
        <w:t xml:space="preserve">The gap addressed is specific. Diagnostic accuracy for myocardial infarction has been </w:t>
      </w:r>
      <w:proofErr w:type="spellStart"/>
      <w:r>
        <w:t>characterised</w:t>
      </w:r>
      <w:proofErr w:type="spellEnd"/>
      <w:r>
        <w:t xml:space="preserve"> extensively, but the evidence linking improved accuracy to improved patient outcomes is weaker, more heterogeneous and less frequently interrogated than the accuracy literature itself. No recent synthesis has examined that disjunction alongside the parallel questions of subgroup validity, non-coronary diagnoses, equity of application and the readiness of computational decision support for routine use.</w:t>
      </w:r>
    </w:p>
    <w:p w14:paraId="5693753B" w14:textId="77777777" w:rsidR="002E2825" w:rsidRDefault="00000000">
      <w:pPr>
        <w:pStyle w:val="BodyText"/>
      </w:pPr>
      <w:r>
        <w:t>The objectives are therefore to evaluate the strength and consistency of evidence supporting current rule-out strategies; to compare structured decision pathways critically, including the empirical basis for the risk thresholds they encode; to assess how the evidence performs in populations where it is weakest; to examine the diagnoses that pathway-</w:t>
      </w:r>
      <w:proofErr w:type="spellStart"/>
      <w:r>
        <w:t>centred</w:t>
      </w:r>
      <w:proofErr w:type="spellEnd"/>
      <w:r>
        <w:t xml:space="preserve"> practice systematically underweights; to appraise the methodological quality of emerging computational approaches; and to derive </w:t>
      </w:r>
      <w:proofErr w:type="spellStart"/>
      <w:r>
        <w:t>prioritised</w:t>
      </w:r>
      <w:proofErr w:type="spellEnd"/>
      <w:r>
        <w:t xml:space="preserve"> research directions that would materially alter practice. The review does not attempt exhaustive coverage of every cause of chest pain, does not evaluate cost-effectiveness in a formal economic sense, and does not offer recommendations that exceed the strength of the evidence available.</w:t>
      </w:r>
    </w:p>
    <w:p w14:paraId="7205321F" w14:textId="77777777" w:rsidR="002E2825" w:rsidRDefault="00000000">
      <w:pPr>
        <w:pStyle w:val="Heading2"/>
      </w:pPr>
      <w:bookmarkStart w:id="4" w:name="methods-for-literature-selection"/>
      <w:bookmarkEnd w:id="2"/>
      <w:bookmarkEnd w:id="3"/>
      <w:r>
        <w:lastRenderedPageBreak/>
        <w:t>2. Methods for Literature Selection</w:t>
      </w:r>
    </w:p>
    <w:p w14:paraId="4C60B95C" w14:textId="77777777" w:rsidR="002E2825" w:rsidRDefault="00000000">
      <w:pPr>
        <w:pStyle w:val="Heading3"/>
      </w:pPr>
      <w:bookmarkStart w:id="5" w:name="review-design-and-rationale"/>
      <w:r>
        <w:t>2.1 Review Design and Rationale</w:t>
      </w:r>
    </w:p>
    <w:p w14:paraId="35B3E00E" w14:textId="77777777" w:rsidR="002E2825" w:rsidRDefault="00000000">
      <w:pPr>
        <w:pStyle w:val="FirstParagraph"/>
      </w:pPr>
      <w:r>
        <w:t>A critical narrative design was selected because the review question is interpretive rather than estimative. The literature spans diagnostic accuracy studies, implementation trials, prognostic cohort analyses, qualitative work on disparities and methodological commentary on prediction-model development. These designs cannot be pooled meaningfully, and the central questions concern how bodies of evidence relate to one another rather than what a summary effect estimate would be. A systematic review with meta-analysis would have imposed a common metric on incommensurable outcomes, while a scoping review would have mapped breadth without adjudicating quality. Narrative synthesis nonetheless carries a documented risk of selective citation, and the criteria articulated for narrative review quality were applied throughout, specifically the requirements for explicit justification of importance, statement of a concrete aim, description of literature searching, referencing of the strongest available evidence, and appropriate presentation of data (</w:t>
      </w:r>
      <w:proofErr w:type="spellStart"/>
      <w:r>
        <w:t>Baethge</w:t>
      </w:r>
      <w:proofErr w:type="spellEnd"/>
      <w:r>
        <w:t xml:space="preserve"> et al., 2019). Adopting a narrative structure was not treated as </w:t>
      </w:r>
      <w:proofErr w:type="spellStart"/>
      <w:r>
        <w:t>licence</w:t>
      </w:r>
      <w:proofErr w:type="spellEnd"/>
      <w:r>
        <w:t xml:space="preserve"> to omit appraisal; each substantive claim was traced to identifiable sources and each source was assessed against design-appropriate criteria.</w:t>
      </w:r>
    </w:p>
    <w:p w14:paraId="50A74690" w14:textId="77777777" w:rsidR="002E2825" w:rsidRDefault="00000000">
      <w:pPr>
        <w:pStyle w:val="Heading3"/>
      </w:pPr>
      <w:bookmarkStart w:id="6" w:name="information-sources"/>
      <w:bookmarkEnd w:id="5"/>
      <w:r>
        <w:t>2.2 Information Sources</w:t>
      </w:r>
    </w:p>
    <w:p w14:paraId="3C4AD51C" w14:textId="77777777" w:rsidR="002E2825" w:rsidRDefault="00000000">
      <w:pPr>
        <w:pStyle w:val="FirstParagraph"/>
      </w:pPr>
      <w:r>
        <w:t xml:space="preserve">Two sources were searched directly during preparation of this review. The first was the PubMed interface to MEDLINE, queried programmatically through the National Center for Biotechnology Information Entrez utilities, which supplied the primary body of clinical and diagnostic literature. The second was </w:t>
      </w:r>
      <w:proofErr w:type="spellStart"/>
      <w:r>
        <w:t>Crossref</w:t>
      </w:r>
      <w:proofErr w:type="spellEnd"/>
      <w:r>
        <w:t xml:space="preserve"> Metadata Search, used both for supplementary retrieval and for verification of bibliographic metadata and digital object identifiers. No subscription-restricted citation index was accessible during preparation, and no search of such a resource is claimed. Retrieval was supplemented by backward citation examination of guideline documents, consensus statements and recent syntheses, and by targeted searching for named studies identified within those reference lists.</w:t>
      </w:r>
    </w:p>
    <w:p w14:paraId="1DDE6200" w14:textId="77777777" w:rsidR="002E2825" w:rsidRDefault="00000000">
      <w:pPr>
        <w:pStyle w:val="Heading3"/>
      </w:pPr>
      <w:bookmarkStart w:id="7" w:name="search-strategy-and-search-period"/>
      <w:bookmarkEnd w:id="6"/>
      <w:r>
        <w:t>2.3 Search Strategy and Search Period</w:t>
      </w:r>
    </w:p>
    <w:p w14:paraId="776250C5" w14:textId="77777777" w:rsidR="002E2825" w:rsidRDefault="00000000">
      <w:pPr>
        <w:pStyle w:val="FirstParagraph"/>
      </w:pPr>
      <w:r>
        <w:t>Search concepts were constructed around five axes: the presenting problem and care setting; diagnostic biomarkers and their analytical properties; decision aids, algorithms and pathways; competing life-threatening and non-cardiac diagnoses; and outcome, equity and implementation terms. Concepts were combined with Boolean operators, with free-text synonyms used alongside indexing terms. Representative formulations included the following. For the core diagnostic question: (“chest pain” OR “acute coronary syndrome” OR “myocardial infarction”) AND (“emergency department” OR “emergency service” OR prehospital) AND (“high-sensitivity” AND troponin) AND (“rule-out” OR algorithm OR “diagnostic accuracy”). For decision architecture: (“HEART score” OR EDACS OR “accelerated diagnostic protocol” OR “clinical decision rule” OR “decision aid”) AND (“chest pain” OR “acute coronary syndrome”) AND (validation OR implementation OR “</w:t>
      </w:r>
      <w:proofErr w:type="spellStart"/>
      <w:r>
        <w:t>randomised</w:t>
      </w:r>
      <w:proofErr w:type="spellEnd"/>
      <w:r>
        <w:t xml:space="preserve"> controlled trial”). For competing diagnoses: (“aortic dissection” OR “acute aortic syndrome” OR “pulmonary embolism” OR MINOCA OR “non-cardiac chest pain”) AND (“emergency </w:t>
      </w:r>
      <w:r>
        <w:lastRenderedPageBreak/>
        <w:t xml:space="preserve">department” OR “diagnostic strategy”). For equity, implementation and outcome: (“chest pain” OR “acute coronary syndrome”) AND (disparities OR sex OR gender OR ethnicity OR “low-income countries” OR crowding OR adherence). Searches covered publications from 1 January 2000 to 10 June 2026. The lower boundary was chosen because it coincides with publication of the </w:t>
      </w:r>
      <w:proofErr w:type="spellStart"/>
      <w:r>
        <w:t>multicentre</w:t>
      </w:r>
      <w:proofErr w:type="spellEnd"/>
      <w:r>
        <w:t xml:space="preserve"> analysis that established the contemporary framing of missed acute cardiac </w:t>
      </w:r>
      <w:proofErr w:type="spellStart"/>
      <w:r>
        <w:t>ischaemia</w:t>
      </w:r>
      <w:proofErr w:type="spellEnd"/>
      <w:r>
        <w:t xml:space="preserve"> and with the beginning of the troponin-</w:t>
      </w:r>
      <w:proofErr w:type="spellStart"/>
      <w:r>
        <w:t>centred</w:t>
      </w:r>
      <w:proofErr w:type="spellEnd"/>
      <w:r>
        <w:t xml:space="preserve"> diagnostic era; foundational earlier work was admitted where necessary to explain conceptual development.</w:t>
      </w:r>
    </w:p>
    <w:p w14:paraId="11C18D4E" w14:textId="77777777" w:rsidR="002E2825" w:rsidRDefault="00000000">
      <w:pPr>
        <w:pStyle w:val="Heading3"/>
      </w:pPr>
      <w:bookmarkStart w:id="8" w:name="eligibility-criteria"/>
      <w:bookmarkEnd w:id="7"/>
      <w:r>
        <w:t>2.4 Eligibility Criteria</w:t>
      </w:r>
    </w:p>
    <w:p w14:paraId="4956A700" w14:textId="77777777" w:rsidR="002E2825" w:rsidRDefault="00000000">
      <w:pPr>
        <w:pStyle w:val="FirstParagraph"/>
      </w:pPr>
      <w:r>
        <w:t xml:space="preserve">Eligible sources comprised peer-reviewed original research, meta-analyses and quantitative syntheses, methodological and consensus statements from </w:t>
      </w:r>
      <w:proofErr w:type="spellStart"/>
      <w:r>
        <w:t>recognised</w:t>
      </w:r>
      <w:proofErr w:type="spellEnd"/>
      <w:r>
        <w:t xml:space="preserve"> professional </w:t>
      </w:r>
      <w:proofErr w:type="spellStart"/>
      <w:r>
        <w:t>organisations</w:t>
      </w:r>
      <w:proofErr w:type="spellEnd"/>
      <w:r>
        <w:t xml:space="preserve">, and clinical practice guidelines. Studies were required to address adults presenting acutely with chest pain or suspected acute coronary syndrome, or to address a diagnostic technology, algorithm or </w:t>
      </w:r>
      <w:proofErr w:type="spellStart"/>
      <w:r>
        <w:t>organisational</w:t>
      </w:r>
      <w:proofErr w:type="spellEnd"/>
      <w:r>
        <w:t xml:space="preserve"> strategy applied to that population. Publications were excluded when they addressed exclusively in-patient or ambulatory populations, when the diagnostic reference standard was undefined, when reporting was insufficient to judge spectrum or outcome ascertainment, when the work appeared in outlets without evident peer review, and when bibliographic identity could not be confirmed. Language was restricted to English. Preprints were not used. Conference abstracts were not used as primary evidence.</w:t>
      </w:r>
    </w:p>
    <w:p w14:paraId="1C5197A6" w14:textId="77777777" w:rsidR="002E2825" w:rsidRDefault="00000000">
      <w:pPr>
        <w:pStyle w:val="Heading3"/>
      </w:pPr>
      <w:bookmarkStart w:id="9" w:name="X7d2e9d0ecae87711c8cd031b02724f1a8226a19"/>
      <w:bookmarkEnd w:id="8"/>
      <w:r>
        <w:t>2.5 Screening, Duplicate Handling and Study Selection</w:t>
      </w:r>
    </w:p>
    <w:p w14:paraId="01337D52" w14:textId="77777777" w:rsidR="002E2825" w:rsidRDefault="00000000">
      <w:pPr>
        <w:pStyle w:val="FirstParagraph"/>
      </w:pPr>
      <w:r>
        <w:t>Records retrieved from each source were screened by title and abstract against the eligibility criteria, and candidate records were assessed in full where the record content or accessible full text permitted. Duplicates arising between the bibliographic index and the metadata registry were resolved by digital object identifier, with title and first-author matching applied where an identifier was absent. Where the same guideline or statement had been co-published across multiple journals, a single version was retained. Screening was conducted without documented counts at each stage, and none are reported, because the selection process was purposive rather than exhaustive; presenting a flow diagram would misrepresent the method. Sources that could not be verified bibliographically, or whose full text was inaccessible in a form permitting assessment of the claim for which they would be cited, were not used.</w:t>
      </w:r>
    </w:p>
    <w:p w14:paraId="2F5B673D" w14:textId="77777777" w:rsidR="002E2825" w:rsidRDefault="00000000">
      <w:pPr>
        <w:pStyle w:val="Heading3"/>
      </w:pPr>
      <w:bookmarkStart w:id="10" w:name="Xc28834b6ce4066e280aa110dcd5d5fe36acafe5"/>
      <w:bookmarkEnd w:id="9"/>
      <w:r>
        <w:t>2.6 Critical Appraisal and Evidence Synthesis</w:t>
      </w:r>
    </w:p>
    <w:p w14:paraId="60946EB1" w14:textId="77777777" w:rsidR="002E2825" w:rsidRDefault="00000000">
      <w:pPr>
        <w:pStyle w:val="FirstParagraph"/>
      </w:pPr>
      <w:r>
        <w:t xml:space="preserve">Appraisal criteria were matched to design. Diagnostic accuracy studies were assessed for consecutive or unselected recruitment, blinding of index-test and reference-standard interpretation, adjudication procedure, handling of indeterminate results and spectrum representativeness. </w:t>
      </w:r>
      <w:proofErr w:type="spellStart"/>
      <w:r>
        <w:t>Randomised</w:t>
      </w:r>
      <w:proofErr w:type="spellEnd"/>
      <w:r>
        <w:t xml:space="preserve"> trials were assessed for allocation concealment, outcome definition, adequacy of power for clinical rather than process endpoints, and the extent to which stepped-wedge or cluster designs introduced temporal confounding. Prognostic and prediction-model studies were assessed for sample size relative to event number, internal and external validation, calibration reporting rather than discrimination alone, and </w:t>
      </w:r>
      <w:r>
        <w:lastRenderedPageBreak/>
        <w:t>transparency sufficient to permit independent implementation. Formal risk-of-bias instruments were not applied and no numerical bias scores are reported, since the heterogeneity of designs and the reliance on published summaries would have made such scoring unreliable.</w:t>
      </w:r>
    </w:p>
    <w:p w14:paraId="39677858" w14:textId="77777777" w:rsidR="002E2825" w:rsidRDefault="00000000">
      <w:pPr>
        <w:pStyle w:val="BodyText"/>
      </w:pPr>
      <w:r>
        <w:t>Themes were developed inductively from recurring points of disagreement in the literature rather than imposed in advance. Where findings conflicted, explanations were sought in population spectrum, assay and threshold selection, outcome definition, adjudication method and follow-up duration before differences were attributed to true effect heterogeneity. Convergent findings were distinguished from findings resting on a single cohort or a single research group, and the strength of each conclusion was calibrated accordingly.</w:t>
      </w:r>
    </w:p>
    <w:p w14:paraId="5180A9AD" w14:textId="77777777" w:rsidR="002E2825" w:rsidRDefault="00000000">
      <w:pPr>
        <w:pStyle w:val="BodyText"/>
      </w:pPr>
      <w:r>
        <w:t>The five concept blocks did not yield comparable volumes of literature. Biomarker and pathway searches returned an abundance of eligible studies, whereas the equity and implementation block produced sparse results, an imbalance that reflects the distribution of research effort in the field and is revisited in Section 8.</w:t>
      </w:r>
    </w:p>
    <w:p w14:paraId="4FFA264B" w14:textId="77777777" w:rsidR="002E2825" w:rsidRDefault="00000000">
      <w:pPr>
        <w:pStyle w:val="Heading2"/>
      </w:pPr>
      <w:bookmarkStart w:id="11" w:name="X642e7ceb05da556901bc0d60f4dc724e2b08b51"/>
      <w:bookmarkEnd w:id="4"/>
      <w:bookmarkEnd w:id="10"/>
      <w:r>
        <w:t>3. The Diagnostic Problem: Case Mix, Prior Probability and the Asymmetry of Error</w:t>
      </w:r>
    </w:p>
    <w:p w14:paraId="4A9BD9EC" w14:textId="77777777" w:rsidR="002E2825" w:rsidRDefault="00000000">
      <w:pPr>
        <w:pStyle w:val="Heading3"/>
      </w:pPr>
      <w:bookmarkStart w:id="12" w:name="X0b9ce132208b5df9525728a04c20aad056ea96a"/>
      <w:r>
        <w:t>3.1 Case mix and the arithmetic of low prevalence</w:t>
      </w:r>
    </w:p>
    <w:p w14:paraId="580401EF" w14:textId="77777777" w:rsidR="002E2825" w:rsidRDefault="00000000">
      <w:pPr>
        <w:pStyle w:val="FirstParagraph"/>
      </w:pPr>
      <w:r>
        <w:t xml:space="preserve">The defining feature of undifferentiated chest pain in emergency care is that the conditions clinicians most fear are uncommon relative to the population tested. Across contemporary prospective cohorts assembled for the evaluation of rapid diagnostic algorithms, the proportion of patients ultimately adjudicated as having myocardial infarction typically falls well below one in five, and the majority of attendances resolve without a cardiac diagnosis (Chapman et al., 2017; Greenslade et al., 2018). This arithmetic governs everything that follows. At low prevalence, even a highly specific test generates false-positive results that outnumber true positives in absolute terms, while a test with imperfect sensitivity produces few but consequential false negatives. The clinical response to that asymmetry has been to </w:t>
      </w:r>
      <w:proofErr w:type="spellStart"/>
      <w:r>
        <w:t>prioritise</w:t>
      </w:r>
      <w:proofErr w:type="spellEnd"/>
      <w:r>
        <w:t xml:space="preserve"> sensitivity almost absolutely, accepting substantial testing of patients who will prove not to have the target condition.</w:t>
      </w:r>
    </w:p>
    <w:p w14:paraId="2CCB0771" w14:textId="77777777" w:rsidR="002E2825" w:rsidRDefault="00000000">
      <w:pPr>
        <w:pStyle w:val="BodyText"/>
      </w:pPr>
      <w:r>
        <w:t>The consequences of that choice have been quantified in a way that complicates the traditional defensive posture. Among patients admitted for observation with a non-</w:t>
      </w:r>
      <w:proofErr w:type="spellStart"/>
      <w:r>
        <w:t>ischaemic</w:t>
      </w:r>
      <w:proofErr w:type="spellEnd"/>
      <w:r>
        <w:t xml:space="preserve"> electrocardiogram and negative initial biomarkers, the incidence of clinically relevant adverse cardiac events during admission proved to be well below one per thousand, an estimate that raised legitimate questions about the marginal yield of in-patient observation for the lowest-risk group (Weinstock et al., 2015). That analysis was retrospective and confined to a limited number of institutions, and its event definition deliberately excluded events unlikely to be modified by admission, so it should not be read as establishing the safety of discharge in all comparable patients. It nonetheless reframed the question from whether missed events occur to how many patients must be admitted to prevent one, a formulation that the earlier literature seldom adopted.</w:t>
      </w:r>
    </w:p>
    <w:p w14:paraId="03E936D2" w14:textId="77777777" w:rsidR="002E2825" w:rsidRDefault="00000000">
      <w:pPr>
        <w:pStyle w:val="BodyText"/>
      </w:pPr>
      <w:r>
        <w:lastRenderedPageBreak/>
        <w:t>The countervailing evidence retains force. The demonstration that approximately two per cent of patients with acute myocardial infarction were discharged from emergency departments, with roughly double the adjusted short-term mortality of those admitted, established that the harm of premature discharge is real and concentrated in identifiable groups, including younger patients, women and those with non-diagnostic electrocardiographic findings (Pope et al., 2000). That study predates high-sensitivity assays and structured pathways, and its absolute miss rate should not be extrapolated to contemporary practice. Its structural insight, that misclassification clusters in patients whose presentation deviates from the expected pattern, has been repeatedly confirmed and remains the strongest argument against reliance on clinical impression alone.</w:t>
      </w:r>
    </w:p>
    <w:p w14:paraId="24E8D5AE" w14:textId="77777777" w:rsidR="002E2825" w:rsidRDefault="00000000">
      <w:pPr>
        <w:pStyle w:val="Heading3"/>
      </w:pPr>
      <w:bookmarkStart w:id="13" w:name="Xcd2dc3ff345cd8f9824b104dc0b7fe6382b5c17"/>
      <w:bookmarkEnd w:id="12"/>
      <w:r>
        <w:t xml:space="preserve">3.2 Symptom </w:t>
      </w:r>
      <w:proofErr w:type="spellStart"/>
      <w:r>
        <w:t>characterisation</w:t>
      </w:r>
      <w:proofErr w:type="spellEnd"/>
      <w:r>
        <w:t xml:space="preserve"> and its diagnostic limits</w:t>
      </w:r>
    </w:p>
    <w:p w14:paraId="135A4151" w14:textId="77777777" w:rsidR="002E2825" w:rsidRDefault="00000000">
      <w:pPr>
        <w:pStyle w:val="FirstParagraph"/>
      </w:pPr>
      <w:r>
        <w:t xml:space="preserve">Historical teaching </w:t>
      </w:r>
      <w:proofErr w:type="spellStart"/>
      <w:r>
        <w:t>organised</w:t>
      </w:r>
      <w:proofErr w:type="spellEnd"/>
      <w:r>
        <w:t xml:space="preserve"> chest pain assessment around the distinction between typical and atypical presentation. Contemporary guidance has explicitly discouraged that terminology on the grounds that it is imprecise, that it has been applied inconsistently, and that it has contributed to the systematic underestimation of risk in women and in patients from </w:t>
      </w:r>
      <w:proofErr w:type="spellStart"/>
      <w:r>
        <w:t>minoritised</w:t>
      </w:r>
      <w:proofErr w:type="spellEnd"/>
      <w:r>
        <w:t xml:space="preserve"> groups (Gulati et al., 2021). The recommended alternative, describing pain as cardiac, possibly cardiac or non-cardiac, is a modest linguistic reform whose effect on decision-making has not been evaluated in controlled conditions, and the older vocabulary persists in practice and in the training literature.</w:t>
      </w:r>
    </w:p>
    <w:p w14:paraId="08887062" w14:textId="77777777" w:rsidR="002E2825" w:rsidRDefault="00000000">
      <w:pPr>
        <w:pStyle w:val="BodyText"/>
      </w:pPr>
      <w:r>
        <w:t xml:space="preserve">Empirical work on symptom presentation supports the reform in substance if not in demonstrated effect. When myocardial infarction was diagnosed using sex-specific troponin thresholds, chest pain remained the dominant presenting symptom in both men and women, and the widely repeated claim that women characteristically present without chest pain was not supported; differences in accompanying symptoms were present but modest, and were insufficient to justify separate diagnostic heuristics (Ferry et al., 2019). This finding matters because the belief in categorically different presentation may itself contribute to diagnostic delay, by encouraging clinicians to await a distinctive pattern that does not reliably occur. The study was conducted within a single national health system with adjudicated outcomes, which strengthens internal validity while limiting extrapolation to settings with different care-seeking </w:t>
      </w:r>
      <w:proofErr w:type="spellStart"/>
      <w:r>
        <w:t>behaviour</w:t>
      </w:r>
      <w:proofErr w:type="spellEnd"/>
      <w:r>
        <w:t xml:space="preserve"> and different thresholds for attendance.</w:t>
      </w:r>
    </w:p>
    <w:p w14:paraId="754C1CAA" w14:textId="77777777" w:rsidR="002E2825" w:rsidRDefault="00000000">
      <w:pPr>
        <w:pStyle w:val="BodyText"/>
      </w:pPr>
      <w:r>
        <w:t>The broader limitation is that no individual symptom characteristic, and no combination of characteristics used alone, achieves the sensitivity required for safe discharge. Symptom features contribute to the pre-test probability that decision aids incorporate, but their independent contribution beyond electrocardiographic and biomarker information is modest, and their reproducibility between assessors is imperfect. Reviews of clinical practice consistently conclude that history alone cannot exclude acute coronary syndrome and that its principal value lies in identifying features that raise suspicion of alternative life-threatening diagnoses (</w:t>
      </w:r>
      <w:proofErr w:type="spellStart"/>
      <w:r>
        <w:t>Bellolio</w:t>
      </w:r>
      <w:proofErr w:type="spellEnd"/>
      <w:r>
        <w:t xml:space="preserve"> et al., 2025).</w:t>
      </w:r>
    </w:p>
    <w:p w14:paraId="03F4A763" w14:textId="77777777" w:rsidR="002E2825" w:rsidRDefault="00000000">
      <w:pPr>
        <w:pStyle w:val="Heading3"/>
      </w:pPr>
      <w:bookmarkStart w:id="14" w:name="the-electrocardiogram-as-a-first-filter"/>
      <w:bookmarkEnd w:id="13"/>
      <w:r>
        <w:lastRenderedPageBreak/>
        <w:t>3.3 The electrocardiogram as a first filter</w:t>
      </w:r>
    </w:p>
    <w:p w14:paraId="5BC63DBB" w14:textId="77777777" w:rsidR="002E2825" w:rsidRDefault="00000000">
      <w:pPr>
        <w:pStyle w:val="FirstParagraph"/>
      </w:pPr>
      <w:r>
        <w:t xml:space="preserve">The twelve-lead electrocardiogram remains the only investigation capable of identifying, within minutes, the subgroup requiring immediate reperfusion, and its early acquisition is a universal recommendation (Byrne et al., 2023). Its limitations are equally well established. A substantial proportion of patients with acute coronary occlusion do not display ST-segment elevation meeting conventional criteria, and the resulting delay to angiography is associated with larger infarct size. Interobserver agreement for subtler </w:t>
      </w:r>
      <w:proofErr w:type="spellStart"/>
      <w:r>
        <w:t>ischaemic</w:t>
      </w:r>
      <w:proofErr w:type="spellEnd"/>
      <w:r>
        <w:t xml:space="preserve"> patterns is moderate at best, and the electrocardiogram’s specificity is degraded by conduction abnormality, ventricular hypertrophy, pacing and prior infarction.</w:t>
      </w:r>
    </w:p>
    <w:p w14:paraId="5F3B14AF" w14:textId="77777777" w:rsidR="002E2825" w:rsidRDefault="00000000">
      <w:pPr>
        <w:pStyle w:val="BodyText"/>
      </w:pPr>
      <w:r>
        <w:t xml:space="preserve">This gap has motivated computational approaches. A deep learning model trained on large electrocardiographic datasets has been reported to identify and </w:t>
      </w:r>
      <w:proofErr w:type="spellStart"/>
      <w:r>
        <w:t>localise</w:t>
      </w:r>
      <w:proofErr w:type="spellEnd"/>
      <w:r>
        <w:t xml:space="preserve"> occlusion myocardial infarction with performance exceeding conventional criteria, suggesting that information relevant to coronary occlusion is present in the tracing but not captured by rules designed for human interpretation (Gustafsson et al., 2026). The evidence remains at the stage of retrospective model evaluation, with angiographic or adjudicated reference standards applied to selected populations, and no </w:t>
      </w:r>
      <w:proofErr w:type="spellStart"/>
      <w:r>
        <w:t>randomised</w:t>
      </w:r>
      <w:proofErr w:type="spellEnd"/>
      <w:r>
        <w:t xml:space="preserve"> evaluation of the effect of such models on time to reperfusion or on infarct size has been reported. The distinction between demonstrating that a signal exists and demonstrating that acting on it improves outcomes is discussed further in Section 9.</w:t>
      </w:r>
    </w:p>
    <w:p w14:paraId="78957109" w14:textId="77777777" w:rsidR="002E2825" w:rsidRDefault="00000000">
      <w:pPr>
        <w:pStyle w:val="BodyText"/>
      </w:pPr>
      <w:r>
        <w:t>Several conceptual distinctions recur throughout the remainder of this review and are frequently conflated in the clinical and research literature, with consequences for how evidence is interpreted. Table 1 sets out these distinctions and identifies the sources that define them. The most consequential is the separation of myocardial injury from myocardial infarction, since the introduction of high-sensitivity assays increased detection of the former far more than the latter, and much of the apparent expansion of the acute coronary syndrome population reflects reclassification rather than a change in disease incidence.</w:t>
      </w:r>
    </w:p>
    <w:p w14:paraId="181E62F4" w14:textId="77777777" w:rsidR="002E2825" w:rsidRDefault="00000000">
      <w:pPr>
        <w:pStyle w:val="BodyText"/>
      </w:pPr>
      <w:r>
        <w:rPr>
          <w:b/>
          <w:bCs/>
        </w:rPr>
        <w:t>Table 1. Conceptual distinctions underpinning the evaluation of acute chest pain, with defining sources</w:t>
      </w:r>
    </w:p>
    <w:tbl>
      <w:tblPr>
        <w:tblStyle w:val="TableGrid"/>
        <w:tblW w:w="5000" w:type="pct"/>
        <w:tblLook w:val="0020" w:firstRow="1" w:lastRow="0" w:firstColumn="0" w:lastColumn="0" w:noHBand="0" w:noVBand="0"/>
      </w:tblPr>
      <w:tblGrid>
        <w:gridCol w:w="1857"/>
        <w:gridCol w:w="3014"/>
        <w:gridCol w:w="2897"/>
        <w:gridCol w:w="1808"/>
      </w:tblGrid>
      <w:tr w:rsidR="002E2825" w14:paraId="1939666D" w14:textId="77777777" w:rsidTr="002B48B7">
        <w:tc>
          <w:tcPr>
            <w:tcW w:w="0" w:type="auto"/>
          </w:tcPr>
          <w:p w14:paraId="60C6E7B5" w14:textId="77777777" w:rsidR="002E2825" w:rsidRDefault="00000000">
            <w:pPr>
              <w:pStyle w:val="Compact"/>
            </w:pPr>
            <w:r>
              <w:t>Distinction</w:t>
            </w:r>
          </w:p>
        </w:tc>
        <w:tc>
          <w:tcPr>
            <w:tcW w:w="0" w:type="auto"/>
          </w:tcPr>
          <w:p w14:paraId="49B3E604" w14:textId="77777777" w:rsidR="002E2825" w:rsidRDefault="00000000">
            <w:pPr>
              <w:pStyle w:val="Compact"/>
            </w:pPr>
            <w:r>
              <w:t>Definition adopted</w:t>
            </w:r>
          </w:p>
        </w:tc>
        <w:tc>
          <w:tcPr>
            <w:tcW w:w="0" w:type="auto"/>
          </w:tcPr>
          <w:p w14:paraId="158C0A70" w14:textId="77777777" w:rsidR="002E2825" w:rsidRDefault="00000000">
            <w:pPr>
              <w:pStyle w:val="Compact"/>
            </w:pPr>
            <w:r>
              <w:t>Why the distinction matters</w:t>
            </w:r>
          </w:p>
        </w:tc>
        <w:tc>
          <w:tcPr>
            <w:tcW w:w="0" w:type="auto"/>
          </w:tcPr>
          <w:p w14:paraId="38791C24" w14:textId="77777777" w:rsidR="002E2825" w:rsidRDefault="00000000">
            <w:pPr>
              <w:pStyle w:val="Compact"/>
            </w:pPr>
            <w:r>
              <w:t>Supporting references</w:t>
            </w:r>
          </w:p>
        </w:tc>
      </w:tr>
      <w:tr w:rsidR="002E2825" w14:paraId="40CAD62D" w14:textId="77777777" w:rsidTr="002B48B7">
        <w:tc>
          <w:tcPr>
            <w:tcW w:w="0" w:type="auto"/>
          </w:tcPr>
          <w:p w14:paraId="4A1B12CD" w14:textId="77777777" w:rsidR="002E2825" w:rsidRDefault="00000000">
            <w:pPr>
              <w:pStyle w:val="Compact"/>
            </w:pPr>
            <w:r>
              <w:t>Myocardial injury vs myocardial infarction</w:t>
            </w:r>
          </w:p>
        </w:tc>
        <w:tc>
          <w:tcPr>
            <w:tcW w:w="0" w:type="auto"/>
          </w:tcPr>
          <w:p w14:paraId="0BAD2CF3" w14:textId="77777777" w:rsidR="002E2825" w:rsidRDefault="00000000">
            <w:pPr>
              <w:pStyle w:val="Compact"/>
            </w:pPr>
            <w:r>
              <w:t xml:space="preserve">Injury: cardiac troponin above the sex-specific 99th percentile URL. Infarction: injury with clinical evidence of acute myocardial </w:t>
            </w:r>
            <w:proofErr w:type="spellStart"/>
            <w:r>
              <w:t>ischaemia</w:t>
            </w:r>
            <w:proofErr w:type="spellEnd"/>
          </w:p>
        </w:tc>
        <w:tc>
          <w:tcPr>
            <w:tcW w:w="0" w:type="auto"/>
          </w:tcPr>
          <w:p w14:paraId="0DA21E07" w14:textId="77777777" w:rsidR="002E2825" w:rsidRDefault="00000000">
            <w:pPr>
              <w:pStyle w:val="Compact"/>
            </w:pPr>
            <w:r>
              <w:t>High-sensitivity assays detect injury far more often than they detect infarction; conflation inflates apparent ACS incidence</w:t>
            </w:r>
          </w:p>
        </w:tc>
        <w:tc>
          <w:tcPr>
            <w:tcW w:w="0" w:type="auto"/>
          </w:tcPr>
          <w:p w14:paraId="1F66AB6A" w14:textId="77777777" w:rsidR="002E2825" w:rsidRDefault="00000000">
            <w:pPr>
              <w:pStyle w:val="Compact"/>
            </w:pPr>
            <w:r>
              <w:t>Thygesen et al. (2018); Sandoval &amp; Thygesen (2017)</w:t>
            </w:r>
          </w:p>
        </w:tc>
      </w:tr>
      <w:tr w:rsidR="002E2825" w14:paraId="7E2C59DA" w14:textId="77777777" w:rsidTr="002B48B7">
        <w:tc>
          <w:tcPr>
            <w:tcW w:w="0" w:type="auto"/>
          </w:tcPr>
          <w:p w14:paraId="40875FED" w14:textId="77777777" w:rsidR="002E2825" w:rsidRDefault="00000000">
            <w:pPr>
              <w:pStyle w:val="Compact"/>
            </w:pPr>
            <w:r>
              <w:t>Type 1 vs type 2 myocardial infarction</w:t>
            </w:r>
          </w:p>
        </w:tc>
        <w:tc>
          <w:tcPr>
            <w:tcW w:w="0" w:type="auto"/>
          </w:tcPr>
          <w:p w14:paraId="2477F04D" w14:textId="77777777" w:rsidR="002E2825" w:rsidRDefault="00000000">
            <w:pPr>
              <w:pStyle w:val="Compact"/>
            </w:pPr>
            <w:r>
              <w:t xml:space="preserve">Type 1: atherothrombotic plaque disruption. Type 2: </w:t>
            </w:r>
            <w:proofErr w:type="spellStart"/>
            <w:r>
              <w:t>ischaemia</w:t>
            </w:r>
            <w:proofErr w:type="spellEnd"/>
            <w:r>
              <w:t xml:space="preserve"> from oxygen supply–demand imbalance without acute </w:t>
            </w:r>
            <w:r>
              <w:lastRenderedPageBreak/>
              <w:t>atherothrombosis</w:t>
            </w:r>
          </w:p>
        </w:tc>
        <w:tc>
          <w:tcPr>
            <w:tcW w:w="0" w:type="auto"/>
          </w:tcPr>
          <w:p w14:paraId="284A6E59" w14:textId="77777777" w:rsidR="002E2825" w:rsidRDefault="00000000">
            <w:pPr>
              <w:pStyle w:val="Compact"/>
            </w:pPr>
            <w:r>
              <w:lastRenderedPageBreak/>
              <w:t xml:space="preserve">Therapeutic implications differ substantially; trial populations rarely reflect the type 2 group despite </w:t>
            </w:r>
            <w:r>
              <w:lastRenderedPageBreak/>
              <w:t>its prognostic burden</w:t>
            </w:r>
          </w:p>
        </w:tc>
        <w:tc>
          <w:tcPr>
            <w:tcW w:w="0" w:type="auto"/>
          </w:tcPr>
          <w:p w14:paraId="4A7824E6" w14:textId="77777777" w:rsidR="002E2825" w:rsidRDefault="00000000">
            <w:pPr>
              <w:pStyle w:val="Compact"/>
            </w:pPr>
            <w:proofErr w:type="spellStart"/>
            <w:r>
              <w:lastRenderedPageBreak/>
              <w:t>Bularga</w:t>
            </w:r>
            <w:proofErr w:type="spellEnd"/>
            <w:r>
              <w:t xml:space="preserve"> et al. (2022); Chapman et al. (2018); Thygesen et </w:t>
            </w:r>
            <w:r>
              <w:lastRenderedPageBreak/>
              <w:t>al. (2018)</w:t>
            </w:r>
          </w:p>
        </w:tc>
      </w:tr>
      <w:tr w:rsidR="002E2825" w14:paraId="49137FA8" w14:textId="77777777" w:rsidTr="002B48B7">
        <w:tc>
          <w:tcPr>
            <w:tcW w:w="0" w:type="auto"/>
          </w:tcPr>
          <w:p w14:paraId="067FF949" w14:textId="77777777" w:rsidR="002E2825" w:rsidRDefault="00000000">
            <w:pPr>
              <w:pStyle w:val="Compact"/>
            </w:pPr>
            <w:r>
              <w:lastRenderedPageBreak/>
              <w:t>Rule-out vs risk stratification</w:t>
            </w:r>
          </w:p>
        </w:tc>
        <w:tc>
          <w:tcPr>
            <w:tcW w:w="0" w:type="auto"/>
          </w:tcPr>
          <w:p w14:paraId="768B0702" w14:textId="77777777" w:rsidR="002E2825" w:rsidRDefault="00000000">
            <w:pPr>
              <w:pStyle w:val="Compact"/>
            </w:pPr>
            <w:r>
              <w:t>Rule-out: exclusion of prevalent infarction at presentation. Risk stratification: prediction of events over a defined horizon</w:t>
            </w:r>
          </w:p>
        </w:tc>
        <w:tc>
          <w:tcPr>
            <w:tcW w:w="0" w:type="auto"/>
          </w:tcPr>
          <w:p w14:paraId="4E98DF59" w14:textId="77777777" w:rsidR="002E2825" w:rsidRDefault="00000000">
            <w:pPr>
              <w:pStyle w:val="Compact"/>
            </w:pPr>
            <w:r>
              <w:t>Strategies validated for one purpose are routinely applied to the other; negative predictive value and prognostic accuracy are not interchangeable</w:t>
            </w:r>
          </w:p>
        </w:tc>
        <w:tc>
          <w:tcPr>
            <w:tcW w:w="0" w:type="auto"/>
          </w:tcPr>
          <w:p w14:paraId="59BD2A7A" w14:textId="77777777" w:rsidR="002E2825" w:rsidRDefault="00000000">
            <w:pPr>
              <w:pStyle w:val="Compact"/>
            </w:pPr>
            <w:r>
              <w:t>Chapman et al. (2017); O’Rielly et al. (2023)</w:t>
            </w:r>
          </w:p>
        </w:tc>
      </w:tr>
      <w:tr w:rsidR="002E2825" w14:paraId="0955B5A1" w14:textId="77777777" w:rsidTr="002B48B7">
        <w:tc>
          <w:tcPr>
            <w:tcW w:w="0" w:type="auto"/>
          </w:tcPr>
          <w:p w14:paraId="0C153B1B" w14:textId="77777777" w:rsidR="002E2825" w:rsidRDefault="00000000">
            <w:pPr>
              <w:pStyle w:val="Compact"/>
            </w:pPr>
            <w:r>
              <w:t>Analytical vs clinical decision threshold</w:t>
            </w:r>
          </w:p>
        </w:tc>
        <w:tc>
          <w:tcPr>
            <w:tcW w:w="0" w:type="auto"/>
          </w:tcPr>
          <w:p w14:paraId="258943F1" w14:textId="77777777" w:rsidR="002E2825" w:rsidRDefault="00000000">
            <w:pPr>
              <w:pStyle w:val="Compact"/>
            </w:pPr>
            <w:r>
              <w:t>Analytical: limit of detection or quantitation of the assay. Clinical: concentration at which action changes</w:t>
            </w:r>
          </w:p>
        </w:tc>
        <w:tc>
          <w:tcPr>
            <w:tcW w:w="0" w:type="auto"/>
          </w:tcPr>
          <w:p w14:paraId="1E0032D2" w14:textId="77777777" w:rsidR="002E2825" w:rsidRDefault="00000000">
            <w:pPr>
              <w:pStyle w:val="Compact"/>
            </w:pPr>
            <w:r>
              <w:t>Single-sample rule-out relies on analytical performance at very low concentrations that varies between assays and laboratories</w:t>
            </w:r>
          </w:p>
        </w:tc>
        <w:tc>
          <w:tcPr>
            <w:tcW w:w="0" w:type="auto"/>
          </w:tcPr>
          <w:p w14:paraId="08AA5398" w14:textId="77777777" w:rsidR="002E2825" w:rsidRDefault="00000000">
            <w:pPr>
              <w:pStyle w:val="Compact"/>
            </w:pPr>
            <w:r>
              <w:t>Jaffe et al. (2023); Pickering et al. (2017)</w:t>
            </w:r>
          </w:p>
        </w:tc>
      </w:tr>
      <w:tr w:rsidR="002E2825" w14:paraId="379EE3FC" w14:textId="77777777" w:rsidTr="002B48B7">
        <w:tc>
          <w:tcPr>
            <w:tcW w:w="0" w:type="auto"/>
          </w:tcPr>
          <w:p w14:paraId="382598F0" w14:textId="77777777" w:rsidR="002E2825" w:rsidRDefault="00000000">
            <w:pPr>
              <w:pStyle w:val="Compact"/>
            </w:pPr>
            <w:r>
              <w:t xml:space="preserve">Obstructive vs non-obstructive </w:t>
            </w:r>
            <w:proofErr w:type="spellStart"/>
            <w:r>
              <w:t>ischaemic</w:t>
            </w:r>
            <w:proofErr w:type="spellEnd"/>
            <w:r>
              <w:t xml:space="preserve"> syndromes</w:t>
            </w:r>
          </w:p>
        </w:tc>
        <w:tc>
          <w:tcPr>
            <w:tcW w:w="0" w:type="auto"/>
          </w:tcPr>
          <w:p w14:paraId="1568F28D" w14:textId="77777777" w:rsidR="002E2825" w:rsidRDefault="00000000">
            <w:pPr>
              <w:pStyle w:val="Compact"/>
            </w:pPr>
            <w:r>
              <w:t xml:space="preserve">MINOCA: infarction without obstructive epicardial disease. INOCA: </w:t>
            </w:r>
            <w:proofErr w:type="spellStart"/>
            <w:r>
              <w:t>ischaemia</w:t>
            </w:r>
            <w:proofErr w:type="spellEnd"/>
            <w:r>
              <w:t xml:space="preserve"> without obstructive disease and without infarction</w:t>
            </w:r>
          </w:p>
        </w:tc>
        <w:tc>
          <w:tcPr>
            <w:tcW w:w="0" w:type="auto"/>
          </w:tcPr>
          <w:p w14:paraId="762DCA02" w14:textId="77777777" w:rsidR="002E2825" w:rsidRDefault="00000000">
            <w:pPr>
              <w:pStyle w:val="Compact"/>
            </w:pPr>
            <w:r>
              <w:t>Both are excluded by design from most rule-out pathway validation, yet both generate recurrent presentations</w:t>
            </w:r>
          </w:p>
        </w:tc>
        <w:tc>
          <w:tcPr>
            <w:tcW w:w="0" w:type="auto"/>
          </w:tcPr>
          <w:p w14:paraId="55ABB72C" w14:textId="77777777" w:rsidR="002E2825" w:rsidRDefault="00000000">
            <w:pPr>
              <w:pStyle w:val="Compact"/>
            </w:pPr>
            <w:proofErr w:type="spellStart"/>
            <w:r>
              <w:t>Kunadian</w:t>
            </w:r>
            <w:proofErr w:type="spellEnd"/>
            <w:r>
              <w:t xml:space="preserve"> et al. (2020); Tamis-Holland et al. (2019)</w:t>
            </w:r>
          </w:p>
        </w:tc>
      </w:tr>
      <w:tr w:rsidR="002E2825" w14:paraId="3CAF5163" w14:textId="77777777" w:rsidTr="002B48B7">
        <w:tc>
          <w:tcPr>
            <w:tcW w:w="0" w:type="auto"/>
          </w:tcPr>
          <w:p w14:paraId="659CFB95" w14:textId="77777777" w:rsidR="002E2825" w:rsidRDefault="00000000">
            <w:pPr>
              <w:pStyle w:val="Compact"/>
            </w:pPr>
            <w:r>
              <w:t>Diagnostic performance vs patient outcome</w:t>
            </w:r>
          </w:p>
        </w:tc>
        <w:tc>
          <w:tcPr>
            <w:tcW w:w="0" w:type="auto"/>
          </w:tcPr>
          <w:p w14:paraId="526C7671" w14:textId="77777777" w:rsidR="002E2825" w:rsidRDefault="00000000">
            <w:pPr>
              <w:pStyle w:val="Compact"/>
            </w:pPr>
            <w:r>
              <w:t>Performance: sensitivity, specificity, predictive values. Outcome: death, recurrent infarction, functional status</w:t>
            </w:r>
          </w:p>
        </w:tc>
        <w:tc>
          <w:tcPr>
            <w:tcW w:w="0" w:type="auto"/>
          </w:tcPr>
          <w:p w14:paraId="2608BBCC" w14:textId="77777777" w:rsidR="002E2825" w:rsidRDefault="00000000">
            <w:pPr>
              <w:pStyle w:val="Compact"/>
            </w:pPr>
            <w:r>
              <w:t xml:space="preserve">Improvement in the former has repeatedly failed to produce improvement in the latter within </w:t>
            </w:r>
            <w:proofErr w:type="spellStart"/>
            <w:r>
              <w:t>randomised</w:t>
            </w:r>
            <w:proofErr w:type="spellEnd"/>
            <w:r>
              <w:t xml:space="preserve"> evaluation</w:t>
            </w:r>
          </w:p>
        </w:tc>
        <w:tc>
          <w:tcPr>
            <w:tcW w:w="0" w:type="auto"/>
          </w:tcPr>
          <w:p w14:paraId="3819466B" w14:textId="77777777" w:rsidR="002E2825" w:rsidRDefault="00000000">
            <w:pPr>
              <w:pStyle w:val="Compact"/>
            </w:pPr>
            <w:r>
              <w:t>Gray et al. (2021); Lee et al. (2023); Shah et al. (2018)</w:t>
            </w:r>
          </w:p>
        </w:tc>
      </w:tr>
    </w:tbl>
    <w:p w14:paraId="2CD206A0" w14:textId="77777777" w:rsidR="002E2825" w:rsidRDefault="00000000">
      <w:pPr>
        <w:pStyle w:val="BodyText"/>
      </w:pPr>
      <w:r>
        <w:rPr>
          <w:i/>
          <w:iCs/>
        </w:rPr>
        <w:t>Note.</w:t>
      </w:r>
      <w:r>
        <w:t xml:space="preserve"> ACS = acute coronary syndrome; INOCA = </w:t>
      </w:r>
      <w:proofErr w:type="spellStart"/>
      <w:r>
        <w:t>ischaemia</w:t>
      </w:r>
      <w:proofErr w:type="spellEnd"/>
      <w:r>
        <w:t xml:space="preserve"> with non-obstructive coronary arteries; MINOCA = myocardial infarction with non-obstructive coronary arteries; URL = upper reference limit.</w:t>
      </w:r>
    </w:p>
    <w:p w14:paraId="105502CB" w14:textId="77777777" w:rsidR="002E2825" w:rsidRDefault="00000000">
      <w:pPr>
        <w:pStyle w:val="Heading2"/>
      </w:pPr>
      <w:bookmarkStart w:id="15" w:name="Xab4000ed07407ef71dadde29769a18d8cd86ada"/>
      <w:bookmarkEnd w:id="11"/>
      <w:bookmarkEnd w:id="14"/>
      <w:r>
        <w:t>4. High-Sensitivity Cardiac Troponin and the Reconstruction of Rule-Out</w:t>
      </w:r>
    </w:p>
    <w:p w14:paraId="2858D0FB" w14:textId="77777777" w:rsidR="002E2825" w:rsidRDefault="00000000">
      <w:pPr>
        <w:pStyle w:val="Heading3"/>
      </w:pPr>
      <w:bookmarkStart w:id="16" w:name="X02b99d5dd2af4b25404198f100c3ed009ac257c"/>
      <w:r>
        <w:t>4.1 Analytical foundations and the meaning of a threshold</w:t>
      </w:r>
    </w:p>
    <w:p w14:paraId="7255FF9A" w14:textId="77777777" w:rsidR="002E2825" w:rsidRDefault="00000000">
      <w:pPr>
        <w:pStyle w:val="FirstParagraph"/>
      </w:pPr>
      <w:r>
        <w:t>High-sensitivity cardiac troponin assays are defined by their ability to measure concentrations below the ninety-ninth percentile upper reference limit in a substantial majority of a healthy reference population with acceptable imprecision. This property, rather than any change in the biomarker itself, is what enabled the diagnostic acceleration of the past decade. It also introduced interpretive difficulties that the earlier generation of assays concealed. Concentrations vary with age, sex, renal function and comorbidity, so that a single population-derived threshold necessarily performs differently across subgroups, and small serial changes require careful attention to assay imprecision at low concentrations (Sandoval et al., 2022).</w:t>
      </w:r>
    </w:p>
    <w:p w14:paraId="683BAFA7" w14:textId="77777777" w:rsidR="002E2825" w:rsidRDefault="00000000">
      <w:pPr>
        <w:pStyle w:val="BodyText"/>
      </w:pPr>
      <w:r>
        <w:t xml:space="preserve">The dependence of diagnostic strategy on assay-specific characteristics is frequently </w:t>
      </w:r>
      <w:proofErr w:type="spellStart"/>
      <w:r>
        <w:t>underemphasised</w:t>
      </w:r>
      <w:proofErr w:type="spellEnd"/>
      <w:r>
        <w:t xml:space="preserve"> in clinical discussion. Thresholds validated for one manufacturer’s assay </w:t>
      </w:r>
      <w:r>
        <w:lastRenderedPageBreak/>
        <w:t>cannot be transferred to another, and the limit of detection, the limit of quantitation and the ninety-ninth percentile differ across platforms in ways that materially affect the proportion of patients eligible for early rule-out. Expert methodological guidance has been explicit that single-measurement strategies require assay-specific validation and appropriate laboratory reporting practices, including reporting of concentrations below the limit of quantitation where the strategy depends on them (Jaffe et al., 2023). Where these conditions are not met, the published performance of a strategy does not transfer.</w:t>
      </w:r>
    </w:p>
    <w:p w14:paraId="54CE8B7C" w14:textId="77777777" w:rsidR="002E2825" w:rsidRDefault="00000000">
      <w:pPr>
        <w:pStyle w:val="Heading3"/>
      </w:pPr>
      <w:bookmarkStart w:id="17" w:name="single-measurement-rule-out"/>
      <w:bookmarkEnd w:id="16"/>
      <w:r>
        <w:t>4.2 Single-measurement rule-out</w:t>
      </w:r>
    </w:p>
    <w:p w14:paraId="12C9EA84" w14:textId="77777777" w:rsidR="002E2825" w:rsidRDefault="00000000">
      <w:pPr>
        <w:pStyle w:val="FirstParagraph"/>
      </w:pPr>
      <w:r>
        <w:t>The most efficient strategy conceptually is exclusion of infarction on a single blood sample obtained at presentation. Collaborative synthesis of individual studies established that a high-sensitivity cardiac troponin T concentration below the assay limit of detection, combined with a non-</w:t>
      </w:r>
      <w:proofErr w:type="spellStart"/>
      <w:r>
        <w:t>ischaemic</w:t>
      </w:r>
      <w:proofErr w:type="spellEnd"/>
      <w:r>
        <w:t xml:space="preserve"> electrocardiogram, achieves pooled sensitivity approaching ninety-nine per cent and negative predictive value above ninety-nine per cent for index myocardial infarction (Pickering et al., 2017). The strategy identifies a substantial minority of attendances as suitable for immediate discharge without serial testing, and it has been incorporated into contemporary guidance as an acceptable approach when combined with clinical assessment (Byrne et al., 2023; Gulati et al., 2021).</w:t>
      </w:r>
    </w:p>
    <w:p w14:paraId="673694F4" w14:textId="77777777" w:rsidR="002E2825" w:rsidRDefault="00000000">
      <w:pPr>
        <w:pStyle w:val="BodyText"/>
      </w:pPr>
      <w:r>
        <w:t>Three limitations qualify this conclusion. First, the meta-analytic estimate aggregates cohorts differing in prevalence, adjudication method and the proportion of patients presenting very early after symptom onset, and heterogeneity in sensitivity between contributing cohorts was not negligible. Second, patients presenting within the first hours of symptom onset may have concentrations below the limit of detection despite evolving infarction, which is why most guidance restricts single-sample rule-out either by symptom duration or by requiring an additional clinical criterion. Third, the strategy’s dependence on very low-concentration measurement makes it vulnerable to differences in laboratory practice, and the proportion of patients eligible differs substantially between assays (Jaffe et al., 2023). A methodological review of low-concentration rule-out approaches concluded that performance is acceptable but that reporting standards and validation quality across contributing studies were uneven, with incomplete blinding and variable handling of indeterminate results (Westwood, Armstrong, et al., 2021).</w:t>
      </w:r>
    </w:p>
    <w:p w14:paraId="33FD4E07" w14:textId="77777777" w:rsidR="002E2825" w:rsidRDefault="00000000">
      <w:pPr>
        <w:pStyle w:val="Heading3"/>
      </w:pPr>
      <w:bookmarkStart w:id="18" w:name="serial-sampling-algorithms"/>
      <w:bookmarkEnd w:id="17"/>
      <w:r>
        <w:t>4.3 Serial-sampling algorithms</w:t>
      </w:r>
    </w:p>
    <w:p w14:paraId="17A71FE9" w14:textId="77777777" w:rsidR="002E2825" w:rsidRDefault="00000000">
      <w:pPr>
        <w:pStyle w:val="FirstParagraph"/>
      </w:pPr>
      <w:r>
        <w:t xml:space="preserve">Where a single sample cannot exclude infarction, the dominant contemporary approach is a fixed short-interval serial algorithm. The </w:t>
      </w:r>
      <w:proofErr w:type="spellStart"/>
      <w:r>
        <w:t>zero-hour</w:t>
      </w:r>
      <w:proofErr w:type="spellEnd"/>
      <w:r>
        <w:t xml:space="preserve"> and one-hour algorithm assigns patients to rule-out, observation or rule-in categories on the basis of the presenting concentration and its absolute change, and carries a strong recommendation in European guidance (Byrne et al., 2023). Its principal validated advantage is speed: a diagnostic decision within an hour of the first sample for the majority of patients, with the observation zone retained for those in whom neither rule-out nor rule-in criteria are met.</w:t>
      </w:r>
    </w:p>
    <w:p w14:paraId="017FFE6C" w14:textId="77777777" w:rsidR="002E2825" w:rsidRDefault="00000000">
      <w:pPr>
        <w:pStyle w:val="BodyText"/>
      </w:pPr>
      <w:r>
        <w:t xml:space="preserve">The observation zone is the algorithm’s least satisfactory element and has attracted focused study. Approximately a fifth of patients fall into it, and the group is heterogeneous, containing both patients with evolving infarction and patients with chronic troponin </w:t>
      </w:r>
      <w:r>
        <w:lastRenderedPageBreak/>
        <w:t xml:space="preserve">elevation. Refinement of the criteria used to triage this group, incorporating additional sampling and clinical variables, improved the proportion of patients receiving a definitive early classification without evident loss of safety in a large prospective </w:t>
      </w:r>
      <w:proofErr w:type="spellStart"/>
      <w:r>
        <w:t>multicentre</w:t>
      </w:r>
      <w:proofErr w:type="spellEnd"/>
      <w:r>
        <w:t xml:space="preserve"> cohort (Lopez-Ayala et al., 2021). The refinement has not been evaluated prospectively as an implemented strategy, and its derivation and validation share overlapping infrastructure and investigators, which constrains confidence in transportability.</w:t>
      </w:r>
    </w:p>
    <w:p w14:paraId="2650215E" w14:textId="77777777" w:rsidR="002E2825" w:rsidRDefault="00000000">
      <w:pPr>
        <w:pStyle w:val="BodyText"/>
      </w:pPr>
      <w:r>
        <w:t xml:space="preserve">Whether the one-hour interval confers advantage over slightly longer intervals has been less clear than the strength of guideline recommendation suggests. Direct comparison within a large prospective </w:t>
      </w:r>
      <w:proofErr w:type="spellStart"/>
      <w:r>
        <w:t>multicentre</w:t>
      </w:r>
      <w:proofErr w:type="spellEnd"/>
      <w:r>
        <w:t xml:space="preserve"> cohort of the </w:t>
      </w:r>
      <w:proofErr w:type="spellStart"/>
      <w:r>
        <w:t>zero-hour</w:t>
      </w:r>
      <w:proofErr w:type="spellEnd"/>
      <w:r>
        <w:t xml:space="preserve"> and one-hour algorithm against </w:t>
      </w:r>
      <w:proofErr w:type="spellStart"/>
      <w:r>
        <w:t>zero-hour</w:t>
      </w:r>
      <w:proofErr w:type="spellEnd"/>
      <w:r>
        <w:t xml:space="preserve"> and two-hour or </w:t>
      </w:r>
      <w:proofErr w:type="spellStart"/>
      <w:r>
        <w:t>zero-hour</w:t>
      </w:r>
      <w:proofErr w:type="spellEnd"/>
      <w:r>
        <w:t xml:space="preserve"> and three-hour approaches found broadly comparable diagnostic performance, with differences in efficiency and in the size of the observation zone rather than in safety (Glaeser et al., 2026). This finding matters operationally, because the shorter interval imposes demands on phlebotomy and laboratory turnaround that many departments cannot meet reliably, and because failure to obtain the second sample at the specified time is a common cause of protocol deviation. The comparison was conducted within a research cohort with </w:t>
      </w:r>
      <w:proofErr w:type="spellStart"/>
      <w:r>
        <w:t>protocolised</w:t>
      </w:r>
      <w:proofErr w:type="spellEnd"/>
      <w:r>
        <w:t xml:space="preserve"> sampling, so it demonstrates equivalence of the algorithms rather than equivalence of their real-world implementations.</w:t>
      </w:r>
    </w:p>
    <w:p w14:paraId="6B1CEC76" w14:textId="77777777" w:rsidR="002E2825" w:rsidRDefault="00000000">
      <w:pPr>
        <w:pStyle w:val="BodyText"/>
      </w:pPr>
      <w:r>
        <w:t xml:space="preserve">Point-of-care assays offer a route around the turnaround constraint. External validation of the </w:t>
      </w:r>
      <w:proofErr w:type="spellStart"/>
      <w:r>
        <w:t>zero-hour</w:t>
      </w:r>
      <w:proofErr w:type="spellEnd"/>
      <w:r>
        <w:t xml:space="preserve"> and one-hour algorithm using a point-of-care high-sensitivity troponin I assay, with derivation of a corresponding </w:t>
      </w:r>
      <w:proofErr w:type="spellStart"/>
      <w:r>
        <w:t>zero-hour</w:t>
      </w:r>
      <w:proofErr w:type="spellEnd"/>
      <w:r>
        <w:t xml:space="preserve"> and two-hour approach, showed diagnostic performance comparable with laboratory-based strategies in a </w:t>
      </w:r>
      <w:proofErr w:type="spellStart"/>
      <w:r>
        <w:t>multicentre</w:t>
      </w:r>
      <w:proofErr w:type="spellEnd"/>
      <w:r>
        <w:t xml:space="preserve"> cohort (Koechlin et al., 2024). Evidence of this kind is derived rather than independently validated in the case of the two-hour algorithm, and analytical performance of point-of-care platforms at very low concentrations remains the principal uncertainty.</w:t>
      </w:r>
    </w:p>
    <w:p w14:paraId="4FA863FD" w14:textId="77777777" w:rsidR="002E2825" w:rsidRDefault="00000000">
      <w:pPr>
        <w:pStyle w:val="Heading3"/>
      </w:pPr>
      <w:bookmarkStart w:id="19" w:name="X1996bab6da8be1f68135631aee7c71487d0d2d7"/>
      <w:bookmarkEnd w:id="18"/>
      <w:r>
        <w:t>4.4 Populations in which algorithm performance degrades</w:t>
      </w:r>
    </w:p>
    <w:p w14:paraId="0A10BF8C" w14:textId="77777777" w:rsidR="002E2825" w:rsidRDefault="00000000">
      <w:pPr>
        <w:pStyle w:val="FirstParagraph"/>
      </w:pPr>
      <w:r>
        <w:t>Renal impairment presents the clearest example of subgroup failure. In a large cohort with adjudicated outcomes, high-sensitivity troponin concentrations were frequently elevated in patients with reduced estimated glomerular filtration rate in the absence of infarction, and diagnostic specificity and positive predictive value fell substantially as renal function declined, while sensitivity was preserved (Gallacher et al., 2022). The practical consequence is that rule-out remains reliable in this group while rule-in does not, which inverts the usual pattern of concern and argues for greater reliance on serial change and on clinical context rather than on absolute thresholds.</w:t>
      </w:r>
    </w:p>
    <w:p w14:paraId="3F912125" w14:textId="77777777" w:rsidR="002E2825" w:rsidRDefault="00000000">
      <w:pPr>
        <w:pStyle w:val="BodyText"/>
      </w:pPr>
      <w:r>
        <w:t xml:space="preserve">Sex-specific thresholds present a more contested case. Application of sex-specific ninety-ninth percentile values approximately doubled the diagnosis of myocardial infarction in women in a large stepped-wedge evaluation, correcting an apparent diagnostic deficit relative to men (Lee et al., 2019). The reclassified women were less likely than men to receive guideline-directed investigation and treatment after diagnosis, indicating that the diagnostic correction was not matched by a therapeutic one. Whether sex-specific thresholds improve outcomes remains unresolved: the reclassification identifies a group with elevated risk, but no trial has demonstrated that acting on the reclassification alters </w:t>
      </w:r>
      <w:r>
        <w:lastRenderedPageBreak/>
        <w:t xml:space="preserve">that risk. Commentary on the implications of contemporary guidance for women has </w:t>
      </w:r>
      <w:proofErr w:type="spellStart"/>
      <w:r>
        <w:t>emphasised</w:t>
      </w:r>
      <w:proofErr w:type="spellEnd"/>
      <w:r>
        <w:t xml:space="preserve"> that the diagnostic question cannot be separated from the downstream question of what treatment reclassified patients receive (Kaur et al., 2023; Maas et al., 2025).</w:t>
      </w:r>
    </w:p>
    <w:p w14:paraId="3DB166A0" w14:textId="77777777" w:rsidR="002E2825" w:rsidRDefault="00000000">
      <w:pPr>
        <w:pStyle w:val="BodyText"/>
      </w:pPr>
      <w:r>
        <w:t>Older patients with multimorbidity constitute the largest group in which chronic troponin elevation complicates interpretation, and they are systematically under-represented in the cohorts used to derive algorithms, partly because consent and adjudication requirements select against them. A multisite cohort evaluating high-sensitivity troponin T strategies together with clinical variables in a United States population reported performance consistent with European cohorts overall while demonstrating that the addition of clinical variables improved risk classification, a finding of particular relevance where baseline comorbidity is high (Allen et al., 2021).</w:t>
      </w:r>
    </w:p>
    <w:p w14:paraId="59BAEE53" w14:textId="77777777" w:rsidR="002E2825" w:rsidRDefault="00000000">
      <w:pPr>
        <w:pStyle w:val="Heading3"/>
      </w:pPr>
      <w:bookmarkStart w:id="20" w:name="X979211dcb7d943e919c093ef13f92b8cf736a7c"/>
      <w:bookmarkEnd w:id="19"/>
      <w:r>
        <w:t>4.5 The disjunction between diagnostic gain and clinical benefit</w:t>
      </w:r>
    </w:p>
    <w:p w14:paraId="7355DD10" w14:textId="77777777" w:rsidR="002E2825" w:rsidRDefault="00000000">
      <w:pPr>
        <w:pStyle w:val="FirstParagraph"/>
      </w:pPr>
      <w:r>
        <w:t>Application of the universal definition using a high-sensitivity assay reclassifies the composition of the diagnosed population as much as it expands its size: in a large trial cohort, the majority of patients with troponin elevation had type 2 infarction or myocardial injury rather than type 1 infarction, and their outcomes differed accordingly (Chapman et al., 2020). The most important and least comfortable finding in this literature is that improved detection has not translated into improved outcomes. A stepped-wedge cluster-</w:t>
      </w:r>
      <w:proofErr w:type="spellStart"/>
      <w:r>
        <w:t>randomised</w:t>
      </w:r>
      <w:proofErr w:type="spellEnd"/>
      <w:r>
        <w:t xml:space="preserve"> evaluation of the implementation of a high-sensitivity troponin I assay with a sex-specific threshold reclassified a substantial number of patients as having myocardial injury, yet did not reduce subsequent myocardial infarction or cardiovascular death at one year (Shah et al., 2018). Extended observational follow-up of the same trial population to five years found no reduction in myocardial infarction or death associated with implementation (Lee et al., 2023). The finding has been interpreted in several ways: that reclassified patients largely have myocardial injury or type 2 infarction for which no effective specific therapy exists; that guideline-directed management was not consistently applied to reclassified patients; or that the follow-up period and event rates were insufficient to detect a modest benefit. Each interpretation is plausible, and the design cannot distinguish between them, since implementation trials evaluate a bundle rather than an isolated mechanism.</w:t>
      </w:r>
    </w:p>
    <w:p w14:paraId="400E92C4" w14:textId="77777777" w:rsidR="002E2825" w:rsidRDefault="00000000">
      <w:pPr>
        <w:pStyle w:val="BodyText"/>
      </w:pPr>
      <w:r>
        <w:t>Prognostic data support the first interpretation in part. Patients with type 2 myocardial infarction and those with myocardial injury without infarction have long-term mortality exceeding that of patients with type 1 infarction, driven predominantly by non-cardiovascular causes, and coronary-directed therapy would not be expected to modify that trajectory (Chapman et al., 2018). Analysis of oxygen supply–demand imbalance within the type 2 group demonstrated that outcomes vary substantially according to the precipitating mechanism, indicating that the category is too heterogeneous to be managed as a unit (</w:t>
      </w:r>
      <w:proofErr w:type="spellStart"/>
      <w:r>
        <w:t>Bularga</w:t>
      </w:r>
      <w:proofErr w:type="spellEnd"/>
      <w:r>
        <w:t xml:space="preserve"> et al., 2022). The absence of trial evidence for any specific intervention in this population is the central unresolved problem created by the sensitivity of contemporary assays.</w:t>
      </w:r>
    </w:p>
    <w:p w14:paraId="0A214F09" w14:textId="77777777" w:rsidR="002E2825" w:rsidRDefault="00000000">
      <w:pPr>
        <w:pStyle w:val="BodyText"/>
      </w:pPr>
      <w:r>
        <w:lastRenderedPageBreak/>
        <w:t>The available strategies for early exclusion of infarction differ in the number of samples required, the populations in which they have been validated and the operational conditions they impose. Table 2 compares them on those dimensions rather than on pooled accuracy estimates, since the underlying studies differ in prevalence and adjudication to a degree that makes direct numerical comparison misleading. The comparison indicates that the choice among strategies is determined less by diagnostic performance, which is broadly similar, than by assay availability, laboratory logistics and the case mix of the department.</w:t>
      </w:r>
    </w:p>
    <w:p w14:paraId="3AE1B9FA" w14:textId="77777777" w:rsidR="002E2825" w:rsidRDefault="00000000">
      <w:pPr>
        <w:pStyle w:val="BodyText"/>
      </w:pPr>
      <w:r>
        <w:rPr>
          <w:b/>
          <w:bCs/>
        </w:rPr>
        <w:t>Table 2. Comparison of early rule-out strategies for myocardial infarction in emergency department populations</w:t>
      </w:r>
    </w:p>
    <w:tbl>
      <w:tblPr>
        <w:tblStyle w:val="TableGrid"/>
        <w:tblW w:w="5000" w:type="pct"/>
        <w:tblLook w:val="0020" w:firstRow="1" w:lastRow="0" w:firstColumn="0" w:lastColumn="0" w:noHBand="0" w:noVBand="0"/>
      </w:tblPr>
      <w:tblGrid>
        <w:gridCol w:w="1400"/>
        <w:gridCol w:w="1560"/>
        <w:gridCol w:w="1624"/>
        <w:gridCol w:w="1618"/>
        <w:gridCol w:w="1946"/>
        <w:gridCol w:w="1428"/>
      </w:tblGrid>
      <w:tr w:rsidR="002E2825" w14:paraId="3405C505" w14:textId="77777777" w:rsidTr="002B48B7">
        <w:tc>
          <w:tcPr>
            <w:tcW w:w="0" w:type="auto"/>
          </w:tcPr>
          <w:p w14:paraId="00A87E05" w14:textId="77777777" w:rsidR="002E2825" w:rsidRDefault="00000000">
            <w:pPr>
              <w:pStyle w:val="Compact"/>
            </w:pPr>
            <w:r>
              <w:t>Strategy</w:t>
            </w:r>
          </w:p>
        </w:tc>
        <w:tc>
          <w:tcPr>
            <w:tcW w:w="0" w:type="auto"/>
          </w:tcPr>
          <w:p w14:paraId="5AF74342" w14:textId="77777777" w:rsidR="002E2825" w:rsidRDefault="00000000">
            <w:pPr>
              <w:pStyle w:val="Compact"/>
            </w:pPr>
            <w:r>
              <w:t>Sampling requirement</w:t>
            </w:r>
          </w:p>
        </w:tc>
        <w:tc>
          <w:tcPr>
            <w:tcW w:w="0" w:type="auto"/>
          </w:tcPr>
          <w:p w14:paraId="5ADC12B8" w14:textId="77777777" w:rsidR="002E2825" w:rsidRDefault="00000000">
            <w:pPr>
              <w:pStyle w:val="Compact"/>
            </w:pPr>
            <w:r>
              <w:t>Principal validation evidence</w:t>
            </w:r>
          </w:p>
        </w:tc>
        <w:tc>
          <w:tcPr>
            <w:tcW w:w="0" w:type="auto"/>
          </w:tcPr>
          <w:p w14:paraId="47C6F6AF" w14:textId="77777777" w:rsidR="002E2825" w:rsidRDefault="00000000">
            <w:pPr>
              <w:pStyle w:val="Compact"/>
            </w:pPr>
            <w:r>
              <w:t>Principal strengths</w:t>
            </w:r>
          </w:p>
        </w:tc>
        <w:tc>
          <w:tcPr>
            <w:tcW w:w="0" w:type="auto"/>
          </w:tcPr>
          <w:p w14:paraId="36F2693F" w14:textId="77777777" w:rsidR="002E2825" w:rsidRDefault="00000000">
            <w:pPr>
              <w:pStyle w:val="Compact"/>
            </w:pPr>
            <w:r>
              <w:t>Principal limitations</w:t>
            </w:r>
          </w:p>
        </w:tc>
        <w:tc>
          <w:tcPr>
            <w:tcW w:w="0" w:type="auto"/>
          </w:tcPr>
          <w:p w14:paraId="0CBC6F48" w14:textId="77777777" w:rsidR="002E2825" w:rsidRDefault="00000000">
            <w:pPr>
              <w:pStyle w:val="Compact"/>
            </w:pPr>
            <w:r>
              <w:t>Supporting references</w:t>
            </w:r>
          </w:p>
        </w:tc>
      </w:tr>
      <w:tr w:rsidR="002E2825" w14:paraId="3A4EAC9E" w14:textId="77777777" w:rsidTr="002B48B7">
        <w:tc>
          <w:tcPr>
            <w:tcW w:w="0" w:type="auto"/>
          </w:tcPr>
          <w:p w14:paraId="5C641C91" w14:textId="77777777" w:rsidR="002E2825" w:rsidRDefault="00000000">
            <w:pPr>
              <w:pStyle w:val="Compact"/>
            </w:pPr>
            <w:r>
              <w:t>Single sample below limit of detection with non-</w:t>
            </w:r>
            <w:proofErr w:type="spellStart"/>
            <w:r>
              <w:t>ischaemic</w:t>
            </w:r>
            <w:proofErr w:type="spellEnd"/>
            <w:r>
              <w:t xml:space="preserve"> ECG</w:t>
            </w:r>
          </w:p>
        </w:tc>
        <w:tc>
          <w:tcPr>
            <w:tcW w:w="0" w:type="auto"/>
          </w:tcPr>
          <w:p w14:paraId="07A8D905" w14:textId="77777777" w:rsidR="002E2825" w:rsidRDefault="00000000">
            <w:pPr>
              <w:pStyle w:val="Compact"/>
            </w:pPr>
            <w:r>
              <w:t>One sample at presentation</w:t>
            </w:r>
          </w:p>
        </w:tc>
        <w:tc>
          <w:tcPr>
            <w:tcW w:w="0" w:type="auto"/>
          </w:tcPr>
          <w:p w14:paraId="739A4F55" w14:textId="77777777" w:rsidR="002E2825" w:rsidRDefault="00000000">
            <w:pPr>
              <w:pStyle w:val="Compact"/>
            </w:pPr>
            <w:r>
              <w:t>Collaborative meta-analysis of prospective cohorts</w:t>
            </w:r>
          </w:p>
        </w:tc>
        <w:tc>
          <w:tcPr>
            <w:tcW w:w="0" w:type="auto"/>
          </w:tcPr>
          <w:p w14:paraId="01E26AC4" w14:textId="77777777" w:rsidR="002E2825" w:rsidRDefault="00000000">
            <w:pPr>
              <w:pStyle w:val="Compact"/>
            </w:pPr>
            <w:r>
              <w:t>Highest efficiency; no second sample; high sensitivity and negative predictive value</w:t>
            </w:r>
          </w:p>
        </w:tc>
        <w:tc>
          <w:tcPr>
            <w:tcW w:w="0" w:type="auto"/>
          </w:tcPr>
          <w:p w14:paraId="6626907B" w14:textId="77777777" w:rsidR="002E2825" w:rsidRDefault="00000000">
            <w:pPr>
              <w:pStyle w:val="Compact"/>
            </w:pPr>
            <w:r>
              <w:t>Assay-specific; unreliable in very early presenters; depends on laboratory reporting below limit of quantitation</w:t>
            </w:r>
          </w:p>
        </w:tc>
        <w:tc>
          <w:tcPr>
            <w:tcW w:w="0" w:type="auto"/>
          </w:tcPr>
          <w:p w14:paraId="7081B020" w14:textId="77777777" w:rsidR="002E2825" w:rsidRDefault="00000000">
            <w:pPr>
              <w:pStyle w:val="Compact"/>
            </w:pPr>
            <w:r>
              <w:t>Jaffe et al. (2023); Pickering et al. (2017); Westwood, Armstrong, et al. (2021)</w:t>
            </w:r>
          </w:p>
        </w:tc>
      </w:tr>
      <w:tr w:rsidR="002E2825" w14:paraId="54327104" w14:textId="77777777" w:rsidTr="002B48B7">
        <w:tc>
          <w:tcPr>
            <w:tcW w:w="0" w:type="auto"/>
          </w:tcPr>
          <w:p w14:paraId="7740FFF0" w14:textId="77777777" w:rsidR="002E2825" w:rsidRDefault="00000000">
            <w:pPr>
              <w:pStyle w:val="Compact"/>
            </w:pPr>
            <w:r>
              <w:t>ESC 0/1 h algorithm</w:t>
            </w:r>
          </w:p>
        </w:tc>
        <w:tc>
          <w:tcPr>
            <w:tcW w:w="0" w:type="auto"/>
          </w:tcPr>
          <w:p w14:paraId="13A79286" w14:textId="77777777" w:rsidR="002E2825" w:rsidRDefault="00000000">
            <w:pPr>
              <w:pStyle w:val="Compact"/>
            </w:pPr>
            <w:r>
              <w:t>Two samples one hour apart</w:t>
            </w:r>
          </w:p>
        </w:tc>
        <w:tc>
          <w:tcPr>
            <w:tcW w:w="0" w:type="auto"/>
          </w:tcPr>
          <w:p w14:paraId="1EACEDBB" w14:textId="77777777" w:rsidR="002E2825" w:rsidRDefault="00000000">
            <w:pPr>
              <w:pStyle w:val="Compact"/>
            </w:pPr>
            <w:r>
              <w:t xml:space="preserve">Large prospective </w:t>
            </w:r>
            <w:proofErr w:type="spellStart"/>
            <w:r>
              <w:t>multicentre</w:t>
            </w:r>
            <w:proofErr w:type="spellEnd"/>
            <w:r>
              <w:t xml:space="preserve"> cohorts; guideline endorsement</w:t>
            </w:r>
          </w:p>
        </w:tc>
        <w:tc>
          <w:tcPr>
            <w:tcW w:w="0" w:type="auto"/>
          </w:tcPr>
          <w:p w14:paraId="6B28EA9C" w14:textId="77777777" w:rsidR="002E2825" w:rsidRDefault="00000000">
            <w:pPr>
              <w:pStyle w:val="Compact"/>
            </w:pPr>
            <w:r>
              <w:t>Rapid definitive classification for most patients; extensively externally validated</w:t>
            </w:r>
          </w:p>
        </w:tc>
        <w:tc>
          <w:tcPr>
            <w:tcW w:w="0" w:type="auto"/>
          </w:tcPr>
          <w:p w14:paraId="1BBD4E0C" w14:textId="77777777" w:rsidR="002E2825" w:rsidRDefault="00000000">
            <w:pPr>
              <w:pStyle w:val="Compact"/>
            </w:pPr>
            <w:r>
              <w:t>Observation zone in approximately one fifth of patients; demanding sampling logistics; performance altered in renal impairment</w:t>
            </w:r>
          </w:p>
        </w:tc>
        <w:tc>
          <w:tcPr>
            <w:tcW w:w="0" w:type="auto"/>
          </w:tcPr>
          <w:p w14:paraId="4867E113" w14:textId="77777777" w:rsidR="002E2825" w:rsidRDefault="00000000">
            <w:pPr>
              <w:pStyle w:val="Compact"/>
            </w:pPr>
            <w:r>
              <w:t>Byrne et al. (2023); Glaeser et al. (2026); Lopez-Ayala et al. (2021)</w:t>
            </w:r>
          </w:p>
        </w:tc>
      </w:tr>
      <w:tr w:rsidR="002E2825" w14:paraId="1B9975B0" w14:textId="77777777" w:rsidTr="002B48B7">
        <w:tc>
          <w:tcPr>
            <w:tcW w:w="0" w:type="auto"/>
          </w:tcPr>
          <w:p w14:paraId="2E267B80" w14:textId="77777777" w:rsidR="002E2825" w:rsidRDefault="00000000">
            <w:pPr>
              <w:pStyle w:val="Compact"/>
            </w:pPr>
            <w:r>
              <w:t>0/2 h or 0/3 h algorithms</w:t>
            </w:r>
          </w:p>
        </w:tc>
        <w:tc>
          <w:tcPr>
            <w:tcW w:w="0" w:type="auto"/>
          </w:tcPr>
          <w:p w14:paraId="155C9733" w14:textId="77777777" w:rsidR="002E2825" w:rsidRDefault="00000000">
            <w:pPr>
              <w:pStyle w:val="Compact"/>
            </w:pPr>
            <w:r>
              <w:t>Two samples two to three hours apart</w:t>
            </w:r>
          </w:p>
        </w:tc>
        <w:tc>
          <w:tcPr>
            <w:tcW w:w="0" w:type="auto"/>
          </w:tcPr>
          <w:p w14:paraId="1C212DC3" w14:textId="77777777" w:rsidR="002E2825" w:rsidRDefault="00000000">
            <w:pPr>
              <w:pStyle w:val="Compact"/>
            </w:pPr>
            <w:r>
              <w:t xml:space="preserve">Direct comparison within prospective </w:t>
            </w:r>
            <w:proofErr w:type="spellStart"/>
            <w:r>
              <w:t>multicentre</w:t>
            </w:r>
            <w:proofErr w:type="spellEnd"/>
            <w:r>
              <w:t xml:space="preserve"> cohort</w:t>
            </w:r>
          </w:p>
        </w:tc>
        <w:tc>
          <w:tcPr>
            <w:tcW w:w="0" w:type="auto"/>
          </w:tcPr>
          <w:p w14:paraId="3FE54817" w14:textId="77777777" w:rsidR="002E2825" w:rsidRDefault="00000000">
            <w:pPr>
              <w:pStyle w:val="Compact"/>
            </w:pPr>
            <w:r>
              <w:t>Comparable safety with less demanding timing; better suited to constrained laboratory turnaround</w:t>
            </w:r>
          </w:p>
        </w:tc>
        <w:tc>
          <w:tcPr>
            <w:tcW w:w="0" w:type="auto"/>
          </w:tcPr>
          <w:p w14:paraId="5A0B6150" w14:textId="77777777" w:rsidR="002E2825" w:rsidRDefault="00000000">
            <w:pPr>
              <w:pStyle w:val="Compact"/>
            </w:pPr>
            <w:r>
              <w:t>Longer stay for rule-out patients; fewer implementation studies</w:t>
            </w:r>
          </w:p>
        </w:tc>
        <w:tc>
          <w:tcPr>
            <w:tcW w:w="0" w:type="auto"/>
          </w:tcPr>
          <w:p w14:paraId="01A1146E" w14:textId="77777777" w:rsidR="002E2825" w:rsidRDefault="00000000">
            <w:pPr>
              <w:pStyle w:val="Compact"/>
            </w:pPr>
            <w:r>
              <w:t>Glaeser et al. (2026); Than et al. (2012)</w:t>
            </w:r>
          </w:p>
        </w:tc>
      </w:tr>
      <w:tr w:rsidR="002E2825" w14:paraId="589E032F" w14:textId="77777777" w:rsidTr="002B48B7">
        <w:tc>
          <w:tcPr>
            <w:tcW w:w="0" w:type="auto"/>
          </w:tcPr>
          <w:p w14:paraId="69449D7B" w14:textId="77777777" w:rsidR="002E2825" w:rsidRDefault="00000000">
            <w:pPr>
              <w:pStyle w:val="Compact"/>
            </w:pPr>
            <w:r>
              <w:t>Point-of-</w:t>
            </w:r>
            <w:r>
              <w:lastRenderedPageBreak/>
              <w:t>care high-sensitivity strategies</w:t>
            </w:r>
          </w:p>
        </w:tc>
        <w:tc>
          <w:tcPr>
            <w:tcW w:w="0" w:type="auto"/>
          </w:tcPr>
          <w:p w14:paraId="085A5409" w14:textId="77777777" w:rsidR="002E2825" w:rsidRDefault="00000000">
            <w:pPr>
              <w:pStyle w:val="Compact"/>
            </w:pPr>
            <w:r>
              <w:lastRenderedPageBreak/>
              <w:t xml:space="preserve">One or two </w:t>
            </w:r>
            <w:r>
              <w:lastRenderedPageBreak/>
              <w:t xml:space="preserve">samples, </w:t>
            </w:r>
            <w:proofErr w:type="spellStart"/>
            <w:r>
              <w:t>analysed</w:t>
            </w:r>
            <w:proofErr w:type="spellEnd"/>
            <w:r>
              <w:t xml:space="preserve"> at the bedside</w:t>
            </w:r>
          </w:p>
        </w:tc>
        <w:tc>
          <w:tcPr>
            <w:tcW w:w="0" w:type="auto"/>
          </w:tcPr>
          <w:p w14:paraId="0C569F0F" w14:textId="77777777" w:rsidR="002E2825" w:rsidRDefault="00000000">
            <w:pPr>
              <w:pStyle w:val="Compact"/>
            </w:pPr>
            <w:r>
              <w:lastRenderedPageBreak/>
              <w:t xml:space="preserve">External </w:t>
            </w:r>
            <w:r>
              <w:lastRenderedPageBreak/>
              <w:t>validation of 0/1 h and derivation of 0/2 h algorithms</w:t>
            </w:r>
          </w:p>
        </w:tc>
        <w:tc>
          <w:tcPr>
            <w:tcW w:w="0" w:type="auto"/>
          </w:tcPr>
          <w:p w14:paraId="7220C85B" w14:textId="77777777" w:rsidR="002E2825" w:rsidRDefault="00000000">
            <w:pPr>
              <w:pStyle w:val="Compact"/>
            </w:pPr>
            <w:r>
              <w:lastRenderedPageBreak/>
              <w:t xml:space="preserve">Removes </w:t>
            </w:r>
            <w:r>
              <w:lastRenderedPageBreak/>
              <w:t>laboratory turnaround as rate-limiting step; enables prehospital application</w:t>
            </w:r>
          </w:p>
        </w:tc>
        <w:tc>
          <w:tcPr>
            <w:tcW w:w="0" w:type="auto"/>
          </w:tcPr>
          <w:p w14:paraId="6EB336F4" w14:textId="77777777" w:rsidR="002E2825" w:rsidRDefault="00000000">
            <w:pPr>
              <w:pStyle w:val="Compact"/>
            </w:pPr>
            <w:r>
              <w:lastRenderedPageBreak/>
              <w:t xml:space="preserve">Analytical </w:t>
            </w:r>
            <w:r>
              <w:lastRenderedPageBreak/>
              <w:t>performance at very low concentrations remains the key uncertainty; 0/2 h approach derived not independently validated</w:t>
            </w:r>
          </w:p>
        </w:tc>
        <w:tc>
          <w:tcPr>
            <w:tcW w:w="0" w:type="auto"/>
          </w:tcPr>
          <w:p w14:paraId="6C501E0E" w14:textId="77777777" w:rsidR="002E2825" w:rsidRDefault="00000000">
            <w:pPr>
              <w:pStyle w:val="Compact"/>
            </w:pPr>
            <w:r>
              <w:lastRenderedPageBreak/>
              <w:t xml:space="preserve">Demandt et </w:t>
            </w:r>
            <w:r>
              <w:lastRenderedPageBreak/>
              <w:t>al. (2026); Koechlin et al. (2024)</w:t>
            </w:r>
          </w:p>
        </w:tc>
      </w:tr>
      <w:tr w:rsidR="002E2825" w14:paraId="19F1D4C9" w14:textId="77777777" w:rsidTr="002B48B7">
        <w:tc>
          <w:tcPr>
            <w:tcW w:w="0" w:type="auto"/>
          </w:tcPr>
          <w:p w14:paraId="40ED04E8" w14:textId="77777777" w:rsidR="002E2825" w:rsidRDefault="00000000">
            <w:pPr>
              <w:pStyle w:val="Compact"/>
            </w:pPr>
            <w:r>
              <w:lastRenderedPageBreak/>
              <w:t>Algorithms combined with clinical variables</w:t>
            </w:r>
          </w:p>
        </w:tc>
        <w:tc>
          <w:tcPr>
            <w:tcW w:w="0" w:type="auto"/>
          </w:tcPr>
          <w:p w14:paraId="5FE20229" w14:textId="77777777" w:rsidR="002E2825" w:rsidRDefault="00000000">
            <w:pPr>
              <w:pStyle w:val="Compact"/>
            </w:pPr>
            <w:r>
              <w:t>One or two samples plus structured clinical assessment</w:t>
            </w:r>
          </w:p>
        </w:tc>
        <w:tc>
          <w:tcPr>
            <w:tcW w:w="0" w:type="auto"/>
          </w:tcPr>
          <w:p w14:paraId="7C79BC7A" w14:textId="77777777" w:rsidR="002E2825" w:rsidRDefault="00000000">
            <w:pPr>
              <w:pStyle w:val="Compact"/>
            </w:pPr>
            <w:r>
              <w:t>Multisite cohorts and pathway trials</w:t>
            </w:r>
          </w:p>
        </w:tc>
        <w:tc>
          <w:tcPr>
            <w:tcW w:w="0" w:type="auto"/>
          </w:tcPr>
          <w:p w14:paraId="65408F80" w14:textId="77777777" w:rsidR="002E2825" w:rsidRDefault="00000000">
            <w:pPr>
              <w:pStyle w:val="Compact"/>
            </w:pPr>
            <w:r>
              <w:t>Improves classification where comorbidity is prevalent; addresses non-infarction causes of presentation</w:t>
            </w:r>
          </w:p>
        </w:tc>
        <w:tc>
          <w:tcPr>
            <w:tcW w:w="0" w:type="auto"/>
          </w:tcPr>
          <w:p w14:paraId="78CE1303" w14:textId="77777777" w:rsidR="002E2825" w:rsidRDefault="00000000">
            <w:pPr>
              <w:pStyle w:val="Compact"/>
            </w:pPr>
            <w:r>
              <w:t>Added complexity; variable adherence; risk-score components differ in reproducibility</w:t>
            </w:r>
          </w:p>
        </w:tc>
        <w:tc>
          <w:tcPr>
            <w:tcW w:w="0" w:type="auto"/>
          </w:tcPr>
          <w:p w14:paraId="14BC616A" w14:textId="77777777" w:rsidR="002E2825" w:rsidRDefault="00000000">
            <w:pPr>
              <w:pStyle w:val="Compact"/>
            </w:pPr>
            <w:r>
              <w:t>Allen et al. (2021); Mahler et al. (2015)</w:t>
            </w:r>
          </w:p>
        </w:tc>
      </w:tr>
    </w:tbl>
    <w:p w14:paraId="6D7CDC1D" w14:textId="77777777" w:rsidR="002E2825" w:rsidRDefault="00000000">
      <w:pPr>
        <w:pStyle w:val="BodyText"/>
      </w:pPr>
      <w:r>
        <w:rPr>
          <w:i/>
          <w:iCs/>
        </w:rPr>
        <w:t>Note.</w:t>
      </w:r>
      <w:r>
        <w:t xml:space="preserve"> ECG = electrocardiogram; ESC = European Society of Cardiology. Strategies are compared on validation context and operational requirements; pooled accuracy estimates are not tabulated because contributing cohorts differ substantially in prevalence and adjudication method.</w:t>
      </w:r>
    </w:p>
    <w:p w14:paraId="6A152E1B" w14:textId="77777777" w:rsidR="002E2825" w:rsidRDefault="00000000">
      <w:pPr>
        <w:pStyle w:val="Heading2"/>
      </w:pPr>
      <w:bookmarkStart w:id="21" w:name="Xdb0c092bc2814cc2762c1f19db8e9b6473983b9"/>
      <w:bookmarkEnd w:id="15"/>
      <w:bookmarkEnd w:id="20"/>
      <w:r>
        <w:t>5. Clinical Decision Pathways and the Problem of the Acceptable Threshold</w:t>
      </w:r>
    </w:p>
    <w:p w14:paraId="4996BF77" w14:textId="77777777" w:rsidR="002E2825" w:rsidRDefault="00000000">
      <w:pPr>
        <w:pStyle w:val="Heading3"/>
      </w:pPr>
      <w:bookmarkStart w:id="22" w:name="the-heart-score-and-its-derivatives"/>
      <w:r>
        <w:t>5.1 The HEART score and its derivatives</w:t>
      </w:r>
    </w:p>
    <w:p w14:paraId="373C0329" w14:textId="77777777" w:rsidR="002E2825" w:rsidRDefault="00000000">
      <w:pPr>
        <w:pStyle w:val="FirstParagraph"/>
      </w:pPr>
      <w:r>
        <w:t xml:space="preserve">Structured decision aids were developed to </w:t>
      </w:r>
      <w:proofErr w:type="spellStart"/>
      <w:r>
        <w:t>formalise</w:t>
      </w:r>
      <w:proofErr w:type="spellEnd"/>
      <w:r>
        <w:t xml:space="preserve"> what clinicians were already doing implicitly: combining history, electrocardiographic findings, age, risk factors and biomarker results into a categorical judgement. The HEART score assigns points across these five domains and stratifies patients into low, moderate and high-risk categories. Two independent meta-analyses reached compatible conclusions about its performance, reporting high sensitivity for major adverse cardiac events at the low-risk threshold while noting wide variation in specificity and in the proportion of patients classified as low risk across contributing studies (Fernando et al., 2019; Laureano-Phillips et al., 2019). Both syntheses drew attention to methodological weaknesses that recur throughout the decision-aid literature: retrospective score calculation from records not designed for the purpose, variable definitions of the composite outcome, differing follow-up durations, and inclusion of coronary </w:t>
      </w:r>
      <w:proofErr w:type="spellStart"/>
      <w:r>
        <w:t>revascularisation</w:t>
      </w:r>
      <w:proofErr w:type="spellEnd"/>
      <w:r>
        <w:t xml:space="preserve"> within the outcome, which introduces circularity because </w:t>
      </w:r>
      <w:proofErr w:type="spellStart"/>
      <w:r>
        <w:t>revascularisation</w:t>
      </w:r>
      <w:proofErr w:type="spellEnd"/>
      <w:r>
        <w:t xml:space="preserve"> is partly determined by the diagnostic pathway itself.</w:t>
      </w:r>
    </w:p>
    <w:p w14:paraId="145207F3" w14:textId="77777777" w:rsidR="002E2825" w:rsidRDefault="00000000">
      <w:pPr>
        <w:pStyle w:val="BodyText"/>
      </w:pPr>
      <w:r>
        <w:t xml:space="preserve">The composite outcome problem deserves particular emphasis. When </w:t>
      </w:r>
      <w:proofErr w:type="spellStart"/>
      <w:r>
        <w:t>revascularisation</w:t>
      </w:r>
      <w:proofErr w:type="spellEnd"/>
      <w:r>
        <w:t xml:space="preserve"> is counted as an adverse event, a pathway that leads to angiography mechanically generates events, and a pathway that leads to discharge does not. Comparisons across studies using </w:t>
      </w:r>
      <w:r>
        <w:lastRenderedPageBreak/>
        <w:t>different composite definitions therefore measure differences in management culture as much as differences in risk. A systematic review restricted to patients without acute myocardial infarction found that risk scores discriminated less well in that population than the headline figures suggest, which is precisely the population in whom the scores are used to justify discharge (O’Rielly et al., 2023). This is a substantive limitation rather than a technical caveat, and it is inconsistently acknowledged in guidance.</w:t>
      </w:r>
    </w:p>
    <w:p w14:paraId="2A07B6C4" w14:textId="77777777" w:rsidR="002E2825" w:rsidRDefault="00000000">
      <w:pPr>
        <w:pStyle w:val="BodyText"/>
      </w:pPr>
      <w:r>
        <w:t>Simplification of the score by removing the troponin component, producing the HEAR score, has been proposed for prehospital and pre-biomarker triage. Meta-analysis reported acceptable sensitivity at low thresholds but with confidence intervals wide enough to preclude confident use as a sole determinant of discharge, and with substantial heterogeneity between studies attributable to differing prevalence and outcome definition (Khaleghi Rad et al., 2022). The score’s principal utility is therefore in identifying patients in whom a single troponin measurement is likely to be sufficient, rather than in replacing biomarker measurement.</w:t>
      </w:r>
    </w:p>
    <w:p w14:paraId="04FB4D9B" w14:textId="77777777" w:rsidR="002E2825" w:rsidRDefault="00000000">
      <w:pPr>
        <w:pStyle w:val="Heading3"/>
      </w:pPr>
      <w:bookmarkStart w:id="23" w:name="alternative-pathway-architectures"/>
      <w:bookmarkEnd w:id="22"/>
      <w:r>
        <w:t>5.2 Alternative pathway architectures</w:t>
      </w:r>
    </w:p>
    <w:p w14:paraId="37DCE2F7" w14:textId="77777777" w:rsidR="002E2825" w:rsidRDefault="00000000">
      <w:pPr>
        <w:pStyle w:val="FirstParagraph"/>
      </w:pPr>
      <w:r>
        <w:t xml:space="preserve">Several alternative pathways were developed contemporaneously and encode different design philosophies. The two-hour accelerated diagnostic protocol combined a validated risk score with serial contemporary troponin measurement and demonstrated that a defined group could be identified for early discharge, establishing the feasibility of accelerated assessment before high-sensitivity assays were widely available (Than et al., 2012). Subsequent validation using a high-sensitivity troponin I assay within a two-hour strategy confirmed acceptable thirty-day outcomes in a </w:t>
      </w:r>
      <w:proofErr w:type="spellStart"/>
      <w:r>
        <w:t>multicentre</w:t>
      </w:r>
      <w:proofErr w:type="spellEnd"/>
      <w:r>
        <w:t xml:space="preserve"> cohort (Cullen et al., 2013).</w:t>
      </w:r>
    </w:p>
    <w:p w14:paraId="2FFBE54A" w14:textId="77777777" w:rsidR="002E2825" w:rsidRDefault="00000000">
      <w:pPr>
        <w:pStyle w:val="BodyText"/>
      </w:pPr>
      <w:r>
        <w:t xml:space="preserve">The Emergency Department Assessment of Chest Pain Score was developed specifically to </w:t>
      </w:r>
      <w:proofErr w:type="spellStart"/>
      <w:r>
        <w:t>maximise</w:t>
      </w:r>
      <w:proofErr w:type="spellEnd"/>
      <w:r>
        <w:t xml:space="preserve"> the proportion of patients eligible for early discharge rather than to </w:t>
      </w:r>
      <w:proofErr w:type="spellStart"/>
      <w:r>
        <w:t>maximise</w:t>
      </w:r>
      <w:proofErr w:type="spellEnd"/>
      <w:r>
        <w:t xml:space="preserve"> discrimination, an explicit design trade-off that distinguishes it from scores derived by conventional model-building (Than et al., 2014). Comparative evaluation of automatically calculated scores in a large </w:t>
      </w:r>
      <w:proofErr w:type="spellStart"/>
      <w:r>
        <w:t>multicentre</w:t>
      </w:r>
      <w:proofErr w:type="spellEnd"/>
      <w:r>
        <w:t xml:space="preserve"> prospective cohort found that this pathway identified a larger low-risk group than the HEART score at comparable sensitivity, although automated calculation from electronic records introduces its own measurement error and the comparison was retrospective in its score derivation (Mark et al., 2020).</w:t>
      </w:r>
    </w:p>
    <w:p w14:paraId="6D980D44" w14:textId="77777777" w:rsidR="002E2825" w:rsidRDefault="00000000">
      <w:pPr>
        <w:pStyle w:val="BodyText"/>
      </w:pPr>
      <w:r>
        <w:t>The Troponin-only Manchester Acute Coronary Syndromes decision aid takes a different approach again, using logistic regression to generate an individual probability rather than a categorical score, which permits explicit selection of a probability threshold for discharge (Body et al., 2017). Meta-analysis of the Manchester rules reported high sensitivity at the rule-out threshold with the same limitations of outcome heterogeneity seen elsewhere, and noted that most validation had been conducted in a small number of countries (</w:t>
      </w:r>
      <w:proofErr w:type="spellStart"/>
      <w:r>
        <w:t>Roshdi</w:t>
      </w:r>
      <w:proofErr w:type="spellEnd"/>
      <w:r>
        <w:t xml:space="preserve"> </w:t>
      </w:r>
      <w:proofErr w:type="spellStart"/>
      <w:r>
        <w:t>Dizaji</w:t>
      </w:r>
      <w:proofErr w:type="spellEnd"/>
      <w:r>
        <w:t xml:space="preserve"> et al., 2024). Direct comparison of five accelerated pathways using a single high-sensitivity troponin I assay within one cohort found that the pathways differed principally in the proportion of patients classified as low risk rather than in sensitivity, which suggests that the choice between them is largely a decision about acceptable efficiency at a fixed level of safety (Greenslade et al., 2018).</w:t>
      </w:r>
    </w:p>
    <w:p w14:paraId="7D41CB2E" w14:textId="77777777" w:rsidR="002E2825" w:rsidRDefault="00000000">
      <w:pPr>
        <w:pStyle w:val="Heading3"/>
      </w:pPr>
      <w:bookmarkStart w:id="24" w:name="Xe3fdef9c321391fdce0bc942903bf82a0b71344"/>
      <w:bookmarkEnd w:id="23"/>
      <w:r>
        <w:lastRenderedPageBreak/>
        <w:t>5.3 Trial evidence for pathway implementation</w:t>
      </w:r>
    </w:p>
    <w:p w14:paraId="601CB00D" w14:textId="77777777" w:rsidR="002E2825" w:rsidRDefault="00000000">
      <w:pPr>
        <w:pStyle w:val="FirstParagraph"/>
      </w:pPr>
      <w:proofErr w:type="spellStart"/>
      <w:r>
        <w:t>Randomised</w:t>
      </w:r>
      <w:proofErr w:type="spellEnd"/>
      <w:r>
        <w:t xml:space="preserve"> evaluation of pathway implementation is sparse relative to the volume of accuracy literature. The HEART Pathway </w:t>
      </w:r>
      <w:proofErr w:type="spellStart"/>
      <w:r>
        <w:t>randomised</w:t>
      </w:r>
      <w:proofErr w:type="spellEnd"/>
      <w:r>
        <w:t xml:space="preserve"> trial demonstrated that implementation reduced objective cardiac testing and increased early discharge without an excess of adverse events at thirty days, and one-year follow-up did not identify a signal of harm (Mahler et al., 2015; Stopyra et al., 2019). The trial was conducted at a single academic institution with a modest sample size, and its power to exclude a small increase in rare events was limited; the absence of a detected safety signal is therefore reassuring rather than conclusive.</w:t>
      </w:r>
    </w:p>
    <w:p w14:paraId="479AC4CE" w14:textId="77777777" w:rsidR="002E2825" w:rsidRDefault="00000000">
      <w:pPr>
        <w:pStyle w:val="BodyText"/>
      </w:pPr>
      <w:r>
        <w:t xml:space="preserve">Prehospital application represents the most substantial recent extension. A </w:t>
      </w:r>
      <w:proofErr w:type="spellStart"/>
      <w:r>
        <w:t>randomised</w:t>
      </w:r>
      <w:proofErr w:type="spellEnd"/>
      <w:r>
        <w:t xml:space="preserve"> trial of prehospital rule-out using a single point-of-care troponin measurement combined with a risk score reported that the strategy reduced hospital attendance without evidence of increased adverse events at one year (Aarts et al., 2024). An individual patient data meta-analysis of prehospital risk stratification using point-of-care troponin reinforced the finding that a substantial proportion of patients can be identified as low risk before hospital arrival, while highlighting that assay performance and the choice of risk-score threshold drive the trade-off between efficiency and missed events (Demandt et al., 2026). Neither body of evidence has yet been evaluated at the scale required to detect uncommon harms, and prehospital application shifts the consequences of misclassification into a setting with reduced capacity for observation.</w:t>
      </w:r>
    </w:p>
    <w:p w14:paraId="177CE3C3" w14:textId="77777777" w:rsidR="002E2825" w:rsidRDefault="00000000">
      <w:pPr>
        <w:pStyle w:val="BodyText"/>
      </w:pPr>
      <w:r>
        <w:t xml:space="preserve">Adherence is the recurrent implementation problem. Pathways derived and validated under research conditions are applied inconsistently in practice, with clinicians overriding low-risk classifications on the basis of factors the pathway does not capture. Analysis within a </w:t>
      </w:r>
      <w:proofErr w:type="spellStart"/>
      <w:r>
        <w:t>randomised</w:t>
      </w:r>
      <w:proofErr w:type="spellEnd"/>
      <w:r>
        <w:t xml:space="preserve"> trial of early computed tomography coronary angiography found that clinical decision aids and imaging results were used in combination in ways not anticipated by either protocol, illustrating that decision support is absorbed into existing practice rather than replacing it (Wang et al., 2024).</w:t>
      </w:r>
    </w:p>
    <w:p w14:paraId="2D3A69E9" w14:textId="77777777" w:rsidR="002E2825" w:rsidRDefault="00000000">
      <w:pPr>
        <w:pStyle w:val="Heading3"/>
      </w:pPr>
      <w:bookmarkStart w:id="25" w:name="what-counts-as-acceptably-low-risk"/>
      <w:bookmarkEnd w:id="24"/>
      <w:r>
        <w:t>5.4 What counts as acceptably low risk</w:t>
      </w:r>
    </w:p>
    <w:p w14:paraId="34FDE0B8" w14:textId="77777777" w:rsidR="002E2825" w:rsidRDefault="00000000">
      <w:pPr>
        <w:pStyle w:val="FirstParagraph"/>
      </w:pPr>
      <w:r>
        <w:t>The most fundamental unresolved question in this literature is not empirical. Pathways are calibrated to a missed-event rate that clinicians and researchers have described as acceptable, commonly framed as a one per cent risk of major adverse cardiac events within thirty days. That figure originated in survey work and expert consensus rather than in evidence about patient preference or societal willingness to accept diagnostic risk, and it has been applied to composite outcomes of varying composition. Whether patients themselves would accept that threshold, and whether their acceptance would vary with the burden of testing avoided, has been studied far less than the accuracy of the tools calibrated against it.</w:t>
      </w:r>
    </w:p>
    <w:p w14:paraId="0AA2BADA" w14:textId="77777777" w:rsidR="002E2825" w:rsidRDefault="00000000">
      <w:pPr>
        <w:pStyle w:val="BodyText"/>
      </w:pPr>
      <w:r>
        <w:t xml:space="preserve">Shared decision-making offers a partial route out of this difficulty. A </w:t>
      </w:r>
      <w:proofErr w:type="spellStart"/>
      <w:r>
        <w:t>multicentre</w:t>
      </w:r>
      <w:proofErr w:type="spellEnd"/>
      <w:r>
        <w:t xml:space="preserve"> </w:t>
      </w:r>
      <w:proofErr w:type="spellStart"/>
      <w:r>
        <w:t>randomised</w:t>
      </w:r>
      <w:proofErr w:type="spellEnd"/>
      <w:r>
        <w:t xml:space="preserve"> trial of a decision aid for patients with low-risk chest pain found that its use increased patient knowledge, increased engagement in the decision, and reduced admission to observation units, without evidence of increased adverse events (Hess et al., 2016). The trial was not powered to exclude rare harms and the intervention applied to a </w:t>
      </w:r>
      <w:r>
        <w:lastRenderedPageBreak/>
        <w:t>pre-selected low-risk group, so it does not establish that patients can safely be given latitude across the full risk spectrum. Its importance lies in demonstrating that the threshold question can be devolved to the individual patient in at least some circumstances, which reframes an apparently technical parameter as a matter of values.</w:t>
      </w:r>
    </w:p>
    <w:p w14:paraId="1FE70607" w14:textId="77777777" w:rsidR="002E2825" w:rsidRDefault="00000000">
      <w:pPr>
        <w:pStyle w:val="BodyText"/>
      </w:pPr>
      <w:r>
        <w:t>Table 3 compares the principal pathways on derivation approach, validation breadth and the specific weaknesses identified during appraisal. The comparison shows that no pathway is clearly superior on evidence quality, and that their differences lie in the proportion of patients classified as low risk and in the operational demands they impose. This convergence suggests that further comparative accuracy studies are unlikely to be informative, and that the remaining questions concern implementation fidelity and outcome effects.</w:t>
      </w:r>
    </w:p>
    <w:p w14:paraId="7CDF034C" w14:textId="77777777" w:rsidR="002E2825" w:rsidRDefault="00000000">
      <w:pPr>
        <w:pStyle w:val="BodyText"/>
      </w:pPr>
      <w:r>
        <w:rPr>
          <w:b/>
          <w:bCs/>
        </w:rPr>
        <w:t>Table 3. Critical comparison of structured decision pathways for suspected acute coronary syndrome</w:t>
      </w:r>
    </w:p>
    <w:tbl>
      <w:tblPr>
        <w:tblStyle w:val="TableGrid"/>
        <w:tblW w:w="5000" w:type="pct"/>
        <w:tblLook w:val="0020" w:firstRow="1" w:lastRow="0" w:firstColumn="0" w:lastColumn="0" w:noHBand="0" w:noVBand="0"/>
      </w:tblPr>
      <w:tblGrid>
        <w:gridCol w:w="1493"/>
        <w:gridCol w:w="1971"/>
        <w:gridCol w:w="2043"/>
        <w:gridCol w:w="2423"/>
        <w:gridCol w:w="1646"/>
      </w:tblGrid>
      <w:tr w:rsidR="002E2825" w14:paraId="18691C20" w14:textId="77777777" w:rsidTr="002B48B7">
        <w:tc>
          <w:tcPr>
            <w:tcW w:w="0" w:type="auto"/>
          </w:tcPr>
          <w:p w14:paraId="128E62C3" w14:textId="77777777" w:rsidR="002E2825" w:rsidRDefault="00000000">
            <w:pPr>
              <w:pStyle w:val="Compact"/>
            </w:pPr>
            <w:r>
              <w:t>Pathway</w:t>
            </w:r>
          </w:p>
        </w:tc>
        <w:tc>
          <w:tcPr>
            <w:tcW w:w="0" w:type="auto"/>
          </w:tcPr>
          <w:p w14:paraId="7B6F98E5" w14:textId="77777777" w:rsidR="002E2825" w:rsidRDefault="00000000">
            <w:pPr>
              <w:pStyle w:val="Compact"/>
            </w:pPr>
            <w:r>
              <w:t>Design approach</w:t>
            </w:r>
          </w:p>
        </w:tc>
        <w:tc>
          <w:tcPr>
            <w:tcW w:w="0" w:type="auto"/>
          </w:tcPr>
          <w:p w14:paraId="03498307" w14:textId="77777777" w:rsidR="002E2825" w:rsidRDefault="00000000">
            <w:pPr>
              <w:pStyle w:val="Compact"/>
            </w:pPr>
            <w:r>
              <w:t>Breadth of validation</w:t>
            </w:r>
          </w:p>
        </w:tc>
        <w:tc>
          <w:tcPr>
            <w:tcW w:w="0" w:type="auto"/>
          </w:tcPr>
          <w:p w14:paraId="36346482" w14:textId="77777777" w:rsidR="002E2825" w:rsidRDefault="00000000">
            <w:pPr>
              <w:pStyle w:val="Compact"/>
            </w:pPr>
            <w:r>
              <w:t>Identified methodological weaknesses</w:t>
            </w:r>
          </w:p>
        </w:tc>
        <w:tc>
          <w:tcPr>
            <w:tcW w:w="0" w:type="auto"/>
          </w:tcPr>
          <w:p w14:paraId="13009537" w14:textId="77777777" w:rsidR="002E2825" w:rsidRDefault="00000000">
            <w:pPr>
              <w:pStyle w:val="Compact"/>
            </w:pPr>
            <w:r>
              <w:t>Supporting references</w:t>
            </w:r>
          </w:p>
        </w:tc>
      </w:tr>
      <w:tr w:rsidR="002E2825" w14:paraId="4552B999" w14:textId="77777777" w:rsidTr="002B48B7">
        <w:tc>
          <w:tcPr>
            <w:tcW w:w="0" w:type="auto"/>
          </w:tcPr>
          <w:p w14:paraId="1368B37F" w14:textId="77777777" w:rsidR="002E2825" w:rsidRDefault="00000000">
            <w:pPr>
              <w:pStyle w:val="Compact"/>
            </w:pPr>
            <w:r>
              <w:t>HEART score and HEART Pathway</w:t>
            </w:r>
          </w:p>
        </w:tc>
        <w:tc>
          <w:tcPr>
            <w:tcW w:w="0" w:type="auto"/>
          </w:tcPr>
          <w:p w14:paraId="32BAC7A2" w14:textId="77777777" w:rsidR="002E2825" w:rsidRDefault="00000000">
            <w:pPr>
              <w:pStyle w:val="Compact"/>
            </w:pPr>
            <w:r>
              <w:t>Consensus-derived additive score across five clinical domains, combined with serial troponin in pathway form</w:t>
            </w:r>
          </w:p>
        </w:tc>
        <w:tc>
          <w:tcPr>
            <w:tcW w:w="0" w:type="auto"/>
          </w:tcPr>
          <w:p w14:paraId="42896A0B" w14:textId="77777777" w:rsidR="002E2825" w:rsidRDefault="00000000">
            <w:pPr>
              <w:pStyle w:val="Compact"/>
            </w:pPr>
            <w:r>
              <w:t>Extensive international validation; one single-</w:t>
            </w:r>
            <w:proofErr w:type="spellStart"/>
            <w:r>
              <w:t>centre</w:t>
            </w:r>
            <w:proofErr w:type="spellEnd"/>
            <w:r>
              <w:t xml:space="preserve"> </w:t>
            </w:r>
            <w:proofErr w:type="spellStart"/>
            <w:r>
              <w:t>randomised</w:t>
            </w:r>
            <w:proofErr w:type="spellEnd"/>
            <w:r>
              <w:t xml:space="preserve"> implementation trial</w:t>
            </w:r>
          </w:p>
        </w:tc>
        <w:tc>
          <w:tcPr>
            <w:tcW w:w="0" w:type="auto"/>
          </w:tcPr>
          <w:p w14:paraId="2CB5F9D2" w14:textId="77777777" w:rsidR="002E2825" w:rsidRDefault="00000000">
            <w:pPr>
              <w:pStyle w:val="Compact"/>
            </w:pPr>
            <w:r>
              <w:t xml:space="preserve">Retrospective score reconstruction in many validations; composite outcome includes </w:t>
            </w:r>
            <w:proofErr w:type="spellStart"/>
            <w:r>
              <w:t>revascularisation</w:t>
            </w:r>
            <w:proofErr w:type="spellEnd"/>
            <w:r>
              <w:t>; reduced discrimination in patients without infarction</w:t>
            </w:r>
          </w:p>
        </w:tc>
        <w:tc>
          <w:tcPr>
            <w:tcW w:w="0" w:type="auto"/>
          </w:tcPr>
          <w:p w14:paraId="5C3DAE40" w14:textId="77777777" w:rsidR="002E2825" w:rsidRDefault="00000000">
            <w:pPr>
              <w:pStyle w:val="Compact"/>
            </w:pPr>
            <w:r>
              <w:t>Fernando et al. (2019); Laureano-Phillips et al. (2019); Mahler et al. (2015); O’Rielly et al. (2023); Stopyra et al. (2019)</w:t>
            </w:r>
          </w:p>
        </w:tc>
      </w:tr>
      <w:tr w:rsidR="002E2825" w14:paraId="7CA06FB7" w14:textId="77777777" w:rsidTr="002B48B7">
        <w:tc>
          <w:tcPr>
            <w:tcW w:w="0" w:type="auto"/>
          </w:tcPr>
          <w:p w14:paraId="11A6EF16" w14:textId="77777777" w:rsidR="002E2825" w:rsidRDefault="00000000">
            <w:pPr>
              <w:pStyle w:val="Compact"/>
            </w:pPr>
            <w:r>
              <w:t>HEAR score</w:t>
            </w:r>
          </w:p>
        </w:tc>
        <w:tc>
          <w:tcPr>
            <w:tcW w:w="0" w:type="auto"/>
          </w:tcPr>
          <w:p w14:paraId="4C2EE3ED" w14:textId="77777777" w:rsidR="002E2825" w:rsidRDefault="00000000">
            <w:pPr>
              <w:pStyle w:val="Compact"/>
            </w:pPr>
            <w:r>
              <w:t>HEART score without the troponin component, for pre-biomarker triage</w:t>
            </w:r>
          </w:p>
        </w:tc>
        <w:tc>
          <w:tcPr>
            <w:tcW w:w="0" w:type="auto"/>
          </w:tcPr>
          <w:p w14:paraId="3DEAD922" w14:textId="77777777" w:rsidR="002E2825" w:rsidRDefault="00000000">
            <w:pPr>
              <w:pStyle w:val="Compact"/>
            </w:pPr>
            <w:r>
              <w:t>Meta-analysis of observational cohorts</w:t>
            </w:r>
          </w:p>
        </w:tc>
        <w:tc>
          <w:tcPr>
            <w:tcW w:w="0" w:type="auto"/>
          </w:tcPr>
          <w:p w14:paraId="7598C59D" w14:textId="77777777" w:rsidR="002E2825" w:rsidRDefault="00000000">
            <w:pPr>
              <w:pStyle w:val="Compact"/>
            </w:pPr>
            <w:r>
              <w:t>Wide confidence intervals for sensitivity; marked between-study heterogeneity; insufficient for sole use in discharge decisions</w:t>
            </w:r>
          </w:p>
        </w:tc>
        <w:tc>
          <w:tcPr>
            <w:tcW w:w="0" w:type="auto"/>
          </w:tcPr>
          <w:p w14:paraId="00E21731" w14:textId="77777777" w:rsidR="002E2825" w:rsidRDefault="00000000">
            <w:pPr>
              <w:pStyle w:val="Compact"/>
            </w:pPr>
            <w:r>
              <w:t>Khaleghi Rad et al. (2022)</w:t>
            </w:r>
          </w:p>
        </w:tc>
      </w:tr>
      <w:tr w:rsidR="002E2825" w14:paraId="7271D777" w14:textId="77777777" w:rsidTr="002B48B7">
        <w:tc>
          <w:tcPr>
            <w:tcW w:w="0" w:type="auto"/>
          </w:tcPr>
          <w:p w14:paraId="31EAB32C" w14:textId="77777777" w:rsidR="002E2825" w:rsidRDefault="00000000">
            <w:pPr>
              <w:pStyle w:val="Compact"/>
            </w:pPr>
            <w:r>
              <w:t>ADAPT (2 h accelerated diagnostic protocol)</w:t>
            </w:r>
          </w:p>
        </w:tc>
        <w:tc>
          <w:tcPr>
            <w:tcW w:w="0" w:type="auto"/>
          </w:tcPr>
          <w:p w14:paraId="13E86F63" w14:textId="77777777" w:rsidR="002E2825" w:rsidRDefault="00000000">
            <w:pPr>
              <w:pStyle w:val="Compact"/>
            </w:pPr>
            <w:r>
              <w:t>Risk score combined with serial biomarker measurement at 0 and 2 h</w:t>
            </w:r>
          </w:p>
        </w:tc>
        <w:tc>
          <w:tcPr>
            <w:tcW w:w="0" w:type="auto"/>
          </w:tcPr>
          <w:p w14:paraId="5705D89E" w14:textId="77777777" w:rsidR="002E2825" w:rsidRDefault="00000000">
            <w:pPr>
              <w:pStyle w:val="Compact"/>
            </w:pPr>
            <w:proofErr w:type="spellStart"/>
            <w:r>
              <w:t>Multicentre</w:t>
            </w:r>
            <w:proofErr w:type="spellEnd"/>
            <w:r>
              <w:t xml:space="preserve"> prospective validation including high-sensitivity assay</w:t>
            </w:r>
          </w:p>
        </w:tc>
        <w:tc>
          <w:tcPr>
            <w:tcW w:w="0" w:type="auto"/>
          </w:tcPr>
          <w:p w14:paraId="16541352" w14:textId="77777777" w:rsidR="002E2825" w:rsidRDefault="00000000">
            <w:pPr>
              <w:pStyle w:val="Compact"/>
            </w:pPr>
            <w:r>
              <w:t xml:space="preserve">Derived with contemporary assays; low-risk proportion modest; limited </w:t>
            </w:r>
            <w:proofErr w:type="spellStart"/>
            <w:r>
              <w:t>randomised</w:t>
            </w:r>
            <w:proofErr w:type="spellEnd"/>
            <w:r>
              <w:t xml:space="preserve"> implementation data</w:t>
            </w:r>
          </w:p>
        </w:tc>
        <w:tc>
          <w:tcPr>
            <w:tcW w:w="0" w:type="auto"/>
          </w:tcPr>
          <w:p w14:paraId="3275F62C" w14:textId="77777777" w:rsidR="002E2825" w:rsidRDefault="00000000">
            <w:pPr>
              <w:pStyle w:val="Compact"/>
            </w:pPr>
            <w:r>
              <w:t>Cullen et al. (2013); Than et al. (2012)</w:t>
            </w:r>
          </w:p>
        </w:tc>
      </w:tr>
      <w:tr w:rsidR="002E2825" w14:paraId="78B23379" w14:textId="77777777" w:rsidTr="002B48B7">
        <w:tc>
          <w:tcPr>
            <w:tcW w:w="0" w:type="auto"/>
          </w:tcPr>
          <w:p w14:paraId="1463D623" w14:textId="77777777" w:rsidR="002E2825" w:rsidRDefault="00000000">
            <w:pPr>
              <w:pStyle w:val="Compact"/>
            </w:pPr>
            <w:r>
              <w:t>EDACS-ADP</w:t>
            </w:r>
          </w:p>
        </w:tc>
        <w:tc>
          <w:tcPr>
            <w:tcW w:w="0" w:type="auto"/>
          </w:tcPr>
          <w:p w14:paraId="551AB163" w14:textId="77777777" w:rsidR="002E2825" w:rsidRDefault="00000000">
            <w:pPr>
              <w:pStyle w:val="Compact"/>
            </w:pPr>
            <w:r>
              <w:t xml:space="preserve">Score explicitly </w:t>
            </w:r>
            <w:proofErr w:type="spellStart"/>
            <w:r>
              <w:lastRenderedPageBreak/>
              <w:t>optimised</w:t>
            </w:r>
            <w:proofErr w:type="spellEnd"/>
            <w:r>
              <w:t xml:space="preserve"> to </w:t>
            </w:r>
            <w:proofErr w:type="spellStart"/>
            <w:r>
              <w:t>maximise</w:t>
            </w:r>
            <w:proofErr w:type="spellEnd"/>
            <w:r>
              <w:t xml:space="preserve"> the low-risk proportion rather than discrimination</w:t>
            </w:r>
          </w:p>
        </w:tc>
        <w:tc>
          <w:tcPr>
            <w:tcW w:w="0" w:type="auto"/>
          </w:tcPr>
          <w:p w14:paraId="7C141766" w14:textId="77777777" w:rsidR="002E2825" w:rsidRDefault="00000000">
            <w:pPr>
              <w:pStyle w:val="Compact"/>
            </w:pPr>
            <w:proofErr w:type="spellStart"/>
            <w:r>
              <w:lastRenderedPageBreak/>
              <w:t>Multicentre</w:t>
            </w:r>
            <w:proofErr w:type="spellEnd"/>
            <w:r>
              <w:t xml:space="preserve"> </w:t>
            </w:r>
            <w:r>
              <w:lastRenderedPageBreak/>
              <w:t>prospective and automated retrospective validation</w:t>
            </w:r>
          </w:p>
        </w:tc>
        <w:tc>
          <w:tcPr>
            <w:tcW w:w="0" w:type="auto"/>
          </w:tcPr>
          <w:p w14:paraId="29D2AE99" w14:textId="77777777" w:rsidR="002E2825" w:rsidRDefault="00000000">
            <w:pPr>
              <w:pStyle w:val="Compact"/>
            </w:pPr>
            <w:r>
              <w:lastRenderedPageBreak/>
              <w:t xml:space="preserve">Automated </w:t>
            </w:r>
            <w:r>
              <w:lastRenderedPageBreak/>
              <w:t xml:space="preserve">calculation introduces measurement error; design trade-off makes discrimination comparisons </w:t>
            </w:r>
            <w:proofErr w:type="spellStart"/>
            <w:r>
              <w:t>unfavourable</w:t>
            </w:r>
            <w:proofErr w:type="spellEnd"/>
            <w:r>
              <w:t xml:space="preserve"> by construction</w:t>
            </w:r>
          </w:p>
        </w:tc>
        <w:tc>
          <w:tcPr>
            <w:tcW w:w="0" w:type="auto"/>
          </w:tcPr>
          <w:p w14:paraId="1280F7E1" w14:textId="77777777" w:rsidR="002E2825" w:rsidRDefault="00000000">
            <w:pPr>
              <w:pStyle w:val="Compact"/>
            </w:pPr>
            <w:r>
              <w:lastRenderedPageBreak/>
              <w:t xml:space="preserve">Mark et </w:t>
            </w:r>
            <w:r>
              <w:lastRenderedPageBreak/>
              <w:t>al. (2020); Than et al. (2014)</w:t>
            </w:r>
          </w:p>
        </w:tc>
      </w:tr>
      <w:tr w:rsidR="002E2825" w14:paraId="5F5EFA1B" w14:textId="77777777" w:rsidTr="002B48B7">
        <w:tc>
          <w:tcPr>
            <w:tcW w:w="0" w:type="auto"/>
          </w:tcPr>
          <w:p w14:paraId="676DA6C2" w14:textId="77777777" w:rsidR="002E2825" w:rsidRDefault="00000000">
            <w:pPr>
              <w:pStyle w:val="Compact"/>
            </w:pPr>
            <w:r>
              <w:lastRenderedPageBreak/>
              <w:t>T-MACS</w:t>
            </w:r>
          </w:p>
        </w:tc>
        <w:tc>
          <w:tcPr>
            <w:tcW w:w="0" w:type="auto"/>
          </w:tcPr>
          <w:p w14:paraId="74A35FC7" w14:textId="77777777" w:rsidR="002E2825" w:rsidRDefault="00000000">
            <w:pPr>
              <w:pStyle w:val="Compact"/>
            </w:pPr>
            <w:r>
              <w:t>Logistic regression generating individual probability, permitting explicit threshold selection</w:t>
            </w:r>
          </w:p>
        </w:tc>
        <w:tc>
          <w:tcPr>
            <w:tcW w:w="0" w:type="auto"/>
          </w:tcPr>
          <w:p w14:paraId="3A9E466F" w14:textId="77777777" w:rsidR="002E2825" w:rsidRDefault="00000000">
            <w:pPr>
              <w:pStyle w:val="Compact"/>
            </w:pPr>
            <w:r>
              <w:t>External validation in several cohorts; meta-analysis of the Manchester rules</w:t>
            </w:r>
          </w:p>
        </w:tc>
        <w:tc>
          <w:tcPr>
            <w:tcW w:w="0" w:type="auto"/>
          </w:tcPr>
          <w:p w14:paraId="6500F4F3" w14:textId="77777777" w:rsidR="002E2825" w:rsidRDefault="00000000">
            <w:pPr>
              <w:pStyle w:val="Compact"/>
            </w:pPr>
            <w:r>
              <w:t>Validation concentrated in few countries; outcome definitions heterogeneous; probability output requires numerical literacy at the bedside</w:t>
            </w:r>
          </w:p>
        </w:tc>
        <w:tc>
          <w:tcPr>
            <w:tcW w:w="0" w:type="auto"/>
          </w:tcPr>
          <w:p w14:paraId="70C20C4E" w14:textId="77777777" w:rsidR="002E2825" w:rsidRDefault="00000000">
            <w:pPr>
              <w:pStyle w:val="Compact"/>
            </w:pPr>
            <w:r>
              <w:t xml:space="preserve">Body et al. (2017); </w:t>
            </w:r>
            <w:proofErr w:type="spellStart"/>
            <w:r>
              <w:t>Roshdi</w:t>
            </w:r>
            <w:proofErr w:type="spellEnd"/>
            <w:r>
              <w:t xml:space="preserve"> </w:t>
            </w:r>
            <w:proofErr w:type="spellStart"/>
            <w:r>
              <w:t>Dizaji</w:t>
            </w:r>
            <w:proofErr w:type="spellEnd"/>
            <w:r>
              <w:t xml:space="preserve"> et al. (2024)</w:t>
            </w:r>
          </w:p>
        </w:tc>
      </w:tr>
      <w:tr w:rsidR="002E2825" w14:paraId="22B96886" w14:textId="77777777" w:rsidTr="002B48B7">
        <w:tc>
          <w:tcPr>
            <w:tcW w:w="0" w:type="auto"/>
          </w:tcPr>
          <w:p w14:paraId="59ADBBB1" w14:textId="77777777" w:rsidR="002E2825" w:rsidRDefault="00000000">
            <w:pPr>
              <w:pStyle w:val="Compact"/>
            </w:pPr>
            <w:r>
              <w:t>Prehospital rule-out with point-of-care troponin</w:t>
            </w:r>
          </w:p>
        </w:tc>
        <w:tc>
          <w:tcPr>
            <w:tcW w:w="0" w:type="auto"/>
          </w:tcPr>
          <w:p w14:paraId="790665FD" w14:textId="77777777" w:rsidR="002E2825" w:rsidRDefault="00000000">
            <w:pPr>
              <w:pStyle w:val="Compact"/>
            </w:pPr>
            <w:r>
              <w:t>Risk score plus single point-of-care measurement before hospital arrival</w:t>
            </w:r>
          </w:p>
        </w:tc>
        <w:tc>
          <w:tcPr>
            <w:tcW w:w="0" w:type="auto"/>
          </w:tcPr>
          <w:p w14:paraId="0583A24F" w14:textId="77777777" w:rsidR="002E2825" w:rsidRDefault="00000000">
            <w:pPr>
              <w:pStyle w:val="Compact"/>
            </w:pPr>
            <w:r>
              <w:t xml:space="preserve">One </w:t>
            </w:r>
            <w:proofErr w:type="spellStart"/>
            <w:r>
              <w:t>randomised</w:t>
            </w:r>
            <w:proofErr w:type="spellEnd"/>
            <w:r>
              <w:t xml:space="preserve"> trial with one-year follow-up; individual patient data meta-analysis</w:t>
            </w:r>
          </w:p>
        </w:tc>
        <w:tc>
          <w:tcPr>
            <w:tcW w:w="0" w:type="auto"/>
          </w:tcPr>
          <w:p w14:paraId="25F66CDE" w14:textId="77777777" w:rsidR="002E2825" w:rsidRDefault="00000000">
            <w:pPr>
              <w:pStyle w:val="Compact"/>
            </w:pPr>
            <w:r>
              <w:t>Underpowered for rare harms; dependent on point-of-care analytical performance; misclassification occurs where observation capacity is least</w:t>
            </w:r>
          </w:p>
        </w:tc>
        <w:tc>
          <w:tcPr>
            <w:tcW w:w="0" w:type="auto"/>
          </w:tcPr>
          <w:p w14:paraId="79BB5504" w14:textId="77777777" w:rsidR="002E2825" w:rsidRDefault="00000000">
            <w:pPr>
              <w:pStyle w:val="Compact"/>
            </w:pPr>
            <w:r>
              <w:t>Aarts et al. (2024); Demandt et al. (2026)</w:t>
            </w:r>
          </w:p>
        </w:tc>
      </w:tr>
    </w:tbl>
    <w:p w14:paraId="3DEBB013" w14:textId="77777777" w:rsidR="002E2825" w:rsidRDefault="00000000">
      <w:pPr>
        <w:pStyle w:val="BodyText"/>
      </w:pPr>
      <w:r>
        <w:rPr>
          <w:i/>
          <w:iCs/>
        </w:rPr>
        <w:t>Note.</w:t>
      </w:r>
      <w:r>
        <w:t xml:space="preserve"> ADAPT = 2-hour accelerated diagnostic protocol; EDACS-ADP = Emergency Department Assessment of Chest Pain Score accelerated diagnostic protocol; T-MACS = Troponin-only Manchester Acute Coronary Syndromes decision aid.</w:t>
      </w:r>
    </w:p>
    <w:p w14:paraId="15CEA91D" w14:textId="77777777" w:rsidR="002E2825" w:rsidRDefault="00000000">
      <w:pPr>
        <w:pStyle w:val="Heading2"/>
      </w:pPr>
      <w:bookmarkStart w:id="26" w:name="Xcb39ad8f1c7825ff52bd70e1b3c23c742301791"/>
      <w:bookmarkEnd w:id="21"/>
      <w:bookmarkEnd w:id="25"/>
      <w:r>
        <w:t>6. Imaging, Downstream Testing and the Question of Marginal Value</w:t>
      </w:r>
    </w:p>
    <w:p w14:paraId="343A79B4" w14:textId="77777777" w:rsidR="002E2825" w:rsidRDefault="00000000">
      <w:pPr>
        <w:pStyle w:val="Heading3"/>
      </w:pPr>
      <w:bookmarkStart w:id="27" w:name="Xc46f6f0e6b1e6ddbe2a0441ae45165c36bb5b96"/>
      <w:r>
        <w:t>6.1 Early coronary computed tomography angiography</w:t>
      </w:r>
    </w:p>
    <w:p w14:paraId="425BC2C3" w14:textId="77777777" w:rsidR="002E2825" w:rsidRDefault="00000000">
      <w:pPr>
        <w:pStyle w:val="FirstParagraph"/>
      </w:pPr>
      <w:r>
        <w:t xml:space="preserve">Coronary computed tomography angiography offers anatomical information that biomarkers cannot provide, identifying both obstructive coronary disease and its absence with high negative predictive value. Its role in the acute setting has been tested directly. A </w:t>
      </w:r>
      <w:proofErr w:type="spellStart"/>
      <w:r>
        <w:t>multicentre</w:t>
      </w:r>
      <w:proofErr w:type="spellEnd"/>
      <w:r>
        <w:t xml:space="preserve"> </w:t>
      </w:r>
      <w:proofErr w:type="spellStart"/>
      <w:r>
        <w:t>randomised</w:t>
      </w:r>
      <w:proofErr w:type="spellEnd"/>
      <w:r>
        <w:t xml:space="preserve"> trial of early computed tomography coronary angiography in patients with suspected acute coronary syndrome found no reduction in the primary outcome of death or subsequent type 1 or type 4b myocardial infarction at one year, while the intervention was associated with a modest increase in length of stay (Gray et al., 2021). The trial recruited patients across a broad risk spectrum, including those with elevated troponin, which distinguishes it from earlier trials confined to low-risk populations and makes its neutral result more informative about routine practice.</w:t>
      </w:r>
    </w:p>
    <w:p w14:paraId="554B7A8C" w14:textId="77777777" w:rsidR="002E2825" w:rsidRDefault="00000000">
      <w:pPr>
        <w:pStyle w:val="BodyText"/>
      </w:pPr>
      <w:r>
        <w:lastRenderedPageBreak/>
        <w:t>Pre-specified secondary analysis examined whether the presenting troponin concentration identified a subgroup deriving benefit, and did not find that early imaging improved outcomes in patients with elevated presentation concentrations (Wang et al., 2022). The consistency of the neutral result across strata weakens the argument that early anatomical imaging was simply applied to the wrong patients. Two interpretations remain viable. Early imaging may genuinely add little once high-sensitivity biomarker strategies and structured pathways are in place, because the information it provides changes management in relatively few patients. Alternatively, benefit may exist but be too small to detect within the achieved sample size and event rate, or may accrue over a longer horizon than one year through modification of preventive therapy. Distinguishing these possibilities would require either a substantially larger trial or a design targeting the specific decision that imaging is intended to inform.</w:t>
      </w:r>
    </w:p>
    <w:p w14:paraId="4BA9202E" w14:textId="77777777" w:rsidR="002E2825" w:rsidRDefault="00000000">
      <w:pPr>
        <w:pStyle w:val="Heading3"/>
      </w:pPr>
      <w:bookmarkStart w:id="28" w:name="X779fb562f38eccce2a3a0eb86e9fdf04fc9eb96"/>
      <w:bookmarkEnd w:id="27"/>
      <w:r>
        <w:t>6.2 Cardiac magnetic resonance and functional testing</w:t>
      </w:r>
    </w:p>
    <w:p w14:paraId="32445DF4" w14:textId="77777777" w:rsidR="002E2825" w:rsidRDefault="00000000">
      <w:pPr>
        <w:pStyle w:val="FirstParagraph"/>
      </w:pPr>
      <w:r>
        <w:t xml:space="preserve">Cardiac magnetic resonance imaging occupies a different position, offering tissue </w:t>
      </w:r>
      <w:proofErr w:type="spellStart"/>
      <w:r>
        <w:t>characterisation</w:t>
      </w:r>
      <w:proofErr w:type="spellEnd"/>
      <w:r>
        <w:t xml:space="preserve"> capable of distinguishing infarction from myocarditis, takotsubo syndrome and other causes of troponin elevation. A </w:t>
      </w:r>
      <w:proofErr w:type="spellStart"/>
      <w:r>
        <w:t>randomised</w:t>
      </w:r>
      <w:proofErr w:type="spellEnd"/>
      <w:r>
        <w:t xml:space="preserve"> trial comparing a magnetic resonance-based strategy with invasive-based management in patients with chest pain and detectable to mildly elevated troponin found that the imaging-led strategy reduced invasive angiography without evidence of increased adverse events (Miller et al., 2023). The trial addressed a specific and increasingly common clinical situation created by high-sensitivity assays, namely the patient with a modest troponin elevation and no clear </w:t>
      </w:r>
      <w:proofErr w:type="spellStart"/>
      <w:r>
        <w:t>ischaemic</w:t>
      </w:r>
      <w:proofErr w:type="spellEnd"/>
      <w:r>
        <w:t xml:space="preserve"> syndrome, and its result supports selective use of tissue </w:t>
      </w:r>
      <w:proofErr w:type="spellStart"/>
      <w:r>
        <w:t>characterisation</w:t>
      </w:r>
      <w:proofErr w:type="spellEnd"/>
      <w:r>
        <w:t xml:space="preserve"> in that group. Sample size limits confidence in the safety conclusion, and access to acute cardiac magnetic resonance imaging is restricted to a minority of institutions internationally, which constrains </w:t>
      </w:r>
      <w:proofErr w:type="spellStart"/>
      <w:r>
        <w:t>generalisability</w:t>
      </w:r>
      <w:proofErr w:type="spellEnd"/>
      <w:r>
        <w:t xml:space="preserve"> more than the internal validity of the trial.</w:t>
      </w:r>
    </w:p>
    <w:p w14:paraId="03D519EF" w14:textId="77777777" w:rsidR="002E2825" w:rsidRDefault="00000000">
      <w:pPr>
        <w:pStyle w:val="BodyText"/>
      </w:pPr>
      <w:r>
        <w:t xml:space="preserve">Functional stress testing after a negative biomarker evaluation, once routine, has become progressively harder to justify. The diagnostic yield in patients already classified as low risk by a validated pathway is low, false-positive results generate downstream angiography with attendant procedural risk, and no </w:t>
      </w:r>
      <w:proofErr w:type="spellStart"/>
      <w:r>
        <w:t>randomised</w:t>
      </w:r>
      <w:proofErr w:type="spellEnd"/>
      <w:r>
        <w:t xml:space="preserve"> evidence demonstrates that routine provocative testing in this group improves outcomes. Contemporary guidance reflects this shift by recommending against routine testing in patients identified as low risk and by </w:t>
      </w:r>
      <w:proofErr w:type="spellStart"/>
      <w:r>
        <w:t>emphasising</w:t>
      </w:r>
      <w:proofErr w:type="spellEnd"/>
      <w:r>
        <w:t xml:space="preserve"> anatomical or functional evaluation in intermediate-risk patients where it will change management (Gulati et al., 2021).</w:t>
      </w:r>
    </w:p>
    <w:p w14:paraId="21509375" w14:textId="77777777" w:rsidR="002E2825" w:rsidRDefault="00000000">
      <w:pPr>
        <w:pStyle w:val="Heading3"/>
      </w:pPr>
      <w:bookmarkStart w:id="29" w:name="observation-admission-and-marginal-yield"/>
      <w:bookmarkEnd w:id="28"/>
      <w:r>
        <w:t>6.3 Observation, admission and marginal yield</w:t>
      </w:r>
    </w:p>
    <w:p w14:paraId="2B35BABC" w14:textId="77777777" w:rsidR="002E2825" w:rsidRDefault="00000000">
      <w:pPr>
        <w:pStyle w:val="FirstParagraph"/>
      </w:pPr>
      <w:r>
        <w:t xml:space="preserve">The observation unit was designed to occupy the space between discharge and admission, and its use expanded rapidly during the era of prolonged biomarker protocols. Rapid rule-out strategies have compressed the population for which it was intended. Where a definitive classification can be reached within one to three hours, the residual role of observation is confined to patients whose risk arises from clinical features rather than from awaiting biomarker results, and to those requiring investigation that cannot be arranged from the emergency department. Evidence that in-patient observation of low-risk patients yields few modifiable events supports contraction of this pathway, although the </w:t>
      </w:r>
      <w:r>
        <w:lastRenderedPageBreak/>
        <w:t>retrospective design and restricted event definition of the principal analysis limit the strength of that inference (Weinstock et al., 2015).</w:t>
      </w:r>
    </w:p>
    <w:p w14:paraId="47497FDC" w14:textId="77777777" w:rsidR="002E2825" w:rsidRDefault="00000000">
      <w:pPr>
        <w:pStyle w:val="BodyText"/>
      </w:pPr>
      <w:r>
        <w:t>Formal economic evaluation of high-sensitivity troponin strategies for early rule-out concluded that these approaches are likely to be cost-effective relative to previous standard practice, principally through reduced length of stay and avoided admission, while noting substantial uncertainty arising from limited outcome data and from assumptions about downstream testing (Westwood, Ramaekers, et al., 2021). The evaluation’s structural assumption, that avoided admission does not generate harm, is supported by the accuracy literature but not by outcome trials, which illustrates how the disjunction identified in Section 4.5 propagates into economic analysis.</w:t>
      </w:r>
    </w:p>
    <w:p w14:paraId="69BAF249" w14:textId="77777777" w:rsidR="002E2825" w:rsidRDefault="00000000">
      <w:pPr>
        <w:pStyle w:val="Heading3"/>
      </w:pPr>
      <w:bookmarkStart w:id="30" w:name="decision-making-with-the-patient"/>
      <w:bookmarkEnd w:id="29"/>
      <w:r>
        <w:t>6.4 Decision-making with the patient</w:t>
      </w:r>
    </w:p>
    <w:p w14:paraId="43EDD2C8" w14:textId="77777777" w:rsidR="002E2825" w:rsidRDefault="00000000">
      <w:pPr>
        <w:pStyle w:val="FirstParagraph"/>
      </w:pPr>
      <w:r>
        <w:t>The reduction in diagnostic uncertainty achieved by contemporary strategies has not eliminated the need for judgement about residual risk, and evidence supports involving patients in that judgement where risk is genuinely low. Beyond the trial evidence for structured decision aids, the practical difficulty is that shared decision-making requires time and communication resources that crowded departments frequently lack, and that the patients least likely to receive it are those facing language barriers or presenting during periods of peak demand (Joseph et al., 2023). The intervention with the strongest evidence for improving the experience of low-risk chest pain assessment is therefore also among the most vulnerable to the operational pressures described in Section 8.3.</w:t>
      </w:r>
    </w:p>
    <w:p w14:paraId="15BC0A97" w14:textId="77777777" w:rsidR="002E2825" w:rsidRDefault="00000000">
      <w:pPr>
        <w:pStyle w:val="Heading2"/>
      </w:pPr>
      <w:bookmarkStart w:id="31" w:name="X20fbab18b27a8378e57875d0762987e84c6ad40"/>
      <w:bookmarkEnd w:id="26"/>
      <w:bookmarkEnd w:id="30"/>
      <w:r>
        <w:t>7. Diagnoses That Pathway-</w:t>
      </w:r>
      <w:proofErr w:type="spellStart"/>
      <w:r>
        <w:t>Centred</w:t>
      </w:r>
      <w:proofErr w:type="spellEnd"/>
      <w:r>
        <w:t xml:space="preserve"> Practice Underweights</w:t>
      </w:r>
    </w:p>
    <w:p w14:paraId="69EF04B7" w14:textId="77777777" w:rsidR="002E2825" w:rsidRDefault="00000000">
      <w:pPr>
        <w:pStyle w:val="Heading3"/>
      </w:pPr>
      <w:bookmarkStart w:id="32" w:name="acute-aortic-syndromes"/>
      <w:r>
        <w:t>7.1 Acute aortic syndromes</w:t>
      </w:r>
    </w:p>
    <w:p w14:paraId="1194D3B9" w14:textId="77777777" w:rsidR="002E2825" w:rsidRDefault="00000000">
      <w:pPr>
        <w:pStyle w:val="FirstParagraph"/>
      </w:pPr>
      <w:r>
        <w:t xml:space="preserve">Acute aortic syndromes are rare relative to acute coronary syndromes but carry high early mortality and are frequently misattributed at first contact. The aortic dissection detection risk score, combined with D-dimer measurement, was evaluated prospectively in a </w:t>
      </w:r>
      <w:proofErr w:type="spellStart"/>
      <w:r>
        <w:t>multicentre</w:t>
      </w:r>
      <w:proofErr w:type="spellEnd"/>
      <w:r>
        <w:t xml:space="preserve"> study and demonstrated that patients with a low risk score and a D-dimer concentration below the conventional threshold have a low probability of acute aortic syndrome, supporting a rule-out strategy analogous to that used in suspected pulmonary embolism (</w:t>
      </w:r>
      <w:proofErr w:type="spellStart"/>
      <w:r>
        <w:t>Nazerian</w:t>
      </w:r>
      <w:proofErr w:type="spellEnd"/>
      <w:r>
        <w:t xml:space="preserve"> et al., 2018). Subsequent systematic review and meta-analysis confirmed high sensitivity for the combined strategy while quantifying a residual failure rate that, given the lethality of the condition, is not negligible (Ren et al., 2024).</w:t>
      </w:r>
    </w:p>
    <w:p w14:paraId="158B219F" w14:textId="77777777" w:rsidR="002E2825" w:rsidRDefault="00000000">
      <w:pPr>
        <w:pStyle w:val="BodyText"/>
      </w:pPr>
      <w:r>
        <w:t xml:space="preserve">Three problems limit the translation of this evidence. The prevalence of acute aortic syndrome in unselected chest pain populations is far lower than in the enriched cohorts used for validation, which reduces positive predictive value and increases the number of computed tomography studies performed per diagnosis. D-dimer is elevated in numerous conditions common among patients presenting with chest pain, including pulmonary embolism, infection and malignancy, so a strategy </w:t>
      </w:r>
      <w:proofErr w:type="spellStart"/>
      <w:r>
        <w:t>optimised</w:t>
      </w:r>
      <w:proofErr w:type="spellEnd"/>
      <w:r>
        <w:t xml:space="preserve"> for one diagnosis interacts unpredictably with the differential as a whole. Finally, the risk score requires the clinician to have considered the diagnosis, and the documented failures of recognition occur precisely when it is not considered. A rule-out tool cannot correct a failure of suspicion, which is a structural limitation shared with every decision aid discussed in this review.</w:t>
      </w:r>
    </w:p>
    <w:p w14:paraId="15959A32" w14:textId="77777777" w:rsidR="002E2825" w:rsidRDefault="00000000">
      <w:pPr>
        <w:pStyle w:val="Heading3"/>
      </w:pPr>
      <w:bookmarkStart w:id="33" w:name="pulmonary-embolism"/>
      <w:bookmarkEnd w:id="32"/>
      <w:r>
        <w:lastRenderedPageBreak/>
        <w:t>7.2 Pulmonary embolism</w:t>
      </w:r>
    </w:p>
    <w:p w14:paraId="274923F1" w14:textId="77777777" w:rsidR="002E2825" w:rsidRDefault="00000000">
      <w:pPr>
        <w:pStyle w:val="FirstParagraph"/>
      </w:pPr>
      <w:r>
        <w:t xml:space="preserve">Diagnostic strategy for suspected pulmonary embolism has matured further than for aortic syndromes, and provides an instructive comparison. The pulmonary embolism rule-out criteria were evaluated in a </w:t>
      </w:r>
      <w:proofErr w:type="spellStart"/>
      <w:r>
        <w:t>randomised</w:t>
      </w:r>
      <w:proofErr w:type="spellEnd"/>
      <w:r>
        <w:t xml:space="preserve"> non-inferiority trial that demonstrated that withholding further testing in very low-risk patients meeting all criteria did not increase thromboembolic events at three months (Freund et al., 2018). The YEARS algorithm, which varies the D-dimer threshold according to the presence of specific clinical items, reduced the proportion of patients requiring computed tomography pulmonary angiography in a large prospective management study while maintaining a low failure rate (van der Hulle et al., 2017). Individual patient data modelling has since integrated these approaches into a unified framework permitting explicit choice of the trade-off between imaging efficiency and missed diagnoses (van Es et al., 2023).</w:t>
      </w:r>
    </w:p>
    <w:p w14:paraId="3BF49BBC" w14:textId="77777777" w:rsidR="002E2825" w:rsidRDefault="00000000">
      <w:pPr>
        <w:pStyle w:val="BodyText"/>
      </w:pPr>
      <w:r>
        <w:t>This literature is methodologically stronger than most of the chest pain diagnostic literature in one specific respect: it has consistently used management studies with defined failure rates and adequate follow-up rather than accuracy studies with adjudicated reference standards. The distinction matters because a management study measures what happens when a strategy is applied, including the consequences of the diagnoses it misses, which is the quantity clinicians actually need. The relative scarcity of comparable management studies in the acute coronary syndrome literature is a notable asymmetry, and one that could be corrected.</w:t>
      </w:r>
    </w:p>
    <w:p w14:paraId="32074434" w14:textId="77777777" w:rsidR="002E2825" w:rsidRDefault="00000000">
      <w:pPr>
        <w:pStyle w:val="Heading3"/>
      </w:pPr>
      <w:bookmarkStart w:id="34" w:name="X86e3a2d3c916272280ad22a50ab41e0c08fb991"/>
      <w:bookmarkEnd w:id="33"/>
      <w:r>
        <w:t>7.3 Infarction without obstructive coronary disease, and related syndromes</w:t>
      </w:r>
    </w:p>
    <w:p w14:paraId="5BD04E9D" w14:textId="77777777" w:rsidR="002E2825" w:rsidRDefault="00000000">
      <w:pPr>
        <w:pStyle w:val="FirstParagraph"/>
      </w:pPr>
      <w:r>
        <w:t xml:space="preserve">Myocardial infarction with non-obstructive coronary arteries is a working diagnosis rather than a final one, encompassing plaque disruption without angiographic obstruction, coronary vasospasm, spontaneous coronary artery dissection, embolism and myocarditis misclassified as infarction. Systematic evaluation using intracoronary imaging and cardiac magnetic resonance in women with this presentation identified a specific cause in the majority, with plaque disruption and myocarditis both prominent, demonstrating that the label conceals mechanistically distinct conditions requiring different management (Reynolds et al., 2021). Consensus guidance </w:t>
      </w:r>
      <w:proofErr w:type="spellStart"/>
      <w:r>
        <w:t>emphasises</w:t>
      </w:r>
      <w:proofErr w:type="spellEnd"/>
      <w:r>
        <w:t xml:space="preserve"> structured </w:t>
      </w:r>
      <w:proofErr w:type="spellStart"/>
      <w:r>
        <w:t>aetiological</w:t>
      </w:r>
      <w:proofErr w:type="spellEnd"/>
      <w:r>
        <w:t xml:space="preserve"> investigation rather than reassurance based on the absence of obstructive disease (Tamis-Holland et al., 2019).</w:t>
      </w:r>
    </w:p>
    <w:p w14:paraId="6164C110" w14:textId="77777777" w:rsidR="002E2825" w:rsidRDefault="00000000">
      <w:pPr>
        <w:pStyle w:val="BodyText"/>
      </w:pPr>
      <w:r>
        <w:t xml:space="preserve">Spontaneous coronary artery dissection deserves separate mention because it presents disproportionately in younger women, is frequently misdiagnosed at first presentation, and requires management that differs substantially from that of atherothrombotic infarction (Hayes et al., 2018). </w:t>
      </w:r>
      <w:proofErr w:type="spellStart"/>
      <w:r>
        <w:t>Ischaemia</w:t>
      </w:r>
      <w:proofErr w:type="spellEnd"/>
      <w:r>
        <w:t xml:space="preserve"> with non-obstructive coronary arteries, in which coronary microvascular dysfunction or vasomotor disorder produces </w:t>
      </w:r>
      <w:proofErr w:type="spellStart"/>
      <w:r>
        <w:t>ischaemia</w:t>
      </w:r>
      <w:proofErr w:type="spellEnd"/>
      <w:r>
        <w:t xml:space="preserve"> without infarction, accounts for a proportion of recurrent chest pain presentations and is associated with adverse prognosis despite the absence of obstructive disease (Del Buono et al., 2021; </w:t>
      </w:r>
      <w:proofErr w:type="spellStart"/>
      <w:r>
        <w:t>Kunadian</w:t>
      </w:r>
      <w:proofErr w:type="spellEnd"/>
      <w:r>
        <w:t xml:space="preserve"> et al., 2020; Mehta et al., 2022). Emergency department pathways are not designed to identify these conditions, and patients with them are systematically excluded from the low-risk populations in which pathways are validated, which means the pathways provide no information about the safety of discharge in this group.</w:t>
      </w:r>
    </w:p>
    <w:p w14:paraId="714F6F75" w14:textId="77777777" w:rsidR="002E2825" w:rsidRDefault="00000000">
      <w:pPr>
        <w:pStyle w:val="Heading3"/>
      </w:pPr>
      <w:bookmarkStart w:id="35" w:name="X32b399558607f64b5f9497aa96bcdedd777ddf3"/>
      <w:bookmarkEnd w:id="34"/>
      <w:r>
        <w:lastRenderedPageBreak/>
        <w:t>7.4 Non-cardiac chest pain and the absence of after-care</w:t>
      </w:r>
    </w:p>
    <w:p w14:paraId="0F73C3E2" w14:textId="77777777" w:rsidR="002E2825" w:rsidRDefault="00000000">
      <w:pPr>
        <w:pStyle w:val="FirstParagraph"/>
      </w:pPr>
      <w:r>
        <w:t xml:space="preserve">The largest group leaving the emergency department after chest pain assessment has no cardiac diagnosis. </w:t>
      </w:r>
      <w:proofErr w:type="spellStart"/>
      <w:r>
        <w:t>Oesophageal</w:t>
      </w:r>
      <w:proofErr w:type="spellEnd"/>
      <w:r>
        <w:t xml:space="preserve"> disorders, musculoskeletal pain, respiratory conditions and anxiety account for most of these presentations, and the differential requires evaluation that emergency assessment is not designed to provide (Frieling, 2018). The prevailing model treats exclusion of acute coronary syndrome as the completion of the diagnostic task, and patients are frequently discharged without a positive diagnosis, without a management plan for their symptoms, and without arranged follow-up.</w:t>
      </w:r>
    </w:p>
    <w:p w14:paraId="672E69A0" w14:textId="77777777" w:rsidR="002E2825" w:rsidRDefault="00000000">
      <w:pPr>
        <w:pStyle w:val="BodyText"/>
      </w:pPr>
      <w:r>
        <w:t xml:space="preserve">The consequences are measurable. Cardiac anxiety persists in a substantial proportion of patients after non-cardiac chest pain, contributes to functional impairment and drives repeat attendance; a </w:t>
      </w:r>
      <w:proofErr w:type="spellStart"/>
      <w:r>
        <w:t>randomised</w:t>
      </w:r>
      <w:proofErr w:type="spellEnd"/>
      <w:r>
        <w:t xml:space="preserve"> trial of internet-delivered cognitive </w:t>
      </w:r>
      <w:proofErr w:type="spellStart"/>
      <w:r>
        <w:t>behavioural</w:t>
      </w:r>
      <w:proofErr w:type="spellEnd"/>
      <w:r>
        <w:t xml:space="preserve"> therapy demonstrated durable reduction in cardiac anxiety, establishing that the problem is modifiable (Eriksson-</w:t>
      </w:r>
      <w:proofErr w:type="spellStart"/>
      <w:r>
        <w:t>Liebon</w:t>
      </w:r>
      <w:proofErr w:type="spellEnd"/>
      <w:r>
        <w:t xml:space="preserve"> et al., 2024). That intervention was delivered outside the emergency department and required a referral pathway that most systems do not provide. The mismatch between the volume of research directed at excluding infarction in this population and the volume directed at helping them afterwards is one of the clearest imbalances in the field.</w:t>
      </w:r>
    </w:p>
    <w:p w14:paraId="7A9705A0" w14:textId="77777777" w:rsidR="002E2825" w:rsidRDefault="00000000">
      <w:pPr>
        <w:pStyle w:val="BodyText"/>
      </w:pPr>
      <w:r>
        <w:t xml:space="preserve">Table 4 </w:t>
      </w:r>
      <w:proofErr w:type="spellStart"/>
      <w:r>
        <w:t>summarises</w:t>
      </w:r>
      <w:proofErr w:type="spellEnd"/>
      <w:r>
        <w:t xml:space="preserve"> the principal diagnoses that fall outside acute coronary syndrome pathways, the evidence supporting their evaluation, and the specific limitations that constrain that evidence. The pattern across these conditions is consistent: rule-out tools exist and perform adequately in enriched populations, but the transition to unselected emergency populations reduces predictive value, and no tool compensates for failure to consider the diagnosis.</w:t>
      </w:r>
    </w:p>
    <w:p w14:paraId="0EBFB78D" w14:textId="77777777" w:rsidR="002E2825" w:rsidRDefault="00000000">
      <w:pPr>
        <w:pStyle w:val="BodyText"/>
      </w:pPr>
      <w:r>
        <w:rPr>
          <w:b/>
          <w:bCs/>
        </w:rPr>
        <w:t>Table 4. Diagnoses outside the acute coronary syndrome pathway: evidence base and constraints</w:t>
      </w:r>
    </w:p>
    <w:tbl>
      <w:tblPr>
        <w:tblStyle w:val="TableGrid"/>
        <w:tblW w:w="5000" w:type="pct"/>
        <w:tblLook w:val="0020" w:firstRow="1" w:lastRow="0" w:firstColumn="0" w:lastColumn="0" w:noHBand="0" w:noVBand="0"/>
      </w:tblPr>
      <w:tblGrid>
        <w:gridCol w:w="1801"/>
        <w:gridCol w:w="2232"/>
        <w:gridCol w:w="1899"/>
        <w:gridCol w:w="2073"/>
        <w:gridCol w:w="1571"/>
      </w:tblGrid>
      <w:tr w:rsidR="002E2825" w14:paraId="65FEDE0F" w14:textId="77777777" w:rsidTr="002B48B7">
        <w:tc>
          <w:tcPr>
            <w:tcW w:w="0" w:type="auto"/>
          </w:tcPr>
          <w:p w14:paraId="6BF14967" w14:textId="77777777" w:rsidR="002E2825" w:rsidRDefault="00000000">
            <w:pPr>
              <w:pStyle w:val="Compact"/>
            </w:pPr>
            <w:r>
              <w:t>Diagnosis or syndrome</w:t>
            </w:r>
          </w:p>
        </w:tc>
        <w:tc>
          <w:tcPr>
            <w:tcW w:w="0" w:type="auto"/>
          </w:tcPr>
          <w:p w14:paraId="2299E291" w14:textId="77777777" w:rsidR="002E2825" w:rsidRDefault="00000000">
            <w:pPr>
              <w:pStyle w:val="Compact"/>
            </w:pPr>
            <w:r>
              <w:t>Principal diagnostic approach evaluated</w:t>
            </w:r>
          </w:p>
        </w:tc>
        <w:tc>
          <w:tcPr>
            <w:tcW w:w="0" w:type="auto"/>
          </w:tcPr>
          <w:p w14:paraId="049588C1" w14:textId="77777777" w:rsidR="002E2825" w:rsidRDefault="00000000">
            <w:pPr>
              <w:pStyle w:val="Compact"/>
            </w:pPr>
            <w:r>
              <w:t>Strength of supporting evidence</w:t>
            </w:r>
          </w:p>
        </w:tc>
        <w:tc>
          <w:tcPr>
            <w:tcW w:w="0" w:type="auto"/>
          </w:tcPr>
          <w:p w14:paraId="77AC10CD" w14:textId="77777777" w:rsidR="002E2825" w:rsidRDefault="00000000">
            <w:pPr>
              <w:pStyle w:val="Compact"/>
            </w:pPr>
            <w:r>
              <w:t>Principal constraint on translation</w:t>
            </w:r>
          </w:p>
        </w:tc>
        <w:tc>
          <w:tcPr>
            <w:tcW w:w="0" w:type="auto"/>
          </w:tcPr>
          <w:p w14:paraId="1F0D8D9F" w14:textId="77777777" w:rsidR="002E2825" w:rsidRDefault="00000000">
            <w:pPr>
              <w:pStyle w:val="Compact"/>
            </w:pPr>
            <w:r>
              <w:t>Supporting references</w:t>
            </w:r>
          </w:p>
        </w:tc>
      </w:tr>
      <w:tr w:rsidR="002E2825" w14:paraId="77256BE0" w14:textId="77777777" w:rsidTr="002B48B7">
        <w:tc>
          <w:tcPr>
            <w:tcW w:w="0" w:type="auto"/>
          </w:tcPr>
          <w:p w14:paraId="7D99C25B" w14:textId="77777777" w:rsidR="002E2825" w:rsidRDefault="00000000">
            <w:pPr>
              <w:pStyle w:val="Compact"/>
            </w:pPr>
            <w:r>
              <w:t>Acute aortic syndromes</w:t>
            </w:r>
          </w:p>
        </w:tc>
        <w:tc>
          <w:tcPr>
            <w:tcW w:w="0" w:type="auto"/>
          </w:tcPr>
          <w:p w14:paraId="0EC22641" w14:textId="77777777" w:rsidR="002E2825" w:rsidRDefault="00000000">
            <w:pPr>
              <w:pStyle w:val="Compact"/>
            </w:pPr>
            <w:r>
              <w:t>Aortic dissection detection risk score with D-dimer</w:t>
            </w:r>
          </w:p>
        </w:tc>
        <w:tc>
          <w:tcPr>
            <w:tcW w:w="0" w:type="auto"/>
          </w:tcPr>
          <w:p w14:paraId="49425591" w14:textId="77777777" w:rsidR="002E2825" w:rsidRDefault="00000000">
            <w:pPr>
              <w:pStyle w:val="Compact"/>
            </w:pPr>
            <w:r>
              <w:t xml:space="preserve">Prospective </w:t>
            </w:r>
            <w:proofErr w:type="spellStart"/>
            <w:r>
              <w:t>multicentre</w:t>
            </w:r>
            <w:proofErr w:type="spellEnd"/>
            <w:r>
              <w:t xml:space="preserve"> validation and meta-analysis</w:t>
            </w:r>
          </w:p>
        </w:tc>
        <w:tc>
          <w:tcPr>
            <w:tcW w:w="0" w:type="auto"/>
          </w:tcPr>
          <w:p w14:paraId="10D9803C" w14:textId="77777777" w:rsidR="002E2825" w:rsidRDefault="00000000">
            <w:pPr>
              <w:pStyle w:val="Compact"/>
            </w:pPr>
            <w:r>
              <w:t>Very low prevalence in unselected populations; D-dimer non-specific; requires prior clinical suspicion</w:t>
            </w:r>
          </w:p>
        </w:tc>
        <w:tc>
          <w:tcPr>
            <w:tcW w:w="0" w:type="auto"/>
          </w:tcPr>
          <w:p w14:paraId="03192823" w14:textId="77777777" w:rsidR="002E2825" w:rsidRDefault="00000000">
            <w:pPr>
              <w:pStyle w:val="Compact"/>
            </w:pPr>
            <w:proofErr w:type="spellStart"/>
            <w:r>
              <w:t>Nazerian</w:t>
            </w:r>
            <w:proofErr w:type="spellEnd"/>
            <w:r>
              <w:t xml:space="preserve"> et al. (2018); Ren et al. (2024)</w:t>
            </w:r>
          </w:p>
        </w:tc>
      </w:tr>
      <w:tr w:rsidR="002E2825" w14:paraId="6AEC0B7A" w14:textId="77777777" w:rsidTr="002B48B7">
        <w:tc>
          <w:tcPr>
            <w:tcW w:w="0" w:type="auto"/>
          </w:tcPr>
          <w:p w14:paraId="71A8742C" w14:textId="77777777" w:rsidR="002E2825" w:rsidRDefault="00000000">
            <w:pPr>
              <w:pStyle w:val="Compact"/>
            </w:pPr>
            <w:r>
              <w:t>Pulmonary embolism</w:t>
            </w:r>
          </w:p>
        </w:tc>
        <w:tc>
          <w:tcPr>
            <w:tcW w:w="0" w:type="auto"/>
          </w:tcPr>
          <w:p w14:paraId="667DC03B" w14:textId="77777777" w:rsidR="002E2825" w:rsidRDefault="00000000">
            <w:pPr>
              <w:pStyle w:val="Compact"/>
            </w:pPr>
            <w:r>
              <w:t xml:space="preserve">Pulmonary embolism rule-out criteria; YEARS algorithm; integrated </w:t>
            </w:r>
            <w:r>
              <w:lastRenderedPageBreak/>
              <w:t>prediction modelling</w:t>
            </w:r>
          </w:p>
        </w:tc>
        <w:tc>
          <w:tcPr>
            <w:tcW w:w="0" w:type="auto"/>
          </w:tcPr>
          <w:p w14:paraId="01448834" w14:textId="77777777" w:rsidR="002E2825" w:rsidRDefault="00000000">
            <w:pPr>
              <w:pStyle w:val="Compact"/>
            </w:pPr>
            <w:proofErr w:type="spellStart"/>
            <w:r>
              <w:lastRenderedPageBreak/>
              <w:t>Randomised</w:t>
            </w:r>
            <w:proofErr w:type="spellEnd"/>
            <w:r>
              <w:t xml:space="preserve"> non-inferiority trial and prospective management </w:t>
            </w:r>
            <w:r>
              <w:lastRenderedPageBreak/>
              <w:t>studies with defined failure rates</w:t>
            </w:r>
          </w:p>
        </w:tc>
        <w:tc>
          <w:tcPr>
            <w:tcW w:w="0" w:type="auto"/>
          </w:tcPr>
          <w:p w14:paraId="3D29F487" w14:textId="77777777" w:rsidR="002E2825" w:rsidRDefault="00000000">
            <w:pPr>
              <w:pStyle w:val="Compact"/>
            </w:pPr>
            <w:r>
              <w:lastRenderedPageBreak/>
              <w:t xml:space="preserve">Strategy interacts with other D-dimer-dependent pathways; thresholds </w:t>
            </w:r>
            <w:r>
              <w:lastRenderedPageBreak/>
              <w:t>require explicit value judgements</w:t>
            </w:r>
          </w:p>
        </w:tc>
        <w:tc>
          <w:tcPr>
            <w:tcW w:w="0" w:type="auto"/>
          </w:tcPr>
          <w:p w14:paraId="0D96BD62" w14:textId="77777777" w:rsidR="002E2825" w:rsidRDefault="00000000">
            <w:pPr>
              <w:pStyle w:val="Compact"/>
            </w:pPr>
            <w:r>
              <w:lastRenderedPageBreak/>
              <w:t xml:space="preserve">Freund et al. (2018); van der Hulle et al. (2017); </w:t>
            </w:r>
            <w:r>
              <w:lastRenderedPageBreak/>
              <w:t>van Es et al. (2023)</w:t>
            </w:r>
          </w:p>
        </w:tc>
      </w:tr>
      <w:tr w:rsidR="002E2825" w14:paraId="586EEC33" w14:textId="77777777" w:rsidTr="002B48B7">
        <w:tc>
          <w:tcPr>
            <w:tcW w:w="0" w:type="auto"/>
          </w:tcPr>
          <w:p w14:paraId="7C812DF8" w14:textId="77777777" w:rsidR="002E2825" w:rsidRDefault="00000000">
            <w:pPr>
              <w:pStyle w:val="Compact"/>
            </w:pPr>
            <w:r>
              <w:lastRenderedPageBreak/>
              <w:t>Type 2 myocardial infarction and myocardial injury</w:t>
            </w:r>
          </w:p>
        </w:tc>
        <w:tc>
          <w:tcPr>
            <w:tcW w:w="0" w:type="auto"/>
          </w:tcPr>
          <w:p w14:paraId="02CD7D9B" w14:textId="77777777" w:rsidR="002E2825" w:rsidRDefault="00000000">
            <w:pPr>
              <w:pStyle w:val="Compact"/>
            </w:pPr>
            <w:r>
              <w:t>Serial high-sensitivity troponin with clinical assessment of supply–demand imbalance</w:t>
            </w:r>
          </w:p>
        </w:tc>
        <w:tc>
          <w:tcPr>
            <w:tcW w:w="0" w:type="auto"/>
          </w:tcPr>
          <w:p w14:paraId="20585630" w14:textId="77777777" w:rsidR="002E2825" w:rsidRDefault="00000000">
            <w:pPr>
              <w:pStyle w:val="Compact"/>
            </w:pPr>
            <w:r>
              <w:t>Large adjudicated cohorts with long-term outcome data</w:t>
            </w:r>
          </w:p>
        </w:tc>
        <w:tc>
          <w:tcPr>
            <w:tcW w:w="0" w:type="auto"/>
          </w:tcPr>
          <w:p w14:paraId="77EF2FBA" w14:textId="77777777" w:rsidR="002E2825" w:rsidRDefault="00000000">
            <w:pPr>
              <w:pStyle w:val="Compact"/>
            </w:pPr>
            <w:r>
              <w:t>No trial evidence for any specific therapy; heterogeneous precipitants; excess mortality largely non-cardiovascular</w:t>
            </w:r>
          </w:p>
        </w:tc>
        <w:tc>
          <w:tcPr>
            <w:tcW w:w="0" w:type="auto"/>
          </w:tcPr>
          <w:p w14:paraId="2E06DD92" w14:textId="77777777" w:rsidR="002E2825" w:rsidRDefault="00000000">
            <w:pPr>
              <w:pStyle w:val="Compact"/>
            </w:pPr>
            <w:proofErr w:type="spellStart"/>
            <w:r>
              <w:t>Bularga</w:t>
            </w:r>
            <w:proofErr w:type="spellEnd"/>
            <w:r>
              <w:t xml:space="preserve"> et al. (2022); Chapman et al. (2018); Sandoval &amp; Thygesen (2017)</w:t>
            </w:r>
          </w:p>
        </w:tc>
      </w:tr>
      <w:tr w:rsidR="002E2825" w14:paraId="641BE847" w14:textId="77777777" w:rsidTr="002B48B7">
        <w:tc>
          <w:tcPr>
            <w:tcW w:w="0" w:type="auto"/>
          </w:tcPr>
          <w:p w14:paraId="32684947" w14:textId="77777777" w:rsidR="002E2825" w:rsidRDefault="00000000">
            <w:pPr>
              <w:pStyle w:val="Compact"/>
            </w:pPr>
            <w:r>
              <w:t>MINOCA</w:t>
            </w:r>
          </w:p>
        </w:tc>
        <w:tc>
          <w:tcPr>
            <w:tcW w:w="0" w:type="auto"/>
          </w:tcPr>
          <w:p w14:paraId="65D00015" w14:textId="77777777" w:rsidR="002E2825" w:rsidRDefault="00000000">
            <w:pPr>
              <w:pStyle w:val="Compact"/>
            </w:pPr>
            <w:r>
              <w:t xml:space="preserve">Structured </w:t>
            </w:r>
            <w:proofErr w:type="spellStart"/>
            <w:r>
              <w:t>aetiological</w:t>
            </w:r>
            <w:proofErr w:type="spellEnd"/>
            <w:r>
              <w:t xml:space="preserve"> work-up including intracoronary imaging and cardiac magnetic resonance</w:t>
            </w:r>
          </w:p>
        </w:tc>
        <w:tc>
          <w:tcPr>
            <w:tcW w:w="0" w:type="auto"/>
          </w:tcPr>
          <w:p w14:paraId="77A016EB" w14:textId="77777777" w:rsidR="002E2825" w:rsidRDefault="00000000">
            <w:pPr>
              <w:pStyle w:val="Compact"/>
            </w:pPr>
            <w:r>
              <w:t>Prospective mechanistic cohort and consensus statements</w:t>
            </w:r>
          </w:p>
        </w:tc>
        <w:tc>
          <w:tcPr>
            <w:tcW w:w="0" w:type="auto"/>
          </w:tcPr>
          <w:p w14:paraId="539C27C9" w14:textId="77777777" w:rsidR="002E2825" w:rsidRDefault="00000000">
            <w:pPr>
              <w:pStyle w:val="Compact"/>
            </w:pPr>
            <w:r>
              <w:t xml:space="preserve">Requires resources unavailable acutely in most </w:t>
            </w:r>
            <w:proofErr w:type="spellStart"/>
            <w:r>
              <w:t>centres</w:t>
            </w:r>
            <w:proofErr w:type="spellEnd"/>
            <w:r>
              <w:t>; not addressed by emergency pathways</w:t>
            </w:r>
          </w:p>
        </w:tc>
        <w:tc>
          <w:tcPr>
            <w:tcW w:w="0" w:type="auto"/>
          </w:tcPr>
          <w:p w14:paraId="28AF31F2" w14:textId="77777777" w:rsidR="002E2825" w:rsidRDefault="00000000">
            <w:pPr>
              <w:pStyle w:val="Compact"/>
            </w:pPr>
            <w:r>
              <w:t>Reynolds et al. (2021); Tamis-Holland et al. (2019)</w:t>
            </w:r>
          </w:p>
        </w:tc>
      </w:tr>
      <w:tr w:rsidR="002E2825" w14:paraId="05E20000" w14:textId="77777777" w:rsidTr="002B48B7">
        <w:tc>
          <w:tcPr>
            <w:tcW w:w="0" w:type="auto"/>
          </w:tcPr>
          <w:p w14:paraId="1DAAE40E" w14:textId="77777777" w:rsidR="002E2825" w:rsidRDefault="00000000">
            <w:pPr>
              <w:pStyle w:val="Compact"/>
            </w:pPr>
            <w:r>
              <w:t>Spontaneous coronary artery dissection</w:t>
            </w:r>
          </w:p>
        </w:tc>
        <w:tc>
          <w:tcPr>
            <w:tcW w:w="0" w:type="auto"/>
          </w:tcPr>
          <w:p w14:paraId="3FFBB504" w14:textId="77777777" w:rsidR="002E2825" w:rsidRDefault="00000000">
            <w:pPr>
              <w:pStyle w:val="Compact"/>
            </w:pPr>
            <w:r>
              <w:t>Angiographic recognition with specific management pathway</w:t>
            </w:r>
          </w:p>
        </w:tc>
        <w:tc>
          <w:tcPr>
            <w:tcW w:w="0" w:type="auto"/>
          </w:tcPr>
          <w:p w14:paraId="365C42AE" w14:textId="77777777" w:rsidR="002E2825" w:rsidRDefault="00000000">
            <w:pPr>
              <w:pStyle w:val="Compact"/>
            </w:pPr>
            <w:r>
              <w:t xml:space="preserve">Scientific statement </w:t>
            </w:r>
            <w:proofErr w:type="spellStart"/>
            <w:r>
              <w:t>synthesising</w:t>
            </w:r>
            <w:proofErr w:type="spellEnd"/>
            <w:r>
              <w:t xml:space="preserve"> observational evidence</w:t>
            </w:r>
          </w:p>
        </w:tc>
        <w:tc>
          <w:tcPr>
            <w:tcW w:w="0" w:type="auto"/>
          </w:tcPr>
          <w:p w14:paraId="0C76DA17" w14:textId="77777777" w:rsidR="002E2825" w:rsidRDefault="00000000">
            <w:pPr>
              <w:pStyle w:val="Compact"/>
            </w:pPr>
            <w:r>
              <w:t>Frequently misclassified at first presentation; affects populations under-represented in pathway derivation</w:t>
            </w:r>
          </w:p>
        </w:tc>
        <w:tc>
          <w:tcPr>
            <w:tcW w:w="0" w:type="auto"/>
          </w:tcPr>
          <w:p w14:paraId="469965C5" w14:textId="77777777" w:rsidR="002E2825" w:rsidRDefault="00000000">
            <w:pPr>
              <w:pStyle w:val="Compact"/>
            </w:pPr>
            <w:r>
              <w:t>Hayes et al. (2018)</w:t>
            </w:r>
          </w:p>
        </w:tc>
      </w:tr>
      <w:tr w:rsidR="002E2825" w14:paraId="0782C094" w14:textId="77777777" w:rsidTr="002B48B7">
        <w:tc>
          <w:tcPr>
            <w:tcW w:w="0" w:type="auto"/>
          </w:tcPr>
          <w:p w14:paraId="4A26B3C6" w14:textId="77777777" w:rsidR="002E2825" w:rsidRDefault="00000000">
            <w:pPr>
              <w:pStyle w:val="Compact"/>
            </w:pPr>
            <w:r>
              <w:t>INOCA and coronary microvascular dysfunction</w:t>
            </w:r>
          </w:p>
        </w:tc>
        <w:tc>
          <w:tcPr>
            <w:tcW w:w="0" w:type="auto"/>
          </w:tcPr>
          <w:p w14:paraId="49CBA079" w14:textId="77777777" w:rsidR="002E2825" w:rsidRDefault="00000000">
            <w:pPr>
              <w:pStyle w:val="Compact"/>
            </w:pPr>
            <w:r>
              <w:t>Invasive or non-invasive assessment of microvascular and vasomotor function</w:t>
            </w:r>
          </w:p>
        </w:tc>
        <w:tc>
          <w:tcPr>
            <w:tcW w:w="0" w:type="auto"/>
          </w:tcPr>
          <w:p w14:paraId="23D8313A" w14:textId="77777777" w:rsidR="002E2825" w:rsidRDefault="00000000">
            <w:pPr>
              <w:pStyle w:val="Compact"/>
            </w:pPr>
            <w:r>
              <w:t>Consensus document and mechanistic reviews</w:t>
            </w:r>
          </w:p>
        </w:tc>
        <w:tc>
          <w:tcPr>
            <w:tcW w:w="0" w:type="auto"/>
          </w:tcPr>
          <w:p w14:paraId="37E54DCB" w14:textId="77777777" w:rsidR="002E2825" w:rsidRDefault="00000000">
            <w:pPr>
              <w:pStyle w:val="Compact"/>
            </w:pPr>
            <w:r>
              <w:t>Diagnosis is not made acutely; recurrent presentations continue without explanation</w:t>
            </w:r>
          </w:p>
        </w:tc>
        <w:tc>
          <w:tcPr>
            <w:tcW w:w="0" w:type="auto"/>
          </w:tcPr>
          <w:p w14:paraId="72E648C6" w14:textId="77777777" w:rsidR="002E2825" w:rsidRDefault="00000000">
            <w:pPr>
              <w:pStyle w:val="Compact"/>
            </w:pPr>
            <w:r>
              <w:t xml:space="preserve">Del Buono et al. (2021); </w:t>
            </w:r>
            <w:proofErr w:type="spellStart"/>
            <w:r>
              <w:t>Kunadian</w:t>
            </w:r>
            <w:proofErr w:type="spellEnd"/>
            <w:r>
              <w:t xml:space="preserve"> et al. (2020); Mehta et al. (2022)</w:t>
            </w:r>
          </w:p>
        </w:tc>
      </w:tr>
      <w:tr w:rsidR="002E2825" w14:paraId="1643FD25" w14:textId="77777777" w:rsidTr="002B48B7">
        <w:tc>
          <w:tcPr>
            <w:tcW w:w="0" w:type="auto"/>
          </w:tcPr>
          <w:p w14:paraId="3E22AFEE" w14:textId="77777777" w:rsidR="002E2825" w:rsidRDefault="00000000">
            <w:pPr>
              <w:pStyle w:val="Compact"/>
            </w:pPr>
            <w:r>
              <w:t>Non-cardiac chest pain</w:t>
            </w:r>
          </w:p>
        </w:tc>
        <w:tc>
          <w:tcPr>
            <w:tcW w:w="0" w:type="auto"/>
          </w:tcPr>
          <w:p w14:paraId="53C3FFD9" w14:textId="77777777" w:rsidR="002E2825" w:rsidRDefault="00000000">
            <w:pPr>
              <w:pStyle w:val="Compact"/>
            </w:pPr>
            <w:r>
              <w:t xml:space="preserve">Exclusion of cardiac cause followed by targeted assessment of </w:t>
            </w:r>
            <w:proofErr w:type="spellStart"/>
            <w:r>
              <w:t>oesophageal</w:t>
            </w:r>
            <w:proofErr w:type="spellEnd"/>
            <w:r>
              <w:t>, musculoskeletal and psychological contributors</w:t>
            </w:r>
          </w:p>
        </w:tc>
        <w:tc>
          <w:tcPr>
            <w:tcW w:w="0" w:type="auto"/>
          </w:tcPr>
          <w:p w14:paraId="213AFF20" w14:textId="77777777" w:rsidR="002E2825" w:rsidRDefault="00000000">
            <w:pPr>
              <w:pStyle w:val="Compact"/>
            </w:pPr>
            <w:r>
              <w:t xml:space="preserve">Narrative and consensus literature; one </w:t>
            </w:r>
            <w:proofErr w:type="spellStart"/>
            <w:r>
              <w:t>randomised</w:t>
            </w:r>
            <w:proofErr w:type="spellEnd"/>
            <w:r>
              <w:t xml:space="preserve"> trial of psychological intervention</w:t>
            </w:r>
          </w:p>
        </w:tc>
        <w:tc>
          <w:tcPr>
            <w:tcW w:w="0" w:type="auto"/>
          </w:tcPr>
          <w:p w14:paraId="6F5A398D" w14:textId="77777777" w:rsidR="002E2825" w:rsidRDefault="00000000">
            <w:pPr>
              <w:pStyle w:val="Compact"/>
            </w:pPr>
            <w:r>
              <w:t>Assessment occurs outside emergency care; referral pathways rarely exist; persistent cardiac anxiety unaddressed</w:t>
            </w:r>
          </w:p>
        </w:tc>
        <w:tc>
          <w:tcPr>
            <w:tcW w:w="0" w:type="auto"/>
          </w:tcPr>
          <w:p w14:paraId="735EC8A3" w14:textId="77777777" w:rsidR="002E2825" w:rsidRDefault="00000000">
            <w:pPr>
              <w:pStyle w:val="Compact"/>
            </w:pPr>
            <w:r>
              <w:t>Eriksson-</w:t>
            </w:r>
            <w:proofErr w:type="spellStart"/>
            <w:r>
              <w:t>Liebon</w:t>
            </w:r>
            <w:proofErr w:type="spellEnd"/>
            <w:r>
              <w:t xml:space="preserve"> et al. (2024); Frieling (2018)</w:t>
            </w:r>
          </w:p>
        </w:tc>
      </w:tr>
    </w:tbl>
    <w:p w14:paraId="49532585" w14:textId="77777777" w:rsidR="002E2825" w:rsidRDefault="00000000">
      <w:pPr>
        <w:pStyle w:val="BodyText"/>
      </w:pPr>
      <w:r>
        <w:rPr>
          <w:i/>
          <w:iCs/>
        </w:rPr>
        <w:lastRenderedPageBreak/>
        <w:t>Note.</w:t>
      </w:r>
      <w:r>
        <w:t xml:space="preserve"> INOCA = </w:t>
      </w:r>
      <w:proofErr w:type="spellStart"/>
      <w:r>
        <w:t>ischaemia</w:t>
      </w:r>
      <w:proofErr w:type="spellEnd"/>
      <w:r>
        <w:t xml:space="preserve"> with non-obstructive coronary arteries; MINOCA = myocardial infarction with non-obstructive coronary arteries.</w:t>
      </w:r>
    </w:p>
    <w:p w14:paraId="15D3382F" w14:textId="77777777" w:rsidR="002E2825" w:rsidRDefault="00000000">
      <w:pPr>
        <w:pStyle w:val="Heading2"/>
      </w:pPr>
      <w:bookmarkStart w:id="36" w:name="X5258475175bcbf791688c360dacebb03e4dfdf2"/>
      <w:bookmarkEnd w:id="31"/>
      <w:bookmarkEnd w:id="35"/>
      <w:r>
        <w:t>8. Equity, Implementation and the System Context of Diagnosis</w:t>
      </w:r>
    </w:p>
    <w:p w14:paraId="631F26E2" w14:textId="77777777" w:rsidR="002E2825" w:rsidRDefault="00000000">
      <w:pPr>
        <w:pStyle w:val="Heading3"/>
      </w:pPr>
      <w:bookmarkStart w:id="37" w:name="sex-and-gender"/>
      <w:r>
        <w:t>8.1 Sex and gender</w:t>
      </w:r>
    </w:p>
    <w:p w14:paraId="3D2394B4" w14:textId="77777777" w:rsidR="002E2825" w:rsidRDefault="00000000">
      <w:pPr>
        <w:pStyle w:val="FirstParagraph"/>
      </w:pPr>
      <w:r>
        <w:t>Differences in the evaluation and treatment of women presenting with chest pain have been documented for decades and persist despite sustained attention. Three mechanisms are distinguishable in the evidence, and conflating them has hindered progress. The first is analytical: use of a single troponin threshold derived from mixed populations systematically under-diagnoses infarction in women, an effect corrected by sex-specific thresholds (Lee et al., 2019). The second is interpretive: the persistent belief that women present with characteristically different symptoms is not supported by adjudicated symptom data, and may itself delay recognition (Ferry et al., 2019). The third is therapeutic: women identified as having infarction receive guideline-directed investigation and treatment less consistently than men, so that correcting the diagnostic threshold without addressing subsequent management yields incomplete benefit (Lee et al., 2019; Maas et al., 2025).</w:t>
      </w:r>
    </w:p>
    <w:p w14:paraId="190C86C0" w14:textId="77777777" w:rsidR="002E2825" w:rsidRDefault="00000000">
      <w:pPr>
        <w:pStyle w:val="BodyText"/>
      </w:pPr>
      <w:r>
        <w:t xml:space="preserve">The therapeutic gap has received the least methodological attention. It is generally identified in observational analyses in which confounding by comorbidity, presentation severity and patient preference cannot be excluded, and the proportion attributable to clinician </w:t>
      </w:r>
      <w:proofErr w:type="spellStart"/>
      <w:r>
        <w:t>behaviour</w:t>
      </w:r>
      <w:proofErr w:type="spellEnd"/>
      <w:r>
        <w:t xml:space="preserve"> as opposed to case mix remains uncertain. Commentary accompanying contemporary guidance has argued that the diagnostic and therapeutic questions must be addressed jointly, and that trials evaluating diagnostic strategies should report sex-disaggregated management and outcome data as a matter of course (Kaur et al., 2023). That requirement is not consistently met in the trials examined for this review, several of which report sex-disaggregated baseline characteristics without corresponding outcome or process disaggregation.</w:t>
      </w:r>
    </w:p>
    <w:p w14:paraId="109A208F" w14:textId="77777777" w:rsidR="002E2825" w:rsidRDefault="00000000">
      <w:pPr>
        <w:pStyle w:val="Heading3"/>
      </w:pPr>
      <w:bookmarkStart w:id="38" w:name="ethnicity-language-and-insurance-status"/>
      <w:bookmarkEnd w:id="37"/>
      <w:r>
        <w:t>8.2 Ethnicity, language and insurance status</w:t>
      </w:r>
    </w:p>
    <w:p w14:paraId="03DFD942" w14:textId="77777777" w:rsidR="002E2825" w:rsidRDefault="00000000">
      <w:pPr>
        <w:pStyle w:val="FirstParagraph"/>
      </w:pPr>
      <w:r>
        <w:t>Analyses of national practice data have identified differences in the intensity of evaluation received by patients presenting with chest pain according to race, ethnicity and insurance status, with disparities persisting after adjustment for available clinical covariates (Mukhopadhyay et al., 2020). The interpretive difficulty is substantial: administrative datasets lack the clinical detail required to distinguish appropriate variation from inequitable variation, and unmeasured differences in presentation acuity could account for part of the observed pattern. The consistency of the direction of effect across datasets and time periods nonetheless makes pure confounding an unlikely complete explanation.</w:t>
      </w:r>
    </w:p>
    <w:p w14:paraId="3D9E5B25" w14:textId="77777777" w:rsidR="002E2825" w:rsidRDefault="00000000">
      <w:pPr>
        <w:pStyle w:val="BodyText"/>
      </w:pPr>
      <w:r>
        <w:t xml:space="preserve">Evidence on triage assignment is more specific and more concerning, because triage occurs before clinical evaluation and therefore before the point at which case-mix differences could legitimately influence resource allocation. A </w:t>
      </w:r>
      <w:proofErr w:type="spellStart"/>
      <w:r>
        <w:t>multicentre</w:t>
      </w:r>
      <w:proofErr w:type="spellEnd"/>
      <w:r>
        <w:t xml:space="preserve"> analysis found differences in triage acuity assignment associated with race, ethnicity and primary language, indicating that the earliest stage of the diagnostic pathway is not applied uniformly (Joseph et al., 2023). Triage assignment determines waiting time, and waiting time determines the </w:t>
      </w:r>
      <w:r>
        <w:lastRenderedPageBreak/>
        <w:t xml:space="preserve">interval to electrocardiography and biomarker sampling, so a disparity at this stage propagates through every subsequent step of an otherwise </w:t>
      </w:r>
      <w:proofErr w:type="spellStart"/>
      <w:r>
        <w:t>standardised</w:t>
      </w:r>
      <w:proofErr w:type="spellEnd"/>
      <w:r>
        <w:t xml:space="preserve"> pathway. Structured decision aids cannot correct this, because they operate after triage and take as input the assessment that triage has already shaped.</w:t>
      </w:r>
    </w:p>
    <w:p w14:paraId="7F1B6DAF" w14:textId="77777777" w:rsidR="002E2825" w:rsidRDefault="00000000">
      <w:pPr>
        <w:pStyle w:val="Heading3"/>
      </w:pPr>
      <w:bookmarkStart w:id="39" w:name="X52ec359490247f1517478efc2518607a315a772"/>
      <w:bookmarkEnd w:id="38"/>
      <w:r>
        <w:t>8.3 System capacity, prehospital care and settings with constrained resources</w:t>
      </w:r>
    </w:p>
    <w:p w14:paraId="5A4BCB35" w14:textId="77777777" w:rsidR="002E2825" w:rsidRDefault="00000000">
      <w:pPr>
        <w:pStyle w:val="FirstParagraph"/>
      </w:pPr>
      <w:r>
        <w:t>Diagnostic strategy is inseparable from the capacity of the system implementing it. Algorithms requiring sampling at precisely specified intervals assume laboratory turnaround and nursing availability that departments operating beyond capacity cannot guarantee, and protocol deviation under load is predictable rather than aberrant. The comparability of one-hour and longer-interval algorithms is therefore of practical importance, since it indicates that departments unable to sustain the shorter interval are not obliged to accept inferior performance (Glaeser et al., 2026).</w:t>
      </w:r>
    </w:p>
    <w:p w14:paraId="28BF9B2E" w14:textId="77777777" w:rsidR="002E2825" w:rsidRDefault="00000000">
      <w:pPr>
        <w:pStyle w:val="BodyText"/>
      </w:pPr>
      <w:r>
        <w:t xml:space="preserve">Prehospital rule-out strategies represent an attempt to move diagnosis upstream of the constrained resource, and the </w:t>
      </w:r>
      <w:proofErr w:type="spellStart"/>
      <w:r>
        <w:t>randomised</w:t>
      </w:r>
      <w:proofErr w:type="spellEnd"/>
      <w:r>
        <w:t xml:space="preserve"> and pooled evidence indicates that this is feasible for a defined low-risk group (Aarts et al., 2024; Demandt et al., 2026). The approach presupposes an emergency medical services system with trained personnel, point-of-care analytical capability and a governance framework permitting non-conveyance, conditions that are not universal even among high-income systems.</w:t>
      </w:r>
    </w:p>
    <w:p w14:paraId="59B0EEE7" w14:textId="77777777" w:rsidR="002E2825" w:rsidRDefault="00000000">
      <w:pPr>
        <w:pStyle w:val="BodyText"/>
      </w:pPr>
      <w:r>
        <w:t xml:space="preserve">The geographical concentration of the evidence base is the most consequential unaddressed limitation in this field. The cohorts, trials and syntheses examined for this review originate overwhelmingly from western Europe, North America and Australasia, while </w:t>
      </w:r>
      <w:proofErr w:type="spellStart"/>
      <w:r>
        <w:t>ischaemic</w:t>
      </w:r>
      <w:proofErr w:type="spellEnd"/>
      <w:r>
        <w:t xml:space="preserve"> heart disease mortality is concentrated increasingly in low- and middle-income countries (GBD 2021 Causes of Death Collaborators, 2024). Diagnostic strategies validated where high-sensitivity assays are universally available, where computed tomography can be obtained within an hour and where emergency departments are staffed by specialists cannot be assumed to transfer to settings where any of these conditions fails. Evidence generated in such settings is scarce enough that this review cannot </w:t>
      </w:r>
      <w:proofErr w:type="spellStart"/>
      <w:r>
        <w:t>characterise</w:t>
      </w:r>
      <w:proofErr w:type="spellEnd"/>
      <w:r>
        <w:t xml:space="preserve"> it beyond noting its scarcity, which is itself a finding: the population bearing most of the global burden is least represented in the literature that defines the standard of care.</w:t>
      </w:r>
    </w:p>
    <w:p w14:paraId="73CA00C9" w14:textId="77777777" w:rsidR="002E2825" w:rsidRDefault="00000000">
      <w:pPr>
        <w:pStyle w:val="Heading2"/>
      </w:pPr>
      <w:bookmarkStart w:id="40" w:name="X17fba8fe5cf8488e8f2011642f02c1a0c21a347"/>
      <w:bookmarkEnd w:id="36"/>
      <w:bookmarkEnd w:id="39"/>
      <w:r>
        <w:t>9. Computational Decision Support and the Standards It Must Meet</w:t>
      </w:r>
    </w:p>
    <w:p w14:paraId="278D1C4D" w14:textId="77777777" w:rsidR="002E2825" w:rsidRDefault="00000000">
      <w:pPr>
        <w:pStyle w:val="Heading3"/>
      </w:pPr>
      <w:bookmarkStart w:id="41" w:name="Xecfa7be6d6cd432b847d84f56f1ab234d99b845"/>
      <w:r>
        <w:t>9.1 Machine learning applied to troponin-based diagnosis</w:t>
      </w:r>
    </w:p>
    <w:p w14:paraId="6B83846C" w14:textId="77777777" w:rsidR="002E2825" w:rsidRDefault="00000000">
      <w:pPr>
        <w:pStyle w:val="FirstParagraph"/>
      </w:pPr>
      <w:r>
        <w:t>Fixed thresholds and fixed change criteria discard information. Machine-learning approaches that use continuous troponin concentrations together with clinical variables to generate individual probability estimates have been developed to recover it. A model derived and validated across multiple international cohorts estimated the probability of myocardial infarction from troponin concentration, time between samples and clinical features, and identified a larger proportion of patients as suitable for rule-out at comparable safety than fixed-threshold approaches, while also improving identification of patients at high probability (</w:t>
      </w:r>
      <w:proofErr w:type="spellStart"/>
      <w:r>
        <w:t>Doudesis</w:t>
      </w:r>
      <w:proofErr w:type="spellEnd"/>
      <w:r>
        <w:t xml:space="preserve"> et al., 2023). Direct comparison with guideline-recommended pathways in an independent cohort supported these findings, reporting improved efficiency without loss of sensitivity (</w:t>
      </w:r>
      <w:proofErr w:type="spellStart"/>
      <w:r>
        <w:t>Boeddinghaus</w:t>
      </w:r>
      <w:proofErr w:type="spellEnd"/>
      <w:r>
        <w:t xml:space="preserve"> et al., 2024).</w:t>
      </w:r>
    </w:p>
    <w:p w14:paraId="2F7C03E5" w14:textId="77777777" w:rsidR="002E2825" w:rsidRDefault="00000000">
      <w:pPr>
        <w:pStyle w:val="BodyText"/>
      </w:pPr>
      <w:r>
        <w:lastRenderedPageBreak/>
        <w:t xml:space="preserve">Independent external validation is the appropriate test of such claims, and it has been applied unevenly. External evaluation of an earlier machine-learning algorithm for early myocardial infarction diagnosis in a </w:t>
      </w:r>
      <w:proofErr w:type="spellStart"/>
      <w:r>
        <w:t>multicentre</w:t>
      </w:r>
      <w:proofErr w:type="spellEnd"/>
      <w:r>
        <w:t xml:space="preserve"> cohort reported performance below that observed in derivation, illustrating the optimism that accompanies model development and the necessity of validation in populations the developers did not assemble (Lopez-Ayala et al., 2024). The pattern is familiar from the broader prediction-model literature and argues against adopting any model on the basis of derivation performance alone, however impressive.</w:t>
      </w:r>
    </w:p>
    <w:p w14:paraId="43AE27F5" w14:textId="77777777" w:rsidR="002E2825" w:rsidRDefault="00000000">
      <w:pPr>
        <w:pStyle w:val="BodyText"/>
      </w:pPr>
      <w:r>
        <w:t>Several structural concerns apply to this class of models. Calibration, which determines whether a stated probability corresponds to observed frequency, is reported less consistently than discrimination, yet calibration is what matters when a probability threshold governs discharge. Models trained on adjudicated cohorts inherit the adjudication process as their reference standard, so they learn to reproduce expert classification rather than to predict biological events, and adjudication itself uses troponin. The populations used for derivation share investigators and infrastructure to a degree that limits the independence of successive validations. None of these concerns invalidates the approach, but together they indicate that current evidence supports feasibility rather than readiness.</w:t>
      </w:r>
    </w:p>
    <w:p w14:paraId="0B3FAB96" w14:textId="77777777" w:rsidR="002E2825" w:rsidRDefault="00000000">
      <w:pPr>
        <w:pStyle w:val="Heading3"/>
      </w:pPr>
      <w:bookmarkStart w:id="42" w:name="Xa85d88738d9d3914da0b5501c0837420f88b2a7"/>
      <w:bookmarkEnd w:id="41"/>
      <w:r>
        <w:t>9.2 Deep learning applied to the electrocardiogram</w:t>
      </w:r>
    </w:p>
    <w:p w14:paraId="24A65B35" w14:textId="77777777" w:rsidR="002E2825" w:rsidRDefault="00000000">
      <w:pPr>
        <w:pStyle w:val="FirstParagraph"/>
      </w:pPr>
      <w:r>
        <w:t xml:space="preserve">Electrocardiographic deep learning addresses a different and arguably more tractable problem, since the input is </w:t>
      </w:r>
      <w:proofErr w:type="spellStart"/>
      <w:r>
        <w:t>standardised</w:t>
      </w:r>
      <w:proofErr w:type="spellEnd"/>
      <w:r>
        <w:t xml:space="preserve"> and abundant. Reported model performance for identifying and </w:t>
      </w:r>
      <w:proofErr w:type="spellStart"/>
      <w:r>
        <w:t>localising</w:t>
      </w:r>
      <w:proofErr w:type="spellEnd"/>
      <w:r>
        <w:t xml:space="preserve"> occlusion myocardial infarction exceeds that of conventional ST-elevation criteria, which is consistent with the well-documented insensitivity of those criteria for acute coronary occlusion (Gustafsson et al., 2026). If such performance is confirmed prospectively, the clinical implication is substantial, because the patients affected are those in whom delay to reperfusion is most consequential.</w:t>
      </w:r>
    </w:p>
    <w:p w14:paraId="1D05BF32" w14:textId="77777777" w:rsidR="002E2825" w:rsidRDefault="00000000">
      <w:pPr>
        <w:pStyle w:val="BodyText"/>
      </w:pPr>
      <w:r>
        <w:t xml:space="preserve">The evidence remains preliminary in ways that the reported accuracy figures do not convey. Model development has relied on retrospective datasets with reference standards defined by angiographic findings or discharge diagnoses, both of which are influenced by the clinical response to the electrocardiogram being evaluated. Performance in populations differing in age structure, comorbidity and prevalence from the development cohorts is largely </w:t>
      </w:r>
      <w:proofErr w:type="spellStart"/>
      <w:r>
        <w:t>uncharacterised</w:t>
      </w:r>
      <w:proofErr w:type="spellEnd"/>
      <w:r>
        <w:t xml:space="preserve">, and no evaluation has yet demonstrated that model output changes clinician </w:t>
      </w:r>
      <w:proofErr w:type="spellStart"/>
      <w:r>
        <w:t>behaviour</w:t>
      </w:r>
      <w:proofErr w:type="spellEnd"/>
      <w:r>
        <w:t xml:space="preserve"> in a manner that reduces time to reperfusion. The transition from demonstrating that a model can classify to demonstrating that its deployment helps patients is precisely the transition that the troponin literature completed only partially, and there is no reason to expect it to be easier here.</w:t>
      </w:r>
    </w:p>
    <w:p w14:paraId="0084AAD3" w14:textId="77777777" w:rsidR="002E2825" w:rsidRDefault="00000000">
      <w:pPr>
        <w:pStyle w:val="Heading3"/>
      </w:pPr>
      <w:bookmarkStart w:id="43" w:name="what-adoption-would-require"/>
      <w:bookmarkEnd w:id="42"/>
      <w:r>
        <w:t>9.3 What adoption would require</w:t>
      </w:r>
    </w:p>
    <w:p w14:paraId="7C9A02F7" w14:textId="77777777" w:rsidR="002E2825" w:rsidRDefault="00000000">
      <w:pPr>
        <w:pStyle w:val="FirstParagraph"/>
      </w:pPr>
      <w:r>
        <w:t xml:space="preserve">The evidentiary standard appropriate to computational decision support in this setting should be at least as demanding as that applied to a new diagnostic assay. That implies independent external validation in populations distinct from the development cohorts, reporting of calibration alongside discrimination, transparent specification sufficient for </w:t>
      </w:r>
      <w:r>
        <w:lastRenderedPageBreak/>
        <w:t>independent implementation, prospective evaluation of the effect on clinical decisions rather than on classification alone, and monitoring for performance drift after deployment. Evaluation should also address the interaction between model output and clinician judgement, since the evidence on decision aids consistently shows that clinicians incorporate structured output into existing reasoning rather than deferring to it (Wang et al., 2024).</w:t>
      </w:r>
    </w:p>
    <w:p w14:paraId="3B70C547" w14:textId="77777777" w:rsidR="002E2825" w:rsidRDefault="00000000">
      <w:pPr>
        <w:pStyle w:val="BodyText"/>
      </w:pPr>
      <w:r>
        <w:t>The recurring methodological weaknesses identified across the evidence examined in this review are not confined to computational approaches, and they explain much of the inconsistency described in earlier sections. Table 5 sets out these weaknesses, the domains in which they appear, their consequences for interpretation and the study designs that would address them. Two entries account for a disproportionate share of the difficulty: the use of composite outcomes containing management-dependent components, and the near-universal substitution of diagnostic performance for patient outcome as the primary endpoint.</w:t>
      </w:r>
    </w:p>
    <w:p w14:paraId="704D0A6F" w14:textId="77777777" w:rsidR="002E2825" w:rsidRDefault="00000000">
      <w:pPr>
        <w:pStyle w:val="BodyText"/>
      </w:pPr>
      <w:r>
        <w:rPr>
          <w:b/>
          <w:bCs/>
        </w:rPr>
        <w:t>Table 5. Recurrent methodological limitations in the acute chest pain evidence base</w:t>
      </w:r>
    </w:p>
    <w:tbl>
      <w:tblPr>
        <w:tblStyle w:val="TableGrid"/>
        <w:tblW w:w="5000" w:type="pct"/>
        <w:tblLook w:val="0020" w:firstRow="1" w:lastRow="0" w:firstColumn="0" w:lastColumn="0" w:noHBand="0" w:noVBand="0"/>
      </w:tblPr>
      <w:tblGrid>
        <w:gridCol w:w="2037"/>
        <w:gridCol w:w="1906"/>
        <w:gridCol w:w="1820"/>
        <w:gridCol w:w="2076"/>
        <w:gridCol w:w="1737"/>
      </w:tblGrid>
      <w:tr w:rsidR="002E2825" w14:paraId="121EBC28" w14:textId="77777777" w:rsidTr="002B48B7">
        <w:tc>
          <w:tcPr>
            <w:tcW w:w="0" w:type="auto"/>
          </w:tcPr>
          <w:p w14:paraId="569635C4" w14:textId="77777777" w:rsidR="002E2825" w:rsidRDefault="00000000">
            <w:pPr>
              <w:pStyle w:val="Compact"/>
            </w:pPr>
            <w:r>
              <w:t>Limitation</w:t>
            </w:r>
          </w:p>
        </w:tc>
        <w:tc>
          <w:tcPr>
            <w:tcW w:w="0" w:type="auto"/>
          </w:tcPr>
          <w:p w14:paraId="5B997A57" w14:textId="77777777" w:rsidR="002E2825" w:rsidRDefault="00000000">
            <w:pPr>
              <w:pStyle w:val="Compact"/>
            </w:pPr>
            <w:r>
              <w:t>Where it appears</w:t>
            </w:r>
          </w:p>
        </w:tc>
        <w:tc>
          <w:tcPr>
            <w:tcW w:w="0" w:type="auto"/>
          </w:tcPr>
          <w:p w14:paraId="29F74927" w14:textId="77777777" w:rsidR="002E2825" w:rsidRDefault="00000000">
            <w:pPr>
              <w:pStyle w:val="Compact"/>
            </w:pPr>
            <w:r>
              <w:t>Consequence for interpretation</w:t>
            </w:r>
          </w:p>
        </w:tc>
        <w:tc>
          <w:tcPr>
            <w:tcW w:w="0" w:type="auto"/>
          </w:tcPr>
          <w:p w14:paraId="0EBE2614" w14:textId="77777777" w:rsidR="002E2825" w:rsidRDefault="00000000">
            <w:pPr>
              <w:pStyle w:val="Compact"/>
            </w:pPr>
            <w:r>
              <w:t>Design that would address it</w:t>
            </w:r>
          </w:p>
        </w:tc>
        <w:tc>
          <w:tcPr>
            <w:tcW w:w="0" w:type="auto"/>
          </w:tcPr>
          <w:p w14:paraId="2FC776A1" w14:textId="77777777" w:rsidR="002E2825" w:rsidRDefault="00000000">
            <w:pPr>
              <w:pStyle w:val="Compact"/>
            </w:pPr>
            <w:r>
              <w:t>Supporting references</w:t>
            </w:r>
          </w:p>
        </w:tc>
      </w:tr>
      <w:tr w:rsidR="002E2825" w14:paraId="0DC42E60" w14:textId="77777777" w:rsidTr="002B48B7">
        <w:tc>
          <w:tcPr>
            <w:tcW w:w="0" w:type="auto"/>
          </w:tcPr>
          <w:p w14:paraId="402510D0" w14:textId="77777777" w:rsidR="002E2825" w:rsidRDefault="00000000">
            <w:pPr>
              <w:pStyle w:val="Compact"/>
            </w:pPr>
            <w:r>
              <w:t xml:space="preserve">Composite outcomes including </w:t>
            </w:r>
            <w:proofErr w:type="spellStart"/>
            <w:r>
              <w:t>revascularisation</w:t>
            </w:r>
            <w:proofErr w:type="spellEnd"/>
          </w:p>
        </w:tc>
        <w:tc>
          <w:tcPr>
            <w:tcW w:w="0" w:type="auto"/>
          </w:tcPr>
          <w:p w14:paraId="6902E3EF" w14:textId="77777777" w:rsidR="002E2825" w:rsidRDefault="00000000">
            <w:pPr>
              <w:pStyle w:val="Compact"/>
            </w:pPr>
            <w:r>
              <w:t>Decision-aid validation and comparative pathway studies</w:t>
            </w:r>
          </w:p>
        </w:tc>
        <w:tc>
          <w:tcPr>
            <w:tcW w:w="0" w:type="auto"/>
          </w:tcPr>
          <w:p w14:paraId="2EEF4901" w14:textId="77777777" w:rsidR="002E2825" w:rsidRDefault="00000000">
            <w:pPr>
              <w:pStyle w:val="Compact"/>
            </w:pPr>
            <w:r>
              <w:t>Events are partly generated by the pathway under evaluation, producing circularity and inflating apparent risk in interventional strategies</w:t>
            </w:r>
          </w:p>
        </w:tc>
        <w:tc>
          <w:tcPr>
            <w:tcW w:w="0" w:type="auto"/>
          </w:tcPr>
          <w:p w14:paraId="2CD06489" w14:textId="77777777" w:rsidR="002E2825" w:rsidRDefault="00000000">
            <w:pPr>
              <w:pStyle w:val="Compact"/>
            </w:pPr>
            <w:r>
              <w:t xml:space="preserve">Prespecified outcomes restricted to death and spontaneous infarction, with </w:t>
            </w:r>
            <w:proofErr w:type="spellStart"/>
            <w:r>
              <w:t>revascularisation</w:t>
            </w:r>
            <w:proofErr w:type="spellEnd"/>
            <w:r>
              <w:t xml:space="preserve"> reported separately</w:t>
            </w:r>
          </w:p>
        </w:tc>
        <w:tc>
          <w:tcPr>
            <w:tcW w:w="0" w:type="auto"/>
          </w:tcPr>
          <w:p w14:paraId="51ADA5F3" w14:textId="77777777" w:rsidR="002E2825" w:rsidRDefault="00000000">
            <w:pPr>
              <w:pStyle w:val="Compact"/>
            </w:pPr>
            <w:r>
              <w:t>Fernando et al. (2019); Laureano-Phillips et al. (2019); O’Rielly et al. (2023)</w:t>
            </w:r>
          </w:p>
        </w:tc>
      </w:tr>
      <w:tr w:rsidR="002E2825" w14:paraId="06FEBE01" w14:textId="77777777" w:rsidTr="002B48B7">
        <w:tc>
          <w:tcPr>
            <w:tcW w:w="0" w:type="auto"/>
          </w:tcPr>
          <w:p w14:paraId="3A33DD36" w14:textId="77777777" w:rsidR="002E2825" w:rsidRDefault="00000000">
            <w:pPr>
              <w:pStyle w:val="Compact"/>
            </w:pPr>
            <w:r>
              <w:t>Diagnostic performance substituted for patient outcome</w:t>
            </w:r>
          </w:p>
        </w:tc>
        <w:tc>
          <w:tcPr>
            <w:tcW w:w="0" w:type="auto"/>
          </w:tcPr>
          <w:p w14:paraId="72BA2D44" w14:textId="77777777" w:rsidR="002E2825" w:rsidRDefault="00000000">
            <w:pPr>
              <w:pStyle w:val="Compact"/>
            </w:pPr>
            <w:r>
              <w:t>Assay evaluation, algorithm derivation, most machine-learning studies</w:t>
            </w:r>
          </w:p>
        </w:tc>
        <w:tc>
          <w:tcPr>
            <w:tcW w:w="0" w:type="auto"/>
          </w:tcPr>
          <w:p w14:paraId="6B6782EF" w14:textId="77777777" w:rsidR="002E2825" w:rsidRDefault="00000000">
            <w:pPr>
              <w:pStyle w:val="Compact"/>
            </w:pPr>
            <w:r>
              <w:t xml:space="preserve">Improved classification is assumed to confer benefit despite </w:t>
            </w:r>
            <w:proofErr w:type="spellStart"/>
            <w:r>
              <w:t>randomised</w:t>
            </w:r>
            <w:proofErr w:type="spellEnd"/>
            <w:r>
              <w:t xml:space="preserve"> evidence of neutral effects</w:t>
            </w:r>
          </w:p>
        </w:tc>
        <w:tc>
          <w:tcPr>
            <w:tcW w:w="0" w:type="auto"/>
          </w:tcPr>
          <w:p w14:paraId="7D170720" w14:textId="77777777" w:rsidR="002E2825" w:rsidRDefault="00000000">
            <w:pPr>
              <w:pStyle w:val="Compact"/>
            </w:pPr>
            <w:r>
              <w:t xml:space="preserve">Management studies and </w:t>
            </w:r>
            <w:proofErr w:type="spellStart"/>
            <w:r>
              <w:t>randomised</w:t>
            </w:r>
            <w:proofErr w:type="spellEnd"/>
            <w:r>
              <w:t xml:space="preserve"> trials powered for death and recurrent infarction</w:t>
            </w:r>
          </w:p>
        </w:tc>
        <w:tc>
          <w:tcPr>
            <w:tcW w:w="0" w:type="auto"/>
          </w:tcPr>
          <w:p w14:paraId="77796403" w14:textId="77777777" w:rsidR="002E2825" w:rsidRDefault="00000000">
            <w:pPr>
              <w:pStyle w:val="Compact"/>
            </w:pPr>
            <w:r>
              <w:t>Gray et al. (2021); Lee et al. (2023); Shah et al. (2018)</w:t>
            </w:r>
          </w:p>
        </w:tc>
      </w:tr>
      <w:tr w:rsidR="002E2825" w14:paraId="5B8A3EBA" w14:textId="77777777" w:rsidTr="002B48B7">
        <w:tc>
          <w:tcPr>
            <w:tcW w:w="0" w:type="auto"/>
          </w:tcPr>
          <w:p w14:paraId="75CBEA07" w14:textId="77777777" w:rsidR="002E2825" w:rsidRDefault="00000000">
            <w:pPr>
              <w:pStyle w:val="Compact"/>
            </w:pPr>
            <w:r>
              <w:t xml:space="preserve">Spectrum restriction in derivation </w:t>
            </w:r>
            <w:r>
              <w:lastRenderedPageBreak/>
              <w:t>cohorts</w:t>
            </w:r>
          </w:p>
        </w:tc>
        <w:tc>
          <w:tcPr>
            <w:tcW w:w="0" w:type="auto"/>
          </w:tcPr>
          <w:p w14:paraId="2ADDFB31" w14:textId="77777777" w:rsidR="002E2825" w:rsidRDefault="00000000">
            <w:pPr>
              <w:pStyle w:val="Compact"/>
            </w:pPr>
            <w:r>
              <w:lastRenderedPageBreak/>
              <w:t xml:space="preserve">Prospective diagnostic cohorts underpinning </w:t>
            </w:r>
            <w:r>
              <w:lastRenderedPageBreak/>
              <w:t>algorithms</w:t>
            </w:r>
          </w:p>
        </w:tc>
        <w:tc>
          <w:tcPr>
            <w:tcW w:w="0" w:type="auto"/>
          </w:tcPr>
          <w:p w14:paraId="20FA48F7" w14:textId="77777777" w:rsidR="002E2825" w:rsidRDefault="00000000">
            <w:pPr>
              <w:pStyle w:val="Compact"/>
            </w:pPr>
            <w:r>
              <w:lastRenderedPageBreak/>
              <w:t xml:space="preserve">Performance overstated for older, multimorbid </w:t>
            </w:r>
            <w:r>
              <w:lastRenderedPageBreak/>
              <w:t>and renally impaired patients who dominate real caseloads</w:t>
            </w:r>
          </w:p>
        </w:tc>
        <w:tc>
          <w:tcPr>
            <w:tcW w:w="0" w:type="auto"/>
          </w:tcPr>
          <w:p w14:paraId="3CCDEE1E" w14:textId="77777777" w:rsidR="002E2825" w:rsidRDefault="00000000">
            <w:pPr>
              <w:pStyle w:val="Compact"/>
            </w:pPr>
            <w:r>
              <w:lastRenderedPageBreak/>
              <w:t xml:space="preserve">Deliberate recruitment of under-represented </w:t>
            </w:r>
            <w:r>
              <w:lastRenderedPageBreak/>
              <w:t>groups with prespecified subgroup analysis</w:t>
            </w:r>
          </w:p>
        </w:tc>
        <w:tc>
          <w:tcPr>
            <w:tcW w:w="0" w:type="auto"/>
          </w:tcPr>
          <w:p w14:paraId="4334CC31" w14:textId="77777777" w:rsidR="002E2825" w:rsidRDefault="00000000">
            <w:pPr>
              <w:pStyle w:val="Compact"/>
            </w:pPr>
            <w:r>
              <w:lastRenderedPageBreak/>
              <w:t xml:space="preserve">Allen et al. (2021); Gallacher et </w:t>
            </w:r>
            <w:r>
              <w:lastRenderedPageBreak/>
              <w:t>al. (2022)</w:t>
            </w:r>
          </w:p>
        </w:tc>
      </w:tr>
      <w:tr w:rsidR="002E2825" w14:paraId="547C7E86" w14:textId="77777777" w:rsidTr="002B48B7">
        <w:tc>
          <w:tcPr>
            <w:tcW w:w="0" w:type="auto"/>
          </w:tcPr>
          <w:p w14:paraId="619557FC" w14:textId="77777777" w:rsidR="002E2825" w:rsidRDefault="00000000">
            <w:pPr>
              <w:pStyle w:val="Compact"/>
            </w:pPr>
            <w:r>
              <w:lastRenderedPageBreak/>
              <w:t>Shared investigators and infrastructure across successive validations</w:t>
            </w:r>
          </w:p>
        </w:tc>
        <w:tc>
          <w:tcPr>
            <w:tcW w:w="0" w:type="auto"/>
          </w:tcPr>
          <w:p w14:paraId="395D4666" w14:textId="77777777" w:rsidR="002E2825" w:rsidRDefault="00000000">
            <w:pPr>
              <w:pStyle w:val="Compact"/>
            </w:pPr>
            <w:r>
              <w:t>Algorithm refinement and machine-learning validation</w:t>
            </w:r>
          </w:p>
        </w:tc>
        <w:tc>
          <w:tcPr>
            <w:tcW w:w="0" w:type="auto"/>
          </w:tcPr>
          <w:p w14:paraId="4A628774" w14:textId="77777777" w:rsidR="002E2825" w:rsidRDefault="00000000">
            <w:pPr>
              <w:pStyle w:val="Compact"/>
            </w:pPr>
            <w:r>
              <w:t>Apparent external validation is less independent than it appears, and optimism persists across studies</w:t>
            </w:r>
          </w:p>
        </w:tc>
        <w:tc>
          <w:tcPr>
            <w:tcW w:w="0" w:type="auto"/>
          </w:tcPr>
          <w:p w14:paraId="40F34329" w14:textId="77777777" w:rsidR="002E2825" w:rsidRDefault="00000000">
            <w:pPr>
              <w:pStyle w:val="Compact"/>
            </w:pPr>
            <w:r>
              <w:t>Validation in cohorts assembled by unrelated groups in different health systems</w:t>
            </w:r>
          </w:p>
        </w:tc>
        <w:tc>
          <w:tcPr>
            <w:tcW w:w="0" w:type="auto"/>
          </w:tcPr>
          <w:p w14:paraId="4F644373" w14:textId="77777777" w:rsidR="002E2825" w:rsidRDefault="00000000">
            <w:pPr>
              <w:pStyle w:val="Compact"/>
            </w:pPr>
            <w:proofErr w:type="spellStart"/>
            <w:r>
              <w:t>Boeddinghaus</w:t>
            </w:r>
            <w:proofErr w:type="spellEnd"/>
            <w:r>
              <w:t xml:space="preserve"> et al. (2024); Lopez-Ayala et al. (2021); Lopez-Ayala et al. (2024)</w:t>
            </w:r>
          </w:p>
        </w:tc>
      </w:tr>
      <w:tr w:rsidR="002E2825" w14:paraId="42AF6897" w14:textId="77777777" w:rsidTr="002B48B7">
        <w:tc>
          <w:tcPr>
            <w:tcW w:w="0" w:type="auto"/>
          </w:tcPr>
          <w:p w14:paraId="470EBC29" w14:textId="77777777" w:rsidR="002E2825" w:rsidRDefault="00000000">
            <w:pPr>
              <w:pStyle w:val="Compact"/>
            </w:pPr>
            <w:r>
              <w:t>Calibration under-reported relative to discrimination</w:t>
            </w:r>
          </w:p>
        </w:tc>
        <w:tc>
          <w:tcPr>
            <w:tcW w:w="0" w:type="auto"/>
          </w:tcPr>
          <w:p w14:paraId="1B5556CD" w14:textId="77777777" w:rsidR="002E2825" w:rsidRDefault="00000000">
            <w:pPr>
              <w:pStyle w:val="Compact"/>
            </w:pPr>
            <w:r>
              <w:t>Prediction models and probability-based decision aids</w:t>
            </w:r>
          </w:p>
        </w:tc>
        <w:tc>
          <w:tcPr>
            <w:tcW w:w="0" w:type="auto"/>
          </w:tcPr>
          <w:p w14:paraId="33EFAB26" w14:textId="77777777" w:rsidR="002E2825" w:rsidRDefault="00000000">
            <w:pPr>
              <w:pStyle w:val="Compact"/>
            </w:pPr>
            <w:r>
              <w:t>A well-discriminating model may still assign probabilities that do not correspond to observed frequencies at the decision threshold</w:t>
            </w:r>
          </w:p>
        </w:tc>
        <w:tc>
          <w:tcPr>
            <w:tcW w:w="0" w:type="auto"/>
          </w:tcPr>
          <w:p w14:paraId="0C859EE2" w14:textId="77777777" w:rsidR="002E2825" w:rsidRDefault="00000000">
            <w:pPr>
              <w:pStyle w:val="Compact"/>
            </w:pPr>
            <w:r>
              <w:t>Mandatory calibration reporting at the thresholds proposed for clinical action</w:t>
            </w:r>
          </w:p>
        </w:tc>
        <w:tc>
          <w:tcPr>
            <w:tcW w:w="0" w:type="auto"/>
          </w:tcPr>
          <w:p w14:paraId="7D2D01EA" w14:textId="77777777" w:rsidR="002E2825" w:rsidRDefault="00000000">
            <w:pPr>
              <w:pStyle w:val="Compact"/>
            </w:pPr>
            <w:r>
              <w:t xml:space="preserve">Body et al. (2017); </w:t>
            </w:r>
            <w:proofErr w:type="spellStart"/>
            <w:r>
              <w:t>Doudesis</w:t>
            </w:r>
            <w:proofErr w:type="spellEnd"/>
            <w:r>
              <w:t xml:space="preserve"> et al. (2023)</w:t>
            </w:r>
          </w:p>
        </w:tc>
      </w:tr>
      <w:tr w:rsidR="002E2825" w14:paraId="737A5FEF" w14:textId="77777777" w:rsidTr="002B48B7">
        <w:tc>
          <w:tcPr>
            <w:tcW w:w="0" w:type="auto"/>
          </w:tcPr>
          <w:p w14:paraId="5E4C48FD" w14:textId="77777777" w:rsidR="002E2825" w:rsidRDefault="00000000">
            <w:pPr>
              <w:pStyle w:val="Compact"/>
            </w:pPr>
            <w:r>
              <w:t>Geographical and health-system concentration</w:t>
            </w:r>
          </w:p>
        </w:tc>
        <w:tc>
          <w:tcPr>
            <w:tcW w:w="0" w:type="auto"/>
          </w:tcPr>
          <w:p w14:paraId="2F98ED79" w14:textId="77777777" w:rsidR="002E2825" w:rsidRDefault="00000000">
            <w:pPr>
              <w:pStyle w:val="Compact"/>
            </w:pPr>
            <w:r>
              <w:t>Whole evidence base</w:t>
            </w:r>
          </w:p>
        </w:tc>
        <w:tc>
          <w:tcPr>
            <w:tcW w:w="0" w:type="auto"/>
          </w:tcPr>
          <w:p w14:paraId="18DB1373" w14:textId="77777777" w:rsidR="002E2825" w:rsidRDefault="00000000">
            <w:pPr>
              <w:pStyle w:val="Compact"/>
            </w:pPr>
            <w:r>
              <w:t>Strategies are validated where resources are abundant and applied where they are not</w:t>
            </w:r>
          </w:p>
        </w:tc>
        <w:tc>
          <w:tcPr>
            <w:tcW w:w="0" w:type="auto"/>
          </w:tcPr>
          <w:p w14:paraId="2785EA1C" w14:textId="77777777" w:rsidR="002E2825" w:rsidRDefault="00000000">
            <w:pPr>
              <w:pStyle w:val="Compact"/>
            </w:pPr>
            <w:r>
              <w:t>Multiregional studies including settings without universal high-sensitivity assay or rapid imaging access</w:t>
            </w:r>
          </w:p>
        </w:tc>
        <w:tc>
          <w:tcPr>
            <w:tcW w:w="0" w:type="auto"/>
          </w:tcPr>
          <w:p w14:paraId="57730B03" w14:textId="77777777" w:rsidR="002E2825" w:rsidRDefault="00000000">
            <w:pPr>
              <w:pStyle w:val="Compact"/>
            </w:pPr>
            <w:r>
              <w:t>GBD 2021 Causes of Death Collaborators (2024); Glaeser et al. (2026)</w:t>
            </w:r>
          </w:p>
        </w:tc>
      </w:tr>
      <w:tr w:rsidR="002E2825" w14:paraId="50611319" w14:textId="77777777" w:rsidTr="002B48B7">
        <w:tc>
          <w:tcPr>
            <w:tcW w:w="0" w:type="auto"/>
          </w:tcPr>
          <w:p w14:paraId="38BF389B" w14:textId="77777777" w:rsidR="002E2825" w:rsidRDefault="00000000">
            <w:pPr>
              <w:pStyle w:val="Compact"/>
            </w:pPr>
            <w:r>
              <w:t>Adherence and fidelity unmeasured in implementation</w:t>
            </w:r>
          </w:p>
        </w:tc>
        <w:tc>
          <w:tcPr>
            <w:tcW w:w="0" w:type="auto"/>
          </w:tcPr>
          <w:p w14:paraId="1AEB51A0" w14:textId="77777777" w:rsidR="002E2825" w:rsidRDefault="00000000">
            <w:pPr>
              <w:pStyle w:val="Compact"/>
            </w:pPr>
            <w:r>
              <w:t>Pathway implementation studies and pragmatic trials</w:t>
            </w:r>
          </w:p>
        </w:tc>
        <w:tc>
          <w:tcPr>
            <w:tcW w:w="0" w:type="auto"/>
          </w:tcPr>
          <w:p w14:paraId="50A72D42" w14:textId="77777777" w:rsidR="002E2825" w:rsidRDefault="00000000">
            <w:pPr>
              <w:pStyle w:val="Compact"/>
            </w:pPr>
            <w:r>
              <w:t>Neutral trial results cannot be attributed to the strategy rather than to its incomplete application</w:t>
            </w:r>
          </w:p>
        </w:tc>
        <w:tc>
          <w:tcPr>
            <w:tcW w:w="0" w:type="auto"/>
          </w:tcPr>
          <w:p w14:paraId="3880176A" w14:textId="77777777" w:rsidR="002E2825" w:rsidRDefault="00000000">
            <w:pPr>
              <w:pStyle w:val="Compact"/>
            </w:pPr>
            <w:r>
              <w:t>Prespecified fidelity measurement with analysis by adherence as a secondary endpoint</w:t>
            </w:r>
          </w:p>
        </w:tc>
        <w:tc>
          <w:tcPr>
            <w:tcW w:w="0" w:type="auto"/>
          </w:tcPr>
          <w:p w14:paraId="250F2091" w14:textId="77777777" w:rsidR="002E2825" w:rsidRDefault="00000000">
            <w:pPr>
              <w:pStyle w:val="Compact"/>
            </w:pPr>
            <w:r>
              <w:t>Mahler et al. (2015); Wang et al. (2024)</w:t>
            </w:r>
          </w:p>
        </w:tc>
      </w:tr>
    </w:tbl>
    <w:p w14:paraId="3726774E" w14:textId="77777777" w:rsidR="002E2825" w:rsidRDefault="00000000">
      <w:pPr>
        <w:pStyle w:val="BodyText"/>
      </w:pPr>
      <w:r>
        <w:rPr>
          <w:i/>
          <w:iCs/>
        </w:rPr>
        <w:t>Note.</w:t>
      </w:r>
      <w:r>
        <w:t xml:space="preserve"> Limitations are listed in the order in which they are discussed in the text and are not ranked by severity.</w:t>
      </w:r>
    </w:p>
    <w:p w14:paraId="59BBC147" w14:textId="77777777" w:rsidR="002E2825" w:rsidRDefault="00000000">
      <w:pPr>
        <w:pStyle w:val="Heading2"/>
      </w:pPr>
      <w:bookmarkStart w:id="44" w:name="future-directions"/>
      <w:bookmarkEnd w:id="40"/>
      <w:bookmarkEnd w:id="43"/>
      <w:r>
        <w:lastRenderedPageBreak/>
        <w:t>10. Future Directions</w:t>
      </w:r>
    </w:p>
    <w:p w14:paraId="12F2A7BF" w14:textId="77777777" w:rsidR="002E2825" w:rsidRDefault="00000000">
      <w:pPr>
        <w:pStyle w:val="FirstParagraph"/>
      </w:pPr>
      <w:r>
        <w:t>The research priorities that follow are ordered by the degree to which resolving them would change practice, and each is stated with the design that would resolve it.</w:t>
      </w:r>
    </w:p>
    <w:p w14:paraId="021A13E5" w14:textId="77777777" w:rsidR="002E2825" w:rsidRDefault="00000000">
      <w:pPr>
        <w:pStyle w:val="BodyText"/>
      </w:pPr>
      <w:r>
        <w:t xml:space="preserve">The first and most immediate priority is to test rapid rule-out strategies against patient outcomes rather than against diagnostic classification. The evidence that reclassification of patients as having myocardial injury does not reduce subsequent infarction or death is now consistent across one-year and five-year horizons within the same trial population, and no comparable evaluation has been conducted for other assays, other thresholds or other health systems (Lee et al., 2023; Shah et al., 2018). What is required is not a further accuracy study but a management study design of the kind that has become standard in suspected pulmonary embolism, in which a defined strategy is applied prospectively and the failure rate is measured over adequate follow-up with all-cause outcomes ascertained (Freund et al., 2018; van der Hulle et al., 2017). Such studies should </w:t>
      </w:r>
      <w:proofErr w:type="spellStart"/>
      <w:r>
        <w:t>enrol</w:t>
      </w:r>
      <w:proofErr w:type="spellEnd"/>
      <w:r>
        <w:t xml:space="preserve"> unselected consecutive patients, should not exclude those with renal impairment or advanced age, and should report failure rates with confidence intervals narrow enough to inform the threshold debate described in Section 5.4.</w:t>
      </w:r>
    </w:p>
    <w:p w14:paraId="3D79F2F0" w14:textId="77777777" w:rsidR="002E2825" w:rsidRDefault="00000000">
      <w:pPr>
        <w:pStyle w:val="BodyText"/>
      </w:pPr>
      <w:r>
        <w:t>The second priority is to establish whether any intervention improves outcomes in patients with type 2 myocardial infarction or myocardial injury. This group now constitutes a substantial proportion of troponin elevations detected in emergency departments, carries mortality exceeding that of type 1 infarction, and has no evidence-based specific therapy (</w:t>
      </w:r>
      <w:proofErr w:type="spellStart"/>
      <w:r>
        <w:t>Bularga</w:t>
      </w:r>
      <w:proofErr w:type="spellEnd"/>
      <w:r>
        <w:t xml:space="preserve"> et al., 2022; Chapman et al., 2018). The heterogeneity of precipitating mechanisms means that a single trial of a single intervention is unlikely to be informative; a more productive approach would stratify by precipitant, evaluate treatment of the underlying condition as the intervention, and use mortality and hospital readmission as endpoints over at least twelve months. Until such evidence exists, the diagnostic sensitivity that identifies these patients confers information without a corresponding action.</w:t>
      </w:r>
    </w:p>
    <w:p w14:paraId="0A69A441" w14:textId="77777777" w:rsidR="002E2825" w:rsidRDefault="00000000">
      <w:pPr>
        <w:pStyle w:val="BodyText"/>
      </w:pPr>
      <w:r>
        <w:t xml:space="preserve">The third priority concerns the threshold question. The one per cent missed-event rate that governs the design of every pathway discussed in this review has never been derived from patient preference data collected at scale, and the single </w:t>
      </w:r>
      <w:proofErr w:type="spellStart"/>
      <w:r>
        <w:t>randomised</w:t>
      </w:r>
      <w:proofErr w:type="spellEnd"/>
      <w:r>
        <w:t xml:space="preserve"> trial demonstrating that patients can participate meaningfully in this decision was conducted in a pre-selected low-risk group (Hess et al., 2016). Discrete choice experiments and preference elicitation studies conducted in representative emergency populations, including patients with limited health literacy and those facing language barriers, would establish whether the operative threshold reflects the preferences of those it affects. This work is inexpensive relative to its potential influence, since the threshold determines the efficiency of every pathway simultaneously.</w:t>
      </w:r>
    </w:p>
    <w:p w14:paraId="11CF0B89" w14:textId="77777777" w:rsidR="002E2825" w:rsidRDefault="00000000">
      <w:pPr>
        <w:pStyle w:val="BodyText"/>
      </w:pPr>
      <w:r>
        <w:t>The fourth priority is prospective evaluation of computational decision support in routine conditions. Current evidence establishes that continuous-probability models can classify more efficiently than fixed thresholds and that electrocardiographic models can detect occlusion missed by conventional criteria (</w:t>
      </w:r>
      <w:proofErr w:type="spellStart"/>
      <w:r>
        <w:t>Boeddinghaus</w:t>
      </w:r>
      <w:proofErr w:type="spellEnd"/>
      <w:r>
        <w:t xml:space="preserve"> et al., 2024; </w:t>
      </w:r>
      <w:proofErr w:type="spellStart"/>
      <w:r>
        <w:t>Doudesis</w:t>
      </w:r>
      <w:proofErr w:type="spellEnd"/>
      <w:r>
        <w:t xml:space="preserve"> et al., 2023; Gustafsson et al., 2026). What remains unknown is whether deployment changes clinician decisions, whether it changes them in the intended direction, and whether performance is </w:t>
      </w:r>
      <w:r>
        <w:lastRenderedPageBreak/>
        <w:t>maintained in populations and health systems distinct from those used in development, where external validation has already demonstrated attenuation (Lopez-Ayala et al., 2024). Stepped-wedge or cluster-</w:t>
      </w:r>
      <w:proofErr w:type="spellStart"/>
      <w:r>
        <w:t>randomised</w:t>
      </w:r>
      <w:proofErr w:type="spellEnd"/>
      <w:r>
        <w:t xml:space="preserve"> implementation studies with prespecified fidelity measurement, calibration monitoring and outcome endpoints are the appropriate design, and they should be conducted before rather than after widespread adoption.</w:t>
      </w:r>
    </w:p>
    <w:p w14:paraId="4EFA49E8" w14:textId="77777777" w:rsidR="002E2825" w:rsidRDefault="00000000">
      <w:pPr>
        <w:pStyle w:val="BodyText"/>
      </w:pPr>
      <w:r>
        <w:t xml:space="preserve">The fifth priority is the generation of evidence in settings that the current literature does not represent. Diagnostic strategies developed where high-sensitivity assays, rapid imaging and specialist staffing are assumed cannot be transferred uncritically to systems where they are not, and the global distribution of </w:t>
      </w:r>
      <w:proofErr w:type="spellStart"/>
      <w:r>
        <w:t>ischaemic</w:t>
      </w:r>
      <w:proofErr w:type="spellEnd"/>
      <w:r>
        <w:t xml:space="preserve"> heart disease mortality makes this the largest population affected by the resulting evidence gap (GBD 2021 Causes of Death Collaborators, 2024). Research designed for these settings should evaluate strategies that are implementable within them, including single-sample approaches, point-of-care analysis and clinical scores requiring no biomarker, and should measure outcomes over horizons long enough to capture the consequences of non-conveyance and delayed presentation (Demandt et al., 2026).</w:t>
      </w:r>
    </w:p>
    <w:p w14:paraId="72F21987" w14:textId="77777777" w:rsidR="002E2825" w:rsidRDefault="00000000">
      <w:pPr>
        <w:pStyle w:val="BodyText"/>
      </w:pPr>
      <w:r>
        <w:t>A sixth and longer-term priority is the construction of a care pathway for patients whose chest pain is not cardiac. The evidence that cardiac anxiety persists after negative evaluation and responds to structured psychological intervention establishes both the problem and a tractable solution, but no trial has evaluated initiating such an intervention from the emergency department, and no health system routinely provides the referral route that would be required (Eriksson-</w:t>
      </w:r>
      <w:proofErr w:type="spellStart"/>
      <w:r>
        <w:t>Liebon</w:t>
      </w:r>
      <w:proofErr w:type="spellEnd"/>
      <w:r>
        <w:t xml:space="preserve"> et al., 2024; Frieling, 2018). Trials of emergency-initiated follow-up, with repeat attendance, symptom burden and functional status as endpoints, would address the largest patient group in this field and the one that current research most consistently neglects.</w:t>
      </w:r>
    </w:p>
    <w:p w14:paraId="4CCA3E7D" w14:textId="77777777" w:rsidR="002E2825" w:rsidRDefault="00000000">
      <w:pPr>
        <w:pStyle w:val="BodyText"/>
      </w:pPr>
      <w:r>
        <w:t xml:space="preserve">Two further directions are worth pursuing over a longer horizon. Prospective </w:t>
      </w:r>
      <w:proofErr w:type="spellStart"/>
      <w:r>
        <w:t>aetiological</w:t>
      </w:r>
      <w:proofErr w:type="spellEnd"/>
      <w:r>
        <w:t xml:space="preserve"> evaluation of patients presenting with infarction and non-obstructive coronary arteries, and of those with recurrent chest pain and no obstructive disease, would establish whether early mechanistic diagnosis alters subsequent presentation frequency and outcome (</w:t>
      </w:r>
      <w:proofErr w:type="spellStart"/>
      <w:r>
        <w:t>Kunadian</w:t>
      </w:r>
      <w:proofErr w:type="spellEnd"/>
      <w:r>
        <w:t xml:space="preserve"> et al., 2020; Reynolds et al., 2021). Finally, interventions targeting the triage stage, where disparities in acuity assignment have been documented and where structured decision aids cannot operate, deserve evaluation, since a disparity introduced before assessment propagates through every subsequent </w:t>
      </w:r>
      <w:proofErr w:type="spellStart"/>
      <w:r>
        <w:t>standardised</w:t>
      </w:r>
      <w:proofErr w:type="spellEnd"/>
      <w:r>
        <w:t xml:space="preserve"> step (Joseph et al., 2023; Mukhopadhyay et al., 2020).</w:t>
      </w:r>
    </w:p>
    <w:p w14:paraId="05CC115D" w14:textId="77777777" w:rsidR="002E2825" w:rsidRDefault="00000000">
      <w:pPr>
        <w:pStyle w:val="Heading2"/>
      </w:pPr>
      <w:bookmarkStart w:id="45" w:name="conclusions"/>
      <w:bookmarkEnd w:id="44"/>
      <w:r>
        <w:t>11. Conclusions</w:t>
      </w:r>
    </w:p>
    <w:p w14:paraId="00C2C8FF" w14:textId="77777777" w:rsidR="002E2825" w:rsidRDefault="00000000">
      <w:pPr>
        <w:pStyle w:val="FirstParagraph"/>
      </w:pPr>
      <w:r>
        <w:t xml:space="preserve">The evaluation of chest pain in the emergency department has been reconstructed over the past decade around high-sensitivity cardiac troponin measurement embedded in structured decision pathways, and the strongest conclusion supported by the evidence is that this reconstruction has succeeded on its own terms. Infarction can now be excluded in a large proportion of patients within one to three hours of arrival, using strategies that have been validated in multiple large prospective cohorts and that achieve negative predictive values high enough to support discharge. The differences between the principal competing algorithms and decision pathways are smaller than the volume of comparative </w:t>
      </w:r>
      <w:r>
        <w:lastRenderedPageBreak/>
        <w:t>literature implies, and the choice between them is determined more by assay availability, laboratory logistics and departmental case mix than by any demonstrable difference in safety.</w:t>
      </w:r>
    </w:p>
    <w:p w14:paraId="4BA5988E" w14:textId="77777777" w:rsidR="002E2825" w:rsidRDefault="00000000">
      <w:pPr>
        <w:pStyle w:val="BodyText"/>
      </w:pPr>
      <w:r>
        <w:t xml:space="preserve">The evidence supports a second conclusion with almost equal confidence, and it is less comfortable. Improved diagnostic classification has not been shown to improve patient outcomes. </w:t>
      </w:r>
      <w:proofErr w:type="spellStart"/>
      <w:r>
        <w:t>Randomised</w:t>
      </w:r>
      <w:proofErr w:type="spellEnd"/>
      <w:r>
        <w:t xml:space="preserve"> implementation of a more sensitive assay did not reduce subsequent infarction or death at one year or at five years, and early anatomical imaging in suspected acute coronary syndrome did not reduce death or subsequent infarction at one year. These results are consistent rather than isolated, and the most plausible explanation is that the additional patients identified largely have myocardial injury or type 2 infarction, for which no specific effective therapy has been established. The field has therefore improved its capacity to detect a condition without a corresponding improvement in its capacity to treat what it detects.</w:t>
      </w:r>
    </w:p>
    <w:p w14:paraId="2ADA6916" w14:textId="77777777" w:rsidR="002E2825" w:rsidRDefault="00000000">
      <w:pPr>
        <w:pStyle w:val="BodyText"/>
      </w:pPr>
      <w:r>
        <w:t xml:space="preserve">Several conclusions must be stated more tentatively. Algorithm performance is degraded in renal impairment, in older patients with chronic troponin elevation and in very early presenters, and the extent of that degradation is </w:t>
      </w:r>
      <w:proofErr w:type="spellStart"/>
      <w:r>
        <w:t>characterised</w:t>
      </w:r>
      <w:proofErr w:type="spellEnd"/>
      <w:r>
        <w:t xml:space="preserve"> adequately only for renal impairment. Sex-specific thresholds correct a demonstrable diagnostic deficit in women, but whether they improve outcomes depends on treatment that reclassified women receive less consistently than men, and this remains unresolved. Machine-learning approaches classify more efficiently than fixed thresholds in the cohorts where they have been evaluated, yet independent external validation has already shown attenuation of performance, and no prospective evaluation of their effect on clinical decisions exists.</w:t>
      </w:r>
    </w:p>
    <w:p w14:paraId="17FE4CB5" w14:textId="77777777" w:rsidR="002E2825" w:rsidRDefault="00000000">
      <w:pPr>
        <w:pStyle w:val="BodyText"/>
      </w:pPr>
      <w:r>
        <w:t xml:space="preserve">The most consistent gap is not analytical but structural. Diagnostic effort concentrates overwhelmingly on excluding one condition in a population in which that condition is uncommon, while the conditions that pathways do not address, including acute aortic syndromes at the point where suspicion is not raised, infarction without obstructive coronary disease, and the large group whose pain is not cardiac at all, receive comparatively little attention in either research or service design. The threshold of acceptable risk that governs the entire enterprise rests on expert consensus rather than on the preferences of the patients it affects, and the evidence base that defines the international standard of care originates almost entirely from health systems that contain a minority of the global burden of </w:t>
      </w:r>
      <w:proofErr w:type="spellStart"/>
      <w:r>
        <w:t>ischaemic</w:t>
      </w:r>
      <w:proofErr w:type="spellEnd"/>
      <w:r>
        <w:t xml:space="preserve"> heart disease. Progress in this field now depends less on measuring troponin more precisely than on establishing what should be done with the information already available, for whom, and in what settings.</w:t>
      </w:r>
    </w:p>
    <w:p w14:paraId="11D17BD2" w14:textId="77777777" w:rsidR="002E2825" w:rsidRDefault="00000000">
      <w:pPr>
        <w:pStyle w:val="Heading2"/>
      </w:pPr>
      <w:bookmarkStart w:id="46" w:name="limitations"/>
      <w:bookmarkEnd w:id="45"/>
      <w:r>
        <w:t>12. Limitations</w:t>
      </w:r>
    </w:p>
    <w:p w14:paraId="2C87E661" w14:textId="77777777" w:rsidR="002E2825" w:rsidRDefault="00000000">
      <w:pPr>
        <w:pStyle w:val="FirstParagraph"/>
      </w:pPr>
      <w:r>
        <w:t xml:space="preserve">This review is a narrative synthesis and carries the limitations intrinsic to that design. Selection of sources was purposive rather than exhaustive, and although eligibility criteria and appraisal approaches were specified in advance and applied consistently, the possibility of selection bias in the identification of studies and of interpretive bias in their appraisal cannot be excluded. A different reviewer applying the same criteria might have assembled a partially different evidence base and reached conclusions differing in </w:t>
      </w:r>
      <w:r>
        <w:lastRenderedPageBreak/>
        <w:t>emphasis, particularly regarding the relative weight given to accuracy evidence and outcome evidence.</w:t>
      </w:r>
    </w:p>
    <w:p w14:paraId="749DEED4" w14:textId="77777777" w:rsidR="002E2825" w:rsidRDefault="00000000">
      <w:pPr>
        <w:pStyle w:val="BodyText"/>
      </w:pPr>
      <w:r>
        <w:t>Access to bibliographic resources was incomplete. Searching was conducted through a biomedical bibliographic index and a scholarly metadata registry, both of which were genuinely accessible, but no subscription-restricted citation index was available during preparation. Literature indexed exclusively in resources that could not be searched may therefore have been missed, and the absence of citation-tracking tools available in those resources limited the systematic identification of forward citations. Restriction to publications in English will have excluded relevant work, and the direction of any resulting bias cannot be determined.</w:t>
      </w:r>
    </w:p>
    <w:p w14:paraId="69E021D1" w14:textId="77777777" w:rsidR="002E2825" w:rsidRDefault="00000000">
      <w:pPr>
        <w:pStyle w:val="BodyText"/>
      </w:pPr>
      <w:r>
        <w:t>The evidence base itself imposes constraints that no review design can overcome. Study designs are heterogeneous, encompassing diagnostic accuracy studies, prognostic cohorts, management studies, cluster-</w:t>
      </w:r>
      <w:proofErr w:type="spellStart"/>
      <w:r>
        <w:t>randomised</w:t>
      </w:r>
      <w:proofErr w:type="spellEnd"/>
      <w:r>
        <w:t xml:space="preserve"> implementation trials and prediction-model development, and their outcomes are defined inconsistently, particularly where composite endpoints include management-dependent components. This heterogeneity precluded quantitative synthesis, and no pooled estimates are presented. Comparisons between strategies in this review are therefore qualitative and structural rather than statistical, and readers should not infer that similarly described performance implies statistical equivalence.</w:t>
      </w:r>
    </w:p>
    <w:p w14:paraId="567E30DB" w14:textId="77777777" w:rsidR="002E2825" w:rsidRDefault="00000000">
      <w:pPr>
        <w:pStyle w:val="BodyText"/>
      </w:pPr>
      <w:r>
        <w:t xml:space="preserve">Geographical representation is uneven to a degree that limits the </w:t>
      </w:r>
      <w:proofErr w:type="spellStart"/>
      <w:r>
        <w:t>generalisability</w:t>
      </w:r>
      <w:proofErr w:type="spellEnd"/>
      <w:r>
        <w:t xml:space="preserve"> of every conclusion drawn. The cohorts and trials examined originate predominantly from a small number of high-income health systems, and evidence from settings where diagnostic resources are constrained was too sparse to </w:t>
      </w:r>
      <w:proofErr w:type="spellStart"/>
      <w:r>
        <w:t>characterise</w:t>
      </w:r>
      <w:proofErr w:type="spellEnd"/>
      <w:r>
        <w:t xml:space="preserve">. Publication bias is likely to affect the diagnostic accuracy literature, where studies reporting </w:t>
      </w:r>
      <w:proofErr w:type="spellStart"/>
      <w:r>
        <w:t>favourable</w:t>
      </w:r>
      <w:proofErr w:type="spellEnd"/>
      <w:r>
        <w:t xml:space="preserve"> performance of a new strategy are more likely to be published and more likely to be cited. Several important questions rest on observational evidence in which confounding by indication and by case mix cannot be excluded, particularly those concerning disparities in evaluation and treatment. The field is also developing rapidly, and conclusions regarding computational decision support in particular are provisional and may be superseded within a short period. Finally, long-term outcome data beyond one year are available for only a minority of the strategies discussed, so statements about durability of safety rest on a narrower evidence base than statements about short-term diagnostic performance.</w:t>
      </w:r>
    </w:p>
    <w:p w14:paraId="6F9093B2" w14:textId="77777777" w:rsidR="00B93DDE" w:rsidRPr="000839CE" w:rsidRDefault="00B93DDE" w:rsidP="00B93DDE">
      <w:pPr>
        <w:spacing w:after="0"/>
        <w:rPr>
          <w:rFonts w:ascii="Times New Roman" w:hAnsi="Times New Roman" w:cs="Times New Roman"/>
          <w:b/>
        </w:rPr>
      </w:pPr>
      <w:r w:rsidRPr="000839CE">
        <w:rPr>
          <w:rFonts w:ascii="Times New Roman" w:hAnsi="Times New Roman" w:cs="Times New Roman"/>
          <w:b/>
        </w:rPr>
        <w:t>Declaration of AI Use</w:t>
      </w:r>
    </w:p>
    <w:p w14:paraId="187F1285" w14:textId="77777777" w:rsidR="00B93DDE" w:rsidRPr="000839CE" w:rsidRDefault="00B93DDE" w:rsidP="00B93DDE">
      <w:pPr>
        <w:spacing w:after="0"/>
        <w:rPr>
          <w:rFonts w:ascii="Times New Roman" w:hAnsi="Times New Roman" w:cs="Times New Roman"/>
        </w:rPr>
      </w:pPr>
    </w:p>
    <w:p w14:paraId="5DF63FB9" w14:textId="77777777" w:rsidR="00B93DDE" w:rsidRPr="000839CE" w:rsidRDefault="00B93DDE" w:rsidP="00B93DDE">
      <w:pPr>
        <w:spacing w:after="0"/>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B5C6234" w14:textId="77777777" w:rsidR="00B93DDE" w:rsidRDefault="00B93DDE">
      <w:pPr>
        <w:pStyle w:val="BodyText"/>
      </w:pPr>
    </w:p>
    <w:p w14:paraId="42252AE8" w14:textId="77777777" w:rsidR="002E2825" w:rsidRDefault="00000000">
      <w:pPr>
        <w:pStyle w:val="Heading2"/>
      </w:pPr>
      <w:bookmarkStart w:id="47" w:name="references"/>
      <w:bookmarkEnd w:id="46"/>
      <w:r>
        <w:lastRenderedPageBreak/>
        <w:t>References</w:t>
      </w:r>
    </w:p>
    <w:p w14:paraId="26EBEEF5" w14:textId="77777777" w:rsidR="002E2825" w:rsidRDefault="00000000">
      <w:pPr>
        <w:pStyle w:val="FirstParagraph"/>
      </w:pPr>
      <w:r>
        <w:t xml:space="preserve">Aarts, G. W. A., Camaro, C., </w:t>
      </w:r>
      <w:proofErr w:type="spellStart"/>
      <w:r>
        <w:t>Adang</w:t>
      </w:r>
      <w:proofErr w:type="spellEnd"/>
      <w:r>
        <w:t xml:space="preserve">, E. M. M., Rodwell, L., van Hout, R., Brok, G., Hoare, A., de Pooter, F., de Wit, W., Cramer, G. E., van </w:t>
      </w:r>
      <w:proofErr w:type="spellStart"/>
      <w:r>
        <w:t>Kimmenade</w:t>
      </w:r>
      <w:proofErr w:type="spellEnd"/>
      <w:r>
        <w:t xml:space="preserve">, R. R. J., </w:t>
      </w:r>
      <w:proofErr w:type="spellStart"/>
      <w:r>
        <w:t>Ouwendijk</w:t>
      </w:r>
      <w:proofErr w:type="spellEnd"/>
      <w:r>
        <w:t xml:space="preserve">, E., Rutten, M. H., Zegers, E., van </w:t>
      </w:r>
      <w:proofErr w:type="spellStart"/>
      <w:r>
        <w:t>Geuns</w:t>
      </w:r>
      <w:proofErr w:type="spellEnd"/>
      <w:r>
        <w:t xml:space="preserve">, R.-J. M., Gomes, M. E. R., Damman, P., &amp; van </w:t>
      </w:r>
      <w:proofErr w:type="spellStart"/>
      <w:r>
        <w:t>Royen</w:t>
      </w:r>
      <w:proofErr w:type="spellEnd"/>
      <w:r>
        <w:t xml:space="preserve">, N. (2024). Pre-hospital rule-out of non-ST-segment elevation acute coronary syndrome by a single troponin: Final one-year outcomes of the ARTICA </w:t>
      </w:r>
      <w:proofErr w:type="spellStart"/>
      <w:r>
        <w:t>randomised</w:t>
      </w:r>
      <w:proofErr w:type="spellEnd"/>
      <w:r>
        <w:t xml:space="preserve"> trial. </w:t>
      </w:r>
      <w:r>
        <w:rPr>
          <w:i/>
          <w:iCs/>
        </w:rPr>
        <w:t>European Heart Journal – Quality of Care and Clinical Outcomes, 10</w:t>
      </w:r>
      <w:r>
        <w:t>(5), 411–420. https://doi.org/10.1093/ehjqcco/qcae004</w:t>
      </w:r>
    </w:p>
    <w:p w14:paraId="443AFD54" w14:textId="77777777" w:rsidR="002E2825" w:rsidRDefault="00000000">
      <w:pPr>
        <w:pStyle w:val="BodyText"/>
      </w:pPr>
      <w:r>
        <w:t xml:space="preserve">Allen, B. R., Christenson, R. H., Cohen, S. A., Nowak, R., Wilkerson, R. G., Mumma, B., Madsen, T., McCord, J., Huis in ’t Veld, M., </w:t>
      </w:r>
      <w:proofErr w:type="spellStart"/>
      <w:r>
        <w:t>Massoomi</w:t>
      </w:r>
      <w:proofErr w:type="spellEnd"/>
      <w:r>
        <w:t xml:space="preserve">, M., Stopyra, J. P., Montero, C., Weaver, M. T., Yang, K., &amp; Mahler, S. A. (2021). Diagnostic performance of high-sensitivity cardiac troponin T strategies and clinical variables in a multisite US cohort. </w:t>
      </w:r>
      <w:r>
        <w:rPr>
          <w:i/>
          <w:iCs/>
        </w:rPr>
        <w:t>Circulation, 143</w:t>
      </w:r>
      <w:r>
        <w:t>(17), 1659–1672. https://doi.org/10.1161/CIRCULATIONAHA.120.049298</w:t>
      </w:r>
    </w:p>
    <w:p w14:paraId="26154E91" w14:textId="77777777" w:rsidR="002E2825" w:rsidRDefault="00000000">
      <w:pPr>
        <w:pStyle w:val="BodyText"/>
      </w:pPr>
      <w:proofErr w:type="spellStart"/>
      <w:r>
        <w:t>Baethge</w:t>
      </w:r>
      <w:proofErr w:type="spellEnd"/>
      <w:r>
        <w:t xml:space="preserve">, C., Goldbeck-Wood, S., &amp; Mertens, S. (2019). SANRA—A scale for the quality assessment of narrative review articles. </w:t>
      </w:r>
      <w:r>
        <w:rPr>
          <w:i/>
          <w:iCs/>
        </w:rPr>
        <w:t>Research Integrity and Peer Review, 4</w:t>
      </w:r>
      <w:r>
        <w:t>, Article 5. https://doi.org/10.1186/s41073-019-0064-8</w:t>
      </w:r>
    </w:p>
    <w:p w14:paraId="1A73DC5B" w14:textId="77777777" w:rsidR="002E2825" w:rsidRDefault="00000000">
      <w:pPr>
        <w:pStyle w:val="BodyText"/>
      </w:pPr>
      <w:proofErr w:type="spellStart"/>
      <w:r>
        <w:t>Bellolio</w:t>
      </w:r>
      <w:proofErr w:type="spellEnd"/>
      <w:r>
        <w:t xml:space="preserve">, F., Gottlieb, M., Body, R., Than, M. P., &amp; Hess, E. P. (2025). Evaluating patients with chest pain in the emergency department. </w:t>
      </w:r>
      <w:r>
        <w:rPr>
          <w:i/>
          <w:iCs/>
        </w:rPr>
        <w:t>BMJ, 388</w:t>
      </w:r>
      <w:r>
        <w:t>, Article r136. https://doi.org/10.1136/bmj.r136</w:t>
      </w:r>
    </w:p>
    <w:p w14:paraId="69D95411" w14:textId="77777777" w:rsidR="002E2825" w:rsidRDefault="00000000">
      <w:pPr>
        <w:pStyle w:val="BodyText"/>
      </w:pPr>
      <w:r>
        <w:t xml:space="preserve">Body, R., Carlton, E., Sperrin, M., Lewis, P. S., Burrows, G., Carley, S., McDowell, G., Buchan, I., Greaves, K., &amp; </w:t>
      </w:r>
      <w:proofErr w:type="spellStart"/>
      <w:r>
        <w:t>Mackway</w:t>
      </w:r>
      <w:proofErr w:type="spellEnd"/>
      <w:r>
        <w:t xml:space="preserve">-Jones, K. (2017). Troponin-only Manchester Acute Coronary Syndromes (T-MACS) decision aid: Single biomarker re-derivation and external validation in three cohorts. </w:t>
      </w:r>
      <w:r>
        <w:rPr>
          <w:i/>
          <w:iCs/>
        </w:rPr>
        <w:t>Emergency Medicine Journal, 34</w:t>
      </w:r>
      <w:r>
        <w:t>(6), 349–356. https://doi.org/10.1136/emermed-2016-205983</w:t>
      </w:r>
    </w:p>
    <w:p w14:paraId="517AF52E" w14:textId="77777777" w:rsidR="002E2825" w:rsidRDefault="00000000">
      <w:pPr>
        <w:pStyle w:val="BodyText"/>
      </w:pPr>
      <w:proofErr w:type="spellStart"/>
      <w:r>
        <w:t>Boeddinghaus</w:t>
      </w:r>
      <w:proofErr w:type="spellEnd"/>
      <w:r>
        <w:t xml:space="preserve">, J., </w:t>
      </w:r>
      <w:proofErr w:type="spellStart"/>
      <w:r>
        <w:t>Doudesis</w:t>
      </w:r>
      <w:proofErr w:type="spellEnd"/>
      <w:r>
        <w:t xml:space="preserve">, D., Lopez-Ayala, P., Lee, K. K., Koechlin, L., </w:t>
      </w:r>
      <w:proofErr w:type="spellStart"/>
      <w:r>
        <w:t>Wildi</w:t>
      </w:r>
      <w:proofErr w:type="spellEnd"/>
      <w:r>
        <w:t xml:space="preserve">, K., </w:t>
      </w:r>
      <w:proofErr w:type="spellStart"/>
      <w:r>
        <w:t>Nestelberger</w:t>
      </w:r>
      <w:proofErr w:type="spellEnd"/>
      <w:r>
        <w:t xml:space="preserve">, T., Borer, R., Miró, Ò., Martin-Sanchez, F. J., Strebel, I., Rubini Giménez, M., Keller, D. I., Christ, M., </w:t>
      </w:r>
      <w:proofErr w:type="spellStart"/>
      <w:r>
        <w:t>Bularga</w:t>
      </w:r>
      <w:proofErr w:type="spellEnd"/>
      <w:r>
        <w:t xml:space="preserve">, A., Li, Z., Ferry, A. V., Tuck, C., Anand, A., … Mueller, C. (2024). Machine learning for myocardial infarction compared with guideline-recommended diagnostic pathways. </w:t>
      </w:r>
      <w:r>
        <w:rPr>
          <w:i/>
          <w:iCs/>
        </w:rPr>
        <w:t>Circulation, 149</w:t>
      </w:r>
      <w:r>
        <w:t>(14), 1090–1101. https://doi.org/10.1161/CIRCULATIONAHA.123.066917</w:t>
      </w:r>
    </w:p>
    <w:p w14:paraId="751CB9DA" w14:textId="77777777" w:rsidR="002E2825" w:rsidRDefault="00000000">
      <w:pPr>
        <w:pStyle w:val="BodyText"/>
      </w:pPr>
      <w:proofErr w:type="spellStart"/>
      <w:r>
        <w:t>Bularga</w:t>
      </w:r>
      <w:proofErr w:type="spellEnd"/>
      <w:r>
        <w:t xml:space="preserve">, A., Taggart, C., </w:t>
      </w:r>
      <w:proofErr w:type="spellStart"/>
      <w:r>
        <w:t>Mendusic</w:t>
      </w:r>
      <w:proofErr w:type="spellEnd"/>
      <w:r>
        <w:t xml:space="preserve">, F., </w:t>
      </w:r>
      <w:proofErr w:type="spellStart"/>
      <w:r>
        <w:t>Kimenai</w:t>
      </w:r>
      <w:proofErr w:type="spellEnd"/>
      <w:r>
        <w:t xml:space="preserve">, D. M., Wereski, R., Lowry, M. T. H., Lee, K. K., Ferry, A. V., Stewart, S. S., McAllister, D. A., Shah, A. S. V., Anand, A., Newby, D. E., Mills, N. L., &amp; Chapman, A. R. (2022). Assessment of oxygen supply-demand imbalance and outcomes among patients with type 2 myocardial infarction: A secondary analysis of the High-STEACS cluster randomized clinical trial. </w:t>
      </w:r>
      <w:r>
        <w:rPr>
          <w:i/>
          <w:iCs/>
        </w:rPr>
        <w:t>JAMA Network Open, 5</w:t>
      </w:r>
      <w:r>
        <w:t>(7), Article e2220162. https://doi.org/10.1001/jamanetworkopen.2022.20162</w:t>
      </w:r>
    </w:p>
    <w:p w14:paraId="6A12DFB9" w14:textId="77777777" w:rsidR="002E2825" w:rsidRDefault="00000000">
      <w:pPr>
        <w:pStyle w:val="BodyText"/>
      </w:pPr>
      <w:r>
        <w:t xml:space="preserve">Byrne, R. A., Rossello, X., Coughlan, J. J., Barbato, E., Berry, C., Chieffo, A., Claeys, M. J., Dan, G.-A., Dweck, M. R., Galbraith, M., Gilard, M., </w:t>
      </w:r>
      <w:proofErr w:type="spellStart"/>
      <w:r>
        <w:t>Hinterbuchner</w:t>
      </w:r>
      <w:proofErr w:type="spellEnd"/>
      <w:r>
        <w:t xml:space="preserve">, L., Jankowska, E. A., </w:t>
      </w:r>
      <w:proofErr w:type="spellStart"/>
      <w:r>
        <w:t>Jüni</w:t>
      </w:r>
      <w:proofErr w:type="spellEnd"/>
      <w:r>
        <w:t xml:space="preserve">, P., Kimura, T., </w:t>
      </w:r>
      <w:proofErr w:type="spellStart"/>
      <w:r>
        <w:t>Kunadian</w:t>
      </w:r>
      <w:proofErr w:type="spellEnd"/>
      <w:r>
        <w:t xml:space="preserve">, V., </w:t>
      </w:r>
      <w:proofErr w:type="spellStart"/>
      <w:r>
        <w:t>Leosdottir</w:t>
      </w:r>
      <w:proofErr w:type="spellEnd"/>
      <w:r>
        <w:t xml:space="preserve">, M., Lorusso, R., Pedretti, R. F. E., … Ibanez, B. (2023). </w:t>
      </w:r>
      <w:r>
        <w:lastRenderedPageBreak/>
        <w:t xml:space="preserve">2023 ESC guidelines for the management of acute coronary syndromes. </w:t>
      </w:r>
      <w:r>
        <w:rPr>
          <w:i/>
          <w:iCs/>
        </w:rPr>
        <w:t>European Heart Journal, 44</w:t>
      </w:r>
      <w:r>
        <w:t>(38), 3720–3826. https://doi.org/10.1093/eurheartj/ehad191</w:t>
      </w:r>
    </w:p>
    <w:p w14:paraId="711D9C0A" w14:textId="77777777" w:rsidR="002E2825" w:rsidRDefault="00000000">
      <w:pPr>
        <w:pStyle w:val="BodyText"/>
      </w:pPr>
      <w:r>
        <w:t xml:space="preserve">Chapman, A. R., Adamson, P. D., Shah, A. S. V., Anand, A., Strachan, F. E., Ferry, A. V., Lee, K. K., Berry, C., Findlay, I., Cruikshank, A., Reid, A., Gray, A., Collinson, P. O., Apple, F., McAllister, D. A., Maguire, D., Fox, K. A. A., Vallejos, C. A., </w:t>
      </w:r>
      <w:proofErr w:type="spellStart"/>
      <w:r>
        <w:t>Keerie</w:t>
      </w:r>
      <w:proofErr w:type="spellEnd"/>
      <w:r>
        <w:t xml:space="preserve">, C., … Mills, N. L. (2020). High-sensitivity cardiac troponin and the universal definition of myocardial infarction. </w:t>
      </w:r>
      <w:r>
        <w:rPr>
          <w:i/>
          <w:iCs/>
        </w:rPr>
        <w:t>Circulation, 141</w:t>
      </w:r>
      <w:r>
        <w:t>(3), 161–171. https://doi.org/10.1161/CIRCULATIONAHA.119.042960</w:t>
      </w:r>
    </w:p>
    <w:p w14:paraId="17F811B0" w14:textId="77777777" w:rsidR="002E2825" w:rsidRDefault="00000000">
      <w:pPr>
        <w:pStyle w:val="BodyText"/>
      </w:pPr>
      <w:r>
        <w:t xml:space="preserve">Chapman, A. R., Lee, K. K., McAllister, D. A., Cullen, L., Greenslade, J. H., Parsonage, W., Worster, A., </w:t>
      </w:r>
      <w:proofErr w:type="spellStart"/>
      <w:r>
        <w:t>Kavsak</w:t>
      </w:r>
      <w:proofErr w:type="spellEnd"/>
      <w:r>
        <w:t xml:space="preserve">, P. A., Blankenberg, S., Neumann, J., Sörensen, N. A., Westermann, D., Buijs, M. M., Verdel, G. J. E., Pickering, J. W., Than, M. P., </w:t>
      </w:r>
      <w:proofErr w:type="spellStart"/>
      <w:r>
        <w:t>Twerenbold</w:t>
      </w:r>
      <w:proofErr w:type="spellEnd"/>
      <w:r>
        <w:t xml:space="preserve">, R., Badertscher, P., Sabti, Z., … Mills, N. L. (2017). Association of high-sensitivity cardiac troponin I concentration with cardiac outcomes in patients with suspected acute coronary syndrome. </w:t>
      </w:r>
      <w:r>
        <w:rPr>
          <w:i/>
          <w:iCs/>
        </w:rPr>
        <w:t>JAMA, 318</w:t>
      </w:r>
      <w:r>
        <w:t>(19), 1913–1924. https://doi.org/10.1001/jama.2017.17488</w:t>
      </w:r>
    </w:p>
    <w:p w14:paraId="22CB4FB3" w14:textId="77777777" w:rsidR="002E2825" w:rsidRDefault="00000000">
      <w:pPr>
        <w:pStyle w:val="BodyText"/>
      </w:pPr>
      <w:r>
        <w:t xml:space="preserve">Chapman, A. R., Shah, A. S. V., Lee, K. K., Anand, A., Francis, O., Adamson, P., McAllister, D. A., Strachan, F. E., Newby, D. E., &amp; Mills, N. L. (2018). Long-term outcomes in patients with type 2 myocardial infarction and myocardial injury. </w:t>
      </w:r>
      <w:r>
        <w:rPr>
          <w:i/>
          <w:iCs/>
        </w:rPr>
        <w:t>Circulation, 137</w:t>
      </w:r>
      <w:r>
        <w:t>(12), 1236–1245. https://doi.org/10.1161/CIRCULATIONAHA.117.031806</w:t>
      </w:r>
    </w:p>
    <w:p w14:paraId="6CBD59CB" w14:textId="77777777" w:rsidR="002E2825" w:rsidRDefault="00000000">
      <w:pPr>
        <w:pStyle w:val="BodyText"/>
      </w:pPr>
      <w:r>
        <w:t xml:space="preserve">Cullen, L., Mueller, C., Parsonage, W. A., Wildi, K., Greenslade, J. H., </w:t>
      </w:r>
      <w:proofErr w:type="spellStart"/>
      <w:r>
        <w:t>Twerenbold</w:t>
      </w:r>
      <w:proofErr w:type="spellEnd"/>
      <w:r>
        <w:t xml:space="preserve">, R., Aldous, S., Meller, B., Tate, J. R., Reichlin, T., Hammett, C. J., Zellweger, C., Ungerer, J. P. J., Rubini Gimenez, M., Troughton, R., Murray, K., Brown, A. F. T., Mueller, M., George, P., … Richards, A. M. (2013). Validation of high-sensitivity troponin I in a 2-hour diagnostic strategy to assess 30-day outcomes in emergency department patients with possible acute coronary syndrome. </w:t>
      </w:r>
      <w:r>
        <w:rPr>
          <w:i/>
          <w:iCs/>
        </w:rPr>
        <w:t>Journal of the American College of Cardiology, 62</w:t>
      </w:r>
      <w:r>
        <w:t>(14), 1242–1249. https://doi.org/10.1016/j.jacc.2013.02.078</w:t>
      </w:r>
    </w:p>
    <w:p w14:paraId="372AC3CC" w14:textId="77777777" w:rsidR="002E2825" w:rsidRDefault="00000000">
      <w:pPr>
        <w:pStyle w:val="BodyText"/>
      </w:pPr>
      <w:r>
        <w:t xml:space="preserve">Del Buono, M. G., Montone, R. A., Camilli, M., Carbone, S., Narula, J., Lavie, C. J., Niccoli, G., &amp; Crea, F. (2021). Coronary microvascular dysfunction across the spectrum of cardiovascular diseases: JACC state-of-the-art review. </w:t>
      </w:r>
      <w:r>
        <w:rPr>
          <w:i/>
          <w:iCs/>
        </w:rPr>
        <w:t>Journal of the American College of Cardiology, 78</w:t>
      </w:r>
      <w:r>
        <w:t>(13), 1352–1371. https://doi.org/10.1016/j.jacc.2021.07.042</w:t>
      </w:r>
    </w:p>
    <w:p w14:paraId="7EA6371B" w14:textId="77777777" w:rsidR="002E2825" w:rsidRDefault="00000000">
      <w:pPr>
        <w:pStyle w:val="BodyText"/>
      </w:pPr>
      <w:r>
        <w:t xml:space="preserve">Demandt, J., Sagel, D., Camaro, C., van Hattem, V. A. E., Mahler, S. A., Cooper, J., Tolsma, R., Fokkert, M., </w:t>
      </w:r>
      <w:proofErr w:type="spellStart"/>
      <w:r>
        <w:t>Cetinyurek</w:t>
      </w:r>
      <w:proofErr w:type="spellEnd"/>
      <w:r>
        <w:t xml:space="preserve">-Yavuz, A., Snavely, A. C., Donaldson, L. A. A., van der Harst, P., van ’t Hof, A., van </w:t>
      </w:r>
      <w:proofErr w:type="spellStart"/>
      <w:r>
        <w:t>Royen</w:t>
      </w:r>
      <w:proofErr w:type="spellEnd"/>
      <w:r>
        <w:t xml:space="preserve">, N., van ’t Veer, M., &amp; Vlaar, P. J. (2026). Prehospital risk stratification in suspected non-ST-segment elevation acute coronary syndrome with point-of-care troponin: An individual patient data meta-analysis. </w:t>
      </w:r>
      <w:r>
        <w:rPr>
          <w:i/>
          <w:iCs/>
        </w:rPr>
        <w:t>Heart</w:t>
      </w:r>
      <w:r>
        <w:t>. Advance online publication. https://doi.org/10.1136/heartjnl-2025-326922</w:t>
      </w:r>
    </w:p>
    <w:p w14:paraId="499D0A62" w14:textId="77777777" w:rsidR="002E2825" w:rsidRDefault="00000000">
      <w:pPr>
        <w:pStyle w:val="BodyText"/>
      </w:pPr>
      <w:proofErr w:type="spellStart"/>
      <w:r>
        <w:t>Doudesis</w:t>
      </w:r>
      <w:proofErr w:type="spellEnd"/>
      <w:r>
        <w:t xml:space="preserve">, D., Lee, K. K., </w:t>
      </w:r>
      <w:proofErr w:type="spellStart"/>
      <w:r>
        <w:t>Boeddinghaus</w:t>
      </w:r>
      <w:proofErr w:type="spellEnd"/>
      <w:r>
        <w:t xml:space="preserve">, J., </w:t>
      </w:r>
      <w:proofErr w:type="spellStart"/>
      <w:r>
        <w:t>Bularga</w:t>
      </w:r>
      <w:proofErr w:type="spellEnd"/>
      <w:r>
        <w:t xml:space="preserve">, A., Ferry, A. V., Tuck, C., Lowry, M. T. H., Lopez-Ayala, P., </w:t>
      </w:r>
      <w:proofErr w:type="spellStart"/>
      <w:r>
        <w:t>Nestelberger</w:t>
      </w:r>
      <w:proofErr w:type="spellEnd"/>
      <w:r>
        <w:t xml:space="preserve">, T., Koechlin, L., Bernabeu, M. O., Neubeck, L., Anand, A., Schulz, K., Apple, F. S., Parsonage, W., Greenslade, J. H., Cullen, L., Pickering, J. W., … Mills, N. L. (2023). Machine learning for diagnosis of myocardial infarction using cardiac troponin concentrations. </w:t>
      </w:r>
      <w:r>
        <w:rPr>
          <w:i/>
          <w:iCs/>
        </w:rPr>
        <w:t>Nature Medicine, 29</w:t>
      </w:r>
      <w:r>
        <w:t>(5), 1201–1210. https://doi.org/10.1038/s41591-023-02325-4</w:t>
      </w:r>
    </w:p>
    <w:p w14:paraId="28A429F2" w14:textId="77777777" w:rsidR="002E2825" w:rsidRDefault="00000000">
      <w:pPr>
        <w:pStyle w:val="BodyText"/>
      </w:pPr>
      <w:r>
        <w:lastRenderedPageBreak/>
        <w:t>Eriksson-</w:t>
      </w:r>
      <w:proofErr w:type="spellStart"/>
      <w:r>
        <w:t>Liebon</w:t>
      </w:r>
      <w:proofErr w:type="spellEnd"/>
      <w:r>
        <w:t xml:space="preserve">, M., </w:t>
      </w:r>
      <w:proofErr w:type="spellStart"/>
      <w:r>
        <w:t>Westas</w:t>
      </w:r>
      <w:proofErr w:type="spellEnd"/>
      <w:r>
        <w:t xml:space="preserve">, M., Johansson, P., &amp; Mourad, G. (2024). Long-term effects and predictors of change of internet-delivered cognitive </w:t>
      </w:r>
      <w:proofErr w:type="spellStart"/>
      <w:r>
        <w:t>behavioural</w:t>
      </w:r>
      <w:proofErr w:type="spellEnd"/>
      <w:r>
        <w:t xml:space="preserve"> therapy on cardiac anxiety in patients with non-cardiac chest pain: A randomized controlled trial. </w:t>
      </w:r>
      <w:r>
        <w:rPr>
          <w:i/>
          <w:iCs/>
        </w:rPr>
        <w:t>BMC Psychiatry, 24</w:t>
      </w:r>
      <w:r>
        <w:t>, Article 216. https://doi.org/10.1186/s12888-024-05661-y</w:t>
      </w:r>
    </w:p>
    <w:p w14:paraId="3CE9E24F" w14:textId="77777777" w:rsidR="002E2825" w:rsidRDefault="00000000">
      <w:pPr>
        <w:pStyle w:val="BodyText"/>
      </w:pPr>
      <w:r>
        <w:t xml:space="preserve">Fernando, S. M., Tran, A., Cheng, W., </w:t>
      </w:r>
      <w:proofErr w:type="spellStart"/>
      <w:r>
        <w:t>Rochwerg</w:t>
      </w:r>
      <w:proofErr w:type="spellEnd"/>
      <w:r>
        <w:t xml:space="preserve">, B., Taljaard, M., </w:t>
      </w:r>
      <w:proofErr w:type="spellStart"/>
      <w:r>
        <w:t>Thiruganasambandamoorthy</w:t>
      </w:r>
      <w:proofErr w:type="spellEnd"/>
      <w:r>
        <w:t xml:space="preserve">, V., Kyeremanteng, K., &amp; Perry, J. J. (2019). Prognostic accuracy of the HEART score for prediction of major adverse cardiac events in patients presenting with chest pain: A systematic review and meta-analysis. </w:t>
      </w:r>
      <w:r>
        <w:rPr>
          <w:i/>
          <w:iCs/>
        </w:rPr>
        <w:t>Academic Emergency Medicine, 26</w:t>
      </w:r>
      <w:r>
        <w:t>(2), 140–151. https://doi.org/10.1111/acem.13649</w:t>
      </w:r>
    </w:p>
    <w:p w14:paraId="739BCFC8" w14:textId="77777777" w:rsidR="002E2825" w:rsidRDefault="00000000">
      <w:pPr>
        <w:pStyle w:val="BodyText"/>
      </w:pPr>
      <w:r>
        <w:t xml:space="preserve">Ferry, A. V., Anand, A., Strachan, F. E., Mooney, L., Stewart, S. D., Marshall, L., Chapman, A. R., Lee, K. K., Jones, S., Orme, K., Shah, A. S. V., &amp; Mills, N. L. (2019). Presenting symptoms in men and women diagnosed with myocardial infarction using sex-specific criteria. </w:t>
      </w:r>
      <w:r>
        <w:rPr>
          <w:i/>
          <w:iCs/>
        </w:rPr>
        <w:t>Journal of the American Heart Association, 8</w:t>
      </w:r>
      <w:r>
        <w:t>(17), Article e012307. https://doi.org/10.1161/JAHA.119.012307</w:t>
      </w:r>
    </w:p>
    <w:p w14:paraId="3B7F18C1" w14:textId="77777777" w:rsidR="002E2825" w:rsidRDefault="00000000">
      <w:pPr>
        <w:pStyle w:val="BodyText"/>
      </w:pPr>
      <w:r>
        <w:t xml:space="preserve">Freund, Y., </w:t>
      </w:r>
      <w:proofErr w:type="spellStart"/>
      <w:r>
        <w:t>Cachanado</w:t>
      </w:r>
      <w:proofErr w:type="spellEnd"/>
      <w:r>
        <w:t xml:space="preserve">, M., Aubry, A., Orsini, C., Raynal, P.-A., </w:t>
      </w:r>
      <w:proofErr w:type="spellStart"/>
      <w:r>
        <w:t>Féral-Pierssens</w:t>
      </w:r>
      <w:proofErr w:type="spellEnd"/>
      <w:r>
        <w:t xml:space="preserve">, A.-L., Charpentier, S., Dumas, F., </w:t>
      </w:r>
      <w:proofErr w:type="spellStart"/>
      <w:r>
        <w:t>Baarir</w:t>
      </w:r>
      <w:proofErr w:type="spellEnd"/>
      <w:r>
        <w:t xml:space="preserve">, N., </w:t>
      </w:r>
      <w:proofErr w:type="spellStart"/>
      <w:r>
        <w:t>Truchot</w:t>
      </w:r>
      <w:proofErr w:type="spellEnd"/>
      <w:r>
        <w:t xml:space="preserve">, J., </w:t>
      </w:r>
      <w:proofErr w:type="spellStart"/>
      <w:r>
        <w:t>Desmettre</w:t>
      </w:r>
      <w:proofErr w:type="spellEnd"/>
      <w:r>
        <w:t xml:space="preserve">, T., </w:t>
      </w:r>
      <w:proofErr w:type="spellStart"/>
      <w:r>
        <w:t>Tazarourte</w:t>
      </w:r>
      <w:proofErr w:type="spellEnd"/>
      <w:r>
        <w:t xml:space="preserve">, K., Beaune, S., Leleu, A., Khellaf, M., </w:t>
      </w:r>
      <w:proofErr w:type="spellStart"/>
      <w:r>
        <w:t>Wargon</w:t>
      </w:r>
      <w:proofErr w:type="spellEnd"/>
      <w:r>
        <w:t xml:space="preserve">, M., Bloom, B., Rousseau, A., Simon, T., &amp; Riou, B. (2018). Effect of the pulmonary embolism rule-out criteria on subsequent thromboembolic events among low-risk emergency department patients: The PROPER randomized clinical trial. </w:t>
      </w:r>
      <w:r>
        <w:rPr>
          <w:i/>
          <w:iCs/>
        </w:rPr>
        <w:t>JAMA, 319</w:t>
      </w:r>
      <w:r>
        <w:t>(6), 559–566. https://doi.org/10.1001/jama.2017.21904</w:t>
      </w:r>
    </w:p>
    <w:p w14:paraId="15E56993" w14:textId="77777777" w:rsidR="002E2825" w:rsidRDefault="00000000">
      <w:pPr>
        <w:pStyle w:val="BodyText"/>
      </w:pPr>
      <w:r>
        <w:t xml:space="preserve">Frieling, T. (2018). Non-cardiac chest pain. </w:t>
      </w:r>
      <w:r>
        <w:rPr>
          <w:i/>
          <w:iCs/>
        </w:rPr>
        <w:t>Visceral Medicine, 34</w:t>
      </w:r>
      <w:r>
        <w:t>(2), 92–96. https://doi.org/10.1159/000486440</w:t>
      </w:r>
    </w:p>
    <w:p w14:paraId="1D0FEE7E" w14:textId="77777777" w:rsidR="002E2825" w:rsidRDefault="00000000">
      <w:pPr>
        <w:pStyle w:val="BodyText"/>
      </w:pPr>
      <w:r>
        <w:t xml:space="preserve">Gallacher, P. J., Miller-Hodges, E., Shah, A. S. V., Farrah, T. E., </w:t>
      </w:r>
      <w:proofErr w:type="spellStart"/>
      <w:r>
        <w:t>Halbesma</w:t>
      </w:r>
      <w:proofErr w:type="spellEnd"/>
      <w:r>
        <w:t xml:space="preserve">, N., </w:t>
      </w:r>
      <w:proofErr w:type="spellStart"/>
      <w:r>
        <w:t>Blackmur</w:t>
      </w:r>
      <w:proofErr w:type="spellEnd"/>
      <w:r>
        <w:t xml:space="preserve">, J. P., Chapman, A. R., Adamson, P. D., Anand, A., Strachan, F. E., Ferry, A. V., Lee, K. K., Berry, C., Findlay, I., Cruickshank, A., Reid, A., Gray, A., Collinson, P. O., Apple, F. S., … </w:t>
      </w:r>
      <w:proofErr w:type="spellStart"/>
      <w:r>
        <w:t>Dhaun</w:t>
      </w:r>
      <w:proofErr w:type="spellEnd"/>
      <w:r>
        <w:t xml:space="preserve">, N. (2022). High-sensitivity cardiac troponin and the diagnosis of myocardial infarction in patients with kidney impairment. </w:t>
      </w:r>
      <w:r>
        <w:rPr>
          <w:i/>
          <w:iCs/>
        </w:rPr>
        <w:t>Kidney International, 102</w:t>
      </w:r>
      <w:r>
        <w:t>(1), 149–159. https://doi.org/10.1016/j.kint.2022.02.019</w:t>
      </w:r>
    </w:p>
    <w:p w14:paraId="073D1332" w14:textId="77777777" w:rsidR="002E2825" w:rsidRDefault="00000000">
      <w:pPr>
        <w:pStyle w:val="BodyText"/>
      </w:pPr>
      <w:r>
        <w:t xml:space="preserve">GBD 2021 Causes of Death Collaborators. (2024). Global burden of 288 causes of death and life expectancy decomposition in 204 countries and territories and 811 subnational locations, 1990–2021: A systematic analysis for the Global Burden of Disease Study 2021. </w:t>
      </w:r>
      <w:r>
        <w:rPr>
          <w:i/>
          <w:iCs/>
        </w:rPr>
        <w:t>The Lancet, 403</w:t>
      </w:r>
      <w:r>
        <w:t>(10440), 2100–2132. https://doi.org/10.1016/S0140-6736(24)00367-2</w:t>
      </w:r>
    </w:p>
    <w:p w14:paraId="4D161A36" w14:textId="77777777" w:rsidR="002E2825" w:rsidRDefault="00000000">
      <w:pPr>
        <w:pStyle w:val="BodyText"/>
      </w:pPr>
      <w:r>
        <w:t xml:space="preserve">Glaeser, J., Lopez-Ayala, P., Kellner, C., </w:t>
      </w:r>
      <w:proofErr w:type="spellStart"/>
      <w:r>
        <w:t>Boeddinghaus</w:t>
      </w:r>
      <w:proofErr w:type="spellEnd"/>
      <w:r>
        <w:t xml:space="preserve">, J., </w:t>
      </w:r>
      <w:proofErr w:type="spellStart"/>
      <w:r>
        <w:t>Nestelberger</w:t>
      </w:r>
      <w:proofErr w:type="spellEnd"/>
      <w:r>
        <w:t xml:space="preserve">, T., Koechlin, L., Sörensen, N. A., Haller, P. M., Bima, P., Crisanti, L., Spagnuolo, C. C., Strebel, I., Hure, G., Sieber, S., Rubini Gimenez, M., Wildi, K., Wussler, D., Miro, O., Martin-Sanchez, F. J., … Mueller, C. (2026). Comparison of the European Society of Cardiology 0/1-hour and high-sensitivity troponin in the evaluation of patients with suspected acute coronary syndrome 0/2-or-0/3-hour algorithms for rapid myocardial infarction diagnosis. </w:t>
      </w:r>
      <w:r>
        <w:rPr>
          <w:i/>
          <w:iCs/>
        </w:rPr>
        <w:t>Journal of the American College of Cardiology, 87</w:t>
      </w:r>
      <w:r>
        <w:t>(17), 2261–2278. https://doi.org/10.1016/j.jacc.2025.12.056</w:t>
      </w:r>
    </w:p>
    <w:p w14:paraId="63F87A88" w14:textId="77777777" w:rsidR="002E2825" w:rsidRDefault="00000000">
      <w:pPr>
        <w:pStyle w:val="BodyText"/>
      </w:pPr>
      <w:r>
        <w:lastRenderedPageBreak/>
        <w:t xml:space="preserve">Gray, A. J., </w:t>
      </w:r>
      <w:proofErr w:type="spellStart"/>
      <w:r>
        <w:t>Roobottom</w:t>
      </w:r>
      <w:proofErr w:type="spellEnd"/>
      <w:r>
        <w:t xml:space="preserve">, C., Smith, J. E., Goodacre, S., Oatey, K., O’Brien, R., </w:t>
      </w:r>
      <w:proofErr w:type="spellStart"/>
      <w:r>
        <w:t>Storey</w:t>
      </w:r>
      <w:proofErr w:type="spellEnd"/>
      <w:r>
        <w:t xml:space="preserve">, R. F., </w:t>
      </w:r>
      <w:proofErr w:type="spellStart"/>
      <w:r>
        <w:t>Curzen</w:t>
      </w:r>
      <w:proofErr w:type="spellEnd"/>
      <w:r>
        <w:t xml:space="preserve">, N., Keating, L., Kardos, A., </w:t>
      </w:r>
      <w:proofErr w:type="spellStart"/>
      <w:r>
        <w:t>Felmeden</w:t>
      </w:r>
      <w:proofErr w:type="spellEnd"/>
      <w:r>
        <w:t xml:space="preserve">, D., Lee, R. J., </w:t>
      </w:r>
      <w:proofErr w:type="spellStart"/>
      <w:r>
        <w:t>Thokala</w:t>
      </w:r>
      <w:proofErr w:type="spellEnd"/>
      <w:r>
        <w:t xml:space="preserve">, P., Lewis, S. C., &amp; Newby, D. E. (2021). Early computed tomography coronary angiography in patients with suspected acute coronary syndrome: </w:t>
      </w:r>
      <w:proofErr w:type="spellStart"/>
      <w:r>
        <w:t>Randomised</w:t>
      </w:r>
      <w:proofErr w:type="spellEnd"/>
      <w:r>
        <w:t xml:space="preserve"> controlled trial. </w:t>
      </w:r>
      <w:r>
        <w:rPr>
          <w:i/>
          <w:iCs/>
        </w:rPr>
        <w:t>BMJ, 374</w:t>
      </w:r>
      <w:r>
        <w:t>, Article n2106. https://doi.org/10.1136/bmj.n2106</w:t>
      </w:r>
    </w:p>
    <w:p w14:paraId="4E81A958" w14:textId="77777777" w:rsidR="002E2825" w:rsidRDefault="00000000">
      <w:pPr>
        <w:pStyle w:val="BodyText"/>
      </w:pPr>
      <w:r>
        <w:t xml:space="preserve">Greenslade, J. H., Carlton, E. W., Van Hise, C., Cho, E., Hawkins, T., Parsonage, W. A., Tate, J., Ungerer, J., &amp; Cullen, L. (2018). Diagnostic accuracy of a new high-sensitivity troponin I assay and five accelerated diagnostic pathways for ruling out acute myocardial infarction and acute coronary syndrome. </w:t>
      </w:r>
      <w:r>
        <w:rPr>
          <w:i/>
          <w:iCs/>
        </w:rPr>
        <w:t>Annals of Emergency Medicine, 71</w:t>
      </w:r>
      <w:r>
        <w:t>(4), 439–451.e3. https://doi.org/10.1016/j.annemergmed.2017.10.030</w:t>
      </w:r>
    </w:p>
    <w:p w14:paraId="5F4A6B0F" w14:textId="77777777" w:rsidR="002E2825" w:rsidRDefault="00000000">
      <w:pPr>
        <w:pStyle w:val="BodyText"/>
      </w:pPr>
      <w:r>
        <w:t xml:space="preserve">Gulati, M., Levy, P. D., Mukherjee, D., Amsterdam, E., Bhatt, D. L., Birtcher, K. K., Blankstein, R., Boyd, J., Bullock-Palmer, R. P., Conejo, T., Diercks, D. B., Gentile, F., Greenwood, J. P., Hess, E. P., Hollenberg, S. M., Jaber, W. A., Jneid, H., Joglar, J. A., Morrow, D. A., … Shaw, L. J. (2021). 2021 AHA/ACC/ASE/CHEST/SAEM/SCCT/SCMR guideline for the evaluation and diagnosis of chest pain: A report of the American College of Cardiology/American Heart Association Joint Committee on Clinical Practice Guidelines. </w:t>
      </w:r>
      <w:r>
        <w:rPr>
          <w:i/>
          <w:iCs/>
        </w:rPr>
        <w:t>Circulation, 144</w:t>
      </w:r>
      <w:r>
        <w:t>(22), e368–e454. https://doi.org/10.1161/CIR.0000000000001029</w:t>
      </w:r>
    </w:p>
    <w:p w14:paraId="44FA1356" w14:textId="77777777" w:rsidR="002E2825" w:rsidRDefault="00000000">
      <w:pPr>
        <w:pStyle w:val="BodyText"/>
      </w:pPr>
      <w:r>
        <w:t xml:space="preserve">Gustafsson, S., Ribeiro, A. H., </w:t>
      </w:r>
      <w:proofErr w:type="spellStart"/>
      <w:r>
        <w:t>Gedon</w:t>
      </w:r>
      <w:proofErr w:type="spellEnd"/>
      <w:r>
        <w:t xml:space="preserve">, D., Abreu, P. E. O. G. B., </w:t>
      </w:r>
      <w:proofErr w:type="spellStart"/>
      <w:r>
        <w:t>Pielawski</w:t>
      </w:r>
      <w:proofErr w:type="spellEnd"/>
      <w:r>
        <w:t xml:space="preserve">, N., Paixão, G. M. M., Gutierrez, M. A., Krieger, J. E., Dias, F. M., Ribeiro, A. L. P., Lindholm, D., Schön, T. B., &amp; Sundström, J. (2026). A deep learning ECG model for identification and localization of occlusion myocardial infarction. </w:t>
      </w:r>
      <w:r>
        <w:rPr>
          <w:i/>
          <w:iCs/>
        </w:rPr>
        <w:t>Nature Communications, 17</w:t>
      </w:r>
      <w:r>
        <w:t>, Article 4336. https://doi.org/10.1038/s41467-026-73023-1</w:t>
      </w:r>
    </w:p>
    <w:p w14:paraId="48C4B1DE" w14:textId="77777777" w:rsidR="002E2825" w:rsidRDefault="00000000">
      <w:pPr>
        <w:pStyle w:val="BodyText"/>
      </w:pPr>
      <w:r>
        <w:t>Hayes, S. N., Kim, E. S. H., Saw, J., Adlam, D., Arslanian-</w:t>
      </w:r>
      <w:proofErr w:type="spellStart"/>
      <w:r>
        <w:t>Engoren</w:t>
      </w:r>
      <w:proofErr w:type="spellEnd"/>
      <w:r>
        <w:t xml:space="preserve">, C., Economy, K. E., Ganesh, S. K., Gulati, R., Lindsay, M. E., Mieres, J. H., Naderi, S., Shah, S., Thaler, D. E., Tweet, M. S., &amp; Wood, M. J. (2018). Spontaneous coronary artery dissection: Current state of the science: A scientific statement from the American Heart Association. </w:t>
      </w:r>
      <w:r>
        <w:rPr>
          <w:i/>
          <w:iCs/>
        </w:rPr>
        <w:t>Circulation, 137</w:t>
      </w:r>
      <w:r>
        <w:t>(19), e523–e557. https://doi.org/10.1161/CIR.0000000000000564</w:t>
      </w:r>
    </w:p>
    <w:p w14:paraId="3CE87381" w14:textId="77777777" w:rsidR="002E2825" w:rsidRDefault="00000000">
      <w:pPr>
        <w:pStyle w:val="BodyText"/>
      </w:pPr>
      <w:r>
        <w:t xml:space="preserve">Hess, E. P., Hollander, J. E., Schaffer, J. T., Kline, J. A., Torres, C. A., Diercks, D. B., Jones, R., Owen, K. P., Meisel, Z. F., Demers, M., Leblanc, A., Shah, N. D., Inselman, J., Herrin, J., Castaneda-Guarderas, A., &amp; Montori, V. M. (2016). Shared decision making in patients with low risk chest pain: Prospective randomized pragmatic trial. </w:t>
      </w:r>
      <w:r>
        <w:rPr>
          <w:i/>
          <w:iCs/>
        </w:rPr>
        <w:t>BMJ, 355</w:t>
      </w:r>
      <w:r>
        <w:t>, Article i6165. https://doi.org/10.1136/bmj.i6165</w:t>
      </w:r>
    </w:p>
    <w:p w14:paraId="3CA3FE3F" w14:textId="77777777" w:rsidR="002E2825" w:rsidRDefault="00000000">
      <w:pPr>
        <w:pStyle w:val="BodyText"/>
      </w:pPr>
      <w:r>
        <w:t xml:space="preserve">Jaffe, A. S., Body, R., Mills, N. L., Aakre, K. M., Collinson, P. O., Saenger, A., Hammarsten, O., Wereski, R., Omland, T., Sandoval, Y., Ordonez-Llanos, J., &amp; Apple, F. S. (2023). Single troponin measurement to rule out myocardial infarction: JACC review topic of the week. </w:t>
      </w:r>
      <w:r>
        <w:rPr>
          <w:i/>
          <w:iCs/>
        </w:rPr>
        <w:t>Journal of the American College of Cardiology, 82</w:t>
      </w:r>
      <w:r>
        <w:t>(1), 60–69. https://doi.org/10.1016/j.jacc.2023.04.040</w:t>
      </w:r>
    </w:p>
    <w:p w14:paraId="7A5D7D51" w14:textId="77777777" w:rsidR="002E2825" w:rsidRDefault="00000000">
      <w:pPr>
        <w:pStyle w:val="BodyText"/>
      </w:pPr>
      <w:r>
        <w:t xml:space="preserve">Joseph, J. W., Kennedy, M., Landry, A. M., Marsh, R. H., Baymon, D. E., </w:t>
      </w:r>
      <w:proofErr w:type="spellStart"/>
      <w:r>
        <w:t>Im</w:t>
      </w:r>
      <w:proofErr w:type="spellEnd"/>
      <w:r>
        <w:t>, D. E., Chen, P. C., Samuels-</w:t>
      </w:r>
      <w:proofErr w:type="spellStart"/>
      <w:r>
        <w:t>Kalow</w:t>
      </w:r>
      <w:proofErr w:type="spellEnd"/>
      <w:r>
        <w:t xml:space="preserve">, M. E., Nentwich, L. M., </w:t>
      </w:r>
      <w:proofErr w:type="spellStart"/>
      <w:r>
        <w:t>Elhadad</w:t>
      </w:r>
      <w:proofErr w:type="spellEnd"/>
      <w:r>
        <w:t xml:space="preserve">, N., &amp; Sánchez, L. D. (2023). Race and ethnicity and primary language in emergency department triage. </w:t>
      </w:r>
      <w:r>
        <w:rPr>
          <w:i/>
          <w:iCs/>
        </w:rPr>
        <w:t>JAMA Network Open, 6</w:t>
      </w:r>
      <w:r>
        <w:t>(10), Article e2337557. https://doi.org/10.1001/jamanetworkopen.2023.37557</w:t>
      </w:r>
    </w:p>
    <w:p w14:paraId="6F9D82BC" w14:textId="77777777" w:rsidR="002E2825" w:rsidRDefault="00000000">
      <w:pPr>
        <w:pStyle w:val="BodyText"/>
      </w:pPr>
      <w:r>
        <w:lastRenderedPageBreak/>
        <w:t xml:space="preserve">Kaur, G., Oliveira-Gomes, D. D., Rivera, F. B., &amp; Gulati, M. (2023). Chest pain in women: Considerations from the 2021 AHA/ACC chest pain guideline. </w:t>
      </w:r>
      <w:r>
        <w:rPr>
          <w:i/>
          <w:iCs/>
        </w:rPr>
        <w:t>Current Problems in Cardiology, 48</w:t>
      </w:r>
      <w:r>
        <w:t>(7), Article 101697. https://doi.org/10.1016/j.cpcardiol.2023.101697</w:t>
      </w:r>
    </w:p>
    <w:p w14:paraId="08AD5F4F" w14:textId="77777777" w:rsidR="002E2825" w:rsidRDefault="00000000">
      <w:pPr>
        <w:pStyle w:val="BodyText"/>
      </w:pPr>
      <w:r>
        <w:t xml:space="preserve">Khaleghi Rad, M., </w:t>
      </w:r>
      <w:proofErr w:type="spellStart"/>
      <w:r>
        <w:t>Pirmoradi</w:t>
      </w:r>
      <w:proofErr w:type="spellEnd"/>
      <w:r>
        <w:t xml:space="preserve">, M. M., </w:t>
      </w:r>
      <w:proofErr w:type="spellStart"/>
      <w:r>
        <w:t>Doosti</w:t>
      </w:r>
      <w:proofErr w:type="spellEnd"/>
      <w:r>
        <w:t xml:space="preserve">-Irani, A., </w:t>
      </w:r>
      <w:proofErr w:type="spellStart"/>
      <w:r>
        <w:t>Thiruganasambandamoorthy</w:t>
      </w:r>
      <w:proofErr w:type="spellEnd"/>
      <w:r>
        <w:t xml:space="preserve">, V., &amp; </w:t>
      </w:r>
      <w:proofErr w:type="spellStart"/>
      <w:r>
        <w:t>Mirfazaelian</w:t>
      </w:r>
      <w:proofErr w:type="spellEnd"/>
      <w:r>
        <w:t xml:space="preserve">, H. (2022). The performance of HEAR score for identification of low-risk chest pain: A systematic review and meta-analysis. </w:t>
      </w:r>
      <w:r>
        <w:rPr>
          <w:i/>
          <w:iCs/>
        </w:rPr>
        <w:t>European Journal of Emergency Medicine, 29</w:t>
      </w:r>
      <w:r>
        <w:t>(3), 173–187. https://doi.org/10.1097/MEJ.0000000000000921</w:t>
      </w:r>
    </w:p>
    <w:p w14:paraId="7E2E1AA9" w14:textId="77777777" w:rsidR="002E2825" w:rsidRDefault="00000000">
      <w:pPr>
        <w:pStyle w:val="BodyText"/>
      </w:pPr>
      <w:r>
        <w:t xml:space="preserve">Koechlin, L., </w:t>
      </w:r>
      <w:proofErr w:type="spellStart"/>
      <w:r>
        <w:t>Boeddinghaus</w:t>
      </w:r>
      <w:proofErr w:type="spellEnd"/>
      <w:r>
        <w:t xml:space="preserve">, J., Lopez-Ayala, P., Wildi, K., </w:t>
      </w:r>
      <w:proofErr w:type="spellStart"/>
      <w:r>
        <w:t>Nestelberger</w:t>
      </w:r>
      <w:proofErr w:type="spellEnd"/>
      <w:r>
        <w:t xml:space="preserve">, T., Wussler, D., Guzman </w:t>
      </w:r>
      <w:proofErr w:type="spellStart"/>
      <w:r>
        <w:t>Tacla</w:t>
      </w:r>
      <w:proofErr w:type="spellEnd"/>
      <w:r>
        <w:t xml:space="preserve">, C. A., Holder, T., Muench-Gerber, T., Glaeser, J., Sanchez, A. Y., Miró, Ò., Martin-Sanchez, F. J., Kawecki, D., Buergler, F., Buser, A., </w:t>
      </w:r>
      <w:proofErr w:type="spellStart"/>
      <w:r>
        <w:t>Huré</w:t>
      </w:r>
      <w:proofErr w:type="spellEnd"/>
      <w:r>
        <w:t xml:space="preserve">, G., Rubini Giménez, M., Keller, D. I., Christ, M., &amp; Mueller, C. (2024). External validation of the 0/1h-algorithm and derivation of a 0/2h-algorithm using a new point-of-care </w:t>
      </w:r>
      <w:proofErr w:type="spellStart"/>
      <w:r>
        <w:t>hs-cTnI</w:t>
      </w:r>
      <w:proofErr w:type="spellEnd"/>
      <w:r>
        <w:t xml:space="preserve"> assay. </w:t>
      </w:r>
      <w:r>
        <w:rPr>
          <w:i/>
          <w:iCs/>
        </w:rPr>
        <w:t>American Heart Journal, 268</w:t>
      </w:r>
      <w:r>
        <w:t>, 104–113. https://doi.org/10.1016/j.ahj.2023.11.014</w:t>
      </w:r>
    </w:p>
    <w:p w14:paraId="49C1B1BE" w14:textId="77777777" w:rsidR="002E2825" w:rsidRDefault="00000000">
      <w:pPr>
        <w:pStyle w:val="BodyText"/>
      </w:pPr>
      <w:proofErr w:type="spellStart"/>
      <w:r>
        <w:t>Kunadian</w:t>
      </w:r>
      <w:proofErr w:type="spellEnd"/>
      <w:r>
        <w:t xml:space="preserve">, V., Chieffo, A., </w:t>
      </w:r>
      <w:proofErr w:type="spellStart"/>
      <w:r>
        <w:t>Camici</w:t>
      </w:r>
      <w:proofErr w:type="spellEnd"/>
      <w:r>
        <w:t xml:space="preserve">, P. G., Berry, C., </w:t>
      </w:r>
      <w:proofErr w:type="spellStart"/>
      <w:r>
        <w:t>Escaned</w:t>
      </w:r>
      <w:proofErr w:type="spellEnd"/>
      <w:r>
        <w:t xml:space="preserve">, J., Maas, A. H. E. M., Prescott, E., Karam, N., Appelman, Y., </w:t>
      </w:r>
      <w:proofErr w:type="spellStart"/>
      <w:r>
        <w:t>Fraccaro</w:t>
      </w:r>
      <w:proofErr w:type="spellEnd"/>
      <w:r>
        <w:t xml:space="preserve">, C., Louise Buchanan, G., Manzo-Silberman, S., Al-Lamee, R., Regar, E., Lansky, A., Abbott, J. D., </w:t>
      </w:r>
      <w:proofErr w:type="spellStart"/>
      <w:r>
        <w:t>Badimon</w:t>
      </w:r>
      <w:proofErr w:type="spellEnd"/>
      <w:r>
        <w:t xml:space="preserve">, L., Duncker, D. J., Mehran, R., … Baumbach, A. (2020). An EAPCI expert consensus document on </w:t>
      </w:r>
      <w:proofErr w:type="spellStart"/>
      <w:r>
        <w:t>ischaemia</w:t>
      </w:r>
      <w:proofErr w:type="spellEnd"/>
      <w:r>
        <w:t xml:space="preserve"> with non-obstructive coronary arteries in collaboration with European Society of Cardiology Working Group on Coronary Pathophysiology &amp; Microcirculation endorsed by Coronary Vasomotor Disorders International Study Group. </w:t>
      </w:r>
      <w:r>
        <w:rPr>
          <w:i/>
          <w:iCs/>
        </w:rPr>
        <w:t>European Heart Journal, 41</w:t>
      </w:r>
      <w:r>
        <w:t>(37), 3504–3520. https://doi.org/10.1093/eurheartj/ehaa503</w:t>
      </w:r>
    </w:p>
    <w:p w14:paraId="26CC92AD" w14:textId="77777777" w:rsidR="002E2825" w:rsidRDefault="00000000">
      <w:pPr>
        <w:pStyle w:val="BodyText"/>
      </w:pPr>
      <w:r>
        <w:t xml:space="preserve">Laureano-Phillips, J., Robinson, R. D., Aryal, S., Blair, S., Wilson, D., Boyd, K., Schrader, C. D., </w:t>
      </w:r>
      <w:proofErr w:type="spellStart"/>
      <w:r>
        <w:t>Zenarosa</w:t>
      </w:r>
      <w:proofErr w:type="spellEnd"/>
      <w:r>
        <w:t xml:space="preserve">, N. R., &amp; Wang, H. (2019). HEART score risk stratification of low-risk chest pain patients in the emergency department: A systematic review and meta-analysis. </w:t>
      </w:r>
      <w:r>
        <w:rPr>
          <w:i/>
          <w:iCs/>
        </w:rPr>
        <w:t>Annals of Emergency Medicine, 74</w:t>
      </w:r>
      <w:r>
        <w:t>(2), 187–203. https://doi.org/10.1016/j.annemergmed.2018.12.010</w:t>
      </w:r>
    </w:p>
    <w:p w14:paraId="1123C9B9" w14:textId="77777777" w:rsidR="002E2825" w:rsidRDefault="00000000">
      <w:pPr>
        <w:pStyle w:val="BodyText"/>
      </w:pPr>
      <w:r>
        <w:t xml:space="preserve">Lee, K. K., </w:t>
      </w:r>
      <w:proofErr w:type="spellStart"/>
      <w:r>
        <w:t>Doudesis</w:t>
      </w:r>
      <w:proofErr w:type="spellEnd"/>
      <w:r>
        <w:t xml:space="preserve">, D., Ferry, A. V., Chapman, A. R., </w:t>
      </w:r>
      <w:proofErr w:type="spellStart"/>
      <w:r>
        <w:t>Kimenai</w:t>
      </w:r>
      <w:proofErr w:type="spellEnd"/>
      <w:r>
        <w:t xml:space="preserve">, D. M., Fujisawa, T., </w:t>
      </w:r>
      <w:proofErr w:type="spellStart"/>
      <w:r>
        <w:t>Bularga</w:t>
      </w:r>
      <w:proofErr w:type="spellEnd"/>
      <w:r>
        <w:t xml:space="preserve">, A., Lowry, M. T. H., Taggart, C., Schulberg, S., Wereski, R., Tuck, C., Strachan, F. E., Newby, D. E., Anand, A., Shah, A. S. V., &amp; Mills, N. L. (2023). Implementation of a high sensitivity cardiac troponin I assay and risk of myocardial infarction or death at five years: Observational analysis of a stepped wedge, cluster </w:t>
      </w:r>
      <w:proofErr w:type="spellStart"/>
      <w:r>
        <w:t>randomised</w:t>
      </w:r>
      <w:proofErr w:type="spellEnd"/>
      <w:r>
        <w:t xml:space="preserve"> controlled trial. </w:t>
      </w:r>
      <w:r>
        <w:rPr>
          <w:i/>
          <w:iCs/>
        </w:rPr>
        <w:t>BMJ, 383</w:t>
      </w:r>
      <w:r>
        <w:t>, Article e075009. https://doi.org/10.1136/bmj-2023-075009</w:t>
      </w:r>
    </w:p>
    <w:p w14:paraId="24FE6DA3" w14:textId="77777777" w:rsidR="002E2825" w:rsidRDefault="00000000">
      <w:pPr>
        <w:pStyle w:val="BodyText"/>
      </w:pPr>
      <w:r>
        <w:t xml:space="preserve">Lee, K. K., Ferry, A. V., Anand, A., Strachan, F. E., Chapman, A. R., </w:t>
      </w:r>
      <w:proofErr w:type="spellStart"/>
      <w:r>
        <w:t>Kimenai</w:t>
      </w:r>
      <w:proofErr w:type="spellEnd"/>
      <w:r>
        <w:t xml:space="preserve">, D. M., </w:t>
      </w:r>
      <w:proofErr w:type="spellStart"/>
      <w:r>
        <w:t>Meex</w:t>
      </w:r>
      <w:proofErr w:type="spellEnd"/>
      <w:r>
        <w:t xml:space="preserve">, S. J. R., Berry, C., Findlay, I., Reid, A., Cruickshank, A., Gray, A., Collinson, P. O., Apple, F. S., McAllister, D. A., Maguire, D., Fox, K. A. A., Newby, D. E., Tuck, C., … Mills, N. L. (2019). Sex-specific thresholds of high-sensitivity troponin in patients with suspected acute coronary syndrome. </w:t>
      </w:r>
      <w:r>
        <w:rPr>
          <w:i/>
          <w:iCs/>
        </w:rPr>
        <w:t>Journal of the American College of Cardiology, 74</w:t>
      </w:r>
      <w:r>
        <w:t>(16), 2032–2043. https://doi.org/10.1016/j.jacc.2019.07.082</w:t>
      </w:r>
    </w:p>
    <w:p w14:paraId="4FC0DF3B" w14:textId="77777777" w:rsidR="002E2825" w:rsidRDefault="00000000">
      <w:pPr>
        <w:pStyle w:val="BodyText"/>
      </w:pPr>
      <w:r>
        <w:t xml:space="preserve">Lopez-Ayala, P., </w:t>
      </w:r>
      <w:proofErr w:type="spellStart"/>
      <w:r>
        <w:t>Boeddinghaus</w:t>
      </w:r>
      <w:proofErr w:type="spellEnd"/>
      <w:r>
        <w:t xml:space="preserve">, J., </w:t>
      </w:r>
      <w:proofErr w:type="spellStart"/>
      <w:r>
        <w:t>Nestelberger</w:t>
      </w:r>
      <w:proofErr w:type="spellEnd"/>
      <w:r>
        <w:t xml:space="preserve">, T., Koechlin, L., Zimmermann, T., Bima, P., Glaeser, J., Spagnuolo, C. C., </w:t>
      </w:r>
      <w:proofErr w:type="spellStart"/>
      <w:r>
        <w:t>Champetier</w:t>
      </w:r>
      <w:proofErr w:type="spellEnd"/>
      <w:r>
        <w:t xml:space="preserve">, A., Miro, O., Martin-Sanchez, F. J., Keller, D. I., Christ, M., Wildi, K., Breidthardt, T., Strebel, I., &amp; Mueller, C. (2024). External validation of the </w:t>
      </w:r>
      <w:r>
        <w:lastRenderedPageBreak/>
        <w:t>myocardial-</w:t>
      </w:r>
      <w:proofErr w:type="spellStart"/>
      <w:r>
        <w:t>ischaemic</w:t>
      </w:r>
      <w:proofErr w:type="spellEnd"/>
      <w:r>
        <w:t xml:space="preserve">-injury-index machine learning algorithm for the early diagnosis of myocardial infarction: A </w:t>
      </w:r>
      <w:proofErr w:type="spellStart"/>
      <w:r>
        <w:t>multicentre</w:t>
      </w:r>
      <w:proofErr w:type="spellEnd"/>
      <w:r>
        <w:t xml:space="preserve"> cohort study. </w:t>
      </w:r>
      <w:r>
        <w:rPr>
          <w:i/>
          <w:iCs/>
        </w:rPr>
        <w:t>The Lancet Digital Health, 6</w:t>
      </w:r>
      <w:r>
        <w:t>(7), e480–e488. https://doi.org/10.1016/S2589-7500(24)00088-8</w:t>
      </w:r>
    </w:p>
    <w:p w14:paraId="3540AC2E" w14:textId="77777777" w:rsidR="002E2825" w:rsidRDefault="00000000">
      <w:pPr>
        <w:pStyle w:val="BodyText"/>
      </w:pPr>
      <w:r>
        <w:t xml:space="preserve">Lopez-Ayala, P., </w:t>
      </w:r>
      <w:proofErr w:type="spellStart"/>
      <w:r>
        <w:t>Nestelberger</w:t>
      </w:r>
      <w:proofErr w:type="spellEnd"/>
      <w:r>
        <w:t xml:space="preserve">, T., </w:t>
      </w:r>
      <w:proofErr w:type="spellStart"/>
      <w:r>
        <w:t>Boeddinghaus</w:t>
      </w:r>
      <w:proofErr w:type="spellEnd"/>
      <w:r>
        <w:t xml:space="preserve">, J., Koechlin, L., </w:t>
      </w:r>
      <w:proofErr w:type="spellStart"/>
      <w:r>
        <w:t>Ratmann</w:t>
      </w:r>
      <w:proofErr w:type="spellEnd"/>
      <w:r>
        <w:t>, P. D., Strebel, I., Gehrke, J., Meier, S., Walter, J., Rubini Gimenez, M., Mutschler, E., Miró, Ò., López-Barbeito, B., Martín-Sánchez, F. J., Rodríguez-</w:t>
      </w:r>
      <w:proofErr w:type="spellStart"/>
      <w:r>
        <w:t>Adrada</w:t>
      </w:r>
      <w:proofErr w:type="spellEnd"/>
      <w:r>
        <w:t xml:space="preserve">, E., Keller, D. I., Newby, L. K., </w:t>
      </w:r>
      <w:proofErr w:type="spellStart"/>
      <w:r>
        <w:t>Twerenbold</w:t>
      </w:r>
      <w:proofErr w:type="spellEnd"/>
      <w:r>
        <w:t xml:space="preserve">, R., </w:t>
      </w:r>
      <w:proofErr w:type="spellStart"/>
      <w:r>
        <w:t>Giannitsis</w:t>
      </w:r>
      <w:proofErr w:type="spellEnd"/>
      <w:r>
        <w:t xml:space="preserve">, E., … Mueller, C. (2021). Novel criteria for the observe-zone of the ESC 0/1h-hs-cTnT algorithm. </w:t>
      </w:r>
      <w:r>
        <w:rPr>
          <w:i/>
          <w:iCs/>
        </w:rPr>
        <w:t>Circulation, 144</w:t>
      </w:r>
      <w:r>
        <w:t>(10), 773–787. https://doi.org/10.1161/CIRCULATIONAHA.120.052982</w:t>
      </w:r>
    </w:p>
    <w:p w14:paraId="0D1A4112" w14:textId="77777777" w:rsidR="002E2825" w:rsidRDefault="00000000">
      <w:pPr>
        <w:pStyle w:val="BodyText"/>
      </w:pPr>
      <w:r>
        <w:t xml:space="preserve">Maas, A., Cenko, E., Vaccarino, V., </w:t>
      </w:r>
      <w:proofErr w:type="spellStart"/>
      <w:r>
        <w:t>Göttgens</w:t>
      </w:r>
      <w:proofErr w:type="spellEnd"/>
      <w:r>
        <w:t xml:space="preserve">, I., Bergami, M., Manfrini, O., </w:t>
      </w:r>
      <w:proofErr w:type="spellStart"/>
      <w:r>
        <w:t>Badimon</w:t>
      </w:r>
      <w:proofErr w:type="spellEnd"/>
      <w:r>
        <w:t xml:space="preserve">, L., Mendieta, G., </w:t>
      </w:r>
      <w:proofErr w:type="spellStart"/>
      <w:r>
        <w:t>Oertelt-Prigione</w:t>
      </w:r>
      <w:proofErr w:type="spellEnd"/>
      <w:r>
        <w:t>, S., Vasiljevic-</w:t>
      </w:r>
      <w:proofErr w:type="spellStart"/>
      <w:r>
        <w:t>Pokracic</w:t>
      </w:r>
      <w:proofErr w:type="spellEnd"/>
      <w:r>
        <w:t xml:space="preserve">, Z., Dorobantu, M., </w:t>
      </w:r>
      <w:proofErr w:type="spellStart"/>
      <w:r>
        <w:t>Vavlukis</w:t>
      </w:r>
      <w:proofErr w:type="spellEnd"/>
      <w:r>
        <w:t xml:space="preserve">, M., </w:t>
      </w:r>
      <w:proofErr w:type="spellStart"/>
      <w:r>
        <w:t>Merkely</w:t>
      </w:r>
      <w:proofErr w:type="spellEnd"/>
      <w:r>
        <w:t xml:space="preserve">, B., Gulati, M., &amp; </w:t>
      </w:r>
      <w:proofErr w:type="spellStart"/>
      <w:r>
        <w:t>Bugiardini</w:t>
      </w:r>
      <w:proofErr w:type="spellEnd"/>
      <w:r>
        <w:t xml:space="preserve">, R. (2025). Changing clinical perspectives on sex and healthcare disparities in </w:t>
      </w:r>
      <w:proofErr w:type="spellStart"/>
      <w:r>
        <w:t>ischaemic</w:t>
      </w:r>
      <w:proofErr w:type="spellEnd"/>
      <w:r>
        <w:t xml:space="preserve"> heart disease. </w:t>
      </w:r>
      <w:r>
        <w:rPr>
          <w:i/>
          <w:iCs/>
        </w:rPr>
        <w:t>The Lancet Regional Health – Europe, 56</w:t>
      </w:r>
      <w:r>
        <w:t>, Article 101370. https://doi.org/10.1016/j.lanepe.2025.101370</w:t>
      </w:r>
    </w:p>
    <w:p w14:paraId="433F19A5" w14:textId="77777777" w:rsidR="002E2825" w:rsidRDefault="00000000">
      <w:pPr>
        <w:pStyle w:val="BodyText"/>
      </w:pPr>
      <w:r>
        <w:t xml:space="preserve">Mahler, S. A., Riley, R. F., Hiestand, B. C., Russell, G. B., Hoekstra, J. W., Lefebvre, C. W., Nicks, B. A., Cline, D. M., Askew, K. L., Elliott, S. B., Herrington, D. M., Burke, G. L., &amp; Miller, C. D. (2015). The HEART Pathway randomized trial: Identifying emergency department patients with acute chest pain for early discharge. </w:t>
      </w:r>
      <w:r>
        <w:rPr>
          <w:i/>
          <w:iCs/>
        </w:rPr>
        <w:t>Circulation: Cardiovascular Quality and Outcomes, 8</w:t>
      </w:r>
      <w:r>
        <w:t>(2), 195–203. https://doi.org/10.1161/CIRCOUTCOMES.114.001384</w:t>
      </w:r>
    </w:p>
    <w:p w14:paraId="66C79B11" w14:textId="77777777" w:rsidR="002E2825" w:rsidRDefault="00000000">
      <w:pPr>
        <w:pStyle w:val="BodyText"/>
      </w:pPr>
      <w:r>
        <w:t xml:space="preserve">Mark, D. G., Huang, J., Kene, M. V., Sax, D. R., Cotton, D. M., Lin, J. S., Bouvet, S. C., Chettipally, U. K., Anderson, M. L., McLachlan, I. D., Simon, L. E., Shan, J., Rauchwerger, A. S., Vinson, D. R., Ballard, D. W., &amp; Reed, M. E. (2020). Automated retrospective calculation of the EDACS and HEART scores in a multicenter prospective cohort of emergency department chest pain patients. </w:t>
      </w:r>
      <w:r>
        <w:rPr>
          <w:i/>
          <w:iCs/>
        </w:rPr>
        <w:t>Academic Emergency Medicine, 27</w:t>
      </w:r>
      <w:r>
        <w:t>(10), 1028–1038. https://doi.org/10.1111/acem.14068</w:t>
      </w:r>
    </w:p>
    <w:p w14:paraId="1294C9FF" w14:textId="77777777" w:rsidR="002E2825" w:rsidRDefault="00000000">
      <w:pPr>
        <w:pStyle w:val="BodyText"/>
      </w:pPr>
      <w:r>
        <w:t xml:space="preserve">Mehta, P. K., Huang, J., Levit, R. D., Malas, W., Waheed, N., &amp; </w:t>
      </w:r>
      <w:proofErr w:type="spellStart"/>
      <w:r>
        <w:t>Bairey</w:t>
      </w:r>
      <w:proofErr w:type="spellEnd"/>
      <w:r>
        <w:t xml:space="preserve"> Merz, C. N. (2022). Ischemia and no obstructive coronary arteries (INOCA): A narrative review. </w:t>
      </w:r>
      <w:r>
        <w:rPr>
          <w:i/>
          <w:iCs/>
        </w:rPr>
        <w:t>Atherosclerosis, 363</w:t>
      </w:r>
      <w:r>
        <w:t>, 8–21. https://doi.org/10.1016/j.atherosclerosis.2022.11.009</w:t>
      </w:r>
    </w:p>
    <w:p w14:paraId="711607E9" w14:textId="77777777" w:rsidR="002E2825" w:rsidRDefault="00000000">
      <w:pPr>
        <w:pStyle w:val="BodyText"/>
      </w:pPr>
      <w:r>
        <w:t xml:space="preserve">Miller, C. D., Mahler, S. A., Snavely, A. C., Raman, S. V., Caterino, J. M., Clark, C. L., Jones, A. E., Hall, M. E., Koehler, L. E., Lovato, J. F., Hiestand, B. C., Stopyra, J. P., Park, C. J., Vasu, S., Kutcher, M. A., &amp; Hundley, W. G. (2023). Cardiac magnetic resonance imaging versus invasive-based strategies in patients with chest pain and detectable to mildly elevated serum troponin: A randomized clinical trial. </w:t>
      </w:r>
      <w:r>
        <w:rPr>
          <w:i/>
          <w:iCs/>
        </w:rPr>
        <w:t>Circulation: Cardiovascular Imaging, 16</w:t>
      </w:r>
      <w:r>
        <w:t>(6), Article e015063. https://doi.org/10.1161/CIRCIMAGING.122.015063</w:t>
      </w:r>
    </w:p>
    <w:p w14:paraId="753A7266" w14:textId="77777777" w:rsidR="002E2825" w:rsidRDefault="00000000">
      <w:pPr>
        <w:pStyle w:val="BodyText"/>
      </w:pPr>
      <w:r>
        <w:t xml:space="preserve">Mukhopadhyay, A., D’Angelo, R., Senser, E., Whelan, K., Wee, C. C., &amp; </w:t>
      </w:r>
      <w:proofErr w:type="spellStart"/>
      <w:r>
        <w:t>Mukamal</w:t>
      </w:r>
      <w:proofErr w:type="spellEnd"/>
      <w:r>
        <w:t xml:space="preserve">, K. J. (2020). Racial and insurance disparities among patients presenting with chest pain in the US: 2009–2015. </w:t>
      </w:r>
      <w:r>
        <w:rPr>
          <w:i/>
          <w:iCs/>
        </w:rPr>
        <w:t>The American Journal of Emergency Medicine, 38</w:t>
      </w:r>
      <w:r>
        <w:t>(7), 1373–1376. https://doi.org/10.1016/j.ajem.2019.11.018</w:t>
      </w:r>
    </w:p>
    <w:p w14:paraId="5E439D87" w14:textId="77777777" w:rsidR="002E2825" w:rsidRDefault="00000000">
      <w:pPr>
        <w:pStyle w:val="BodyText"/>
      </w:pPr>
      <w:proofErr w:type="spellStart"/>
      <w:r>
        <w:t>Nazerian</w:t>
      </w:r>
      <w:proofErr w:type="spellEnd"/>
      <w:r>
        <w:t xml:space="preserve">, P., Mueller, C., Soeiro, A. de M., Leidel, B. A., </w:t>
      </w:r>
      <w:proofErr w:type="spellStart"/>
      <w:r>
        <w:t>Salvadeo</w:t>
      </w:r>
      <w:proofErr w:type="spellEnd"/>
      <w:r>
        <w:t xml:space="preserve">, S. A. T., Giachino, F., Vanni, S., Grimm, K., Oliveira, M. T., Jr., </w:t>
      </w:r>
      <w:proofErr w:type="spellStart"/>
      <w:r>
        <w:t>Pivetta</w:t>
      </w:r>
      <w:proofErr w:type="spellEnd"/>
      <w:r>
        <w:t xml:space="preserve">, E., Lupia, E., </w:t>
      </w:r>
      <w:proofErr w:type="spellStart"/>
      <w:r>
        <w:t>Grifoni</w:t>
      </w:r>
      <w:proofErr w:type="spellEnd"/>
      <w:r>
        <w:t xml:space="preserve">, S., &amp; Morello, F. (2018). </w:t>
      </w:r>
      <w:r>
        <w:lastRenderedPageBreak/>
        <w:t xml:space="preserve">Diagnostic accuracy of the aortic dissection detection risk score plus D-dimer for acute aortic syndromes: The </w:t>
      </w:r>
      <w:proofErr w:type="spellStart"/>
      <w:r>
        <w:t>ADvISED</w:t>
      </w:r>
      <w:proofErr w:type="spellEnd"/>
      <w:r>
        <w:t xml:space="preserve"> prospective multicenter study. </w:t>
      </w:r>
      <w:r>
        <w:rPr>
          <w:i/>
          <w:iCs/>
        </w:rPr>
        <w:t>Circulation, 137</w:t>
      </w:r>
      <w:r>
        <w:t>(3), 250–258. https://doi.org/10.1161/CIRCULATIONAHA.117.029457</w:t>
      </w:r>
    </w:p>
    <w:p w14:paraId="62FF223A" w14:textId="77777777" w:rsidR="002E2825" w:rsidRDefault="00000000">
      <w:pPr>
        <w:pStyle w:val="BodyText"/>
      </w:pPr>
      <w:r>
        <w:t xml:space="preserve">O’Rielly, C. M., Harrison, T. G., </w:t>
      </w:r>
      <w:proofErr w:type="spellStart"/>
      <w:r>
        <w:t>Andruchow</w:t>
      </w:r>
      <w:proofErr w:type="spellEnd"/>
      <w:r>
        <w:t xml:space="preserve">, J. E., Ronksley, P. E., </w:t>
      </w:r>
      <w:proofErr w:type="spellStart"/>
      <w:r>
        <w:t>Sajobi</w:t>
      </w:r>
      <w:proofErr w:type="spellEnd"/>
      <w:r>
        <w:t xml:space="preserve">, T., Robertson, H. L., Lorenzetti, D., &amp; McRae, A. D. (2023). Risk scores for clinical risk stratification of emergency department patients with chest pain but no acute myocardial infarction: A systematic review. </w:t>
      </w:r>
      <w:r>
        <w:rPr>
          <w:i/>
          <w:iCs/>
        </w:rPr>
        <w:t>Canadian Journal of Cardiology, 39</w:t>
      </w:r>
      <w:r>
        <w:t>(3), 304–310. https://doi.org/10.1016/j.cjca.2022.12.028</w:t>
      </w:r>
    </w:p>
    <w:p w14:paraId="70D0F145" w14:textId="77777777" w:rsidR="002E2825" w:rsidRDefault="00000000">
      <w:pPr>
        <w:pStyle w:val="BodyText"/>
      </w:pPr>
      <w:r>
        <w:t xml:space="preserve">Pickering, J. W., Than, M. P., Cullen, L., Aldous, S., ter </w:t>
      </w:r>
      <w:proofErr w:type="spellStart"/>
      <w:r>
        <w:t>Avest</w:t>
      </w:r>
      <w:proofErr w:type="spellEnd"/>
      <w:r>
        <w:t xml:space="preserve">, E., Body, R., Carlton, E. W., Collinson, P., Dupuy, A. M., Ekelund, U., Eggers, K. M., Florkowski, C. M., Freund, Y., George, P., Goodacre, S., Greenslade, J. H., Jaffe, A. S., Lord, S. J., Mokhtari, A., … Young, J. (2017). Rapid rule-out of acute myocardial infarction with a single high-sensitivity cardiac troponin T measurement below the limit of detection: A collaborative meta-analysis. </w:t>
      </w:r>
      <w:r>
        <w:rPr>
          <w:i/>
          <w:iCs/>
        </w:rPr>
        <w:t>Annals of Internal Medicine, 166</w:t>
      </w:r>
      <w:r>
        <w:t>(10), 715–724. https://doi.org/10.7326/M16-2562</w:t>
      </w:r>
    </w:p>
    <w:p w14:paraId="1AC4DAFB" w14:textId="77777777" w:rsidR="002E2825" w:rsidRDefault="00000000">
      <w:pPr>
        <w:pStyle w:val="BodyText"/>
      </w:pPr>
      <w:r>
        <w:t xml:space="preserve">Pope, J. H., Aufderheide, T. P., Ruthazer, R., Woolard, R. H., Feldman, J. A., Beshansky, J. R., Griffith, J. L., &amp; Selker, H. P. (2000). Missed diagnoses of acute cardiac ischemia in the emergency department. </w:t>
      </w:r>
      <w:r>
        <w:rPr>
          <w:i/>
          <w:iCs/>
        </w:rPr>
        <w:t>New England Journal of Medicine, 342</w:t>
      </w:r>
      <w:r>
        <w:t>(16), 1163–1170. https://doi.org/10.1056/NEJM200004203421603</w:t>
      </w:r>
    </w:p>
    <w:p w14:paraId="0D118CDA" w14:textId="77777777" w:rsidR="002E2825" w:rsidRDefault="00000000">
      <w:pPr>
        <w:pStyle w:val="BodyText"/>
      </w:pPr>
      <w:r>
        <w:t xml:space="preserve">Ren, S., </w:t>
      </w:r>
      <w:proofErr w:type="spellStart"/>
      <w:r>
        <w:t>Essat</w:t>
      </w:r>
      <w:proofErr w:type="spellEnd"/>
      <w:r>
        <w:t xml:space="preserve">, M., Pandor, A., Goodacre, S., Ren, S., Clowes, M., Bima, P., Toyofuku, M., McLatchie, R., &amp; Bossone, E. (2024). Diagnostic accuracy of the aortic dissection detection risk score alone or with D-dimer for acute aortic syndromes: Systematic review and meta-analysis. </w:t>
      </w:r>
      <w:r>
        <w:rPr>
          <w:i/>
          <w:iCs/>
        </w:rPr>
        <w:t>PLOS ONE, 19</w:t>
      </w:r>
      <w:r>
        <w:t>(6), Article e0304401. https://doi.org/10.1371/journal.pone.0304401</w:t>
      </w:r>
    </w:p>
    <w:p w14:paraId="75554D7A" w14:textId="77777777" w:rsidR="002E2825" w:rsidRDefault="00000000">
      <w:pPr>
        <w:pStyle w:val="BodyText"/>
      </w:pPr>
      <w:r>
        <w:t xml:space="preserve">Reynolds, H. R., Maehara, A., Kwong, R. Y., Sedlak, T., Saw, J., Smilowitz, N. R., Mahmud, E., Wei, J., Marzo, K., Matsumura, M., Seno, A., Hausvater, A., Giesler, C., Jhalani, N., Toma, C., Har, B., Thomas, D., Mehta, L. S., Trost, J., … Hochman, J. S. (2021). Coronary optical coherence tomography and cardiac magnetic resonance imaging to determine underlying causes of myocardial infarction with nonobstructive coronary arteries in women. </w:t>
      </w:r>
      <w:r>
        <w:rPr>
          <w:i/>
          <w:iCs/>
        </w:rPr>
        <w:t>Circulation, 143</w:t>
      </w:r>
      <w:r>
        <w:t>(7), 624–640. https://doi.org/10.1161/CIRCULATIONAHA.120.052008</w:t>
      </w:r>
    </w:p>
    <w:p w14:paraId="648A29B2" w14:textId="77777777" w:rsidR="002E2825" w:rsidRDefault="00000000">
      <w:pPr>
        <w:pStyle w:val="BodyText"/>
      </w:pPr>
      <w:proofErr w:type="spellStart"/>
      <w:r>
        <w:t>Roshdi</w:t>
      </w:r>
      <w:proofErr w:type="spellEnd"/>
      <w:r>
        <w:t xml:space="preserve"> Dizaji, S., Ahmadzadeh, K., Zarei, H., Miri, R., &amp; </w:t>
      </w:r>
      <w:proofErr w:type="spellStart"/>
      <w:r>
        <w:t>Yousefifard</w:t>
      </w:r>
      <w:proofErr w:type="spellEnd"/>
      <w:r>
        <w:t xml:space="preserve">, M. (2024). Performance of Manchester Acute Coronary Syndromes decision rules in acute coronary syndrome: A systematic review and meta-analysis. </w:t>
      </w:r>
      <w:r>
        <w:rPr>
          <w:i/>
          <w:iCs/>
        </w:rPr>
        <w:t>European Journal of Emergency Medicine, 31</w:t>
      </w:r>
      <w:r>
        <w:t>(5), 310–323. https://doi.org/10.1097/MEJ.0000000000001147</w:t>
      </w:r>
    </w:p>
    <w:p w14:paraId="236E6C8E" w14:textId="77777777" w:rsidR="002E2825" w:rsidRDefault="00000000">
      <w:pPr>
        <w:pStyle w:val="BodyText"/>
      </w:pPr>
      <w:r>
        <w:t xml:space="preserve">Sandoval, Y., Apple, F. S., Mahler, S. A., Body, R., Collinson, P. O., &amp; Jaffe, A. S. (2022). High-sensitivity cardiac troponin and the 2021 AHA/ACC/ASE/CHEST/SAEM/SCCT/SCMR guidelines for the evaluation and diagnosis of acute chest pain. </w:t>
      </w:r>
      <w:r>
        <w:rPr>
          <w:i/>
          <w:iCs/>
        </w:rPr>
        <w:t>Circulation, 146</w:t>
      </w:r>
      <w:r>
        <w:t>(7), 569–581. https://doi.org/10.1161/CIRCULATIONAHA.122.059678</w:t>
      </w:r>
    </w:p>
    <w:p w14:paraId="5E4743B9" w14:textId="77777777" w:rsidR="002E2825" w:rsidRDefault="00000000">
      <w:pPr>
        <w:pStyle w:val="BodyText"/>
      </w:pPr>
      <w:r>
        <w:t xml:space="preserve">Sandoval, Y., &amp; Thygesen, K. (2017). Myocardial infarction type 2 and myocardial injury. </w:t>
      </w:r>
      <w:r>
        <w:rPr>
          <w:i/>
          <w:iCs/>
        </w:rPr>
        <w:t>Clinical Chemistry, 63</w:t>
      </w:r>
      <w:r>
        <w:t>(1), 101–107. https://doi.org/10.1373/clinchem.2016.255521</w:t>
      </w:r>
    </w:p>
    <w:p w14:paraId="6EFDFCA0" w14:textId="77777777" w:rsidR="002E2825" w:rsidRDefault="00000000">
      <w:pPr>
        <w:pStyle w:val="BodyText"/>
      </w:pPr>
      <w:r>
        <w:lastRenderedPageBreak/>
        <w:t>Shah, A. S. V., Anand, A., Strachan, F. E., Ferry, A. V., Lee, K. K., Chapman, A. R., Sandeman, D., Stables, C. L., Adamson, P. D., Andrews, J. P. M., Anwar, M. S., Hung, J., Moss, A. J., O’Brien, R., Berry, C., Findlay, I., Walker, S., Cruickshank, A., Reid, A., … Mills, N. L. (2018). High-sensitivity troponin in the evaluation of patients with suspected acute coronary syndrome: A stepped-wedge, cluster-</w:t>
      </w:r>
      <w:proofErr w:type="spellStart"/>
      <w:r>
        <w:t>randomised</w:t>
      </w:r>
      <w:proofErr w:type="spellEnd"/>
      <w:r>
        <w:t xml:space="preserve"> controlled trial. </w:t>
      </w:r>
      <w:r>
        <w:rPr>
          <w:i/>
          <w:iCs/>
        </w:rPr>
        <w:t>The Lancet, 392</w:t>
      </w:r>
      <w:r>
        <w:t>(10151), 919–928. https://doi.org/10.1016/S0140-6736(18)31923-8</w:t>
      </w:r>
    </w:p>
    <w:p w14:paraId="20D17FF6" w14:textId="77777777" w:rsidR="002E2825" w:rsidRDefault="00000000">
      <w:pPr>
        <w:pStyle w:val="BodyText"/>
      </w:pPr>
      <w:r>
        <w:t xml:space="preserve">Stopyra, J. P., Riley, R. F., Hiestand, B. C., Russell, G. B., Hoekstra, J. W., Lefebvre, C. W., Nicks, B. A., Cline, D. M., Askew, K. L., Elliott, S. B., Herrington, D. M., Burke, G. L., Miller, C. D., &amp; Mahler, S. A. (2019). The HEART Pathway randomized controlled trial one-year outcomes. </w:t>
      </w:r>
      <w:r>
        <w:rPr>
          <w:i/>
          <w:iCs/>
        </w:rPr>
        <w:t>Academic Emergency Medicine, 26</w:t>
      </w:r>
      <w:r>
        <w:t>(1), 41–50. https://doi.org/10.1111/acem.13504</w:t>
      </w:r>
    </w:p>
    <w:p w14:paraId="2026C155" w14:textId="77777777" w:rsidR="002E2825" w:rsidRDefault="00000000">
      <w:pPr>
        <w:pStyle w:val="BodyText"/>
      </w:pPr>
      <w:r>
        <w:t xml:space="preserve">Tamis-Holland, J. E., Jneid, H., Reynolds, H. R., </w:t>
      </w:r>
      <w:proofErr w:type="spellStart"/>
      <w:r>
        <w:t>Agewall</w:t>
      </w:r>
      <w:proofErr w:type="spellEnd"/>
      <w:r>
        <w:t xml:space="preserve">, S., </w:t>
      </w:r>
      <w:proofErr w:type="spellStart"/>
      <w:r>
        <w:t>Brilakis</w:t>
      </w:r>
      <w:proofErr w:type="spellEnd"/>
      <w:r>
        <w:t xml:space="preserve">, E. S., Brown, T. M., Lerman, A., Cushman, M., </w:t>
      </w:r>
      <w:proofErr w:type="spellStart"/>
      <w:r>
        <w:t>Kumbhani</w:t>
      </w:r>
      <w:proofErr w:type="spellEnd"/>
      <w:r>
        <w:t>, D. J., Arslanian-</w:t>
      </w:r>
      <w:proofErr w:type="spellStart"/>
      <w:r>
        <w:t>Engoren</w:t>
      </w:r>
      <w:proofErr w:type="spellEnd"/>
      <w:r>
        <w:t xml:space="preserve">, C., Bolger, A. F., &amp; Beltrame, J. F. (2019). Contemporary diagnosis and management of patients with myocardial infarction in the absence of obstructive coronary artery disease: A scientific statement from the American Heart Association. </w:t>
      </w:r>
      <w:r>
        <w:rPr>
          <w:i/>
          <w:iCs/>
        </w:rPr>
        <w:t>Circulation, 139</w:t>
      </w:r>
      <w:r>
        <w:t>(18), e891–e908. https://doi.org/10.1161/CIR.0000000000000670</w:t>
      </w:r>
    </w:p>
    <w:p w14:paraId="09D39FDE" w14:textId="77777777" w:rsidR="002E2825" w:rsidRDefault="00000000">
      <w:pPr>
        <w:pStyle w:val="BodyText"/>
      </w:pPr>
      <w:proofErr w:type="spellStart"/>
      <w:r>
        <w:t>Than</w:t>
      </w:r>
      <w:proofErr w:type="spellEnd"/>
      <w:r>
        <w:t xml:space="preserve">, M., Cullen, L., Aldous, S., Parsonage, W. A., Reid, C. M., Greenslade, J., Flaws, D., Hammett, C. J., Beam, D. M., Ardagh, M. W., Troughton, R., Brown, A. F. T., George, P., Florkowski, C. M., Kline, J. A., Peacock, W. F., Maisel, A. S., Lim, S. H., Lamanna, A., &amp; Richards, A. M. (2012). 2-Hour accelerated diagnostic protocol to assess patients with chest pain symptoms using contemporary troponins as the only biomarker: The ADAPT trial. </w:t>
      </w:r>
      <w:r>
        <w:rPr>
          <w:i/>
          <w:iCs/>
        </w:rPr>
        <w:t>Journal of the American College of Cardiology, 59</w:t>
      </w:r>
      <w:r>
        <w:t>(23), 2091–2098. https://doi.org/10.1016/j.jacc.2012.02.035</w:t>
      </w:r>
    </w:p>
    <w:p w14:paraId="16A8ADCA" w14:textId="77777777" w:rsidR="002E2825" w:rsidRDefault="00000000">
      <w:pPr>
        <w:pStyle w:val="BodyText"/>
      </w:pPr>
      <w:proofErr w:type="spellStart"/>
      <w:r>
        <w:t>Than</w:t>
      </w:r>
      <w:proofErr w:type="spellEnd"/>
      <w:r>
        <w:t xml:space="preserve">, M., Flaws, D., Sanders, S., Doust, J., </w:t>
      </w:r>
      <w:proofErr w:type="spellStart"/>
      <w:r>
        <w:t>Glasziou</w:t>
      </w:r>
      <w:proofErr w:type="spellEnd"/>
      <w:r>
        <w:t xml:space="preserve">, P., Kline, J., Aldous, S., Troughton, R., Reid, C., Parsonage, W. A., Frampton, C., Greenslade, J. H., Deely, J. M., Hess, E., Sadiq, A. B., Singleton, R., Shopland, R., Vercoe, L., Woolhouse-Williams, M., … Cullen, L. (2014). Development and validation of the Emergency Department Assessment of Chest Pain Score and 2 h accelerated diagnostic protocol. </w:t>
      </w:r>
      <w:r>
        <w:rPr>
          <w:i/>
          <w:iCs/>
        </w:rPr>
        <w:t>Emergency Medicine Australasia, 26</w:t>
      </w:r>
      <w:r>
        <w:t>(1), 34–44. https://doi.org/10.1111/1742-6723.12164</w:t>
      </w:r>
    </w:p>
    <w:p w14:paraId="601FE351" w14:textId="77777777" w:rsidR="002E2825" w:rsidRDefault="00000000">
      <w:pPr>
        <w:pStyle w:val="BodyText"/>
      </w:pPr>
      <w:r>
        <w:t xml:space="preserve">Thygesen, K., Alpert, J. S., Jaffe, A. S., </w:t>
      </w:r>
      <w:proofErr w:type="spellStart"/>
      <w:r>
        <w:t>Chaitman</w:t>
      </w:r>
      <w:proofErr w:type="spellEnd"/>
      <w:r>
        <w:t xml:space="preserve">, B. R., Bax, J. J., Morrow, D. A., &amp; White, H. D. (2018). Fourth universal definition of myocardial infarction (2018). </w:t>
      </w:r>
      <w:r>
        <w:rPr>
          <w:i/>
          <w:iCs/>
        </w:rPr>
        <w:t>Journal of the American College of Cardiology, 72</w:t>
      </w:r>
      <w:r>
        <w:t>(18), 2231–2264. https://doi.org/10.1016/j.jacc.2018.08.1038</w:t>
      </w:r>
    </w:p>
    <w:p w14:paraId="42607876" w14:textId="77777777" w:rsidR="002E2825" w:rsidRDefault="00000000">
      <w:pPr>
        <w:pStyle w:val="BodyText"/>
      </w:pPr>
      <w:r>
        <w:t xml:space="preserve">van der Hulle, T., Cheung, W. Y., </w:t>
      </w:r>
      <w:proofErr w:type="spellStart"/>
      <w:r>
        <w:t>Kooij</w:t>
      </w:r>
      <w:proofErr w:type="spellEnd"/>
      <w:r>
        <w:t xml:space="preserve">, S., Beenen, L. F. M., van Bemmel, T., van Es, J., Faber, L. M., </w:t>
      </w:r>
      <w:proofErr w:type="spellStart"/>
      <w:r>
        <w:t>Hazelaar</w:t>
      </w:r>
      <w:proofErr w:type="spellEnd"/>
      <w:r>
        <w:t xml:space="preserve">, G. M., </w:t>
      </w:r>
      <w:proofErr w:type="spellStart"/>
      <w:r>
        <w:t>Heringhaus</w:t>
      </w:r>
      <w:proofErr w:type="spellEnd"/>
      <w:r>
        <w:t xml:space="preserve">, C., Hofstee, H., </w:t>
      </w:r>
      <w:proofErr w:type="spellStart"/>
      <w:r>
        <w:t>Hovens</w:t>
      </w:r>
      <w:proofErr w:type="spellEnd"/>
      <w:r>
        <w:t xml:space="preserve">, M. M. C., Kaasjager, K. A. H., van Klink, R. C. J., </w:t>
      </w:r>
      <w:proofErr w:type="spellStart"/>
      <w:r>
        <w:t>Kruip</w:t>
      </w:r>
      <w:proofErr w:type="spellEnd"/>
      <w:r>
        <w:t xml:space="preserve">, M. J. H. A., </w:t>
      </w:r>
      <w:proofErr w:type="spellStart"/>
      <w:r>
        <w:t>Loeffen</w:t>
      </w:r>
      <w:proofErr w:type="spellEnd"/>
      <w:r>
        <w:t xml:space="preserve">, R. F., </w:t>
      </w:r>
      <w:proofErr w:type="spellStart"/>
      <w:r>
        <w:t>Mairuhu</w:t>
      </w:r>
      <w:proofErr w:type="spellEnd"/>
      <w:r>
        <w:t xml:space="preserve">, A. T. A., </w:t>
      </w:r>
      <w:proofErr w:type="spellStart"/>
      <w:r>
        <w:t>Middeldorp</w:t>
      </w:r>
      <w:proofErr w:type="spellEnd"/>
      <w:r>
        <w:t xml:space="preserve">, S., </w:t>
      </w:r>
      <w:proofErr w:type="spellStart"/>
      <w:r>
        <w:t>Nijkeuter</w:t>
      </w:r>
      <w:proofErr w:type="spellEnd"/>
      <w:r>
        <w:t xml:space="preserve">, M., van der Pol, L. M., … Huisman, M. V. (2017). Simplified diagnostic management of suspected pulmonary embolism (the YEARS study): A prospective, </w:t>
      </w:r>
      <w:proofErr w:type="spellStart"/>
      <w:r>
        <w:t>multicentre</w:t>
      </w:r>
      <w:proofErr w:type="spellEnd"/>
      <w:r>
        <w:t xml:space="preserve">, cohort study. </w:t>
      </w:r>
      <w:r>
        <w:rPr>
          <w:i/>
          <w:iCs/>
        </w:rPr>
        <w:t>The Lancet, 390</w:t>
      </w:r>
      <w:r>
        <w:t>(10091), 289–297. https://doi.org/10.1016/S0140-6736(17)30885-1</w:t>
      </w:r>
    </w:p>
    <w:p w14:paraId="09FA1F23" w14:textId="77777777" w:rsidR="002E2825" w:rsidRDefault="00000000">
      <w:pPr>
        <w:pStyle w:val="BodyText"/>
      </w:pPr>
      <w:r>
        <w:t xml:space="preserve">van Es, N., Takada, T., </w:t>
      </w:r>
      <w:proofErr w:type="spellStart"/>
      <w:r>
        <w:t>Kraaijpoel</w:t>
      </w:r>
      <w:proofErr w:type="spellEnd"/>
      <w:r>
        <w:t xml:space="preserve">, N., Klok, F. A., Stals, M. A. M., Büller, H. R., Courtney, D. M., Freund, Y., </w:t>
      </w:r>
      <w:proofErr w:type="spellStart"/>
      <w:r>
        <w:t>Galipienzo</w:t>
      </w:r>
      <w:proofErr w:type="spellEnd"/>
      <w:r>
        <w:t xml:space="preserve">, J., Le Gal, G., Ghanima, W., Huisman, M. V., Kline, J. A., Moons, K. G. M., </w:t>
      </w:r>
      <w:proofErr w:type="spellStart"/>
      <w:r>
        <w:t>Parpia</w:t>
      </w:r>
      <w:proofErr w:type="spellEnd"/>
      <w:r>
        <w:t xml:space="preserve">, S., Perrier, A., </w:t>
      </w:r>
      <w:proofErr w:type="spellStart"/>
      <w:r>
        <w:t>Righini</w:t>
      </w:r>
      <w:proofErr w:type="spellEnd"/>
      <w:r>
        <w:t xml:space="preserve">, M., Robert-Ebadi, H., Roy, P.-M., … </w:t>
      </w:r>
      <w:proofErr w:type="spellStart"/>
      <w:r>
        <w:t>Geersing</w:t>
      </w:r>
      <w:proofErr w:type="spellEnd"/>
      <w:r>
        <w:t xml:space="preserve">, G.-J. (2023). </w:t>
      </w:r>
      <w:r>
        <w:lastRenderedPageBreak/>
        <w:t xml:space="preserve">Diagnostic management of acute pulmonary embolism: A prediction model based on a patient data meta-analysis. </w:t>
      </w:r>
      <w:r>
        <w:rPr>
          <w:i/>
          <w:iCs/>
        </w:rPr>
        <w:t>European Heart Journal, 44</w:t>
      </w:r>
      <w:r>
        <w:t>(32), 3073–3081. https://doi.org/10.1093/eurheartj/ehad417</w:t>
      </w:r>
    </w:p>
    <w:p w14:paraId="5B893424" w14:textId="77777777" w:rsidR="002E2825" w:rsidRDefault="00000000">
      <w:pPr>
        <w:pStyle w:val="BodyText"/>
      </w:pPr>
      <w:r>
        <w:t xml:space="preserve">Wang, K.-L., </w:t>
      </w:r>
      <w:proofErr w:type="spellStart"/>
      <w:r>
        <w:t>Roobottom</w:t>
      </w:r>
      <w:proofErr w:type="spellEnd"/>
      <w:r>
        <w:t xml:space="preserve">, C., Smith, J. E., Goodacre, S., Oatey, K., O’Brien, R., </w:t>
      </w:r>
      <w:proofErr w:type="spellStart"/>
      <w:r>
        <w:t>Storey</w:t>
      </w:r>
      <w:proofErr w:type="spellEnd"/>
      <w:r>
        <w:t xml:space="preserve">, R. F., </w:t>
      </w:r>
      <w:proofErr w:type="spellStart"/>
      <w:r>
        <w:t>Curzen</w:t>
      </w:r>
      <w:proofErr w:type="spellEnd"/>
      <w:r>
        <w:t xml:space="preserve">, N., Keating, L., Kardos, A., </w:t>
      </w:r>
      <w:proofErr w:type="spellStart"/>
      <w:r>
        <w:t>Felmeden</w:t>
      </w:r>
      <w:proofErr w:type="spellEnd"/>
      <w:r>
        <w:t xml:space="preserve">, D., </w:t>
      </w:r>
      <w:proofErr w:type="spellStart"/>
      <w:r>
        <w:t>Thokala</w:t>
      </w:r>
      <w:proofErr w:type="spellEnd"/>
      <w:r>
        <w:t xml:space="preserve">, P., Mills, N. L., Newby, D. E., &amp; Gray, A. J. (2022). Presentation cardiac troponin and early computed tomography coronary angiography in patients with suspected acute coronary syndrome: A pre-specified secondary analysis of the RAPID-CTCA trial. </w:t>
      </w:r>
      <w:r>
        <w:rPr>
          <w:i/>
          <w:iCs/>
        </w:rPr>
        <w:t>European Heart Journal: Acute Cardiovascular Care, 11</w:t>
      </w:r>
      <w:r>
        <w:t>(7), 570–579. https://doi.org/10.1093/ehjacc/zuac057</w:t>
      </w:r>
    </w:p>
    <w:p w14:paraId="39A22C49" w14:textId="77777777" w:rsidR="002E2825" w:rsidRDefault="00000000">
      <w:pPr>
        <w:pStyle w:val="BodyText"/>
      </w:pPr>
      <w:r>
        <w:t xml:space="preserve">Wang, K.-L., Taggart, C., McDermott, M., O’Brien, R., Oatey, K., Keating, L., </w:t>
      </w:r>
      <w:proofErr w:type="spellStart"/>
      <w:r>
        <w:t>Storey</w:t>
      </w:r>
      <w:proofErr w:type="spellEnd"/>
      <w:r>
        <w:t xml:space="preserve">, R. F., </w:t>
      </w:r>
      <w:proofErr w:type="spellStart"/>
      <w:r>
        <w:t>Felmeden</w:t>
      </w:r>
      <w:proofErr w:type="spellEnd"/>
      <w:r>
        <w:t xml:space="preserve">, D., </w:t>
      </w:r>
      <w:proofErr w:type="spellStart"/>
      <w:r>
        <w:t>Curzen</w:t>
      </w:r>
      <w:proofErr w:type="spellEnd"/>
      <w:r>
        <w:t xml:space="preserve">, N., Kardos, A., </w:t>
      </w:r>
      <w:proofErr w:type="spellStart"/>
      <w:r>
        <w:t>Roobottom</w:t>
      </w:r>
      <w:proofErr w:type="spellEnd"/>
      <w:r>
        <w:t xml:space="preserve">, C., Smith, J., Goodacre, S., Newby, D. E., &amp; Gray, A. J. (2024). Clinical decision aids and computed tomography coronary angiography in patients with suspected acute coronary syndrome. </w:t>
      </w:r>
      <w:r>
        <w:rPr>
          <w:i/>
          <w:iCs/>
        </w:rPr>
        <w:t>Emergency Medicine Journal, 41</w:t>
      </w:r>
      <w:r>
        <w:t>(8), 488–494. https://doi.org/10.1136/emermed-2024-213904</w:t>
      </w:r>
    </w:p>
    <w:p w14:paraId="1D89B2E1" w14:textId="77777777" w:rsidR="002E2825" w:rsidRDefault="00000000">
      <w:pPr>
        <w:pStyle w:val="BodyText"/>
      </w:pPr>
      <w:r>
        <w:t xml:space="preserve">Weinstock, M. B., Weingart, S., Orth, F., VanFossen, D., Kaide, C., Anderson, J., &amp; Newman, D. H. (2015). Risk for clinically relevant adverse cardiac events in patients with chest pain at hospital admission. </w:t>
      </w:r>
      <w:r>
        <w:rPr>
          <w:i/>
          <w:iCs/>
        </w:rPr>
        <w:t>JAMA Internal Medicine, 175</w:t>
      </w:r>
      <w:r>
        <w:t>(7), 1207–1212. https://doi.org/10.1001/jamainternmed.2015.1674</w:t>
      </w:r>
    </w:p>
    <w:p w14:paraId="46A02AB8" w14:textId="77777777" w:rsidR="002E2825" w:rsidRDefault="00000000">
      <w:pPr>
        <w:pStyle w:val="BodyText"/>
      </w:pPr>
      <w:r>
        <w:t xml:space="preserve">Westwood, M. E., Armstrong, N., Worthy, G., Fayter, D., Ramaekers, B. L. T., Grimm, S., </w:t>
      </w:r>
      <w:proofErr w:type="spellStart"/>
      <w:r>
        <w:t>Buksnys</w:t>
      </w:r>
      <w:proofErr w:type="spellEnd"/>
      <w:r>
        <w:t xml:space="preserve">, T., Ross, J., Mills, N. L., Body, R., Collinson, P. O., Timmis, A., &amp; </w:t>
      </w:r>
      <w:proofErr w:type="spellStart"/>
      <w:r>
        <w:t>Kleijnen</w:t>
      </w:r>
      <w:proofErr w:type="spellEnd"/>
      <w:r>
        <w:t xml:space="preserve">, J. (2021). Optimizing the use of high-sensitivity troponin assays for the early rule-out of myocardial infarction in patients presenting with chest pain: A systematic review. </w:t>
      </w:r>
      <w:r>
        <w:rPr>
          <w:i/>
          <w:iCs/>
        </w:rPr>
        <w:t>Clinical Chemistry, 67</w:t>
      </w:r>
      <w:r>
        <w:t>(1), 237–244. https://doi.org/10.1093/clinchem/hvaa280</w:t>
      </w:r>
    </w:p>
    <w:p w14:paraId="0993AB8A" w14:textId="77777777" w:rsidR="002E2825" w:rsidRDefault="00000000">
      <w:pPr>
        <w:pStyle w:val="BodyText"/>
      </w:pPr>
      <w:r>
        <w:t xml:space="preserve">Westwood, M., Ramaekers, B., Grimm, S., Worthy, G., Fayter, D., Armstrong, N., </w:t>
      </w:r>
      <w:proofErr w:type="spellStart"/>
      <w:r>
        <w:t>Buksnys</w:t>
      </w:r>
      <w:proofErr w:type="spellEnd"/>
      <w:r>
        <w:t xml:space="preserve">, T., Ross, J., </w:t>
      </w:r>
      <w:proofErr w:type="spellStart"/>
      <w:r>
        <w:t>Joore</w:t>
      </w:r>
      <w:proofErr w:type="spellEnd"/>
      <w:r>
        <w:t xml:space="preserve">, M., &amp; </w:t>
      </w:r>
      <w:proofErr w:type="spellStart"/>
      <w:r>
        <w:t>Kleijnen</w:t>
      </w:r>
      <w:proofErr w:type="spellEnd"/>
      <w:r>
        <w:t xml:space="preserve">, J. (2021). High-sensitivity troponin assays for early rule-out of acute myocardial infarction in people with acute chest pain: A systematic review and economic evaluation. </w:t>
      </w:r>
      <w:r>
        <w:rPr>
          <w:i/>
          <w:iCs/>
        </w:rPr>
        <w:t>Health Technology Assessment, 25</w:t>
      </w:r>
      <w:r>
        <w:t>(33), 1–276. https://doi.org/10.3310/hta25330</w:t>
      </w:r>
      <w:bookmarkEnd w:id="0"/>
      <w:bookmarkEnd w:id="47"/>
    </w:p>
    <w:sectPr w:rsidR="002E282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18F5E" w14:textId="77777777" w:rsidR="00DB1B6C" w:rsidRDefault="00DB1B6C">
      <w:pPr>
        <w:spacing w:after="0"/>
      </w:pPr>
      <w:r>
        <w:separator/>
      </w:r>
    </w:p>
  </w:endnote>
  <w:endnote w:type="continuationSeparator" w:id="0">
    <w:p w14:paraId="611FBA75" w14:textId="77777777" w:rsidR="00DB1B6C" w:rsidRDefault="00DB1B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12D6" w14:textId="77777777" w:rsidR="009238EE" w:rsidRDefault="00923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4795" w14:textId="77777777" w:rsidR="009238EE" w:rsidRDefault="009238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52AD" w14:textId="77777777" w:rsidR="009238EE" w:rsidRDefault="00923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E9019" w14:textId="77777777" w:rsidR="00DB1B6C" w:rsidRDefault="00DB1B6C">
      <w:r>
        <w:separator/>
      </w:r>
    </w:p>
  </w:footnote>
  <w:footnote w:type="continuationSeparator" w:id="0">
    <w:p w14:paraId="302ADCF8" w14:textId="77777777" w:rsidR="00DB1B6C" w:rsidRDefault="00DB1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E1EA" w14:textId="062559EB" w:rsidR="009238EE" w:rsidRDefault="009238EE">
    <w:pPr>
      <w:pStyle w:val="Header"/>
    </w:pPr>
    <w:r>
      <w:rPr>
        <w:noProof/>
      </w:rPr>
      <w:pict w14:anchorId="45090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079A2" w14:textId="50A44060" w:rsidR="009238EE" w:rsidRDefault="009238EE">
    <w:pPr>
      <w:pStyle w:val="Header"/>
    </w:pPr>
    <w:r>
      <w:rPr>
        <w:noProof/>
      </w:rPr>
      <w:pict w14:anchorId="4E5291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2A78" w14:textId="5F32E411" w:rsidR="009238EE" w:rsidRDefault="009238EE">
    <w:pPr>
      <w:pStyle w:val="Header"/>
    </w:pPr>
    <w:r>
      <w:rPr>
        <w:noProof/>
      </w:rPr>
      <w:pict w14:anchorId="2A3570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662A2E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703019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2825"/>
    <w:rsid w:val="002A0A27"/>
    <w:rsid w:val="002B48B7"/>
    <w:rsid w:val="002E2825"/>
    <w:rsid w:val="003E5F59"/>
    <w:rsid w:val="00597BE4"/>
    <w:rsid w:val="009238EE"/>
    <w:rsid w:val="00B93DDE"/>
    <w:rsid w:val="00D224DB"/>
    <w:rsid w:val="00DB1B6C"/>
    <w:rsid w:val="00F16767"/>
    <w:rsid w:val="00F85EB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C42E3"/>
  <w15:docId w15:val="{7480D6B4-EB9A-4013-BBAC-38910A96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2B48B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238EE"/>
    <w:pPr>
      <w:tabs>
        <w:tab w:val="center" w:pos="4680"/>
        <w:tab w:val="right" w:pos="9360"/>
      </w:tabs>
      <w:spacing w:after="0"/>
    </w:pPr>
  </w:style>
  <w:style w:type="character" w:customStyle="1" w:styleId="HeaderChar">
    <w:name w:val="Header Char"/>
    <w:basedOn w:val="DefaultParagraphFont"/>
    <w:link w:val="Header"/>
    <w:rsid w:val="009238EE"/>
  </w:style>
  <w:style w:type="paragraph" w:styleId="Footer">
    <w:name w:val="footer"/>
    <w:basedOn w:val="Normal"/>
    <w:link w:val="FooterChar"/>
    <w:rsid w:val="009238EE"/>
    <w:pPr>
      <w:tabs>
        <w:tab w:val="center" w:pos="4680"/>
        <w:tab w:val="right" w:pos="9360"/>
      </w:tabs>
      <w:spacing w:after="0"/>
    </w:pPr>
  </w:style>
  <w:style w:type="character" w:customStyle="1" w:styleId="FooterChar">
    <w:name w:val="Footer Char"/>
    <w:basedOn w:val="DefaultParagraphFont"/>
    <w:link w:val="Footer"/>
    <w:rsid w:val="0092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41</Pages>
  <Words>18702</Words>
  <Characters>106603</Characters>
  <Application>Microsoft Office Word</Application>
  <DocSecurity>0</DocSecurity>
  <Lines>888</Lines>
  <Paragraphs>250</Paragraphs>
  <ScaleCrop>false</ScaleCrop>
  <Company>HP</Company>
  <LinksUpToDate>false</LinksUpToDate>
  <CharactersWithSpaces>125055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SDI 1084</cp:lastModifiedBy>
  <cp:revision>6</cp:revision>
  <dcterms:created xsi:type="dcterms:W3CDTF">2026-08-09T07:45:00Z</dcterms:created>
  <dcterms:modified xsi:type="dcterms:W3CDTF">2026-08-10T12:51:00Z</dcterms:modified>
</cp:coreProperties>
</file>