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DD5B" w14:textId="77777777" w:rsidR="00302DCB" w:rsidRPr="00302DCB" w:rsidRDefault="00302DCB" w:rsidP="00302DCB">
      <w:pPr>
        <w:spacing w:before="100" w:beforeAutospacing="1" w:after="100" w:afterAutospacing="1"/>
        <w:jc w:val="center"/>
        <w:rPr>
          <w:b/>
          <w:bCs/>
          <w:i/>
          <w:iCs/>
          <w:sz w:val="32"/>
          <w:szCs w:val="32"/>
          <w:u w:val="single"/>
          <w:lang w:val="en-US"/>
        </w:rPr>
      </w:pPr>
      <w:r w:rsidRPr="00302DCB">
        <w:rPr>
          <w:b/>
          <w:bCs/>
          <w:i/>
          <w:iCs/>
          <w:sz w:val="32"/>
          <w:szCs w:val="32"/>
          <w:u w:val="single"/>
          <w:lang w:val="en-US"/>
        </w:rPr>
        <w:t>Review Article</w:t>
      </w:r>
    </w:p>
    <w:p w14:paraId="241B26F0" w14:textId="77777777" w:rsidR="008064B9" w:rsidRDefault="00000000" w:rsidP="003A798E">
      <w:pPr>
        <w:spacing w:before="100" w:beforeAutospacing="1" w:after="100" w:afterAutospacing="1"/>
        <w:jc w:val="center"/>
      </w:pPr>
      <w:r>
        <w:rPr>
          <w:b/>
          <w:bCs/>
          <w:sz w:val="32"/>
          <w:szCs w:val="32"/>
        </w:rPr>
        <w:t>One Health, One Genome: A Critical Appraisal of Artificial Intelligence–Enabled Genomics for Global Infectious Disease Surveillance</w:t>
      </w:r>
    </w:p>
    <w:p w14:paraId="40B186E6" w14:textId="77777777" w:rsidR="008064B9" w:rsidRDefault="00000000" w:rsidP="003A798E">
      <w:pPr>
        <w:pStyle w:val="Heading2"/>
        <w:spacing w:before="100" w:beforeAutospacing="1" w:after="100" w:afterAutospacing="1"/>
      </w:pPr>
      <w:r>
        <w:t>Abstract</w:t>
      </w:r>
    </w:p>
    <w:p w14:paraId="75910ADB" w14:textId="77777777" w:rsidR="008064B9" w:rsidRDefault="00000000" w:rsidP="003A798E">
      <w:pPr>
        <w:spacing w:before="100" w:beforeAutospacing="1" w:after="100" w:afterAutospacing="1"/>
        <w:jc w:val="both"/>
      </w:pPr>
      <w:r>
        <w:t>Pathogen genomics has become a routine instrument of infectious disease surveillance, and machine learning is increasingly proposed as the means by which sequence data generated across human, animal and environmental sectors can be converted into anticipatory public health intelligence. The premise that a single integrated genomic evidence base can serve all three sectors, and that artificial intelligence can extract predictive signal from it, has attracted substantial investment, yet the supporting evidence remains uneven and has not been appraised critically as a whole. This review evaluates the strength, consistency and limitations of the literature on artificial intelligence–enabled genomics for One Health infectious disease surveillance, covering lineage assignment and phylogenetic automation, sequence-based fitness and antigenic escape prediction, protein and genome language models, cross-species host and spillover inference, genotype-to-phenotype prediction of antimicrobial resistance, and wastewater and environmental metagenomics. Literature was identified through Europe PMC, Crossref and the Directory of Open Access Journals, supplemented by institutional sources, with all bibliographic records and digital object identifiers verified against registration metadata. The evidence is strongest where algorithms perform structured classification against well-curated reference data, notably clade and lineage assignment and resistance determinant detection in taxa with dense phenotype-linked genome collections. Confidence weakens progressively for retrospective fitness inference, and is weakest for prospective cross-species risk prediction, where reported discrimination is difficult to separate from sampling bias in the underlying host–virus association records. Independent reanalyses indicate that apparent predictive skill often reflects research effort and taxonomic structure rather than transferable biological signal. Recurrent methodological problems include data leakage across phylogenetically related sequences, absent external validation, severe geographical concentration of both genomes and metadata, and an almost complete lack of evaluation against public health decision outcomes rather than classification metrics. Progress depends less on model architecture than on representative sampling across sectors, interoperable contextual metadata, prospective evaluation designs, and governance arrangements that address equity and dual-use risk simultaneously.</w:t>
      </w:r>
    </w:p>
    <w:p w14:paraId="585A6393" w14:textId="77777777" w:rsidR="008064B9" w:rsidRDefault="00000000" w:rsidP="003A798E">
      <w:pPr>
        <w:spacing w:before="100" w:beforeAutospacing="1" w:after="100" w:afterAutospacing="1"/>
        <w:jc w:val="both"/>
      </w:pPr>
      <w:r>
        <w:rPr>
          <w:b/>
          <w:bCs/>
        </w:rPr>
        <w:t xml:space="preserve">Keywords: </w:t>
      </w:r>
      <w:r>
        <w:t>One Health; pathogen genomics; machine learning; genomic surveillance; antimicrobial resistance; zoonotic spillover; metagenomics; health equity</w:t>
      </w:r>
    </w:p>
    <w:p w14:paraId="1EAAED86" w14:textId="77777777" w:rsidR="008064B9" w:rsidRDefault="00000000" w:rsidP="003A798E">
      <w:pPr>
        <w:pStyle w:val="Heading2"/>
        <w:spacing w:before="100" w:beforeAutospacing="1" w:after="100" w:afterAutospacing="1"/>
      </w:pPr>
      <w:r>
        <w:t>1. Introduction</w:t>
      </w:r>
    </w:p>
    <w:p w14:paraId="1E66EF78" w14:textId="77777777" w:rsidR="008064B9" w:rsidRDefault="00000000" w:rsidP="003A798E">
      <w:pPr>
        <w:spacing w:before="100" w:beforeAutospacing="1" w:after="100" w:afterAutospacing="1"/>
        <w:jc w:val="both"/>
      </w:pPr>
      <w:r>
        <w:t>Sequencing has moved from a specialist research activity to an operational component of infectious disease control. Portable sequencing during the West African Ebola virus disease epidemic demonstrated that genomes could be produced in the field and returned to responders within a working timeframe (Quick et al., 2016), and the subsequent decade normalised the expectation that outbreak investigation includes genomic characterisation (Grubaugh et al., 2019). The coronavirus disease 2019 pandemic accelerated this transition to an extent that had no precedent, generating tens of millions of viral genomes and an accompanying infrastructure of nomenclature systems, phylogenetic pipelines and public dashboards (Hadfield et al., 2018; Rambaut et al., 2020). The World Health Organization subsequently set the objective that every Member State should have, or have access to, timely genomic sequencing for pathogens with pandemic and epidemic potential (World Health Organization, 2022).</w:t>
      </w:r>
    </w:p>
    <w:p w14:paraId="6DFD9480" w14:textId="77777777" w:rsidR="008064B9" w:rsidRDefault="00000000" w:rsidP="003A798E">
      <w:pPr>
        <w:spacing w:before="100" w:beforeAutospacing="1" w:after="100" w:afterAutospacing="1"/>
        <w:jc w:val="both"/>
      </w:pPr>
      <w:r>
        <w:t xml:space="preserve">Two developments have converged on that infrastructure. The first is the formal consolidation of One Health as an organising framework for health governance. The One Health High-Level Expert Panel defined the approach as an integrated and unifying effort to balance and optimise the health of people, animals and </w:t>
      </w:r>
      <w:r>
        <w:lastRenderedPageBreak/>
        <w:t xml:space="preserve">ecosystems, recognising that these are closely linked and interdependent (One Health High-Level Expert Panel, 2022), and the Quadripartite organisations translated that definition into a coordinated programme of action across sectors (FAO et al., 2022). Applied to genomics, the framework implies that sequences derived from patients, livestock, wildlife, food and environmental matrices should be treated as observations of a single interconnected microbial system rather than as sector-specific datasets. Empirical work supports the biological premise. Genomic analysis of </w:t>
      </w:r>
      <w:r>
        <w:rPr>
          <w:i/>
          <w:iCs/>
        </w:rPr>
        <w:t>Acinetobacter baumannii</w:t>
      </w:r>
      <w:r>
        <w:t xml:space="preserve"> across human, animal and environmental sources has identified lineages that traverse sectoral boundaries (Aguilar-Vera et al., 2026), and comparable analyses of </w:t>
      </w:r>
      <w:r>
        <w:rPr>
          <w:i/>
          <w:iCs/>
        </w:rPr>
        <w:t>Salmonella</w:t>
      </w:r>
      <w:r>
        <w:t xml:space="preserve"> Enteritidis have shown niche-specific lineage replacement that would be invisible to sampling confined to a single host (Zhou et al., 2026).</w:t>
      </w:r>
    </w:p>
    <w:p w14:paraId="3436DE66" w14:textId="77777777" w:rsidR="008064B9" w:rsidRDefault="00000000" w:rsidP="003A798E">
      <w:pPr>
        <w:spacing w:before="100" w:beforeAutospacing="1" w:after="100" w:afterAutospacing="1"/>
        <w:jc w:val="both"/>
      </w:pPr>
      <w:r>
        <w:t>The second development is the maturation of machine learning applied to biological sequence. Protein structure prediction reached experimentally useful accuracy (Jumper et al., 2021), language models trained on unlabelled protein sequence at scale learned representations that transfer to structural and functional tasks (Lin et al., 2023), and generative models extended the same architecture from molecules to genome scale (Nguyen et al., 2024). Within virology, sequence models have been used to score antigenic escape (Hie et al., 2021), to estimate lineage fitness from very large genome collections (Obermeyer et al., 2022), and to forecast escape mutations using pre-pandemic evolutionary data alone (Thadani et al., 2023). Reviews now describe this convergence as an inflection point for pathogen surveillance (Kraemer et al., 2025; Lytras et al., 2025).</w:t>
      </w:r>
    </w:p>
    <w:p w14:paraId="37FEB81C" w14:textId="77777777" w:rsidR="008064B9" w:rsidRDefault="00000000" w:rsidP="003A798E">
      <w:pPr>
        <w:spacing w:before="100" w:beforeAutospacing="1" w:after="100" w:afterAutospacing="1"/>
        <w:jc w:val="both"/>
      </w:pPr>
      <w:r>
        <w:t>The combination has produced a persuasive narrative. If genomic data are collected across sectors, and if models can infer host range, transmissibility, immune escape or resistance phenotype directly from sequence, then surveillance could shift from retrospective description to anticipatory risk assessment. Commentary in the infectious disease literature has framed spillover prediction as the natural application of this convergence while also questioning whether current data can support it (Koopmans et al., 2026). The narrative nonetheless outruns the evidence in several respects. Reported model performance is frequently obtained under evaluation designs that permit information to leak between training and test partitions, a problem documented across machine learning–based science more generally (Kapoor &amp; Narayanan, 2023) and specifically identified in models that assign zoonotic risk to viral genomes (Kawasaki et al., 2025). Independent analysis of pathogen host jumps has found that risk is poorly predicted by the quantities such models typically use (Simony &amp; Kennedy, 2026). The genomic evidence base itself is unevenly distributed, with sequencing and turnaround capacity concentrated in high-income settings (Brito et al., 2022) and with persistent gaps in Asia (Getchell et al., 2024; Stona et al., 2026) and in resistance surveillance globally (Aanensen et al., 2026).</w:t>
      </w:r>
    </w:p>
    <w:p w14:paraId="41E9E7D5" w14:textId="77777777" w:rsidR="008064B9" w:rsidRDefault="00000000" w:rsidP="003A798E">
      <w:pPr>
        <w:spacing w:before="100" w:beforeAutospacing="1" w:after="100" w:afterAutospacing="1"/>
        <w:jc w:val="both"/>
      </w:pPr>
      <w:r>
        <w:t>Existing reviews address components of this landscape but not the whole. Syntheses of artificial intelligence in epidemic modelling concentrate on transmission dynamics and forecasting rather than genome interpretation (Kraemer et al., 2025). Reviews of pathogen genomic surveillance and machine learning are largely oriented to human virology (Lytras et al., 2025), while One Health genomics reviews emphasise sector integration and capacity without appraising algorithmic evidence (Derar et al., 2026). Wastewater genomics has been reviewed as a technical field (Munteanu et al., 2026) and as a methodological problem for resistance monitoring (Hughes et al., 2026), and machine learning for resistance prediction has been reviewed largely within clinical microbiology (Peiffer-Smadja et al., 2020). No current review evaluates, in an integrated and critical manner, whether algorithmic methods applied to cross-sectoral genomic data deliver the anticipatory capability attributed to them, and where the supporting evidence is strong, contested or absent.</w:t>
      </w:r>
    </w:p>
    <w:p w14:paraId="456FB22B" w14:textId="77777777" w:rsidR="008064B9" w:rsidRDefault="00000000" w:rsidP="003A798E">
      <w:pPr>
        <w:pStyle w:val="Heading3"/>
        <w:spacing w:before="100" w:beforeAutospacing="1" w:after="100" w:afterAutospacing="1"/>
      </w:pPr>
      <w:r>
        <w:t>1.1 Scope, Research Gap and Objectives</w:t>
      </w:r>
    </w:p>
    <w:p w14:paraId="6912E2A7" w14:textId="77777777" w:rsidR="008064B9" w:rsidRDefault="00000000" w:rsidP="003A798E">
      <w:pPr>
        <w:spacing w:before="100" w:beforeAutospacing="1" w:after="100" w:afterAutospacing="1"/>
        <w:jc w:val="both"/>
      </w:pPr>
      <w:r>
        <w:t>This review examines the intersection of three domains: pathogen genomics generated across human, animal and environmental sectors; machine learning and related computational methods applied to that genomic data; and the use of the resulting outputs for infectious disease surveillance at national and global scales. The unit of analysis is the analytical claim rather than the individual pathogen, so evidence is organised around what algorithms are asserted to infer from sequence and how securely those assertions are supported.</w:t>
      </w:r>
    </w:p>
    <w:p w14:paraId="148E0201" w14:textId="77777777" w:rsidR="008064B9" w:rsidRDefault="00000000" w:rsidP="003A798E">
      <w:pPr>
        <w:spacing w:before="100" w:beforeAutospacing="1" w:after="100" w:afterAutospacing="1"/>
        <w:jc w:val="both"/>
      </w:pPr>
      <w:r>
        <w:t xml:space="preserve">The knowledge gap addressed is the absence of an integrated critical appraisal that connects algorithmic performance claims to the sampling, metadata and governance conditions under which cross-sectoral genomic </w:t>
      </w:r>
      <w:r>
        <w:lastRenderedPageBreak/>
        <w:t>surveillance actually operates. Performance claims and infrastructure critiques have developed in separate literatures, with the consequence that reported accuracy is seldom interpreted in the light of the representativeness of the data that produced it, and that infrastructure analyses seldom specify which analytical tasks are jeopardised by which data deficiencies.</w:t>
      </w:r>
    </w:p>
    <w:p w14:paraId="26EF91F8" w14:textId="77777777" w:rsidR="008064B9" w:rsidRDefault="00000000" w:rsidP="003A798E">
      <w:pPr>
        <w:spacing w:before="100" w:beforeAutospacing="1" w:after="100" w:afterAutospacing="1"/>
        <w:jc w:val="both"/>
      </w:pPr>
      <w:r>
        <w:t>The objectives are fivefold. The first is to characterise the principal families of computational method applied to pathogen genomes in surveillance contexts and to specify the analytical task each addresses. The second is to appraise the strength and consistency of evidence supporting each family, distinguishing tasks validated against independent external data from those evaluated only internally. The third is to examine the cross-species inference problem in detail, since prospective risk prediction represents the strongest claim made for this field and attracts the most substantive methodological objections. The fourth is to assess whether data infrastructure, metadata standards and capacity distribution can support the inferences being attempted. The fifth is to identify defensible research priorities and to distinguish those that require methodological innovation from those that require investment in sampling and data governance.</w:t>
      </w:r>
    </w:p>
    <w:p w14:paraId="4FBF9403" w14:textId="77777777" w:rsidR="008064B9" w:rsidRDefault="00000000" w:rsidP="003A798E">
      <w:pPr>
        <w:spacing w:before="100" w:beforeAutospacing="1" w:after="100" w:afterAutospacing="1"/>
        <w:jc w:val="both"/>
      </w:pPr>
      <w:r>
        <w:t>The intended contribution is an evidence-calibrated account that separates well-supported operational capability from preliminary or speculative claims, and that attributes disagreements in the literature to identifiable methodological causes rather than treating them as unresolved differences of opinion.</w:t>
      </w:r>
    </w:p>
    <w:p w14:paraId="039E046B" w14:textId="77777777" w:rsidR="008064B9" w:rsidRDefault="00000000" w:rsidP="003A798E">
      <w:pPr>
        <w:spacing w:before="100" w:beforeAutospacing="1" w:after="100" w:afterAutospacing="1"/>
        <w:jc w:val="both"/>
      </w:pPr>
      <w:r>
        <w:t>Several areas fall outside the scope. Human host genomics, including susceptibility loci and pharmacogenomics, is excluded because the surveillance question concerns pathogen rather than host variation. Syndromic and clinical prediction models that do not use genomic input are excluded. Plant pathogen surveillance is acknowledged within the One Health framing but not appraised, since its evidence base and institutional arrangements differ substantially. Diagnostic assay development is considered only where it bears directly on surveillance data generation. Vector genomics and insecticide resistance are noted where relevant to cross-sector inference but are not reviewed systematically.</w:t>
      </w:r>
    </w:p>
    <w:p w14:paraId="601C41BB" w14:textId="77777777" w:rsidR="008064B9" w:rsidRDefault="00000000" w:rsidP="003A798E">
      <w:pPr>
        <w:pStyle w:val="Heading2"/>
        <w:spacing w:before="100" w:beforeAutospacing="1" w:after="100" w:afterAutospacing="1"/>
      </w:pPr>
      <w:r>
        <w:t>2. Methods for Literature Selection</w:t>
      </w:r>
    </w:p>
    <w:p w14:paraId="37127A00" w14:textId="77777777" w:rsidR="008064B9" w:rsidRDefault="00000000" w:rsidP="003A798E">
      <w:pPr>
        <w:pStyle w:val="Heading3"/>
        <w:spacing w:before="100" w:beforeAutospacing="1" w:after="100" w:afterAutospacing="1"/>
      </w:pPr>
      <w:r>
        <w:t>2.1 Review Design and Rationale</w:t>
      </w:r>
    </w:p>
    <w:p w14:paraId="5ADF2E63" w14:textId="77777777" w:rsidR="008064B9" w:rsidRDefault="00000000" w:rsidP="003A798E">
      <w:pPr>
        <w:spacing w:before="100" w:beforeAutospacing="1" w:after="100" w:afterAutospacing="1"/>
        <w:jc w:val="both"/>
      </w:pPr>
      <w:r>
        <w:t>A critical narrative review was selected because the research question concerns the coherence and credibility of a body of claims spanning several methodological traditions, rather than the effect of a defined intervention on a defined outcome. The literature comprises method development papers, benchmarking studies, observational genomic epidemiology, implementation reports and policy analyses, with outcome measures ranging from area under the receiver operating characteristic curve to sequencing turnaround time. Heterogeneity of that magnitude precludes quantitative pooling, and a systematic review protocol constructed around a single comparator would exclude precisely the cross-domain comparisons that the question requires. Narrative synthesis nonetheless carries recognised risks of selective citation and interpretive bias, and the review was conducted with attention to the criteria set out for the quality assessment of narrative review articles, including explicit justification of importance, statement of aims, description of literature search, referencing of evidence, appropriate presentation of the strength of evidence, and presentation of data (Baethge et al., 2019). Adoption of a narrative design was treated as a reason for greater transparency about search conduct and appraisal, not as an exemption from it.</w:t>
      </w:r>
    </w:p>
    <w:p w14:paraId="3F036461" w14:textId="77777777" w:rsidR="008064B9" w:rsidRDefault="00000000" w:rsidP="003A798E">
      <w:pPr>
        <w:pStyle w:val="Heading3"/>
        <w:spacing w:before="100" w:beforeAutospacing="1" w:after="100" w:afterAutospacing="1"/>
      </w:pPr>
      <w:r>
        <w:t>2.2 Information Sources</w:t>
      </w:r>
    </w:p>
    <w:p w14:paraId="002EC3F8" w14:textId="77777777" w:rsidR="008064B9" w:rsidRDefault="00000000" w:rsidP="003A798E">
      <w:pPr>
        <w:spacing w:before="100" w:beforeAutospacing="1" w:after="100" w:afterAutospacing="1"/>
        <w:jc w:val="both"/>
      </w:pPr>
      <w:r>
        <w:t xml:space="preserve">Three scholarly indexes were searched directly: Europe PMC, which provides coverage of biomedical, veterinary and environmental health literature including PubMed-indexed records; Crossref, which was used both for topic searching and for verification of registered bibliographic metadata; and the Directory of Open Access Journals, which was used to identify open-access material in public health and One Health journals that might be under-represented in the other indexes. Institutional sources were searched separately for policy and strategy documents, specifically the websites of the World Health Organization and the Food and Agriculture </w:t>
      </w:r>
      <w:r>
        <w:lastRenderedPageBreak/>
        <w:t>Organization of the United Nations, the latter providing access to the Quadripartite plan of action. Subscription-restricted databases, including Web of Science, Scopus, Embase and CAB Abstracts, were not accessible during the preparation of this review, and no search of those resources is claimed. Reference lists of recent reviews and consensus statements retrieved through the searches above were examined to identify further candidate sources, and each candidate identified in this way was located and verified independently in Europe PMC or Crossref before use.</w:t>
      </w:r>
    </w:p>
    <w:p w14:paraId="1D20B5B2" w14:textId="77777777" w:rsidR="008064B9" w:rsidRDefault="00000000" w:rsidP="003A798E">
      <w:pPr>
        <w:pStyle w:val="Heading3"/>
        <w:spacing w:before="100" w:beforeAutospacing="1" w:after="100" w:afterAutospacing="1"/>
      </w:pPr>
      <w:r>
        <w:t>2.3 Search Strategy and Search Period</w:t>
      </w:r>
    </w:p>
    <w:p w14:paraId="0AE734C7" w14:textId="77777777" w:rsidR="008064B9" w:rsidRDefault="00000000" w:rsidP="003A798E">
      <w:pPr>
        <w:spacing w:before="100" w:beforeAutospacing="1" w:after="100" w:afterAutospacing="1"/>
        <w:jc w:val="both"/>
      </w:pPr>
      <w:r>
        <w:t>Search concepts were constructed around four axes: the sectoral framing, the genomic data type, the computational method, and the surveillance application. Representative Boolean strings combined controlled and free-text terms, for example (TITLE:"One Health") AND (TITLE:"genomic" OR TITLE:"genomics" OR TITLE:"sequencing"); (TITLE:"genomic surveillance") AND (TITLE:"artificial intelligence" OR TITLE:"machine learning" OR TITLE:"deep learning"); (TITLE:"antimicrobial resistance") AND (TITLE:"prediction" OR TITLE:"predicting") AND (TITLE:"whole genome sequencing" OR TITLE:"genomes" OR TITLE:"machine learning"); (TITLE:"spillover") AND (TITLE:"prediction" OR TITLE:"machine learning" OR TITLE:"risk"); (TITLE:"wastewater") AND (TITLE:"genomic surveillance" OR TITLE:"metagenomic"); and (TITLE:"host prediction") OR (TITLE:"reservoir" AND TITLE:"predict\*" AND TITLE:"viral"). Field-specific syntax was adapted for each index, and title-restricted queries were relaxed to abstract-level searching where yield was low. Named-entity searches were used to locate specific methodological and infrastructural landmarks identified through citation trails.</w:t>
      </w:r>
    </w:p>
    <w:p w14:paraId="62E06040" w14:textId="77777777" w:rsidR="008064B9" w:rsidRDefault="00000000" w:rsidP="003A798E">
      <w:pPr>
        <w:spacing w:before="100" w:beforeAutospacing="1" w:after="100" w:afterAutospacing="1"/>
        <w:jc w:val="both"/>
      </w:pPr>
      <w:r>
        <w:t>The search period opened in 2016, the year in which real-time portable sequencing was first demonstrated in an epidemic response setting and the point from which operational genomic surveillance can meaningfully be dated (Quick et al., 2016). Foundational publications preceding that year were retained where necessary to explain conceptual origins. The final search date was 13 June 2026.</w:t>
      </w:r>
    </w:p>
    <w:p w14:paraId="54D96CA9" w14:textId="77777777" w:rsidR="008064B9" w:rsidRDefault="00000000" w:rsidP="003A798E">
      <w:pPr>
        <w:pStyle w:val="Heading3"/>
        <w:spacing w:before="100" w:beforeAutospacing="1" w:after="100" w:afterAutospacing="1"/>
      </w:pPr>
      <w:r>
        <w:t>2.4 Eligibility Criteria</w:t>
      </w:r>
    </w:p>
    <w:p w14:paraId="342A8170" w14:textId="77777777" w:rsidR="008064B9" w:rsidRDefault="00000000" w:rsidP="003A798E">
      <w:pPr>
        <w:spacing w:before="100" w:beforeAutospacing="1" w:after="100" w:afterAutospacing="1"/>
        <w:jc w:val="both"/>
      </w:pPr>
      <w:r>
        <w:t>Publications were eligible if they reported original research, methodological development, benchmarking, systematic evaluation, critical commentary or institutional analysis relevant to the generation, computational analysis or surveillance application of pathogen genomic data. Eligible study designs included method development with quantitative evaluation, retrospective genomic epidemiology, comparative benchmarking, capacity assessment, implementation evaluation and authoritative policy analysis. Eligible sources spanned human, veterinary, food, agricultural and environmental sectors.</w:t>
      </w:r>
    </w:p>
    <w:p w14:paraId="5DB46AB2" w14:textId="77777777" w:rsidR="008064B9" w:rsidRDefault="00000000" w:rsidP="003A798E">
      <w:pPr>
        <w:spacing w:before="100" w:beforeAutospacing="1" w:after="100" w:afterAutospacing="1"/>
        <w:jc w:val="both"/>
      </w:pPr>
      <w:r>
        <w:t>Publications were excluded if they addressed host rather than pathogen genomics, if they applied machine learning to clinical or epidemiological data without genomic input, if they concerned plant pathogens exclusively, or if they reported laboratory method development without a stated surveillance application. Preprints, conference abstracts, patents, trade material and non-peer-reviewed commentary were excluded, and no preprint is cited. Sources whose bibliographic identity could not be confirmed against registration metadata were excluded regardless of apparent relevance. No language restriction was applied at the search stage, although all sources ultimately retained are published in English, which is acknowledged as a limitation.</w:t>
      </w:r>
    </w:p>
    <w:p w14:paraId="6D6E13AA" w14:textId="77777777" w:rsidR="008064B9" w:rsidRDefault="00000000" w:rsidP="003A798E">
      <w:pPr>
        <w:pStyle w:val="Heading3"/>
        <w:spacing w:before="100" w:beforeAutospacing="1" w:after="100" w:afterAutospacing="1"/>
      </w:pPr>
      <w:r>
        <w:t>2.5 Screening, Duplicate Handling and Study Selection</w:t>
      </w:r>
    </w:p>
    <w:p w14:paraId="32F55B44" w14:textId="77777777" w:rsidR="008064B9" w:rsidRDefault="00000000" w:rsidP="003A798E">
      <w:pPr>
        <w:spacing w:before="100" w:beforeAutospacing="1" w:after="100" w:afterAutospacing="1"/>
        <w:jc w:val="both"/>
      </w:pPr>
      <w:r>
        <w:t>Records retrieved from each index were screened at title level for topical relevance, and retained records were assessed at abstract level against the eligibility criteria. Duplicates were identified primarily by digital object identifier, and secondarily by normalised title and first-author surname where an identifier was absent. A specific duplication pattern required deliberate handling: preprint versions and their subsequent peer-reviewed publications frequently appear as separate records with distinct identifiers. In every such case the peer-reviewed version was retained and the preprint record discarded. Where an index returned a correction, addendum or author correction alongside a primary article, the primary article was retained and the correction was inspected to confirm that no substantive finding relied upon had been altered.</w:t>
      </w:r>
    </w:p>
    <w:p w14:paraId="09BB18F2" w14:textId="77777777" w:rsidR="008064B9" w:rsidRDefault="00000000" w:rsidP="003A798E">
      <w:pPr>
        <w:spacing w:before="100" w:beforeAutospacing="1" w:after="100" w:afterAutospacing="1"/>
        <w:jc w:val="both"/>
      </w:pPr>
      <w:r>
        <w:lastRenderedPageBreak/>
        <w:t>Full-text or publisher-record verification was undertaken for every source retained. Records were not carried forward on the basis of index snippets alone. No numerical screening counts are reported, because the search was iterative and concept-driven rather than executed as a single enumerable protocol, and reporting counts derived from such a process would misrepresent it as systematic. No flow diagram is presented for the same reason.</w:t>
      </w:r>
    </w:p>
    <w:p w14:paraId="69B8BC33" w14:textId="77777777" w:rsidR="008064B9" w:rsidRDefault="00000000" w:rsidP="003A798E">
      <w:pPr>
        <w:pStyle w:val="Heading3"/>
        <w:spacing w:before="100" w:beforeAutospacing="1" w:after="100" w:afterAutospacing="1"/>
      </w:pPr>
      <w:r>
        <w:t>2.6 Critical Appraisal and Evidence Synthesis</w:t>
      </w:r>
    </w:p>
    <w:p w14:paraId="6F18EAE2" w14:textId="77777777" w:rsidR="008064B9" w:rsidRDefault="00000000" w:rsidP="003A798E">
      <w:pPr>
        <w:spacing w:before="100" w:beforeAutospacing="1" w:after="100" w:afterAutospacing="1"/>
        <w:jc w:val="both"/>
      </w:pPr>
      <w:r>
        <w:t>No formal risk-of-bias instrument was applied, since no recognised tool covers the range of designs represented and the information required to score most included studies against such a tool was not available. Appraisal instead proceeded against criteria selected for their relevance to the specific inferential claim under evaluation. For computational method papers these were the adequacy of the evaluation design, in particular whether training and test partitions were separated phylogenetically or geographically rather than at random; the presence or absence of external validation on data not used in development; the appropriateness of the performance metric to the prevalence of the target class; the availability of code and data; and the extent to which reported gains were attributable to the model rather than to the reference database. For genomic epidemiological studies these were the representativeness of sampling across sectors, the completeness of contextual metadata, the treatment of ascertainment bias, and the strength of evidence supporting directional transmission claims. For implementation and capacity studies these were the transparency of the assessment instrument, the independence of the assessors, and the comparability of measures across jurisdictions.</w:t>
      </w:r>
    </w:p>
    <w:p w14:paraId="29F7D1B2" w14:textId="77777777" w:rsidR="008064B9" w:rsidRDefault="00000000" w:rsidP="003A798E">
      <w:pPr>
        <w:spacing w:before="100" w:beforeAutospacing="1" w:after="100" w:afterAutospacing="1"/>
        <w:jc w:val="both"/>
      </w:pPr>
      <w:r>
        <w:t>Evidence was synthesised thematically around analytical tasks and their evidential status. Where studies disagreed, the synthesis sought a mechanistic explanation for the disagreement in differences of data, evaluation design or target definition before treating the disagreement as substantive. Convergent findings from independent groups using different data sources were weighted more heavily than repeated findings from a single research programme, and negative or corrective results were sought explicitly rather than being allowed to enter the synthesis only where they happened to be cited by positive reports.</w:t>
      </w:r>
    </w:p>
    <w:p w14:paraId="23345B3A" w14:textId="77777777" w:rsidR="008064B9" w:rsidRDefault="00000000" w:rsidP="003A798E">
      <w:pPr>
        <w:pStyle w:val="Heading2"/>
        <w:spacing w:before="100" w:beforeAutospacing="1" w:after="100" w:afterAutospacing="1"/>
      </w:pPr>
      <w:r>
        <w:t>3. The Conceptual Architecture of One Health Genomic Surveillance</w:t>
      </w:r>
    </w:p>
    <w:p w14:paraId="2A9C9770" w14:textId="77777777" w:rsidR="008064B9" w:rsidRDefault="00000000" w:rsidP="003A798E">
      <w:pPr>
        <w:pStyle w:val="Heading3"/>
        <w:spacing w:before="100" w:beforeAutospacing="1" w:after="100" w:afterAutospacing="1"/>
      </w:pPr>
      <w:r>
        <w:t>3.1 From sector-specific sequencing to integrated genomic intelligence</w:t>
      </w:r>
    </w:p>
    <w:p w14:paraId="546A7595" w14:textId="77777777" w:rsidR="008064B9" w:rsidRDefault="00000000" w:rsidP="003A798E">
      <w:pPr>
        <w:spacing w:before="100" w:beforeAutospacing="1" w:after="100" w:afterAutospacing="1"/>
        <w:jc w:val="both"/>
      </w:pPr>
      <w:r>
        <w:t>Genomic surveillance developed independently in several sectors, each with its own institutional logic. Clinical and public health microbiology adopted sequencing for outbreak investigation and variant tracking. Veterinary and food safety systems adopted it for source attribution and trade assurance. Environmental microbiology adopted metagenomics for community-level description of resistance and pathogen occurrence. These trajectories produced different sampling frames, different metadata conventions and different reference databases, and the resulting datasets are not natively comparable even when they concern the same organism.</w:t>
      </w:r>
    </w:p>
    <w:p w14:paraId="132DC36D" w14:textId="77777777" w:rsidR="008064B9" w:rsidRDefault="00000000" w:rsidP="003A798E">
      <w:pPr>
        <w:spacing w:before="100" w:beforeAutospacing="1" w:after="100" w:afterAutospacing="1"/>
        <w:jc w:val="both"/>
      </w:pPr>
      <w:r>
        <w:t xml:space="preserve">The One Health framing asserts that this separation is analytically costly. The strongest support for that assertion comes from studies in which cross-sector sampling reveals structure that single-sector sampling would misrepresent. Multi-host genomic epidemiology of </w:t>
      </w:r>
      <w:r>
        <w:rPr>
          <w:i/>
          <w:iCs/>
        </w:rPr>
        <w:t>A. baumannii</w:t>
      </w:r>
      <w:r>
        <w:t xml:space="preserve"> identified lineages distributed across human, animal and environmental sources, indicating that the clinical population is not closed (Aguilar-Vera et al., 2026). One Health genomics of </w:t>
      </w:r>
      <w:r>
        <w:rPr>
          <w:i/>
          <w:iCs/>
        </w:rPr>
        <w:t>Salmonella</w:t>
      </w:r>
      <w:r>
        <w:t xml:space="preserve"> Enteritidis demonstrated niche-specific lineage replacement, a dynamic that requires observations from more than one reservoir to detect (Zhou et al., 2026). Metagenomic surveillance in a veterinary referral centre identified resistance determinants and their genomic contexts in a setting that human-focused surveillance does not sample (Elton et al., 2025), and hybridisation capture applied to bovine respiratory disease improved detection of both pathogens and resistance genes in an agricultural reservoir of direct relevance to human medicine (Russell et al., 2025). National programmes have begun to formalise the integration, with a coordinated United Kingdom initiative linking human, animal, plant, aquatic and environmental sequencing capability under shared governance (Gupta et al., 2025).</w:t>
      </w:r>
    </w:p>
    <w:p w14:paraId="5DAEEE75" w14:textId="77777777" w:rsidR="008064B9" w:rsidRDefault="00000000" w:rsidP="003A798E">
      <w:pPr>
        <w:spacing w:before="100" w:beforeAutospacing="1" w:after="100" w:afterAutospacing="1"/>
        <w:jc w:val="both"/>
      </w:pPr>
      <w:r>
        <w:lastRenderedPageBreak/>
        <w:t>The emergence of highly pathogenic avian influenza A(H5N1) in United States dairy cattle provides the clearest recent demonstration of why sectoral separation is inadequate. Genomic reconstruction established a single introduction from wild birds followed by interstate spread through cattle movement, with onward transmission to other mammals and to humans (Nguyen et al., 2025). The epidemiological signal was interpretable only because avian, bovine and human sequences could be analysed within one phylogenetic framework. The same event also illustrates the limits of integration in practice, since detection depended on the animal health sector generating and sharing sequence at a tempo that agricultural surveillance systems are not generally configured to sustain.</w:t>
      </w:r>
    </w:p>
    <w:p w14:paraId="1AFEF1BF" w14:textId="77777777" w:rsidR="008064B9" w:rsidRDefault="00000000" w:rsidP="003A798E">
      <w:pPr>
        <w:pStyle w:val="Heading3"/>
        <w:spacing w:before="100" w:beforeAutospacing="1" w:after="100" w:afterAutospacing="1"/>
      </w:pPr>
      <w:r>
        <w:t>3.2 What the concept of a single genome can and cannot support</w:t>
      </w:r>
    </w:p>
    <w:p w14:paraId="418CEDCD" w14:textId="77777777" w:rsidR="008064B9" w:rsidRDefault="00000000" w:rsidP="003A798E">
      <w:pPr>
        <w:spacing w:before="100" w:beforeAutospacing="1" w:after="100" w:afterAutospacing="1"/>
        <w:jc w:val="both"/>
      </w:pPr>
      <w:r>
        <w:t>The phrase that gives this review its title functions as a conceptual claim, and it is worth stating precisely what it can support. It is defensible as a statement about biological continuity: mobile genetic elements, resistance determinants and viral lineages move between sectors, so the microbial gene pool is genuinely shared. It is also defensible as a statement about data architecture: analytical value increases when sequences from different sectors are placed in a common reference framework with harmonised metadata. It is not defensible as a claim that a single dataset can answer all sectoral questions, nor that observations from one sector can substitute for sampling in another.</w:t>
      </w:r>
    </w:p>
    <w:p w14:paraId="568B9AE7" w14:textId="77777777" w:rsidR="008064B9" w:rsidRDefault="00000000" w:rsidP="003A798E">
      <w:pPr>
        <w:spacing w:before="100" w:beforeAutospacing="1" w:after="100" w:afterAutospacing="1"/>
        <w:jc w:val="both"/>
      </w:pPr>
      <w:r>
        <w:t>The distinction matters because several methodological claims in this field depend implicitly on the stronger reading. Models that infer human infection risk from viral genome composition assume that the training data represent the diversity of viruses circulating in animal reservoirs, when in fact those data reflect where virological effort has been concentrated. Resistance models trained predominantly on clinical isolates are applied to environmental metagenomes in which the genomic context, host background and selective regime differ. Where the stronger reading is adopted implicitly, apparent generalisation is more likely to reflect shared sampling artefacts than shared biology.</w:t>
      </w:r>
    </w:p>
    <w:p w14:paraId="44C26A0F" w14:textId="77777777" w:rsidR="008064B9" w:rsidRDefault="00000000" w:rsidP="003A798E">
      <w:pPr>
        <w:spacing w:before="100" w:beforeAutospacing="1" w:after="100" w:afterAutospacing="1"/>
        <w:jc w:val="both"/>
      </w:pPr>
      <w:r>
        <w:t>Terminology also requires discipline. Genomic surveillance, genomic epidemiology, pathogen genomics and genomic intelligence are frequently used interchangeably despite denoting different activities with different evidentiary requirements. Similarly, artificial intelligence is used to cover supervised classifiers trained on curated reference data, unsupervised representation learning, phylogenetic inference automated by rule-based software, and generative sequence models, which differ substantially in their assumptions and failure modes. Table 1 sets out the distinctions used throughout this review, since imprecision at this level propagates into overstated claims about what has been demonstrated. The distinctions are consequential rather than semantic. Automated clade assignment is a classification task against a curated reference and its errors are auditable against that reference; prospective spillover risk estimation is an extrapolation beyond the observed data and its errors are, in the absence of prospective validation, essentially unmeasurable. Treating both as instances of artificial intelligence applied to genomic surveillance obscures a difference in evidentiary status of several orders of magnitude.</w:t>
      </w:r>
    </w:p>
    <w:p w14:paraId="716B88A1" w14:textId="77777777" w:rsidR="008064B9" w:rsidRDefault="00000000" w:rsidP="003A798E">
      <w:pPr>
        <w:spacing w:before="100" w:beforeAutospacing="1" w:after="100" w:afterAutospacing="1"/>
      </w:pPr>
      <w:r>
        <w:rPr>
          <w:b/>
          <w:bCs/>
          <w:sz w:val="21"/>
          <w:szCs w:val="21"/>
        </w:rPr>
        <w:t xml:space="preserve">Table 1. </w:t>
      </w:r>
      <w:r>
        <w:rPr>
          <w:sz w:val="21"/>
          <w:szCs w:val="21"/>
        </w:rPr>
        <w:t>Conceptual and methodological distinctions used in this review, with the analytical task and evidentiary requirement associated with each</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22654389" w14:textId="77777777">
        <w:trPr>
          <w:tblHeader/>
        </w:trPr>
        <w:tc>
          <w:tcPr>
            <w:tcW w:w="1872" w:type="dxa"/>
            <w:shd w:val="clear" w:color="auto" w:fill="E8E8E8"/>
            <w:tcMar>
              <w:top w:w="60" w:type="dxa"/>
              <w:left w:w="90" w:type="dxa"/>
              <w:bottom w:w="60" w:type="dxa"/>
              <w:right w:w="90" w:type="dxa"/>
            </w:tcMar>
          </w:tcPr>
          <w:p w14:paraId="456577C2" w14:textId="77777777" w:rsidR="008064B9" w:rsidRDefault="00000000" w:rsidP="003A798E">
            <w:pPr>
              <w:spacing w:before="100" w:beforeAutospacing="1" w:after="100" w:afterAutospacing="1"/>
            </w:pPr>
            <w:r>
              <w:rPr>
                <w:b/>
                <w:bCs/>
                <w:sz w:val="19"/>
                <w:szCs w:val="19"/>
              </w:rPr>
              <w:t>Term as used here</w:t>
            </w:r>
          </w:p>
        </w:tc>
        <w:tc>
          <w:tcPr>
            <w:tcW w:w="1872" w:type="dxa"/>
            <w:shd w:val="clear" w:color="auto" w:fill="E8E8E8"/>
            <w:tcMar>
              <w:top w:w="60" w:type="dxa"/>
              <w:left w:w="90" w:type="dxa"/>
              <w:bottom w:w="60" w:type="dxa"/>
              <w:right w:w="90" w:type="dxa"/>
            </w:tcMar>
          </w:tcPr>
          <w:p w14:paraId="60B01D46" w14:textId="77777777" w:rsidR="008064B9" w:rsidRDefault="00000000" w:rsidP="003A798E">
            <w:pPr>
              <w:spacing w:before="100" w:beforeAutospacing="1" w:after="100" w:afterAutospacing="1"/>
            </w:pPr>
            <w:r>
              <w:rPr>
                <w:b/>
                <w:bCs/>
                <w:sz w:val="19"/>
                <w:szCs w:val="19"/>
              </w:rPr>
              <w:t>Analytical task</w:t>
            </w:r>
          </w:p>
        </w:tc>
        <w:tc>
          <w:tcPr>
            <w:tcW w:w="1872" w:type="dxa"/>
            <w:shd w:val="clear" w:color="auto" w:fill="E8E8E8"/>
            <w:tcMar>
              <w:top w:w="60" w:type="dxa"/>
              <w:left w:w="90" w:type="dxa"/>
              <w:bottom w:w="60" w:type="dxa"/>
              <w:right w:w="90" w:type="dxa"/>
            </w:tcMar>
          </w:tcPr>
          <w:p w14:paraId="5F5FF16D" w14:textId="77777777" w:rsidR="008064B9" w:rsidRDefault="00000000" w:rsidP="003A798E">
            <w:pPr>
              <w:spacing w:before="100" w:beforeAutospacing="1" w:after="100" w:afterAutospacing="1"/>
            </w:pPr>
            <w:r>
              <w:rPr>
                <w:b/>
                <w:bCs/>
                <w:sz w:val="19"/>
                <w:szCs w:val="19"/>
              </w:rPr>
              <w:t>Principal data requirement</w:t>
            </w:r>
          </w:p>
        </w:tc>
        <w:tc>
          <w:tcPr>
            <w:tcW w:w="1872" w:type="dxa"/>
            <w:shd w:val="clear" w:color="auto" w:fill="E8E8E8"/>
            <w:tcMar>
              <w:top w:w="60" w:type="dxa"/>
              <w:left w:w="90" w:type="dxa"/>
              <w:bottom w:w="60" w:type="dxa"/>
              <w:right w:w="90" w:type="dxa"/>
            </w:tcMar>
          </w:tcPr>
          <w:p w14:paraId="7EBDCB1E" w14:textId="77777777" w:rsidR="008064B9" w:rsidRDefault="00000000" w:rsidP="003A798E">
            <w:pPr>
              <w:spacing w:before="100" w:beforeAutospacing="1" w:after="100" w:afterAutospacing="1"/>
            </w:pPr>
            <w:r>
              <w:rPr>
                <w:b/>
                <w:bCs/>
                <w:sz w:val="19"/>
                <w:szCs w:val="19"/>
              </w:rPr>
              <w:t>What adequate evidence would look like</w:t>
            </w:r>
          </w:p>
        </w:tc>
        <w:tc>
          <w:tcPr>
            <w:tcW w:w="1872" w:type="dxa"/>
            <w:shd w:val="clear" w:color="auto" w:fill="E8E8E8"/>
            <w:tcMar>
              <w:top w:w="60" w:type="dxa"/>
              <w:left w:w="90" w:type="dxa"/>
              <w:bottom w:w="60" w:type="dxa"/>
              <w:right w:w="90" w:type="dxa"/>
            </w:tcMar>
          </w:tcPr>
          <w:p w14:paraId="52264D03" w14:textId="77777777" w:rsidR="008064B9" w:rsidRDefault="00000000" w:rsidP="003A798E">
            <w:pPr>
              <w:spacing w:before="100" w:beforeAutospacing="1" w:after="100" w:afterAutospacing="1"/>
            </w:pPr>
            <w:r>
              <w:rPr>
                <w:b/>
                <w:bCs/>
                <w:sz w:val="19"/>
                <w:szCs w:val="19"/>
              </w:rPr>
              <w:t>Supporting references</w:t>
            </w:r>
          </w:p>
        </w:tc>
      </w:tr>
      <w:tr w:rsidR="008064B9" w14:paraId="6A964E8C" w14:textId="77777777">
        <w:tc>
          <w:tcPr>
            <w:tcW w:w="1872" w:type="dxa"/>
            <w:tcMar>
              <w:top w:w="60" w:type="dxa"/>
              <w:left w:w="90" w:type="dxa"/>
              <w:bottom w:w="60" w:type="dxa"/>
              <w:right w:w="90" w:type="dxa"/>
            </w:tcMar>
          </w:tcPr>
          <w:p w14:paraId="21DC9146" w14:textId="77777777" w:rsidR="008064B9" w:rsidRDefault="00000000" w:rsidP="003A798E">
            <w:pPr>
              <w:spacing w:before="100" w:beforeAutospacing="1" w:after="100" w:afterAutospacing="1"/>
            </w:pPr>
            <w:r>
              <w:rPr>
                <w:sz w:val="19"/>
                <w:szCs w:val="19"/>
              </w:rPr>
              <w:t>Pathogen genomics</w:t>
            </w:r>
          </w:p>
        </w:tc>
        <w:tc>
          <w:tcPr>
            <w:tcW w:w="1872" w:type="dxa"/>
            <w:tcMar>
              <w:top w:w="60" w:type="dxa"/>
              <w:left w:w="90" w:type="dxa"/>
              <w:bottom w:w="60" w:type="dxa"/>
              <w:right w:w="90" w:type="dxa"/>
            </w:tcMar>
          </w:tcPr>
          <w:p w14:paraId="25BDEE3E" w14:textId="77777777" w:rsidR="008064B9" w:rsidRDefault="00000000" w:rsidP="003A798E">
            <w:pPr>
              <w:spacing w:before="100" w:beforeAutospacing="1" w:after="100" w:afterAutospacing="1"/>
            </w:pPr>
            <w:r>
              <w:rPr>
                <w:sz w:val="19"/>
                <w:szCs w:val="19"/>
              </w:rPr>
              <w:t>Generation and characterisation of pathogen sequence</w:t>
            </w:r>
          </w:p>
        </w:tc>
        <w:tc>
          <w:tcPr>
            <w:tcW w:w="1872" w:type="dxa"/>
            <w:tcMar>
              <w:top w:w="60" w:type="dxa"/>
              <w:left w:w="90" w:type="dxa"/>
              <w:bottom w:w="60" w:type="dxa"/>
              <w:right w:w="90" w:type="dxa"/>
            </w:tcMar>
          </w:tcPr>
          <w:p w14:paraId="026982C4" w14:textId="77777777" w:rsidR="008064B9" w:rsidRDefault="00000000" w:rsidP="003A798E">
            <w:pPr>
              <w:spacing w:before="100" w:beforeAutospacing="1" w:after="100" w:afterAutospacing="1"/>
            </w:pPr>
            <w:r>
              <w:rPr>
                <w:sz w:val="19"/>
                <w:szCs w:val="19"/>
              </w:rPr>
              <w:t>Isolate or matrix sampling; adequate sequencing depth</w:t>
            </w:r>
          </w:p>
        </w:tc>
        <w:tc>
          <w:tcPr>
            <w:tcW w:w="1872" w:type="dxa"/>
            <w:tcMar>
              <w:top w:w="60" w:type="dxa"/>
              <w:left w:w="90" w:type="dxa"/>
              <w:bottom w:w="60" w:type="dxa"/>
              <w:right w:w="90" w:type="dxa"/>
            </w:tcMar>
          </w:tcPr>
          <w:p w14:paraId="24CA3C32" w14:textId="77777777" w:rsidR="008064B9" w:rsidRDefault="00000000" w:rsidP="003A798E">
            <w:pPr>
              <w:spacing w:before="100" w:beforeAutospacing="1" w:after="100" w:afterAutospacing="1"/>
            </w:pPr>
            <w:r>
              <w:rPr>
                <w:sz w:val="19"/>
                <w:szCs w:val="19"/>
              </w:rPr>
              <w:t>Demonstrated sequence quality and reproducibility across laboratories</w:t>
            </w:r>
          </w:p>
        </w:tc>
        <w:tc>
          <w:tcPr>
            <w:tcW w:w="1872" w:type="dxa"/>
            <w:tcMar>
              <w:top w:w="60" w:type="dxa"/>
              <w:left w:w="90" w:type="dxa"/>
              <w:bottom w:w="60" w:type="dxa"/>
              <w:right w:w="90" w:type="dxa"/>
            </w:tcMar>
          </w:tcPr>
          <w:p w14:paraId="7D741D55" w14:textId="77777777" w:rsidR="008064B9" w:rsidRDefault="00000000" w:rsidP="003A798E">
            <w:pPr>
              <w:spacing w:before="100" w:beforeAutospacing="1" w:after="100" w:afterAutospacing="1"/>
            </w:pPr>
            <w:r>
              <w:rPr>
                <w:sz w:val="19"/>
                <w:szCs w:val="19"/>
              </w:rPr>
              <w:t>Quick et al. (2016); Wagner et al. (2023)</w:t>
            </w:r>
          </w:p>
        </w:tc>
      </w:tr>
      <w:tr w:rsidR="008064B9" w14:paraId="2682C1C0" w14:textId="77777777">
        <w:tc>
          <w:tcPr>
            <w:tcW w:w="1872" w:type="dxa"/>
            <w:tcMar>
              <w:top w:w="60" w:type="dxa"/>
              <w:left w:w="90" w:type="dxa"/>
              <w:bottom w:w="60" w:type="dxa"/>
              <w:right w:w="90" w:type="dxa"/>
            </w:tcMar>
          </w:tcPr>
          <w:p w14:paraId="235036B0" w14:textId="77777777" w:rsidR="008064B9" w:rsidRDefault="00000000" w:rsidP="003A798E">
            <w:pPr>
              <w:spacing w:before="100" w:beforeAutospacing="1" w:after="100" w:afterAutospacing="1"/>
            </w:pPr>
            <w:r>
              <w:rPr>
                <w:sz w:val="19"/>
                <w:szCs w:val="19"/>
              </w:rPr>
              <w:t>Genomic epidemiology</w:t>
            </w:r>
          </w:p>
        </w:tc>
        <w:tc>
          <w:tcPr>
            <w:tcW w:w="1872" w:type="dxa"/>
            <w:tcMar>
              <w:top w:w="60" w:type="dxa"/>
              <w:left w:w="90" w:type="dxa"/>
              <w:bottom w:w="60" w:type="dxa"/>
              <w:right w:w="90" w:type="dxa"/>
            </w:tcMar>
          </w:tcPr>
          <w:p w14:paraId="574ED202" w14:textId="77777777" w:rsidR="008064B9" w:rsidRDefault="00000000" w:rsidP="003A798E">
            <w:pPr>
              <w:spacing w:before="100" w:beforeAutospacing="1" w:after="100" w:afterAutospacing="1"/>
            </w:pPr>
            <w:r>
              <w:rPr>
                <w:sz w:val="19"/>
                <w:szCs w:val="19"/>
              </w:rPr>
              <w:t xml:space="preserve">Inference of transmission and evolutionary history </w:t>
            </w:r>
            <w:r>
              <w:rPr>
                <w:sz w:val="19"/>
                <w:szCs w:val="19"/>
              </w:rPr>
              <w:lastRenderedPageBreak/>
              <w:t>from sequence plus epidemiological data</w:t>
            </w:r>
          </w:p>
        </w:tc>
        <w:tc>
          <w:tcPr>
            <w:tcW w:w="1872" w:type="dxa"/>
            <w:tcMar>
              <w:top w:w="60" w:type="dxa"/>
              <w:left w:w="90" w:type="dxa"/>
              <w:bottom w:w="60" w:type="dxa"/>
              <w:right w:w="90" w:type="dxa"/>
            </w:tcMar>
          </w:tcPr>
          <w:p w14:paraId="05DB68ED" w14:textId="77777777" w:rsidR="008064B9" w:rsidRDefault="00000000" w:rsidP="003A798E">
            <w:pPr>
              <w:spacing w:before="100" w:beforeAutospacing="1" w:after="100" w:afterAutospacing="1"/>
            </w:pPr>
            <w:r>
              <w:rPr>
                <w:sz w:val="19"/>
                <w:szCs w:val="19"/>
              </w:rPr>
              <w:lastRenderedPageBreak/>
              <w:t>Linked sequence and contextual metadata</w:t>
            </w:r>
          </w:p>
        </w:tc>
        <w:tc>
          <w:tcPr>
            <w:tcW w:w="1872" w:type="dxa"/>
            <w:tcMar>
              <w:top w:w="60" w:type="dxa"/>
              <w:left w:w="90" w:type="dxa"/>
              <w:bottom w:w="60" w:type="dxa"/>
              <w:right w:w="90" w:type="dxa"/>
            </w:tcMar>
          </w:tcPr>
          <w:p w14:paraId="4D55098A" w14:textId="77777777" w:rsidR="008064B9" w:rsidRDefault="00000000" w:rsidP="003A798E">
            <w:pPr>
              <w:spacing w:before="100" w:beforeAutospacing="1" w:after="100" w:afterAutospacing="1"/>
            </w:pPr>
            <w:r>
              <w:rPr>
                <w:sz w:val="19"/>
                <w:szCs w:val="19"/>
              </w:rPr>
              <w:t xml:space="preserve">Concordance of genomic inference with independent </w:t>
            </w:r>
            <w:r>
              <w:rPr>
                <w:sz w:val="19"/>
                <w:szCs w:val="19"/>
              </w:rPr>
              <w:lastRenderedPageBreak/>
              <w:t>epidemiological evidence</w:t>
            </w:r>
          </w:p>
        </w:tc>
        <w:tc>
          <w:tcPr>
            <w:tcW w:w="1872" w:type="dxa"/>
            <w:tcMar>
              <w:top w:w="60" w:type="dxa"/>
              <w:left w:w="90" w:type="dxa"/>
              <w:bottom w:w="60" w:type="dxa"/>
              <w:right w:w="90" w:type="dxa"/>
            </w:tcMar>
          </w:tcPr>
          <w:p w14:paraId="525BCAE0" w14:textId="77777777" w:rsidR="008064B9" w:rsidRDefault="00000000" w:rsidP="003A798E">
            <w:pPr>
              <w:spacing w:before="100" w:beforeAutospacing="1" w:after="100" w:afterAutospacing="1"/>
            </w:pPr>
            <w:r>
              <w:rPr>
                <w:sz w:val="19"/>
                <w:szCs w:val="19"/>
              </w:rPr>
              <w:lastRenderedPageBreak/>
              <w:t>Grubaugh et al. (2019); Nguyen et al. (2025)</w:t>
            </w:r>
          </w:p>
        </w:tc>
      </w:tr>
      <w:tr w:rsidR="008064B9" w14:paraId="5C240809" w14:textId="77777777">
        <w:tc>
          <w:tcPr>
            <w:tcW w:w="1872" w:type="dxa"/>
            <w:tcMar>
              <w:top w:w="60" w:type="dxa"/>
              <w:left w:w="90" w:type="dxa"/>
              <w:bottom w:w="60" w:type="dxa"/>
              <w:right w:w="90" w:type="dxa"/>
            </w:tcMar>
          </w:tcPr>
          <w:p w14:paraId="014FBC71" w14:textId="77777777" w:rsidR="008064B9" w:rsidRDefault="00000000" w:rsidP="003A798E">
            <w:pPr>
              <w:spacing w:before="100" w:beforeAutospacing="1" w:after="100" w:afterAutospacing="1"/>
            </w:pPr>
            <w:r>
              <w:rPr>
                <w:sz w:val="19"/>
                <w:szCs w:val="19"/>
              </w:rPr>
              <w:t>Genomic surveillance</w:t>
            </w:r>
          </w:p>
        </w:tc>
        <w:tc>
          <w:tcPr>
            <w:tcW w:w="1872" w:type="dxa"/>
            <w:tcMar>
              <w:top w:w="60" w:type="dxa"/>
              <w:left w:w="90" w:type="dxa"/>
              <w:bottom w:w="60" w:type="dxa"/>
              <w:right w:w="90" w:type="dxa"/>
            </w:tcMar>
          </w:tcPr>
          <w:p w14:paraId="6AFCFEC9" w14:textId="77777777" w:rsidR="008064B9" w:rsidRDefault="00000000" w:rsidP="003A798E">
            <w:pPr>
              <w:spacing w:before="100" w:beforeAutospacing="1" w:after="100" w:afterAutospacing="1"/>
            </w:pPr>
            <w:r>
              <w:rPr>
                <w:sz w:val="19"/>
                <w:szCs w:val="19"/>
              </w:rPr>
              <w:t>Continuous, systematic sequence-based monitoring for public health action</w:t>
            </w:r>
          </w:p>
        </w:tc>
        <w:tc>
          <w:tcPr>
            <w:tcW w:w="1872" w:type="dxa"/>
            <w:tcMar>
              <w:top w:w="60" w:type="dxa"/>
              <w:left w:w="90" w:type="dxa"/>
              <w:bottom w:w="60" w:type="dxa"/>
              <w:right w:w="90" w:type="dxa"/>
            </w:tcMar>
          </w:tcPr>
          <w:p w14:paraId="06C746A8" w14:textId="77777777" w:rsidR="008064B9" w:rsidRDefault="00000000" w:rsidP="003A798E">
            <w:pPr>
              <w:spacing w:before="100" w:beforeAutospacing="1" w:after="100" w:afterAutospacing="1"/>
            </w:pPr>
            <w:r>
              <w:rPr>
                <w:sz w:val="19"/>
                <w:szCs w:val="19"/>
              </w:rPr>
              <w:t>Sustained representative sampling; defined reporting pathway</w:t>
            </w:r>
          </w:p>
        </w:tc>
        <w:tc>
          <w:tcPr>
            <w:tcW w:w="1872" w:type="dxa"/>
            <w:tcMar>
              <w:top w:w="60" w:type="dxa"/>
              <w:left w:w="90" w:type="dxa"/>
              <w:bottom w:w="60" w:type="dxa"/>
              <w:right w:w="90" w:type="dxa"/>
            </w:tcMar>
          </w:tcPr>
          <w:p w14:paraId="25EE4DC2" w14:textId="77777777" w:rsidR="008064B9" w:rsidRDefault="00000000" w:rsidP="003A798E">
            <w:pPr>
              <w:spacing w:before="100" w:beforeAutospacing="1" w:after="100" w:afterAutospacing="1"/>
            </w:pPr>
            <w:r>
              <w:rPr>
                <w:sz w:val="19"/>
                <w:szCs w:val="19"/>
              </w:rPr>
              <w:t>Documented timeliness and demonstrable influence on decisions</w:t>
            </w:r>
          </w:p>
        </w:tc>
        <w:tc>
          <w:tcPr>
            <w:tcW w:w="1872" w:type="dxa"/>
            <w:tcMar>
              <w:top w:w="60" w:type="dxa"/>
              <w:left w:w="90" w:type="dxa"/>
              <w:bottom w:w="60" w:type="dxa"/>
              <w:right w:w="90" w:type="dxa"/>
            </w:tcMar>
          </w:tcPr>
          <w:p w14:paraId="4229E431" w14:textId="77777777" w:rsidR="008064B9" w:rsidRDefault="00000000" w:rsidP="003A798E">
            <w:pPr>
              <w:spacing w:before="100" w:beforeAutospacing="1" w:after="100" w:afterAutospacing="1"/>
            </w:pPr>
            <w:r>
              <w:rPr>
                <w:sz w:val="19"/>
                <w:szCs w:val="19"/>
              </w:rPr>
              <w:t>World Health Organization (2022); Nghiem et al. (2025)</w:t>
            </w:r>
          </w:p>
        </w:tc>
      </w:tr>
      <w:tr w:rsidR="008064B9" w14:paraId="624B944C" w14:textId="77777777">
        <w:tc>
          <w:tcPr>
            <w:tcW w:w="1872" w:type="dxa"/>
            <w:tcMar>
              <w:top w:w="60" w:type="dxa"/>
              <w:left w:w="90" w:type="dxa"/>
              <w:bottom w:w="60" w:type="dxa"/>
              <w:right w:w="90" w:type="dxa"/>
            </w:tcMar>
          </w:tcPr>
          <w:p w14:paraId="6D55321C" w14:textId="77777777" w:rsidR="008064B9" w:rsidRDefault="00000000" w:rsidP="003A798E">
            <w:pPr>
              <w:spacing w:before="100" w:beforeAutospacing="1" w:after="100" w:afterAutospacing="1"/>
            </w:pPr>
            <w:r>
              <w:rPr>
                <w:sz w:val="19"/>
                <w:szCs w:val="19"/>
              </w:rPr>
              <w:t>One Health genomic surveillance</w:t>
            </w:r>
          </w:p>
        </w:tc>
        <w:tc>
          <w:tcPr>
            <w:tcW w:w="1872" w:type="dxa"/>
            <w:tcMar>
              <w:top w:w="60" w:type="dxa"/>
              <w:left w:w="90" w:type="dxa"/>
              <w:bottom w:w="60" w:type="dxa"/>
              <w:right w:w="90" w:type="dxa"/>
            </w:tcMar>
          </w:tcPr>
          <w:p w14:paraId="78704B23" w14:textId="77777777" w:rsidR="008064B9" w:rsidRDefault="00000000" w:rsidP="003A798E">
            <w:pPr>
              <w:spacing w:before="100" w:beforeAutospacing="1" w:after="100" w:afterAutospacing="1"/>
            </w:pPr>
            <w:r>
              <w:rPr>
                <w:sz w:val="19"/>
                <w:szCs w:val="19"/>
              </w:rPr>
              <w:t>Integrated monitoring across human, animal, food and environmental sectors</w:t>
            </w:r>
          </w:p>
        </w:tc>
        <w:tc>
          <w:tcPr>
            <w:tcW w:w="1872" w:type="dxa"/>
            <w:tcMar>
              <w:top w:w="60" w:type="dxa"/>
              <w:left w:w="90" w:type="dxa"/>
              <w:bottom w:w="60" w:type="dxa"/>
              <w:right w:w="90" w:type="dxa"/>
            </w:tcMar>
          </w:tcPr>
          <w:p w14:paraId="06FF7E5F" w14:textId="77777777" w:rsidR="008064B9" w:rsidRDefault="00000000" w:rsidP="003A798E">
            <w:pPr>
              <w:spacing w:before="100" w:beforeAutospacing="1" w:after="100" w:afterAutospacing="1"/>
            </w:pPr>
            <w:r>
              <w:rPr>
                <w:sz w:val="19"/>
                <w:szCs w:val="19"/>
              </w:rPr>
              <w:t>Cross-sector sampling under shared metadata standards</w:t>
            </w:r>
          </w:p>
        </w:tc>
        <w:tc>
          <w:tcPr>
            <w:tcW w:w="1872" w:type="dxa"/>
            <w:tcMar>
              <w:top w:w="60" w:type="dxa"/>
              <w:left w:w="90" w:type="dxa"/>
              <w:bottom w:w="60" w:type="dxa"/>
              <w:right w:w="90" w:type="dxa"/>
            </w:tcMar>
          </w:tcPr>
          <w:p w14:paraId="129FB158" w14:textId="77777777" w:rsidR="008064B9" w:rsidRDefault="00000000" w:rsidP="003A798E">
            <w:pPr>
              <w:spacing w:before="100" w:beforeAutospacing="1" w:after="100" w:afterAutospacing="1"/>
            </w:pPr>
            <w:r>
              <w:rPr>
                <w:sz w:val="19"/>
                <w:szCs w:val="19"/>
              </w:rPr>
              <w:t>Detection of cross-sector transmission not visible to single-sector sampling</w:t>
            </w:r>
          </w:p>
        </w:tc>
        <w:tc>
          <w:tcPr>
            <w:tcW w:w="1872" w:type="dxa"/>
            <w:tcMar>
              <w:top w:w="60" w:type="dxa"/>
              <w:left w:w="90" w:type="dxa"/>
              <w:bottom w:w="60" w:type="dxa"/>
              <w:right w:w="90" w:type="dxa"/>
            </w:tcMar>
          </w:tcPr>
          <w:p w14:paraId="1363449A" w14:textId="77777777" w:rsidR="008064B9" w:rsidRDefault="00000000" w:rsidP="003A798E">
            <w:pPr>
              <w:spacing w:before="100" w:beforeAutospacing="1" w:after="100" w:afterAutospacing="1"/>
            </w:pPr>
            <w:r>
              <w:rPr>
                <w:sz w:val="19"/>
                <w:szCs w:val="19"/>
              </w:rPr>
              <w:t>Aguilar-Vera et al. (2026); Gupta et al. (2025); Zhou et al. (2026)</w:t>
            </w:r>
          </w:p>
        </w:tc>
      </w:tr>
      <w:tr w:rsidR="008064B9" w14:paraId="677F0912" w14:textId="77777777">
        <w:tc>
          <w:tcPr>
            <w:tcW w:w="1872" w:type="dxa"/>
            <w:tcMar>
              <w:top w:w="60" w:type="dxa"/>
              <w:left w:w="90" w:type="dxa"/>
              <w:bottom w:w="60" w:type="dxa"/>
              <w:right w:w="90" w:type="dxa"/>
            </w:tcMar>
          </w:tcPr>
          <w:p w14:paraId="088504F9" w14:textId="77777777" w:rsidR="008064B9" w:rsidRDefault="00000000" w:rsidP="003A798E">
            <w:pPr>
              <w:spacing w:before="100" w:beforeAutospacing="1" w:after="100" w:afterAutospacing="1"/>
            </w:pPr>
            <w:r>
              <w:rPr>
                <w:sz w:val="19"/>
                <w:szCs w:val="19"/>
              </w:rPr>
              <w:t>Rule-based genomic classification</w:t>
            </w:r>
          </w:p>
        </w:tc>
        <w:tc>
          <w:tcPr>
            <w:tcW w:w="1872" w:type="dxa"/>
            <w:tcMar>
              <w:top w:w="60" w:type="dxa"/>
              <w:left w:w="90" w:type="dxa"/>
              <w:bottom w:w="60" w:type="dxa"/>
              <w:right w:w="90" w:type="dxa"/>
            </w:tcMar>
          </w:tcPr>
          <w:p w14:paraId="721C845E" w14:textId="77777777" w:rsidR="008064B9" w:rsidRDefault="00000000" w:rsidP="003A798E">
            <w:pPr>
              <w:spacing w:before="100" w:beforeAutospacing="1" w:after="100" w:afterAutospacing="1"/>
            </w:pPr>
            <w:r>
              <w:rPr>
                <w:sz w:val="19"/>
                <w:szCs w:val="19"/>
              </w:rPr>
              <w:t>Assignment of sequences to defined lineages or clades</w:t>
            </w:r>
          </w:p>
        </w:tc>
        <w:tc>
          <w:tcPr>
            <w:tcW w:w="1872" w:type="dxa"/>
            <w:tcMar>
              <w:top w:w="60" w:type="dxa"/>
              <w:left w:w="90" w:type="dxa"/>
              <w:bottom w:w="60" w:type="dxa"/>
              <w:right w:w="90" w:type="dxa"/>
            </w:tcMar>
          </w:tcPr>
          <w:p w14:paraId="4B0F0807" w14:textId="77777777" w:rsidR="008064B9" w:rsidRDefault="00000000" w:rsidP="003A798E">
            <w:pPr>
              <w:spacing w:before="100" w:beforeAutospacing="1" w:after="100" w:afterAutospacing="1"/>
            </w:pPr>
            <w:r>
              <w:rPr>
                <w:sz w:val="19"/>
                <w:szCs w:val="19"/>
              </w:rPr>
              <w:t>Curated, versioned reference dataset</w:t>
            </w:r>
          </w:p>
        </w:tc>
        <w:tc>
          <w:tcPr>
            <w:tcW w:w="1872" w:type="dxa"/>
            <w:tcMar>
              <w:top w:w="60" w:type="dxa"/>
              <w:left w:w="90" w:type="dxa"/>
              <w:bottom w:w="60" w:type="dxa"/>
              <w:right w:w="90" w:type="dxa"/>
            </w:tcMar>
          </w:tcPr>
          <w:p w14:paraId="1AB3D461" w14:textId="77777777" w:rsidR="008064B9" w:rsidRDefault="00000000" w:rsidP="003A798E">
            <w:pPr>
              <w:spacing w:before="100" w:beforeAutospacing="1" w:after="100" w:afterAutospacing="1"/>
            </w:pPr>
            <w:r>
              <w:rPr>
                <w:sz w:val="19"/>
                <w:szCs w:val="19"/>
              </w:rPr>
              <w:t>Concordance with expert curation; auditable versioning</w:t>
            </w:r>
          </w:p>
        </w:tc>
        <w:tc>
          <w:tcPr>
            <w:tcW w:w="1872" w:type="dxa"/>
            <w:tcMar>
              <w:top w:w="60" w:type="dxa"/>
              <w:left w:w="90" w:type="dxa"/>
              <w:bottom w:w="60" w:type="dxa"/>
              <w:right w:w="90" w:type="dxa"/>
            </w:tcMar>
          </w:tcPr>
          <w:p w14:paraId="7FE74CEC" w14:textId="77777777" w:rsidR="008064B9" w:rsidRDefault="00000000" w:rsidP="003A798E">
            <w:pPr>
              <w:spacing w:before="100" w:beforeAutospacing="1" w:after="100" w:afterAutospacing="1"/>
            </w:pPr>
            <w:r>
              <w:rPr>
                <w:sz w:val="19"/>
                <w:szCs w:val="19"/>
              </w:rPr>
              <w:t>Aksamentov et al. (2021); Rambaut et al. (2020)</w:t>
            </w:r>
          </w:p>
        </w:tc>
      </w:tr>
      <w:tr w:rsidR="008064B9" w14:paraId="72C252C9" w14:textId="77777777">
        <w:tc>
          <w:tcPr>
            <w:tcW w:w="1872" w:type="dxa"/>
            <w:tcMar>
              <w:top w:w="60" w:type="dxa"/>
              <w:left w:w="90" w:type="dxa"/>
              <w:bottom w:w="60" w:type="dxa"/>
              <w:right w:w="90" w:type="dxa"/>
            </w:tcMar>
          </w:tcPr>
          <w:p w14:paraId="0F8BE3D0" w14:textId="77777777" w:rsidR="008064B9" w:rsidRDefault="00000000" w:rsidP="003A798E">
            <w:pPr>
              <w:spacing w:before="100" w:beforeAutospacing="1" w:after="100" w:afterAutospacing="1"/>
            </w:pPr>
            <w:r>
              <w:rPr>
                <w:sz w:val="19"/>
                <w:szCs w:val="19"/>
              </w:rPr>
              <w:t>Supervised machine learning</w:t>
            </w:r>
          </w:p>
        </w:tc>
        <w:tc>
          <w:tcPr>
            <w:tcW w:w="1872" w:type="dxa"/>
            <w:tcMar>
              <w:top w:w="60" w:type="dxa"/>
              <w:left w:w="90" w:type="dxa"/>
              <w:bottom w:w="60" w:type="dxa"/>
              <w:right w:w="90" w:type="dxa"/>
            </w:tcMar>
          </w:tcPr>
          <w:p w14:paraId="04AF681A" w14:textId="77777777" w:rsidR="008064B9" w:rsidRDefault="00000000" w:rsidP="003A798E">
            <w:pPr>
              <w:spacing w:before="100" w:beforeAutospacing="1" w:after="100" w:afterAutospacing="1"/>
            </w:pPr>
            <w:r>
              <w:rPr>
                <w:sz w:val="19"/>
                <w:szCs w:val="19"/>
              </w:rPr>
              <w:t>Prediction of a labelled outcome from sequence-derived features</w:t>
            </w:r>
          </w:p>
        </w:tc>
        <w:tc>
          <w:tcPr>
            <w:tcW w:w="1872" w:type="dxa"/>
            <w:tcMar>
              <w:top w:w="60" w:type="dxa"/>
              <w:left w:w="90" w:type="dxa"/>
              <w:bottom w:w="60" w:type="dxa"/>
              <w:right w:w="90" w:type="dxa"/>
            </w:tcMar>
          </w:tcPr>
          <w:p w14:paraId="58395023" w14:textId="77777777" w:rsidR="008064B9" w:rsidRDefault="00000000" w:rsidP="003A798E">
            <w:pPr>
              <w:spacing w:before="100" w:beforeAutospacing="1" w:after="100" w:afterAutospacing="1"/>
            </w:pPr>
            <w:r>
              <w:rPr>
                <w:sz w:val="19"/>
                <w:szCs w:val="19"/>
              </w:rPr>
              <w:t>Labelled training data representative of deployment conditions</w:t>
            </w:r>
          </w:p>
        </w:tc>
        <w:tc>
          <w:tcPr>
            <w:tcW w:w="1872" w:type="dxa"/>
            <w:tcMar>
              <w:top w:w="60" w:type="dxa"/>
              <w:left w:w="90" w:type="dxa"/>
              <w:bottom w:w="60" w:type="dxa"/>
              <w:right w:w="90" w:type="dxa"/>
            </w:tcMar>
          </w:tcPr>
          <w:p w14:paraId="29C42C60" w14:textId="77777777" w:rsidR="008064B9" w:rsidRDefault="00000000" w:rsidP="003A798E">
            <w:pPr>
              <w:spacing w:before="100" w:beforeAutospacing="1" w:after="100" w:afterAutospacing="1"/>
            </w:pPr>
            <w:r>
              <w:rPr>
                <w:sz w:val="19"/>
                <w:szCs w:val="19"/>
              </w:rPr>
              <w:t>External validation on data withheld by phylogeny or geography</w:t>
            </w:r>
          </w:p>
        </w:tc>
        <w:tc>
          <w:tcPr>
            <w:tcW w:w="1872" w:type="dxa"/>
            <w:tcMar>
              <w:top w:w="60" w:type="dxa"/>
              <w:left w:w="90" w:type="dxa"/>
              <w:bottom w:w="60" w:type="dxa"/>
              <w:right w:w="90" w:type="dxa"/>
            </w:tcMar>
          </w:tcPr>
          <w:p w14:paraId="65E73AA9" w14:textId="77777777" w:rsidR="008064B9" w:rsidRDefault="00000000" w:rsidP="003A798E">
            <w:pPr>
              <w:spacing w:before="100" w:beforeAutospacing="1" w:after="100" w:afterAutospacing="1"/>
            </w:pPr>
            <w:r>
              <w:rPr>
                <w:sz w:val="19"/>
                <w:szCs w:val="19"/>
              </w:rPr>
              <w:t>Jia et al. (2026); Mediouni et al. (2025)</w:t>
            </w:r>
          </w:p>
        </w:tc>
      </w:tr>
      <w:tr w:rsidR="008064B9" w14:paraId="6120B4C9" w14:textId="77777777">
        <w:tc>
          <w:tcPr>
            <w:tcW w:w="1872" w:type="dxa"/>
            <w:tcMar>
              <w:top w:w="60" w:type="dxa"/>
              <w:left w:w="90" w:type="dxa"/>
              <w:bottom w:w="60" w:type="dxa"/>
              <w:right w:w="90" w:type="dxa"/>
            </w:tcMar>
          </w:tcPr>
          <w:p w14:paraId="23EEF0B7" w14:textId="77777777" w:rsidR="008064B9" w:rsidRDefault="00000000" w:rsidP="003A798E">
            <w:pPr>
              <w:spacing w:before="100" w:beforeAutospacing="1" w:after="100" w:afterAutospacing="1"/>
            </w:pPr>
            <w:r>
              <w:rPr>
                <w:sz w:val="19"/>
                <w:szCs w:val="19"/>
              </w:rPr>
              <w:t>Representation learning with sequence language models</w:t>
            </w:r>
          </w:p>
        </w:tc>
        <w:tc>
          <w:tcPr>
            <w:tcW w:w="1872" w:type="dxa"/>
            <w:tcMar>
              <w:top w:w="60" w:type="dxa"/>
              <w:left w:w="90" w:type="dxa"/>
              <w:bottom w:w="60" w:type="dxa"/>
              <w:right w:w="90" w:type="dxa"/>
            </w:tcMar>
          </w:tcPr>
          <w:p w14:paraId="20957486" w14:textId="77777777" w:rsidR="008064B9" w:rsidRDefault="00000000" w:rsidP="003A798E">
            <w:pPr>
              <w:spacing w:before="100" w:beforeAutospacing="1" w:after="100" w:afterAutospacing="1"/>
            </w:pPr>
            <w:r>
              <w:rPr>
                <w:sz w:val="19"/>
                <w:szCs w:val="19"/>
              </w:rPr>
              <w:t>Learning of transferable sequence embeddings without task labels</w:t>
            </w:r>
          </w:p>
        </w:tc>
        <w:tc>
          <w:tcPr>
            <w:tcW w:w="1872" w:type="dxa"/>
            <w:tcMar>
              <w:top w:w="60" w:type="dxa"/>
              <w:left w:w="90" w:type="dxa"/>
              <w:bottom w:w="60" w:type="dxa"/>
              <w:right w:w="90" w:type="dxa"/>
            </w:tcMar>
          </w:tcPr>
          <w:p w14:paraId="20A3FC91" w14:textId="77777777" w:rsidR="008064B9" w:rsidRDefault="00000000" w:rsidP="003A798E">
            <w:pPr>
              <w:spacing w:before="100" w:beforeAutospacing="1" w:after="100" w:afterAutospacing="1"/>
            </w:pPr>
            <w:r>
              <w:rPr>
                <w:sz w:val="19"/>
                <w:szCs w:val="19"/>
              </w:rPr>
              <w:t>Large unlabelled sequence corpora</w:t>
            </w:r>
          </w:p>
        </w:tc>
        <w:tc>
          <w:tcPr>
            <w:tcW w:w="1872" w:type="dxa"/>
            <w:tcMar>
              <w:top w:w="60" w:type="dxa"/>
              <w:left w:w="90" w:type="dxa"/>
              <w:bottom w:w="60" w:type="dxa"/>
              <w:right w:w="90" w:type="dxa"/>
            </w:tcMar>
          </w:tcPr>
          <w:p w14:paraId="4E1D0FE1" w14:textId="77777777" w:rsidR="008064B9" w:rsidRDefault="00000000" w:rsidP="003A798E">
            <w:pPr>
              <w:spacing w:before="100" w:beforeAutospacing="1" w:after="100" w:afterAutospacing="1"/>
            </w:pPr>
            <w:r>
              <w:rPr>
                <w:sz w:val="19"/>
                <w:szCs w:val="19"/>
              </w:rPr>
              <w:t>Transfer to downstream tasks with independent benchmarks</w:t>
            </w:r>
          </w:p>
        </w:tc>
        <w:tc>
          <w:tcPr>
            <w:tcW w:w="1872" w:type="dxa"/>
            <w:tcMar>
              <w:top w:w="60" w:type="dxa"/>
              <w:left w:w="90" w:type="dxa"/>
              <w:bottom w:w="60" w:type="dxa"/>
              <w:right w:w="90" w:type="dxa"/>
            </w:tcMar>
          </w:tcPr>
          <w:p w14:paraId="4BF71656" w14:textId="77777777" w:rsidR="008064B9" w:rsidRDefault="00000000" w:rsidP="003A798E">
            <w:pPr>
              <w:spacing w:before="100" w:beforeAutospacing="1" w:after="100" w:afterAutospacing="1"/>
            </w:pPr>
            <w:r>
              <w:rPr>
                <w:sz w:val="19"/>
                <w:szCs w:val="19"/>
              </w:rPr>
              <w:t>Hie et al. (2021); Lin et al. (2023); Nguyen et al. (2024)</w:t>
            </w:r>
          </w:p>
        </w:tc>
      </w:tr>
      <w:tr w:rsidR="008064B9" w14:paraId="4B205052" w14:textId="77777777">
        <w:tc>
          <w:tcPr>
            <w:tcW w:w="1872" w:type="dxa"/>
            <w:tcMar>
              <w:top w:w="60" w:type="dxa"/>
              <w:left w:w="90" w:type="dxa"/>
              <w:bottom w:w="60" w:type="dxa"/>
              <w:right w:w="90" w:type="dxa"/>
            </w:tcMar>
          </w:tcPr>
          <w:p w14:paraId="3EC4712A" w14:textId="77777777" w:rsidR="008064B9" w:rsidRDefault="00000000" w:rsidP="003A798E">
            <w:pPr>
              <w:spacing w:before="100" w:beforeAutospacing="1" w:after="100" w:afterAutospacing="1"/>
            </w:pPr>
            <w:r>
              <w:rPr>
                <w:sz w:val="19"/>
                <w:szCs w:val="19"/>
              </w:rPr>
              <w:t>Prospective risk prediction</w:t>
            </w:r>
          </w:p>
        </w:tc>
        <w:tc>
          <w:tcPr>
            <w:tcW w:w="1872" w:type="dxa"/>
            <w:tcMar>
              <w:top w:w="60" w:type="dxa"/>
              <w:left w:w="90" w:type="dxa"/>
              <w:bottom w:w="60" w:type="dxa"/>
              <w:right w:w="90" w:type="dxa"/>
            </w:tcMar>
          </w:tcPr>
          <w:p w14:paraId="1136328D" w14:textId="77777777" w:rsidR="008064B9" w:rsidRDefault="00000000" w:rsidP="003A798E">
            <w:pPr>
              <w:spacing w:before="100" w:beforeAutospacing="1" w:after="100" w:afterAutospacing="1"/>
            </w:pPr>
            <w:r>
              <w:rPr>
                <w:sz w:val="19"/>
                <w:szCs w:val="19"/>
              </w:rPr>
              <w:t>Estimation of future host jump, escape or emergence</w:t>
            </w:r>
          </w:p>
        </w:tc>
        <w:tc>
          <w:tcPr>
            <w:tcW w:w="1872" w:type="dxa"/>
            <w:tcMar>
              <w:top w:w="60" w:type="dxa"/>
              <w:left w:w="90" w:type="dxa"/>
              <w:bottom w:w="60" w:type="dxa"/>
              <w:right w:w="90" w:type="dxa"/>
            </w:tcMar>
          </w:tcPr>
          <w:p w14:paraId="673DF9FA" w14:textId="77777777" w:rsidR="008064B9" w:rsidRDefault="00000000" w:rsidP="003A798E">
            <w:pPr>
              <w:spacing w:before="100" w:beforeAutospacing="1" w:after="100" w:afterAutospacing="1"/>
            </w:pPr>
            <w:r>
              <w:rPr>
                <w:sz w:val="19"/>
                <w:szCs w:val="19"/>
              </w:rPr>
              <w:t>Unbiased sampling of the candidate space</w:t>
            </w:r>
          </w:p>
        </w:tc>
        <w:tc>
          <w:tcPr>
            <w:tcW w:w="1872" w:type="dxa"/>
            <w:tcMar>
              <w:top w:w="60" w:type="dxa"/>
              <w:left w:w="90" w:type="dxa"/>
              <w:bottom w:w="60" w:type="dxa"/>
              <w:right w:w="90" w:type="dxa"/>
            </w:tcMar>
          </w:tcPr>
          <w:p w14:paraId="4FABD2D9" w14:textId="77777777" w:rsidR="008064B9" w:rsidRDefault="00000000" w:rsidP="003A798E">
            <w:pPr>
              <w:spacing w:before="100" w:beforeAutospacing="1" w:after="100" w:afterAutospacing="1"/>
            </w:pPr>
            <w:r>
              <w:rPr>
                <w:sz w:val="19"/>
                <w:szCs w:val="19"/>
              </w:rPr>
              <w:t>Prospective evaluation against subsequently observed events</w:t>
            </w:r>
          </w:p>
        </w:tc>
        <w:tc>
          <w:tcPr>
            <w:tcW w:w="1872" w:type="dxa"/>
            <w:tcMar>
              <w:top w:w="60" w:type="dxa"/>
              <w:left w:w="90" w:type="dxa"/>
              <w:bottom w:w="60" w:type="dxa"/>
              <w:right w:w="90" w:type="dxa"/>
            </w:tcMar>
          </w:tcPr>
          <w:p w14:paraId="0DC49F4F" w14:textId="77777777" w:rsidR="008064B9" w:rsidRDefault="00000000" w:rsidP="003A798E">
            <w:pPr>
              <w:spacing w:before="100" w:beforeAutospacing="1" w:after="100" w:afterAutospacing="1"/>
            </w:pPr>
            <w:r>
              <w:rPr>
                <w:sz w:val="19"/>
                <w:szCs w:val="19"/>
              </w:rPr>
              <w:t>Kawasaki et al. (2025); Simony &amp; Kennedy (2026)</w:t>
            </w:r>
          </w:p>
        </w:tc>
      </w:tr>
    </w:tbl>
    <w:p w14:paraId="31B64397" w14:textId="77777777" w:rsidR="008064B9" w:rsidRDefault="008064B9" w:rsidP="003A798E">
      <w:pPr>
        <w:spacing w:before="100" w:beforeAutospacing="1" w:after="100" w:afterAutospacing="1"/>
      </w:pPr>
    </w:p>
    <w:p w14:paraId="384BBD9D" w14:textId="77777777" w:rsidR="008064B9" w:rsidRDefault="00000000" w:rsidP="003A798E">
      <w:pPr>
        <w:spacing w:before="100" w:beforeAutospacing="1" w:after="100" w:afterAutospacing="1"/>
      </w:pPr>
      <w:r>
        <w:rPr>
          <w:i/>
          <w:iCs/>
          <w:sz w:val="19"/>
          <w:szCs w:val="19"/>
        </w:rPr>
        <w:t xml:space="preserve">Note. </w:t>
      </w:r>
      <w:r>
        <w:rPr>
          <w:sz w:val="19"/>
          <w:szCs w:val="19"/>
        </w:rPr>
        <w:t>Terms are defined for internal consistency in this review and are not proposed as universal definitions. The final column lists sources that illustrate the task or the evidentiary standard described.</w:t>
      </w:r>
    </w:p>
    <w:p w14:paraId="4CB60DFF" w14:textId="77777777" w:rsidR="008064B9" w:rsidRDefault="00000000" w:rsidP="003A798E">
      <w:pPr>
        <w:pStyle w:val="Heading2"/>
        <w:spacing w:before="100" w:beforeAutospacing="1" w:after="100" w:afterAutospacing="1"/>
      </w:pPr>
      <w:r>
        <w:t>4. Algorithmic Approaches to Pathogen Genome Interpretation</w:t>
      </w:r>
    </w:p>
    <w:p w14:paraId="7F43C0EE" w14:textId="77777777" w:rsidR="008064B9" w:rsidRDefault="00000000" w:rsidP="003A798E">
      <w:pPr>
        <w:pStyle w:val="Heading3"/>
        <w:spacing w:before="100" w:beforeAutospacing="1" w:after="100" w:afterAutospacing="1"/>
      </w:pPr>
      <w:r>
        <w:t>4.1 Lineage assignment, phylogenetic placement and automated nomenclature</w:t>
      </w:r>
    </w:p>
    <w:p w14:paraId="654D6DBC" w14:textId="77777777" w:rsidR="008064B9" w:rsidRDefault="00000000" w:rsidP="003A798E">
      <w:pPr>
        <w:spacing w:before="100" w:beforeAutospacing="1" w:after="100" w:afterAutospacing="1"/>
        <w:jc w:val="both"/>
      </w:pPr>
      <w:r>
        <w:t>The most widely deployed computational tools in genomic surveillance are not statistical learners in the conventional sense. Real-time phylogenetic pipelines assemble, align, place and visualise sequences within a maintained evolutionary framework (Hadfield et al., 2018), and dynamic nomenclature systems assign lineage labels according to defined phylogenetic criteria (Rambaut et al., 2020). Clade assignment tools apply reference-based algorithms to place new sequences and to flag quality problems (Aksamentov et al., 2021). Their extension to non-human pathogens has been direct: reference datasets for avian influenza A(H5) permit rapid and accurate clade assignment across avian and mammalian sequences (Ort et al., 2025), which is the technical precondition for the cross-sector analysis that characterised the dairy cattle incursion.</w:t>
      </w:r>
    </w:p>
    <w:p w14:paraId="6677A820" w14:textId="77777777" w:rsidR="008064B9" w:rsidRDefault="00000000" w:rsidP="003A798E">
      <w:pPr>
        <w:spacing w:before="100" w:beforeAutospacing="1" w:after="100" w:afterAutospacing="1"/>
        <w:jc w:val="both"/>
      </w:pPr>
      <w:r>
        <w:t xml:space="preserve">The evidence supporting this class of method is comparatively strong, for reasons worth making explicit. The task is classification against an explicitly curated reference, so errors are detectable by comparison with expert curation. Reference datasets are versioned, which makes results reproducible over time. The methods have been applied at very large scale in operational settings and their failure modes, principally poor performance on low-coverage or recombinant sequences, are documented rather than latent. Confidence in this capability is therefore </w:t>
      </w:r>
      <w:r>
        <w:lastRenderedPageBreak/>
        <w:t>high, but it should be recognised for what it is. These systems standardise and accelerate description; they do not predict.</w:t>
      </w:r>
    </w:p>
    <w:p w14:paraId="1779C3DF" w14:textId="77777777" w:rsidR="008064B9" w:rsidRDefault="00000000" w:rsidP="003A798E">
      <w:pPr>
        <w:spacing w:before="100" w:beforeAutospacing="1" w:after="100" w:afterAutospacing="1"/>
        <w:jc w:val="both"/>
      </w:pPr>
      <w:r>
        <w:t xml:space="preserve">A second class of operationally proven method concerns the speed at which high-resolution typing can be delivered. Real-time nanopore sequencing with improved base-calling accuracy has been shown to support core genome multilocus sequence typing at a quality sufficient for outbreak investigation, substantially compressing time to result (Wagner et al., 2023), and continental-scale genomic surveillance of </w:t>
      </w:r>
      <w:r>
        <w:rPr>
          <w:i/>
          <w:iCs/>
        </w:rPr>
        <w:t>Plasmodium falciparum</w:t>
      </w:r>
      <w:r>
        <w:t xml:space="preserve"> has been implemented using nanopore platforms across sub-Saharan Africa (Mwenda et al., 2026). These developments matter for the One Health argument because they lower the capital and logistical barriers that have historically confined sequencing to reference laboratories in well-resourced settings, and because they make sequencing feasible at the veterinary and environmental sampling points where cross-sector signal originates.</w:t>
      </w:r>
    </w:p>
    <w:p w14:paraId="355BF93C" w14:textId="77777777" w:rsidR="008064B9" w:rsidRDefault="00000000" w:rsidP="003A798E">
      <w:pPr>
        <w:pStyle w:val="Heading3"/>
        <w:spacing w:before="100" w:beforeAutospacing="1" w:after="100" w:afterAutospacing="1"/>
      </w:pPr>
      <w:r>
        <w:t>4.2 Sequence-based fitness and antigenic escape prediction</w:t>
      </w:r>
    </w:p>
    <w:p w14:paraId="2475479E" w14:textId="77777777" w:rsidR="008064B9" w:rsidRDefault="00000000" w:rsidP="003A798E">
      <w:pPr>
        <w:spacing w:before="100" w:beforeAutospacing="1" w:after="100" w:afterAutospacing="1"/>
        <w:jc w:val="both"/>
      </w:pPr>
      <w:r>
        <w:t>A more ambitious set of methods attempts to estimate the phenotypic consequences of mutation directly from sequence. Three approaches dominate. The first treats viral protein sequence as a language and uses the properties of a trained language model to identify mutations that are both grammatically plausible and semantically divergent, an approach that recovered known escape mutations in influenza haemagglutinin, human immunodeficiency virus envelope and severe acute respiratory syndrome coronavirus 2 spike (Hie et al., 2021). The second combines evolutionary modelling with structural and epidemiological covariates to prioritise mutations likely to feature in future variants of concern, a framework applied before the emergence of several such variants (Maher et al., 2022). The third estimates relative lineage fitness statistically from very large genome collections, using hierarchical Bayesian regression over millions of sequences to attribute growth advantage to specific substitutions (Obermeyer et al., 2022). A related approach demonstrated that models trained only on pre-pandemic evolutionary and structural data could rank escape-associated mutations without recourse to pandemic-era experimental measurements (Thadani et al., 2023).</w:t>
      </w:r>
    </w:p>
    <w:p w14:paraId="4249438D" w14:textId="77777777" w:rsidR="008064B9" w:rsidRDefault="00000000" w:rsidP="003A798E">
      <w:pPr>
        <w:spacing w:before="100" w:beforeAutospacing="1" w:after="100" w:afterAutospacing="1"/>
        <w:jc w:val="both"/>
      </w:pPr>
      <w:r>
        <w:t>Evaluation of these methods is more difficult than evaluation of classification tasks, and the difficulty is systematic rather than incidental. Most reported validations are retrospective, in the sense that the method is applied to historical data and shown to recover mutations that subsequently became prominent. Retrospective recovery is informative but weaker than prospective demonstration, because the analyst knows which mutations mattered and because the composition of the training corpus is itself a product of the epidemic being reconstructed. Statistical fitness estimation is additionally sensitive to sampling intensity, since apparent growth advantage is confounded with differential sequencing effort across jurisdictions and time periods, and the geographical unevenness documented for coronavirus disease 2019 sequencing is substantial (Brito et al., 2022). The pre-pandemic training design provides the strongest evidence in this group precisely because it removes one source of circularity, and its result should be read as demonstrating that useful escape signal exists in evolutionary data rather than as establishing that operational forecasting is currently achievable.</w:t>
      </w:r>
    </w:p>
    <w:p w14:paraId="0FB1592F" w14:textId="77777777" w:rsidR="008064B9" w:rsidRDefault="00000000" w:rsidP="003A798E">
      <w:pPr>
        <w:spacing w:before="100" w:beforeAutospacing="1" w:after="100" w:afterAutospacing="1"/>
        <w:jc w:val="both"/>
      </w:pPr>
      <w:r>
        <w:t>The application of language-model methods to routine surveillance has been explored, with sequence models and machine learning used to characterise circulating variants (Nagpal et al., 2022). Such applications remain largely demonstrative. Evidence that they change what surveillance systems detect, or when they detect it, relative to established phylogenetic monitoring is not available.</w:t>
      </w:r>
    </w:p>
    <w:p w14:paraId="21B71533" w14:textId="77777777" w:rsidR="008064B9" w:rsidRDefault="00000000" w:rsidP="003A798E">
      <w:pPr>
        <w:pStyle w:val="Heading3"/>
        <w:spacing w:before="100" w:beforeAutospacing="1" w:after="100" w:afterAutospacing="1"/>
      </w:pPr>
      <w:r>
        <w:t>4.3 Protein and genome language models as general-purpose priors</w:t>
      </w:r>
    </w:p>
    <w:p w14:paraId="07B5170E" w14:textId="77777777" w:rsidR="008064B9" w:rsidRDefault="00000000" w:rsidP="003A798E">
      <w:pPr>
        <w:spacing w:before="100" w:beforeAutospacing="1" w:after="100" w:afterAutospacing="1"/>
        <w:jc w:val="both"/>
      </w:pPr>
      <w:r>
        <w:t>The underlying representation learning has advanced considerably. Structure prediction at experimentally useful accuracy transformed the interpretation of variants of unknown significance (Jumper et al., 2021), and language models trained on protein sequence at scale produced embeddings that support structure prediction directly and transfer to a range of downstream tasks (Lin et al., 2023). Extension from protein to genome scale has produced models capable of prediction and generation across molecular and genomic contexts (Nguyen et al., 2024). For surveillance, the relevant question is whether such general-purpose representations improve inference on tasks that matter operationally.</w:t>
      </w:r>
    </w:p>
    <w:p w14:paraId="4942192D" w14:textId="77777777" w:rsidR="008064B9" w:rsidRDefault="00000000" w:rsidP="003A798E">
      <w:pPr>
        <w:spacing w:before="100" w:beforeAutospacing="1" w:after="100" w:afterAutospacing="1"/>
        <w:jc w:val="both"/>
      </w:pPr>
      <w:r>
        <w:lastRenderedPageBreak/>
        <w:t>The evidence here is genuinely mixed and should not be presented as settled. Embeddings from protein language models have been evaluated for viral clade assignment, a task for which curated rule-based methods already perform well, and the comparison illustrates a general pattern in which learned representations match rather than exceed established approaches on well-specified problems. In host prediction the position is different, since curated rules do not exist and learned representations offer a genuine alternative. Sequence-based prediction of viruses capable of infecting humans has been developed with attention to dataset construction, and the accompanying framework makes explicit that the composition of the training set is the dominant determinant of apparent performance (Carbajo et al., 2026). Evaluation of machine learning approaches for host prediction using influenza H3 genomic data similarly found performance to depend heavily on how the data were partitioned and on which host categories were included (Tran et al., 2025).</w:t>
      </w:r>
    </w:p>
    <w:p w14:paraId="07CCA9D2" w14:textId="77777777" w:rsidR="008064B9" w:rsidRDefault="00000000" w:rsidP="003A798E">
      <w:pPr>
        <w:spacing w:before="100" w:beforeAutospacing="1" w:after="100" w:afterAutospacing="1"/>
        <w:jc w:val="both"/>
      </w:pPr>
      <w:r>
        <w:t>A reasonable interpretation is that general-purpose sequence models supply useful priors where labelled data are scarce and evolutionary signal is strong, and supply little advantage where curated references already encode the relevant knowledge. The frequent framing of these models as a categorical advance in surveillance capability is not supported by comparative evidence at present.</w:t>
      </w:r>
    </w:p>
    <w:p w14:paraId="519B81EE" w14:textId="77777777" w:rsidR="008064B9" w:rsidRDefault="00000000" w:rsidP="003A798E">
      <w:pPr>
        <w:pStyle w:val="Heading3"/>
        <w:spacing w:before="100" w:beforeAutospacing="1" w:after="100" w:afterAutospacing="1"/>
      </w:pPr>
      <w:r>
        <w:t>4.4 Where the evidence is strongest and where it is thin</w:t>
      </w:r>
    </w:p>
    <w:p w14:paraId="55D45A7B" w14:textId="77777777" w:rsidR="008064B9" w:rsidRDefault="00000000" w:rsidP="003A798E">
      <w:pPr>
        <w:spacing w:before="100" w:beforeAutospacing="1" w:after="100" w:afterAutospacing="1"/>
        <w:jc w:val="both"/>
      </w:pPr>
      <w:r>
        <w:t>Applications closest to operational deployment tend to be those in which the algorithm performs a bounded task within an existing workflow. Machine learning applied to healthcare-associated outbreak detection, in which genomic and electronic health record data are combined to identify transmission routes, has been reported to enhance investigation in a hospital setting (Sundermann et al., 2026). Machine learning in the clinical microbiology laboratory more broadly was appraised some years ago as promising but not yet ready for routine use (Peiffer-Smadja et al., 2020), and the intervening period has produced more applications rather than decisive evidence that the earlier assessment should be revised.</w:t>
      </w:r>
    </w:p>
    <w:p w14:paraId="4EA0046A" w14:textId="77777777" w:rsidR="008064B9" w:rsidRDefault="00000000" w:rsidP="003A798E">
      <w:pPr>
        <w:spacing w:before="100" w:beforeAutospacing="1" w:after="100" w:afterAutospacing="1"/>
        <w:jc w:val="both"/>
      </w:pPr>
      <w:r>
        <w:t>Table 2 summarises the principal method families, their surveillance tasks and the strength of supporting evidence. The pattern it displays is consistent and important: evidential strength declines monotonically as the inferential distance between the sequence and the predicted outcome increases. Methods that map sequence to an established label perform reliably; methods that map sequence to a phenotype measurable in the laboratory perform moderately well within the taxa for which phenotype-linked reference data are dense; methods that map sequence to an ecological or epidemiological outcome not yet observed have not been shown to perform reliably at all. The table also indicates that the binding constraint differs by family. For classification tasks the constraint is reference curation, which is tractable and largely resolved. For phenotype prediction it is the availability of linked genotype and phenotype data outside a small number of well-studied species. For prospective risk estimation it is the representativeness of the sampling frame, which is not a computational problem and cannot be solved by improved architectures.</w:t>
      </w:r>
    </w:p>
    <w:p w14:paraId="6BD62747" w14:textId="77777777" w:rsidR="008064B9" w:rsidRDefault="00000000" w:rsidP="003A798E">
      <w:pPr>
        <w:spacing w:before="100" w:beforeAutospacing="1" w:after="100" w:afterAutospacing="1"/>
      </w:pPr>
      <w:r>
        <w:rPr>
          <w:b/>
          <w:bCs/>
          <w:sz w:val="21"/>
          <w:szCs w:val="21"/>
        </w:rPr>
        <w:t xml:space="preserve">Table 2. </w:t>
      </w:r>
      <w:r>
        <w:rPr>
          <w:sz w:val="21"/>
          <w:szCs w:val="21"/>
        </w:rPr>
        <w:t>Principal families of computational method applied to pathogen genomes in surveillance, with associated tasks, evidence strength and principal constraints</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1F15159E" w14:textId="77777777">
        <w:trPr>
          <w:tblHeader/>
        </w:trPr>
        <w:tc>
          <w:tcPr>
            <w:tcW w:w="1872" w:type="dxa"/>
            <w:shd w:val="clear" w:color="auto" w:fill="E8E8E8"/>
            <w:tcMar>
              <w:top w:w="60" w:type="dxa"/>
              <w:left w:w="90" w:type="dxa"/>
              <w:bottom w:w="60" w:type="dxa"/>
              <w:right w:w="90" w:type="dxa"/>
            </w:tcMar>
          </w:tcPr>
          <w:p w14:paraId="11ADC7A8" w14:textId="77777777" w:rsidR="008064B9" w:rsidRDefault="00000000" w:rsidP="003A798E">
            <w:pPr>
              <w:spacing w:before="100" w:beforeAutospacing="1" w:after="100" w:afterAutospacing="1"/>
            </w:pPr>
            <w:r>
              <w:rPr>
                <w:b/>
                <w:bCs/>
                <w:sz w:val="19"/>
                <w:szCs w:val="19"/>
              </w:rPr>
              <w:t>Method family</w:t>
            </w:r>
          </w:p>
        </w:tc>
        <w:tc>
          <w:tcPr>
            <w:tcW w:w="1872" w:type="dxa"/>
            <w:shd w:val="clear" w:color="auto" w:fill="E8E8E8"/>
            <w:tcMar>
              <w:top w:w="60" w:type="dxa"/>
              <w:left w:w="90" w:type="dxa"/>
              <w:bottom w:w="60" w:type="dxa"/>
              <w:right w:w="90" w:type="dxa"/>
            </w:tcMar>
          </w:tcPr>
          <w:p w14:paraId="52D12B0E" w14:textId="77777777" w:rsidR="008064B9" w:rsidRDefault="00000000" w:rsidP="003A798E">
            <w:pPr>
              <w:spacing w:before="100" w:beforeAutospacing="1" w:after="100" w:afterAutospacing="1"/>
            </w:pPr>
            <w:r>
              <w:rPr>
                <w:b/>
                <w:bCs/>
                <w:sz w:val="19"/>
                <w:szCs w:val="19"/>
              </w:rPr>
              <w:t>Surveillance task</w:t>
            </w:r>
          </w:p>
        </w:tc>
        <w:tc>
          <w:tcPr>
            <w:tcW w:w="1872" w:type="dxa"/>
            <w:shd w:val="clear" w:color="auto" w:fill="E8E8E8"/>
            <w:tcMar>
              <w:top w:w="60" w:type="dxa"/>
              <w:left w:w="90" w:type="dxa"/>
              <w:bottom w:w="60" w:type="dxa"/>
              <w:right w:w="90" w:type="dxa"/>
            </w:tcMar>
          </w:tcPr>
          <w:p w14:paraId="3D6DACAD" w14:textId="77777777" w:rsidR="008064B9" w:rsidRDefault="00000000" w:rsidP="003A798E">
            <w:pPr>
              <w:spacing w:before="100" w:beforeAutospacing="1" w:after="100" w:afterAutospacing="1"/>
            </w:pPr>
            <w:r>
              <w:rPr>
                <w:b/>
                <w:bCs/>
                <w:sz w:val="19"/>
                <w:szCs w:val="19"/>
              </w:rPr>
              <w:t>Strength of current evidence</w:t>
            </w:r>
          </w:p>
        </w:tc>
        <w:tc>
          <w:tcPr>
            <w:tcW w:w="1872" w:type="dxa"/>
            <w:shd w:val="clear" w:color="auto" w:fill="E8E8E8"/>
            <w:tcMar>
              <w:top w:w="60" w:type="dxa"/>
              <w:left w:w="90" w:type="dxa"/>
              <w:bottom w:w="60" w:type="dxa"/>
              <w:right w:w="90" w:type="dxa"/>
            </w:tcMar>
          </w:tcPr>
          <w:p w14:paraId="3386349A" w14:textId="77777777" w:rsidR="008064B9" w:rsidRDefault="00000000" w:rsidP="003A798E">
            <w:pPr>
              <w:spacing w:before="100" w:beforeAutospacing="1" w:after="100" w:afterAutospacing="1"/>
            </w:pPr>
            <w:r>
              <w:rPr>
                <w:b/>
                <w:bCs/>
                <w:sz w:val="19"/>
                <w:szCs w:val="19"/>
              </w:rPr>
              <w:t>Principal constraint on validity</w:t>
            </w:r>
          </w:p>
        </w:tc>
        <w:tc>
          <w:tcPr>
            <w:tcW w:w="1872" w:type="dxa"/>
            <w:shd w:val="clear" w:color="auto" w:fill="E8E8E8"/>
            <w:tcMar>
              <w:top w:w="60" w:type="dxa"/>
              <w:left w:w="90" w:type="dxa"/>
              <w:bottom w:w="60" w:type="dxa"/>
              <w:right w:w="90" w:type="dxa"/>
            </w:tcMar>
          </w:tcPr>
          <w:p w14:paraId="3E9CC3EC" w14:textId="77777777" w:rsidR="008064B9" w:rsidRDefault="00000000" w:rsidP="003A798E">
            <w:pPr>
              <w:spacing w:before="100" w:beforeAutospacing="1" w:after="100" w:afterAutospacing="1"/>
            </w:pPr>
            <w:r>
              <w:rPr>
                <w:b/>
                <w:bCs/>
                <w:sz w:val="19"/>
                <w:szCs w:val="19"/>
              </w:rPr>
              <w:t>Supporting references</w:t>
            </w:r>
          </w:p>
        </w:tc>
      </w:tr>
      <w:tr w:rsidR="008064B9" w14:paraId="38B68A20" w14:textId="77777777">
        <w:tc>
          <w:tcPr>
            <w:tcW w:w="1872" w:type="dxa"/>
            <w:tcMar>
              <w:top w:w="60" w:type="dxa"/>
              <w:left w:w="90" w:type="dxa"/>
              <w:bottom w:w="60" w:type="dxa"/>
              <w:right w:w="90" w:type="dxa"/>
            </w:tcMar>
          </w:tcPr>
          <w:p w14:paraId="06EB22EC" w14:textId="77777777" w:rsidR="008064B9" w:rsidRDefault="00000000" w:rsidP="003A798E">
            <w:pPr>
              <w:spacing w:before="100" w:beforeAutospacing="1" w:after="100" w:afterAutospacing="1"/>
            </w:pPr>
            <w:r>
              <w:rPr>
                <w:sz w:val="19"/>
                <w:szCs w:val="19"/>
              </w:rPr>
              <w:t>Reference-based phylogenetic placement and clade assignment</w:t>
            </w:r>
          </w:p>
        </w:tc>
        <w:tc>
          <w:tcPr>
            <w:tcW w:w="1872" w:type="dxa"/>
            <w:tcMar>
              <w:top w:w="60" w:type="dxa"/>
              <w:left w:w="90" w:type="dxa"/>
              <w:bottom w:w="60" w:type="dxa"/>
              <w:right w:w="90" w:type="dxa"/>
            </w:tcMar>
          </w:tcPr>
          <w:p w14:paraId="05A76705" w14:textId="77777777" w:rsidR="008064B9" w:rsidRDefault="00000000" w:rsidP="003A798E">
            <w:pPr>
              <w:spacing w:before="100" w:beforeAutospacing="1" w:after="100" w:afterAutospacing="1"/>
            </w:pPr>
            <w:r>
              <w:rPr>
                <w:sz w:val="19"/>
                <w:szCs w:val="19"/>
              </w:rPr>
              <w:t>Lineage identification; quality control; real-time tracking</w:t>
            </w:r>
          </w:p>
        </w:tc>
        <w:tc>
          <w:tcPr>
            <w:tcW w:w="1872" w:type="dxa"/>
            <w:tcMar>
              <w:top w:w="60" w:type="dxa"/>
              <w:left w:w="90" w:type="dxa"/>
              <w:bottom w:w="60" w:type="dxa"/>
              <w:right w:w="90" w:type="dxa"/>
            </w:tcMar>
          </w:tcPr>
          <w:p w14:paraId="0227CF89" w14:textId="77777777" w:rsidR="008064B9" w:rsidRDefault="00000000" w:rsidP="003A798E">
            <w:pPr>
              <w:spacing w:before="100" w:beforeAutospacing="1" w:after="100" w:afterAutospacing="1"/>
            </w:pPr>
            <w:r>
              <w:rPr>
                <w:sz w:val="19"/>
                <w:szCs w:val="19"/>
              </w:rPr>
              <w:t>Strong; large-scale operational deployment with auditable reference</w:t>
            </w:r>
          </w:p>
        </w:tc>
        <w:tc>
          <w:tcPr>
            <w:tcW w:w="1872" w:type="dxa"/>
            <w:tcMar>
              <w:top w:w="60" w:type="dxa"/>
              <w:left w:w="90" w:type="dxa"/>
              <w:bottom w:w="60" w:type="dxa"/>
              <w:right w:w="90" w:type="dxa"/>
            </w:tcMar>
          </w:tcPr>
          <w:p w14:paraId="4C516E65" w14:textId="77777777" w:rsidR="008064B9" w:rsidRDefault="00000000" w:rsidP="003A798E">
            <w:pPr>
              <w:spacing w:before="100" w:beforeAutospacing="1" w:after="100" w:afterAutospacing="1"/>
            </w:pPr>
            <w:r>
              <w:rPr>
                <w:sz w:val="19"/>
                <w:szCs w:val="19"/>
              </w:rPr>
              <w:t>Poor performance on low-coverage and recombinant sequences</w:t>
            </w:r>
          </w:p>
        </w:tc>
        <w:tc>
          <w:tcPr>
            <w:tcW w:w="1872" w:type="dxa"/>
            <w:tcMar>
              <w:top w:w="60" w:type="dxa"/>
              <w:left w:w="90" w:type="dxa"/>
              <w:bottom w:w="60" w:type="dxa"/>
              <w:right w:w="90" w:type="dxa"/>
            </w:tcMar>
          </w:tcPr>
          <w:p w14:paraId="6B04F84D" w14:textId="77777777" w:rsidR="008064B9" w:rsidRDefault="00000000" w:rsidP="003A798E">
            <w:pPr>
              <w:spacing w:before="100" w:beforeAutospacing="1" w:after="100" w:afterAutospacing="1"/>
            </w:pPr>
            <w:r>
              <w:rPr>
                <w:sz w:val="19"/>
                <w:szCs w:val="19"/>
              </w:rPr>
              <w:t>Aksamentov et al. (2021); Hadfield et al. (2018); Ort et al. (2025); Rambaut et al. (2020)</w:t>
            </w:r>
          </w:p>
        </w:tc>
      </w:tr>
      <w:tr w:rsidR="008064B9" w14:paraId="729602DF" w14:textId="77777777">
        <w:tc>
          <w:tcPr>
            <w:tcW w:w="1872" w:type="dxa"/>
            <w:tcMar>
              <w:top w:w="60" w:type="dxa"/>
              <w:left w:w="90" w:type="dxa"/>
              <w:bottom w:w="60" w:type="dxa"/>
              <w:right w:w="90" w:type="dxa"/>
            </w:tcMar>
          </w:tcPr>
          <w:p w14:paraId="4DDDB3AF" w14:textId="77777777" w:rsidR="008064B9" w:rsidRDefault="00000000" w:rsidP="003A798E">
            <w:pPr>
              <w:spacing w:before="100" w:beforeAutospacing="1" w:after="100" w:afterAutospacing="1"/>
            </w:pPr>
            <w:r>
              <w:rPr>
                <w:sz w:val="19"/>
                <w:szCs w:val="19"/>
              </w:rPr>
              <w:t>Rapid high-resolution typing on portable platforms</w:t>
            </w:r>
          </w:p>
        </w:tc>
        <w:tc>
          <w:tcPr>
            <w:tcW w:w="1872" w:type="dxa"/>
            <w:tcMar>
              <w:top w:w="60" w:type="dxa"/>
              <w:left w:w="90" w:type="dxa"/>
              <w:bottom w:w="60" w:type="dxa"/>
              <w:right w:w="90" w:type="dxa"/>
            </w:tcMar>
          </w:tcPr>
          <w:p w14:paraId="4D43140B" w14:textId="77777777" w:rsidR="008064B9" w:rsidRDefault="00000000" w:rsidP="003A798E">
            <w:pPr>
              <w:spacing w:before="100" w:beforeAutospacing="1" w:after="100" w:afterAutospacing="1"/>
            </w:pPr>
            <w:r>
              <w:rPr>
                <w:sz w:val="19"/>
                <w:szCs w:val="19"/>
              </w:rPr>
              <w:t>Outbreak cluster resolution; decentralised surveillance</w:t>
            </w:r>
          </w:p>
        </w:tc>
        <w:tc>
          <w:tcPr>
            <w:tcW w:w="1872" w:type="dxa"/>
            <w:tcMar>
              <w:top w:w="60" w:type="dxa"/>
              <w:left w:w="90" w:type="dxa"/>
              <w:bottom w:w="60" w:type="dxa"/>
              <w:right w:w="90" w:type="dxa"/>
            </w:tcMar>
          </w:tcPr>
          <w:p w14:paraId="2164D12D" w14:textId="77777777" w:rsidR="008064B9" w:rsidRDefault="00000000" w:rsidP="003A798E">
            <w:pPr>
              <w:spacing w:before="100" w:beforeAutospacing="1" w:after="100" w:afterAutospacing="1"/>
            </w:pPr>
            <w:r>
              <w:rPr>
                <w:sz w:val="19"/>
                <w:szCs w:val="19"/>
              </w:rPr>
              <w:t>Moderate to strong; validated against established typing schemes</w:t>
            </w:r>
          </w:p>
        </w:tc>
        <w:tc>
          <w:tcPr>
            <w:tcW w:w="1872" w:type="dxa"/>
            <w:tcMar>
              <w:top w:w="60" w:type="dxa"/>
              <w:left w:w="90" w:type="dxa"/>
              <w:bottom w:w="60" w:type="dxa"/>
              <w:right w:w="90" w:type="dxa"/>
            </w:tcMar>
          </w:tcPr>
          <w:p w14:paraId="33B96365" w14:textId="77777777" w:rsidR="008064B9" w:rsidRDefault="00000000" w:rsidP="003A798E">
            <w:pPr>
              <w:spacing w:before="100" w:beforeAutospacing="1" w:after="100" w:afterAutospacing="1"/>
            </w:pPr>
            <w:r>
              <w:rPr>
                <w:sz w:val="19"/>
                <w:szCs w:val="19"/>
              </w:rPr>
              <w:t>Dependence on local bioinformatics capacity and reagent supply</w:t>
            </w:r>
          </w:p>
        </w:tc>
        <w:tc>
          <w:tcPr>
            <w:tcW w:w="1872" w:type="dxa"/>
            <w:tcMar>
              <w:top w:w="60" w:type="dxa"/>
              <w:left w:w="90" w:type="dxa"/>
              <w:bottom w:w="60" w:type="dxa"/>
              <w:right w:w="90" w:type="dxa"/>
            </w:tcMar>
          </w:tcPr>
          <w:p w14:paraId="6A26EE6F" w14:textId="77777777" w:rsidR="008064B9" w:rsidRDefault="00000000" w:rsidP="003A798E">
            <w:pPr>
              <w:spacing w:before="100" w:beforeAutospacing="1" w:after="100" w:afterAutospacing="1"/>
            </w:pPr>
            <w:r>
              <w:rPr>
                <w:sz w:val="19"/>
                <w:szCs w:val="19"/>
              </w:rPr>
              <w:t>Mwenda et al. (2026); Stona et al. (2026); Wagner et al. (2023)</w:t>
            </w:r>
          </w:p>
        </w:tc>
      </w:tr>
      <w:tr w:rsidR="008064B9" w14:paraId="3A0C5870" w14:textId="77777777">
        <w:tc>
          <w:tcPr>
            <w:tcW w:w="1872" w:type="dxa"/>
            <w:tcMar>
              <w:top w:w="60" w:type="dxa"/>
              <w:left w:w="90" w:type="dxa"/>
              <w:bottom w:w="60" w:type="dxa"/>
              <w:right w:w="90" w:type="dxa"/>
            </w:tcMar>
          </w:tcPr>
          <w:p w14:paraId="7FF90A16" w14:textId="77777777" w:rsidR="008064B9" w:rsidRDefault="00000000" w:rsidP="003A798E">
            <w:pPr>
              <w:spacing w:before="100" w:beforeAutospacing="1" w:after="100" w:afterAutospacing="1"/>
            </w:pPr>
            <w:r>
              <w:rPr>
                <w:sz w:val="19"/>
                <w:szCs w:val="19"/>
              </w:rPr>
              <w:lastRenderedPageBreak/>
              <w:t>Statistical fitness estimation from large genome collections</w:t>
            </w:r>
          </w:p>
        </w:tc>
        <w:tc>
          <w:tcPr>
            <w:tcW w:w="1872" w:type="dxa"/>
            <w:tcMar>
              <w:top w:w="60" w:type="dxa"/>
              <w:left w:w="90" w:type="dxa"/>
              <w:bottom w:w="60" w:type="dxa"/>
              <w:right w:w="90" w:type="dxa"/>
            </w:tcMar>
          </w:tcPr>
          <w:p w14:paraId="1004EF8C" w14:textId="77777777" w:rsidR="008064B9" w:rsidRDefault="00000000" w:rsidP="003A798E">
            <w:pPr>
              <w:spacing w:before="100" w:beforeAutospacing="1" w:after="100" w:afterAutospacing="1"/>
            </w:pPr>
            <w:r>
              <w:rPr>
                <w:sz w:val="19"/>
                <w:szCs w:val="19"/>
              </w:rPr>
              <w:t>Attribution of growth advantage to specific substitutions</w:t>
            </w:r>
          </w:p>
        </w:tc>
        <w:tc>
          <w:tcPr>
            <w:tcW w:w="1872" w:type="dxa"/>
            <w:tcMar>
              <w:top w:w="60" w:type="dxa"/>
              <w:left w:w="90" w:type="dxa"/>
              <w:bottom w:w="60" w:type="dxa"/>
              <w:right w:w="90" w:type="dxa"/>
            </w:tcMar>
          </w:tcPr>
          <w:p w14:paraId="28668396" w14:textId="77777777" w:rsidR="008064B9" w:rsidRDefault="00000000" w:rsidP="003A798E">
            <w:pPr>
              <w:spacing w:before="100" w:beforeAutospacing="1" w:after="100" w:afterAutospacing="1"/>
            </w:pPr>
            <w:r>
              <w:rPr>
                <w:sz w:val="19"/>
                <w:szCs w:val="19"/>
              </w:rPr>
              <w:t>Moderate; retrospective validation at very large scale</w:t>
            </w:r>
          </w:p>
        </w:tc>
        <w:tc>
          <w:tcPr>
            <w:tcW w:w="1872" w:type="dxa"/>
            <w:tcMar>
              <w:top w:w="60" w:type="dxa"/>
              <w:left w:w="90" w:type="dxa"/>
              <w:bottom w:w="60" w:type="dxa"/>
              <w:right w:w="90" w:type="dxa"/>
            </w:tcMar>
          </w:tcPr>
          <w:p w14:paraId="7FD2CE08" w14:textId="77777777" w:rsidR="008064B9" w:rsidRDefault="00000000" w:rsidP="003A798E">
            <w:pPr>
              <w:spacing w:before="100" w:beforeAutospacing="1" w:after="100" w:afterAutospacing="1"/>
            </w:pPr>
            <w:r>
              <w:rPr>
                <w:sz w:val="19"/>
                <w:szCs w:val="19"/>
              </w:rPr>
              <w:t>Confounding of growth advantage with differential sequencing effort</w:t>
            </w:r>
          </w:p>
        </w:tc>
        <w:tc>
          <w:tcPr>
            <w:tcW w:w="1872" w:type="dxa"/>
            <w:tcMar>
              <w:top w:w="60" w:type="dxa"/>
              <w:left w:w="90" w:type="dxa"/>
              <w:bottom w:w="60" w:type="dxa"/>
              <w:right w:w="90" w:type="dxa"/>
            </w:tcMar>
          </w:tcPr>
          <w:p w14:paraId="5537001E" w14:textId="77777777" w:rsidR="008064B9" w:rsidRDefault="00000000" w:rsidP="003A798E">
            <w:pPr>
              <w:spacing w:before="100" w:beforeAutospacing="1" w:after="100" w:afterAutospacing="1"/>
            </w:pPr>
            <w:r>
              <w:rPr>
                <w:sz w:val="19"/>
                <w:szCs w:val="19"/>
              </w:rPr>
              <w:t>Brito et al. (2022); Obermeyer et al. (2022)</w:t>
            </w:r>
          </w:p>
        </w:tc>
      </w:tr>
      <w:tr w:rsidR="008064B9" w14:paraId="28FF4216" w14:textId="77777777">
        <w:tc>
          <w:tcPr>
            <w:tcW w:w="1872" w:type="dxa"/>
            <w:tcMar>
              <w:top w:w="60" w:type="dxa"/>
              <w:left w:w="90" w:type="dxa"/>
              <w:bottom w:w="60" w:type="dxa"/>
              <w:right w:w="90" w:type="dxa"/>
            </w:tcMar>
          </w:tcPr>
          <w:p w14:paraId="06A99CDA" w14:textId="77777777" w:rsidR="008064B9" w:rsidRDefault="00000000" w:rsidP="003A798E">
            <w:pPr>
              <w:spacing w:before="100" w:beforeAutospacing="1" w:after="100" w:afterAutospacing="1"/>
            </w:pPr>
            <w:r>
              <w:rPr>
                <w:sz w:val="19"/>
                <w:szCs w:val="19"/>
              </w:rPr>
              <w:t>Sequence language models for antigenic escape</w:t>
            </w:r>
          </w:p>
        </w:tc>
        <w:tc>
          <w:tcPr>
            <w:tcW w:w="1872" w:type="dxa"/>
            <w:tcMar>
              <w:top w:w="60" w:type="dxa"/>
              <w:left w:w="90" w:type="dxa"/>
              <w:bottom w:w="60" w:type="dxa"/>
              <w:right w:w="90" w:type="dxa"/>
            </w:tcMar>
          </w:tcPr>
          <w:p w14:paraId="33F31AB5" w14:textId="77777777" w:rsidR="008064B9" w:rsidRDefault="00000000" w:rsidP="003A798E">
            <w:pPr>
              <w:spacing w:before="100" w:beforeAutospacing="1" w:after="100" w:afterAutospacing="1"/>
            </w:pPr>
            <w:r>
              <w:rPr>
                <w:sz w:val="19"/>
                <w:szCs w:val="19"/>
              </w:rPr>
              <w:t>Prioritisation of mutations likely to evade immunity</w:t>
            </w:r>
          </w:p>
        </w:tc>
        <w:tc>
          <w:tcPr>
            <w:tcW w:w="1872" w:type="dxa"/>
            <w:tcMar>
              <w:top w:w="60" w:type="dxa"/>
              <w:left w:w="90" w:type="dxa"/>
              <w:bottom w:w="60" w:type="dxa"/>
              <w:right w:w="90" w:type="dxa"/>
            </w:tcMar>
          </w:tcPr>
          <w:p w14:paraId="10545E7C" w14:textId="77777777" w:rsidR="008064B9" w:rsidRDefault="00000000" w:rsidP="003A798E">
            <w:pPr>
              <w:spacing w:before="100" w:beforeAutospacing="1" w:after="100" w:afterAutospacing="1"/>
            </w:pPr>
            <w:r>
              <w:rPr>
                <w:sz w:val="19"/>
                <w:szCs w:val="19"/>
              </w:rPr>
              <w:t>Moderate; strongest where training excludes the target epidemic</w:t>
            </w:r>
          </w:p>
        </w:tc>
        <w:tc>
          <w:tcPr>
            <w:tcW w:w="1872" w:type="dxa"/>
            <w:tcMar>
              <w:top w:w="60" w:type="dxa"/>
              <w:left w:w="90" w:type="dxa"/>
              <w:bottom w:w="60" w:type="dxa"/>
              <w:right w:w="90" w:type="dxa"/>
            </w:tcMar>
          </w:tcPr>
          <w:p w14:paraId="0FB96E87" w14:textId="77777777" w:rsidR="008064B9" w:rsidRDefault="00000000" w:rsidP="003A798E">
            <w:pPr>
              <w:spacing w:before="100" w:beforeAutospacing="1" w:after="100" w:afterAutospacing="1"/>
            </w:pPr>
            <w:r>
              <w:rPr>
                <w:sz w:val="19"/>
                <w:szCs w:val="19"/>
              </w:rPr>
              <w:t>Retrospective evaluation predominates; limited prospective testing</w:t>
            </w:r>
          </w:p>
        </w:tc>
        <w:tc>
          <w:tcPr>
            <w:tcW w:w="1872" w:type="dxa"/>
            <w:tcMar>
              <w:top w:w="60" w:type="dxa"/>
              <w:left w:w="90" w:type="dxa"/>
              <w:bottom w:w="60" w:type="dxa"/>
              <w:right w:w="90" w:type="dxa"/>
            </w:tcMar>
          </w:tcPr>
          <w:p w14:paraId="57D1DC5A" w14:textId="77777777" w:rsidR="008064B9" w:rsidRDefault="00000000" w:rsidP="003A798E">
            <w:pPr>
              <w:spacing w:before="100" w:beforeAutospacing="1" w:after="100" w:afterAutospacing="1"/>
            </w:pPr>
            <w:r>
              <w:rPr>
                <w:sz w:val="19"/>
                <w:szCs w:val="19"/>
              </w:rPr>
              <w:t>Hie et al. (2021); Maher et al. (2022); Thadani et al. (2023)</w:t>
            </w:r>
          </w:p>
        </w:tc>
      </w:tr>
      <w:tr w:rsidR="008064B9" w14:paraId="6D8056B2" w14:textId="77777777">
        <w:tc>
          <w:tcPr>
            <w:tcW w:w="1872" w:type="dxa"/>
            <w:tcMar>
              <w:top w:w="60" w:type="dxa"/>
              <w:left w:w="90" w:type="dxa"/>
              <w:bottom w:w="60" w:type="dxa"/>
              <w:right w:w="90" w:type="dxa"/>
            </w:tcMar>
          </w:tcPr>
          <w:p w14:paraId="63971437" w14:textId="77777777" w:rsidR="008064B9" w:rsidRDefault="00000000" w:rsidP="003A798E">
            <w:pPr>
              <w:spacing w:before="100" w:beforeAutospacing="1" w:after="100" w:afterAutospacing="1"/>
            </w:pPr>
            <w:r>
              <w:rPr>
                <w:sz w:val="19"/>
                <w:szCs w:val="19"/>
              </w:rPr>
              <w:t>General-purpose protein and genome representation learning</w:t>
            </w:r>
          </w:p>
        </w:tc>
        <w:tc>
          <w:tcPr>
            <w:tcW w:w="1872" w:type="dxa"/>
            <w:tcMar>
              <w:top w:w="60" w:type="dxa"/>
              <w:left w:w="90" w:type="dxa"/>
              <w:bottom w:w="60" w:type="dxa"/>
              <w:right w:w="90" w:type="dxa"/>
            </w:tcMar>
          </w:tcPr>
          <w:p w14:paraId="35EF7419" w14:textId="77777777" w:rsidR="008064B9" w:rsidRDefault="00000000" w:rsidP="003A798E">
            <w:pPr>
              <w:spacing w:before="100" w:beforeAutospacing="1" w:after="100" w:afterAutospacing="1"/>
            </w:pPr>
            <w:r>
              <w:rPr>
                <w:sz w:val="19"/>
                <w:szCs w:val="19"/>
              </w:rPr>
              <w:t>Transferable priors for downstream genomic tasks</w:t>
            </w:r>
          </w:p>
        </w:tc>
        <w:tc>
          <w:tcPr>
            <w:tcW w:w="1872" w:type="dxa"/>
            <w:tcMar>
              <w:top w:w="60" w:type="dxa"/>
              <w:left w:w="90" w:type="dxa"/>
              <w:bottom w:w="60" w:type="dxa"/>
              <w:right w:w="90" w:type="dxa"/>
            </w:tcMar>
          </w:tcPr>
          <w:p w14:paraId="3E45AF0F" w14:textId="77777777" w:rsidR="008064B9" w:rsidRDefault="00000000" w:rsidP="003A798E">
            <w:pPr>
              <w:spacing w:before="100" w:beforeAutospacing="1" w:after="100" w:afterAutospacing="1"/>
            </w:pPr>
            <w:r>
              <w:rPr>
                <w:sz w:val="19"/>
                <w:szCs w:val="19"/>
              </w:rPr>
              <w:t>Preliminary in surveillance contexts; strong in structural biology</w:t>
            </w:r>
          </w:p>
        </w:tc>
        <w:tc>
          <w:tcPr>
            <w:tcW w:w="1872" w:type="dxa"/>
            <w:tcMar>
              <w:top w:w="60" w:type="dxa"/>
              <w:left w:w="90" w:type="dxa"/>
              <w:bottom w:w="60" w:type="dxa"/>
              <w:right w:w="90" w:type="dxa"/>
            </w:tcMar>
          </w:tcPr>
          <w:p w14:paraId="1259B356" w14:textId="77777777" w:rsidR="008064B9" w:rsidRDefault="00000000" w:rsidP="003A798E">
            <w:pPr>
              <w:spacing w:before="100" w:beforeAutospacing="1" w:after="100" w:afterAutospacing="1"/>
            </w:pPr>
            <w:r>
              <w:rPr>
                <w:sz w:val="19"/>
                <w:szCs w:val="19"/>
              </w:rPr>
              <w:t>Little comparative advantage where curated references exist</w:t>
            </w:r>
          </w:p>
        </w:tc>
        <w:tc>
          <w:tcPr>
            <w:tcW w:w="1872" w:type="dxa"/>
            <w:tcMar>
              <w:top w:w="60" w:type="dxa"/>
              <w:left w:w="90" w:type="dxa"/>
              <w:bottom w:w="60" w:type="dxa"/>
              <w:right w:w="90" w:type="dxa"/>
            </w:tcMar>
          </w:tcPr>
          <w:p w14:paraId="16419867" w14:textId="77777777" w:rsidR="008064B9" w:rsidRDefault="00000000" w:rsidP="003A798E">
            <w:pPr>
              <w:spacing w:before="100" w:beforeAutospacing="1" w:after="100" w:afterAutospacing="1"/>
            </w:pPr>
            <w:r>
              <w:rPr>
                <w:sz w:val="19"/>
                <w:szCs w:val="19"/>
              </w:rPr>
              <w:t>Jumper et al. (2021); Lin et al. (2023); Nguyen et al. (2024)</w:t>
            </w:r>
          </w:p>
        </w:tc>
      </w:tr>
      <w:tr w:rsidR="008064B9" w14:paraId="0032EEE7" w14:textId="77777777">
        <w:tc>
          <w:tcPr>
            <w:tcW w:w="1872" w:type="dxa"/>
            <w:tcMar>
              <w:top w:w="60" w:type="dxa"/>
              <w:left w:w="90" w:type="dxa"/>
              <w:bottom w:w="60" w:type="dxa"/>
              <w:right w:w="90" w:type="dxa"/>
            </w:tcMar>
          </w:tcPr>
          <w:p w14:paraId="6F8ADC1A" w14:textId="77777777" w:rsidR="008064B9" w:rsidRDefault="00000000" w:rsidP="003A798E">
            <w:pPr>
              <w:spacing w:before="100" w:beforeAutospacing="1" w:after="100" w:afterAutospacing="1"/>
            </w:pPr>
            <w:r>
              <w:rPr>
                <w:sz w:val="19"/>
                <w:szCs w:val="19"/>
              </w:rPr>
              <w:t>Supervised genotype-to-phenotype prediction of resistance</w:t>
            </w:r>
          </w:p>
        </w:tc>
        <w:tc>
          <w:tcPr>
            <w:tcW w:w="1872" w:type="dxa"/>
            <w:tcMar>
              <w:top w:w="60" w:type="dxa"/>
              <w:left w:w="90" w:type="dxa"/>
              <w:bottom w:w="60" w:type="dxa"/>
              <w:right w:w="90" w:type="dxa"/>
            </w:tcMar>
          </w:tcPr>
          <w:p w14:paraId="3D2AD1F3" w14:textId="77777777" w:rsidR="008064B9" w:rsidRDefault="00000000" w:rsidP="003A798E">
            <w:pPr>
              <w:spacing w:before="100" w:beforeAutospacing="1" w:after="100" w:afterAutospacing="1"/>
            </w:pPr>
            <w:r>
              <w:rPr>
                <w:sz w:val="19"/>
                <w:szCs w:val="19"/>
              </w:rPr>
              <w:t>Inference of susceptibility from genome sequence</w:t>
            </w:r>
          </w:p>
        </w:tc>
        <w:tc>
          <w:tcPr>
            <w:tcW w:w="1872" w:type="dxa"/>
            <w:tcMar>
              <w:top w:w="60" w:type="dxa"/>
              <w:left w:w="90" w:type="dxa"/>
              <w:bottom w:w="60" w:type="dxa"/>
              <w:right w:w="90" w:type="dxa"/>
            </w:tcMar>
          </w:tcPr>
          <w:p w14:paraId="2EC51E89" w14:textId="77777777" w:rsidR="008064B9" w:rsidRDefault="00000000" w:rsidP="003A798E">
            <w:pPr>
              <w:spacing w:before="100" w:beforeAutospacing="1" w:after="100" w:afterAutospacing="1"/>
            </w:pPr>
            <w:r>
              <w:rPr>
                <w:sz w:val="19"/>
                <w:szCs w:val="19"/>
              </w:rPr>
              <w:t>Moderate and taxon-dependent</w:t>
            </w:r>
          </w:p>
        </w:tc>
        <w:tc>
          <w:tcPr>
            <w:tcW w:w="1872" w:type="dxa"/>
            <w:tcMar>
              <w:top w:w="60" w:type="dxa"/>
              <w:left w:w="90" w:type="dxa"/>
              <w:bottom w:w="60" w:type="dxa"/>
              <w:right w:w="90" w:type="dxa"/>
            </w:tcMar>
          </w:tcPr>
          <w:p w14:paraId="5B313DA4" w14:textId="77777777" w:rsidR="008064B9" w:rsidRDefault="00000000" w:rsidP="003A798E">
            <w:pPr>
              <w:spacing w:before="100" w:beforeAutospacing="1" w:after="100" w:afterAutospacing="1"/>
            </w:pPr>
            <w:r>
              <w:rPr>
                <w:sz w:val="19"/>
                <w:szCs w:val="19"/>
              </w:rPr>
              <w:t>Sparse phenotype-linked data outside well-studied species</w:t>
            </w:r>
          </w:p>
        </w:tc>
        <w:tc>
          <w:tcPr>
            <w:tcW w:w="1872" w:type="dxa"/>
            <w:tcMar>
              <w:top w:w="60" w:type="dxa"/>
              <w:left w:w="90" w:type="dxa"/>
              <w:bottom w:w="60" w:type="dxa"/>
              <w:right w:w="90" w:type="dxa"/>
            </w:tcMar>
          </w:tcPr>
          <w:p w14:paraId="0B16AE8C" w14:textId="77777777" w:rsidR="008064B9" w:rsidRDefault="00000000" w:rsidP="003A798E">
            <w:pPr>
              <w:spacing w:before="100" w:beforeAutospacing="1" w:after="100" w:afterAutospacing="1"/>
            </w:pPr>
            <w:r>
              <w:rPr>
                <w:sz w:val="19"/>
                <w:szCs w:val="19"/>
              </w:rPr>
              <w:t>Bortolaia et al. (2020); Jia et al. (2026); Mediouni et al. (2025)</w:t>
            </w:r>
          </w:p>
        </w:tc>
      </w:tr>
      <w:tr w:rsidR="008064B9" w14:paraId="76A9315A" w14:textId="77777777">
        <w:tc>
          <w:tcPr>
            <w:tcW w:w="1872" w:type="dxa"/>
            <w:tcMar>
              <w:top w:w="60" w:type="dxa"/>
              <w:left w:w="90" w:type="dxa"/>
              <w:bottom w:w="60" w:type="dxa"/>
              <w:right w:w="90" w:type="dxa"/>
            </w:tcMar>
          </w:tcPr>
          <w:p w14:paraId="3D03D6AE" w14:textId="77777777" w:rsidR="008064B9" w:rsidRDefault="00000000" w:rsidP="003A798E">
            <w:pPr>
              <w:spacing w:before="100" w:beforeAutospacing="1" w:after="100" w:afterAutospacing="1"/>
            </w:pPr>
            <w:r>
              <w:rPr>
                <w:sz w:val="19"/>
                <w:szCs w:val="19"/>
              </w:rPr>
              <w:t>Sequence-based host range and zoonotic potential prediction</w:t>
            </w:r>
          </w:p>
        </w:tc>
        <w:tc>
          <w:tcPr>
            <w:tcW w:w="1872" w:type="dxa"/>
            <w:tcMar>
              <w:top w:w="60" w:type="dxa"/>
              <w:left w:w="90" w:type="dxa"/>
              <w:bottom w:w="60" w:type="dxa"/>
              <w:right w:w="90" w:type="dxa"/>
            </w:tcMar>
          </w:tcPr>
          <w:p w14:paraId="574FA4FB" w14:textId="77777777" w:rsidR="008064B9" w:rsidRDefault="00000000" w:rsidP="003A798E">
            <w:pPr>
              <w:spacing w:before="100" w:beforeAutospacing="1" w:after="100" w:afterAutospacing="1"/>
            </w:pPr>
            <w:r>
              <w:rPr>
                <w:sz w:val="19"/>
                <w:szCs w:val="19"/>
              </w:rPr>
              <w:t>Prioritisation of viruses or strains for further assessment</w:t>
            </w:r>
          </w:p>
        </w:tc>
        <w:tc>
          <w:tcPr>
            <w:tcW w:w="1872" w:type="dxa"/>
            <w:tcMar>
              <w:top w:w="60" w:type="dxa"/>
              <w:left w:w="90" w:type="dxa"/>
              <w:bottom w:w="60" w:type="dxa"/>
              <w:right w:w="90" w:type="dxa"/>
            </w:tcMar>
          </w:tcPr>
          <w:p w14:paraId="25791C42" w14:textId="77777777" w:rsidR="008064B9" w:rsidRDefault="00000000" w:rsidP="003A798E">
            <w:pPr>
              <w:spacing w:before="100" w:beforeAutospacing="1" w:after="100" w:afterAutospacing="1"/>
            </w:pPr>
            <w:r>
              <w:rPr>
                <w:sz w:val="19"/>
                <w:szCs w:val="19"/>
              </w:rPr>
              <w:t>Weak to preliminary; contested by independent reanalysis</w:t>
            </w:r>
          </w:p>
        </w:tc>
        <w:tc>
          <w:tcPr>
            <w:tcW w:w="1872" w:type="dxa"/>
            <w:tcMar>
              <w:top w:w="60" w:type="dxa"/>
              <w:left w:w="90" w:type="dxa"/>
              <w:bottom w:w="60" w:type="dxa"/>
              <w:right w:w="90" w:type="dxa"/>
            </w:tcMar>
          </w:tcPr>
          <w:p w14:paraId="323DD91C" w14:textId="77777777" w:rsidR="008064B9" w:rsidRDefault="00000000" w:rsidP="003A798E">
            <w:pPr>
              <w:spacing w:before="100" w:beforeAutospacing="1" w:after="100" w:afterAutospacing="1"/>
            </w:pPr>
            <w:r>
              <w:rPr>
                <w:sz w:val="19"/>
                <w:szCs w:val="19"/>
              </w:rPr>
              <w:t>Sampling bias in host–virus association records</w:t>
            </w:r>
          </w:p>
        </w:tc>
        <w:tc>
          <w:tcPr>
            <w:tcW w:w="1872" w:type="dxa"/>
            <w:tcMar>
              <w:top w:w="60" w:type="dxa"/>
              <w:left w:w="90" w:type="dxa"/>
              <w:bottom w:w="60" w:type="dxa"/>
              <w:right w:w="90" w:type="dxa"/>
            </w:tcMar>
          </w:tcPr>
          <w:p w14:paraId="09BEC571" w14:textId="77777777" w:rsidR="008064B9" w:rsidRDefault="00000000" w:rsidP="003A798E">
            <w:pPr>
              <w:spacing w:before="100" w:beforeAutospacing="1" w:after="100" w:afterAutospacing="1"/>
            </w:pPr>
            <w:r>
              <w:rPr>
                <w:sz w:val="19"/>
                <w:szCs w:val="19"/>
              </w:rPr>
              <w:t>Carbajo et al. (2026); Kawasaki et al. (2025); Mollentze et al. (2021); Tran et al. (2025)</w:t>
            </w:r>
          </w:p>
        </w:tc>
      </w:tr>
      <w:tr w:rsidR="008064B9" w14:paraId="2E134B9E" w14:textId="77777777">
        <w:tc>
          <w:tcPr>
            <w:tcW w:w="1872" w:type="dxa"/>
            <w:tcMar>
              <w:top w:w="60" w:type="dxa"/>
              <w:left w:w="90" w:type="dxa"/>
              <w:bottom w:w="60" w:type="dxa"/>
              <w:right w:w="90" w:type="dxa"/>
            </w:tcMar>
          </w:tcPr>
          <w:p w14:paraId="53D73777" w14:textId="77777777" w:rsidR="008064B9" w:rsidRDefault="00000000" w:rsidP="003A798E">
            <w:pPr>
              <w:spacing w:before="100" w:beforeAutospacing="1" w:after="100" w:afterAutospacing="1"/>
            </w:pPr>
            <w:r>
              <w:rPr>
                <w:sz w:val="19"/>
                <w:szCs w:val="19"/>
              </w:rPr>
              <w:t>Integration of genomic and health record data for cluster detection</w:t>
            </w:r>
          </w:p>
        </w:tc>
        <w:tc>
          <w:tcPr>
            <w:tcW w:w="1872" w:type="dxa"/>
            <w:tcMar>
              <w:top w:w="60" w:type="dxa"/>
              <w:left w:w="90" w:type="dxa"/>
              <w:bottom w:w="60" w:type="dxa"/>
              <w:right w:w="90" w:type="dxa"/>
            </w:tcMar>
          </w:tcPr>
          <w:p w14:paraId="0277AE1F" w14:textId="77777777" w:rsidR="008064B9" w:rsidRDefault="00000000" w:rsidP="003A798E">
            <w:pPr>
              <w:spacing w:before="100" w:beforeAutospacing="1" w:after="100" w:afterAutospacing="1"/>
            </w:pPr>
            <w:r>
              <w:rPr>
                <w:sz w:val="19"/>
                <w:szCs w:val="19"/>
              </w:rPr>
              <w:t>Identification of unrecognised transmission in care settings</w:t>
            </w:r>
          </w:p>
        </w:tc>
        <w:tc>
          <w:tcPr>
            <w:tcW w:w="1872" w:type="dxa"/>
            <w:tcMar>
              <w:top w:w="60" w:type="dxa"/>
              <w:left w:w="90" w:type="dxa"/>
              <w:bottom w:w="60" w:type="dxa"/>
              <w:right w:w="90" w:type="dxa"/>
            </w:tcMar>
          </w:tcPr>
          <w:p w14:paraId="445F7F3A" w14:textId="77777777" w:rsidR="008064B9" w:rsidRDefault="00000000" w:rsidP="003A798E">
            <w:pPr>
              <w:spacing w:before="100" w:beforeAutospacing="1" w:after="100" w:afterAutospacing="1"/>
            </w:pPr>
            <w:r>
              <w:rPr>
                <w:sz w:val="19"/>
                <w:szCs w:val="19"/>
              </w:rPr>
              <w:t>Preliminary; single-setting evaluations</w:t>
            </w:r>
          </w:p>
        </w:tc>
        <w:tc>
          <w:tcPr>
            <w:tcW w:w="1872" w:type="dxa"/>
            <w:tcMar>
              <w:top w:w="60" w:type="dxa"/>
              <w:left w:w="90" w:type="dxa"/>
              <w:bottom w:w="60" w:type="dxa"/>
              <w:right w:w="90" w:type="dxa"/>
            </w:tcMar>
          </w:tcPr>
          <w:p w14:paraId="1EA0B51B" w14:textId="77777777" w:rsidR="008064B9" w:rsidRDefault="00000000" w:rsidP="003A798E">
            <w:pPr>
              <w:spacing w:before="100" w:beforeAutospacing="1" w:after="100" w:afterAutospacing="1"/>
            </w:pPr>
            <w:r>
              <w:rPr>
                <w:sz w:val="19"/>
                <w:szCs w:val="19"/>
              </w:rPr>
              <w:t>Generalisability across institutions and data systems untested</w:t>
            </w:r>
          </w:p>
        </w:tc>
        <w:tc>
          <w:tcPr>
            <w:tcW w:w="1872" w:type="dxa"/>
            <w:tcMar>
              <w:top w:w="60" w:type="dxa"/>
              <w:left w:w="90" w:type="dxa"/>
              <w:bottom w:w="60" w:type="dxa"/>
              <w:right w:w="90" w:type="dxa"/>
            </w:tcMar>
          </w:tcPr>
          <w:p w14:paraId="16509FE8" w14:textId="77777777" w:rsidR="008064B9" w:rsidRDefault="00000000" w:rsidP="003A798E">
            <w:pPr>
              <w:spacing w:before="100" w:beforeAutospacing="1" w:after="100" w:afterAutospacing="1"/>
            </w:pPr>
            <w:r>
              <w:rPr>
                <w:sz w:val="19"/>
                <w:szCs w:val="19"/>
              </w:rPr>
              <w:t>Peiffer-Smadja et al. (2020); Sundermann et al. (2026)</w:t>
            </w:r>
          </w:p>
        </w:tc>
      </w:tr>
    </w:tbl>
    <w:p w14:paraId="3548B90D" w14:textId="77777777" w:rsidR="008064B9" w:rsidRDefault="008064B9" w:rsidP="003A798E">
      <w:pPr>
        <w:spacing w:before="100" w:beforeAutospacing="1" w:after="100" w:afterAutospacing="1"/>
      </w:pPr>
    </w:p>
    <w:p w14:paraId="41EFFA98" w14:textId="77777777" w:rsidR="008064B9" w:rsidRDefault="00000000" w:rsidP="003A798E">
      <w:pPr>
        <w:spacing w:before="100" w:beforeAutospacing="1" w:after="100" w:afterAutospacing="1"/>
      </w:pPr>
      <w:r>
        <w:rPr>
          <w:i/>
          <w:iCs/>
          <w:sz w:val="19"/>
          <w:szCs w:val="19"/>
        </w:rPr>
        <w:t xml:space="preserve">Note. </w:t>
      </w:r>
      <w:r>
        <w:rPr>
          <w:sz w:val="19"/>
          <w:szCs w:val="19"/>
        </w:rPr>
        <w:t>Evidence strength is graded qualitatively as strong, moderate, preliminary or weak according to the availability of external validation, the number of independent groups reporting concordant results, and the scale of operational deployment. No formal grading instrument was applied.</w:t>
      </w:r>
    </w:p>
    <w:p w14:paraId="2E6D6F03" w14:textId="77777777" w:rsidR="008064B9" w:rsidRDefault="00000000" w:rsidP="003A798E">
      <w:pPr>
        <w:pStyle w:val="Heading2"/>
        <w:spacing w:before="100" w:beforeAutospacing="1" w:after="100" w:afterAutospacing="1"/>
      </w:pPr>
      <w:r>
        <w:t>5. Cross-Species Inference: Host Range, Reservoir Attribution and Spillover Risk</w:t>
      </w:r>
    </w:p>
    <w:p w14:paraId="37489F1B" w14:textId="77777777" w:rsidR="008064B9" w:rsidRDefault="00000000" w:rsidP="003A798E">
      <w:pPr>
        <w:pStyle w:val="Heading3"/>
        <w:spacing w:before="100" w:beforeAutospacing="1" w:after="100" w:afterAutospacing="1"/>
      </w:pPr>
      <w:r>
        <w:t>5.1 Genome-derived zoonotic potential</w:t>
      </w:r>
    </w:p>
    <w:p w14:paraId="780CA08D" w14:textId="77777777" w:rsidR="008064B9" w:rsidRDefault="00000000" w:rsidP="003A798E">
      <w:pPr>
        <w:spacing w:before="100" w:beforeAutospacing="1" w:after="100" w:afterAutospacing="1"/>
        <w:jc w:val="both"/>
      </w:pPr>
      <w:r>
        <w:t>The most consequential claim made for computational genomics in One Health surveillance is that the zoonotic potential of a virus can be estimated from its genome before it is observed in humans. The rationale is that viral genomes carry signatures of adaptation to host cellular environments, and that these signatures are learnable. Early support came from the demonstration that reservoir hosts and arthropod vectors of RNA viruses could be predicted from evolutionary signatures in genome sequence with accuracy well above chance (Babayan et al., 2018). This was extended to the prioritisation of potential human-infecting viruses directly from genome sequences, with the resulting ranking proposed as a triage instrument for virus discovery programmes (Mollentze et al., 2021). Related work has applied similar reasoning to bacterial pathogens, using virulence determinants, resistance genes and mobile genetic elements as features for predicting zoonotic strains (Umeshkumar &amp; Karwasra, 2026), and to reservoir attribution in orthopoxviruses using viral genomic features (Tseng et al., 2025).</w:t>
      </w:r>
    </w:p>
    <w:p w14:paraId="177847F2" w14:textId="77777777" w:rsidR="008064B9" w:rsidRDefault="00000000" w:rsidP="003A798E">
      <w:pPr>
        <w:spacing w:before="100" w:beforeAutospacing="1" w:after="100" w:afterAutospacing="1"/>
        <w:jc w:val="both"/>
      </w:pPr>
      <w:r>
        <w:t xml:space="preserve">Parallel work sought to identify host species in which recombination between coronaviruses might generate novel variants, combining viral genomic similarity with host trait data (Wardeh et al., 2021), and ecological modelling has projected that climate-driven range shifts will create novel opportunities for cross-species viral transmission concentrated in particular geographical regions (Carlson et al., 2022). Machine learning </w:t>
      </w:r>
      <w:r>
        <w:lastRenderedPageBreak/>
        <w:t>frameworks have also been applied to landscape-level determinants of spillover emergence in anthropogenically modified environments (Zhang et al., 2026). These lines of work share a structure: a model is fitted to a database of observed associations, and its predictions are extrapolated to unobserved associations.</w:t>
      </w:r>
    </w:p>
    <w:p w14:paraId="7C6CD92A" w14:textId="77777777" w:rsidR="008064B9" w:rsidRDefault="00000000" w:rsidP="003A798E">
      <w:pPr>
        <w:pStyle w:val="Heading3"/>
        <w:spacing w:before="100" w:beforeAutospacing="1" w:after="100" w:afterAutospacing="1"/>
      </w:pPr>
      <w:r>
        <w:t>5.2 The competing explanation of sampling bias</w:t>
      </w:r>
    </w:p>
    <w:p w14:paraId="76D420AF" w14:textId="77777777" w:rsidR="008064B9" w:rsidRDefault="00000000" w:rsidP="003A798E">
      <w:pPr>
        <w:spacing w:before="100" w:beforeAutospacing="1" w:after="100" w:afterAutospacing="1"/>
        <w:jc w:val="both"/>
      </w:pPr>
      <w:r>
        <w:t>The central methodological objection to this programme is that the databases on which such models are trained record research effort as much as biology. Viruses are described where virologists work, hosts are sampled where sampling is convenient, and human infection is recorded where diagnostic capacity exists. A model fitted to these records can achieve high apparent discrimination by learning correlates of study intensity, and such a model will appear to generalise on held-out data drawn from the same biased distribution while failing on the extrapolation that motivated its construction.</w:t>
      </w:r>
    </w:p>
    <w:p w14:paraId="42F6C04D" w14:textId="77777777" w:rsidR="008064B9" w:rsidRDefault="00000000" w:rsidP="003A798E">
      <w:pPr>
        <w:spacing w:before="100" w:beforeAutospacing="1" w:after="100" w:afterAutospacing="1"/>
        <w:jc w:val="both"/>
      </w:pPr>
      <w:r>
        <w:t>Evidence for this objection is not merely theoretical. Analysis of zoonotic risk across mammalian and avian reservoir orders found that the proportion of viruses capable of infecting humans did not differ meaningfully among host orders, and that the apparent concentration of zoonotic risk in particular taxa was explained by the number of viruses those taxa harbour and by how intensively they have been studied (Mollentze &amp; Streicker, 2020). This finding is difficult to reconcile with model frameworks that assign elevated risk on the basis of reservoir identity, and it implies that a substantial component of reported predictive skill in host-based models reflects taxonomic sampling structure.</w:t>
      </w:r>
    </w:p>
    <w:p w14:paraId="0F3C2504" w14:textId="77777777" w:rsidR="008064B9" w:rsidRDefault="00000000" w:rsidP="003A798E">
      <w:pPr>
        <w:spacing w:before="100" w:beforeAutospacing="1" w:after="100" w:afterAutospacing="1"/>
        <w:jc w:val="both"/>
      </w:pPr>
      <w:r>
        <w:t>A more direct examination of the machine learning literature identified hidden methodological problems in the evaluation of spillover risk models, including partitioning schemes that permit phylogenetically related sequences to appear in both training and test sets, and reporting practices that obscure how much of the apparent performance survives stricter evaluation (Kawasaki et al., 2025). This is a specific instance of the broader leakage problem documented across machine learning–based science, in which reported performance falls, sometimes to chance, when leakage is corrected (Kapoor &amp; Narayanan, 2023). Commentary in the infectious disease literature has raised the same concern in explicitly One Health terms, questioning whether current data can support spillover prediction as an operational objective (Koopmans et al., 2026).</w:t>
      </w:r>
    </w:p>
    <w:p w14:paraId="1164B22B" w14:textId="77777777" w:rsidR="008064B9" w:rsidRDefault="00000000" w:rsidP="003A798E">
      <w:pPr>
        <w:spacing w:before="100" w:beforeAutospacing="1" w:after="100" w:afterAutospacing="1"/>
        <w:jc w:val="both"/>
      </w:pPr>
      <w:r>
        <w:t>The most pointed recent challenge concerns the target variable itself. Analysis of pathogen host jumps found that the risk of a host jump was not predicted by the rate at which spillover occurs but rather by novelty, meaning the degree to which the pathogen is new to the recipient host population (Simony &amp; Kennedy, 2026). If this holds, then models that rank viruses by frequency-weighted historical association are optimising against a quantity that is not the one of interest, and improved fit to those data would not translate into improved anticipation of emergence.</w:t>
      </w:r>
    </w:p>
    <w:p w14:paraId="5F13D96F" w14:textId="77777777" w:rsidR="008064B9" w:rsidRDefault="00000000" w:rsidP="003A798E">
      <w:pPr>
        <w:pStyle w:val="Heading3"/>
        <w:spacing w:before="100" w:beforeAutospacing="1" w:after="100" w:afterAutospacing="1"/>
      </w:pPr>
      <w:r>
        <w:t>5.3 What can reasonably be concluded</w:t>
      </w:r>
    </w:p>
    <w:p w14:paraId="178971E9" w14:textId="77777777" w:rsidR="008064B9" w:rsidRDefault="00000000" w:rsidP="003A798E">
      <w:pPr>
        <w:spacing w:before="100" w:beforeAutospacing="1" w:after="100" w:afterAutospacing="1"/>
        <w:jc w:val="both"/>
      </w:pPr>
      <w:r>
        <w:t>Three positions can be distinguished, and the evidence supports them unequally. The strong position, that genome-based models can identify which viruses will cause the next epidemic, is not supported. No prospective evaluation demonstrates that any current model would have prioritised an emergent pathogen before its emergence, under conditions that exclude retrospective knowledge. The weak position, that genomic features carry some information about host compatibility, is supported. Concordant results from independent groups using different feature sets and different taxa indicate that such signal exists, even if its magnitude is uncertain (Babayan et al., 2018; Carbajo et al., 2026; Tseng et al., 2025). The intermediate position, that these models can usefully triage candidate viruses for laboratory characterisation, is plausible but unproven, and its evaluation requires prospective designs in which model-prioritised and randomly selected candidates are characterised in parallel.</w:t>
      </w:r>
    </w:p>
    <w:p w14:paraId="0EE3B16B" w14:textId="77777777" w:rsidR="008064B9" w:rsidRDefault="00000000" w:rsidP="003A798E">
      <w:pPr>
        <w:spacing w:before="100" w:beforeAutospacing="1" w:after="100" w:afterAutospacing="1"/>
        <w:jc w:val="both"/>
      </w:pPr>
      <w:r>
        <w:t xml:space="preserve">The distinction is not academic. Resource allocation decisions in virus discovery and pandemic preparedness are being framed in terms of predictive prioritisation, and the honest characterisation of current capability is that these models generate hypotheses rather than risk estimates. Table 3 sets out the principal disagreements in this literature together with the most plausible explanation for each. The pattern that emerges is that most </w:t>
      </w:r>
      <w:r>
        <w:lastRenderedPageBreak/>
        <w:t>disagreements are attributable to identifiable differences in data construction and evaluation design rather than to unresolved biological questions, which is encouraging in one respect and discouraging in another. It is encouraging because the disagreements are in principle resolvable by better study design. It is discouraging because the required designs, in particular prospective evaluation against subsequently observed host jumps, demand time horizons and sampling investment that current funding structures rarely accommodate.</w:t>
      </w:r>
    </w:p>
    <w:p w14:paraId="501A0B12" w14:textId="77777777" w:rsidR="008064B9" w:rsidRDefault="00000000" w:rsidP="003A798E">
      <w:pPr>
        <w:spacing w:before="100" w:beforeAutospacing="1" w:after="100" w:afterAutospacing="1"/>
      </w:pPr>
      <w:r>
        <w:rPr>
          <w:b/>
          <w:bCs/>
          <w:sz w:val="21"/>
          <w:szCs w:val="21"/>
        </w:rPr>
        <w:t xml:space="preserve">Table 3. </w:t>
      </w:r>
      <w:r>
        <w:rPr>
          <w:sz w:val="21"/>
          <w:szCs w:val="21"/>
        </w:rPr>
        <w:t>Principal disagreements in the literature on genome-based cross-species risk prediction and their most plausible explanations</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7C10857C" w14:textId="77777777">
        <w:trPr>
          <w:tblHeader/>
        </w:trPr>
        <w:tc>
          <w:tcPr>
            <w:tcW w:w="1872" w:type="dxa"/>
            <w:shd w:val="clear" w:color="auto" w:fill="E8E8E8"/>
            <w:tcMar>
              <w:top w:w="60" w:type="dxa"/>
              <w:left w:w="90" w:type="dxa"/>
              <w:bottom w:w="60" w:type="dxa"/>
              <w:right w:w="90" w:type="dxa"/>
            </w:tcMar>
          </w:tcPr>
          <w:p w14:paraId="12278A08" w14:textId="77777777" w:rsidR="008064B9" w:rsidRDefault="00000000" w:rsidP="003A798E">
            <w:pPr>
              <w:spacing w:before="100" w:beforeAutospacing="1" w:after="100" w:afterAutospacing="1"/>
            </w:pPr>
            <w:r>
              <w:rPr>
                <w:b/>
                <w:bCs/>
                <w:sz w:val="19"/>
                <w:szCs w:val="19"/>
              </w:rPr>
              <w:t>Point of disagreement</w:t>
            </w:r>
          </w:p>
        </w:tc>
        <w:tc>
          <w:tcPr>
            <w:tcW w:w="1872" w:type="dxa"/>
            <w:shd w:val="clear" w:color="auto" w:fill="E8E8E8"/>
            <w:tcMar>
              <w:top w:w="60" w:type="dxa"/>
              <w:left w:w="90" w:type="dxa"/>
              <w:bottom w:w="60" w:type="dxa"/>
              <w:right w:w="90" w:type="dxa"/>
            </w:tcMar>
          </w:tcPr>
          <w:p w14:paraId="11E71C3E" w14:textId="77777777" w:rsidR="008064B9" w:rsidRDefault="00000000" w:rsidP="003A798E">
            <w:pPr>
              <w:spacing w:before="100" w:beforeAutospacing="1" w:after="100" w:afterAutospacing="1"/>
            </w:pPr>
            <w:r>
              <w:rPr>
                <w:b/>
                <w:bCs/>
                <w:sz w:val="19"/>
                <w:szCs w:val="19"/>
              </w:rPr>
              <w:t>Position A</w:t>
            </w:r>
          </w:p>
        </w:tc>
        <w:tc>
          <w:tcPr>
            <w:tcW w:w="1872" w:type="dxa"/>
            <w:shd w:val="clear" w:color="auto" w:fill="E8E8E8"/>
            <w:tcMar>
              <w:top w:w="60" w:type="dxa"/>
              <w:left w:w="90" w:type="dxa"/>
              <w:bottom w:w="60" w:type="dxa"/>
              <w:right w:w="90" w:type="dxa"/>
            </w:tcMar>
          </w:tcPr>
          <w:p w14:paraId="6A332700" w14:textId="77777777" w:rsidR="008064B9" w:rsidRDefault="00000000" w:rsidP="003A798E">
            <w:pPr>
              <w:spacing w:before="100" w:beforeAutospacing="1" w:after="100" w:afterAutospacing="1"/>
            </w:pPr>
            <w:r>
              <w:rPr>
                <w:b/>
                <w:bCs/>
                <w:sz w:val="19"/>
                <w:szCs w:val="19"/>
              </w:rPr>
              <w:t>Position B</w:t>
            </w:r>
          </w:p>
        </w:tc>
        <w:tc>
          <w:tcPr>
            <w:tcW w:w="1872" w:type="dxa"/>
            <w:shd w:val="clear" w:color="auto" w:fill="E8E8E8"/>
            <w:tcMar>
              <w:top w:w="60" w:type="dxa"/>
              <w:left w:w="90" w:type="dxa"/>
              <w:bottom w:w="60" w:type="dxa"/>
              <w:right w:w="90" w:type="dxa"/>
            </w:tcMar>
          </w:tcPr>
          <w:p w14:paraId="476C18D8" w14:textId="77777777" w:rsidR="008064B9" w:rsidRDefault="00000000" w:rsidP="003A798E">
            <w:pPr>
              <w:spacing w:before="100" w:beforeAutospacing="1" w:after="100" w:afterAutospacing="1"/>
            </w:pPr>
            <w:r>
              <w:rPr>
                <w:b/>
                <w:bCs/>
                <w:sz w:val="19"/>
                <w:szCs w:val="19"/>
              </w:rPr>
              <w:t>Most plausible explanation for the disagreement</w:t>
            </w:r>
          </w:p>
        </w:tc>
        <w:tc>
          <w:tcPr>
            <w:tcW w:w="1872" w:type="dxa"/>
            <w:shd w:val="clear" w:color="auto" w:fill="E8E8E8"/>
            <w:tcMar>
              <w:top w:w="60" w:type="dxa"/>
              <w:left w:w="90" w:type="dxa"/>
              <w:bottom w:w="60" w:type="dxa"/>
              <w:right w:w="90" w:type="dxa"/>
            </w:tcMar>
          </w:tcPr>
          <w:p w14:paraId="1901FB40" w14:textId="77777777" w:rsidR="008064B9" w:rsidRDefault="00000000" w:rsidP="003A798E">
            <w:pPr>
              <w:spacing w:before="100" w:beforeAutospacing="1" w:after="100" w:afterAutospacing="1"/>
            </w:pPr>
            <w:r>
              <w:rPr>
                <w:b/>
                <w:bCs/>
                <w:sz w:val="19"/>
                <w:szCs w:val="19"/>
              </w:rPr>
              <w:t>Supporting references</w:t>
            </w:r>
          </w:p>
        </w:tc>
      </w:tr>
      <w:tr w:rsidR="008064B9" w14:paraId="00DF8ED0" w14:textId="77777777">
        <w:tc>
          <w:tcPr>
            <w:tcW w:w="1872" w:type="dxa"/>
            <w:tcMar>
              <w:top w:w="60" w:type="dxa"/>
              <w:left w:w="90" w:type="dxa"/>
              <w:bottom w:w="60" w:type="dxa"/>
              <w:right w:w="90" w:type="dxa"/>
            </w:tcMar>
          </w:tcPr>
          <w:p w14:paraId="20DDF1F1" w14:textId="77777777" w:rsidR="008064B9" w:rsidRDefault="00000000" w:rsidP="003A798E">
            <w:pPr>
              <w:spacing w:before="100" w:beforeAutospacing="1" w:after="100" w:afterAutospacing="1"/>
            </w:pPr>
            <w:r>
              <w:rPr>
                <w:sz w:val="19"/>
                <w:szCs w:val="19"/>
              </w:rPr>
              <w:t>Whether reservoir taxon predicts zoonotic risk</w:t>
            </w:r>
          </w:p>
        </w:tc>
        <w:tc>
          <w:tcPr>
            <w:tcW w:w="1872" w:type="dxa"/>
            <w:tcMar>
              <w:top w:w="60" w:type="dxa"/>
              <w:left w:w="90" w:type="dxa"/>
              <w:bottom w:w="60" w:type="dxa"/>
              <w:right w:w="90" w:type="dxa"/>
            </w:tcMar>
          </w:tcPr>
          <w:p w14:paraId="7D9762D2" w14:textId="77777777" w:rsidR="008064B9" w:rsidRDefault="00000000" w:rsidP="003A798E">
            <w:pPr>
              <w:spacing w:before="100" w:beforeAutospacing="1" w:after="100" w:afterAutospacing="1"/>
            </w:pPr>
            <w:r>
              <w:rPr>
                <w:sz w:val="19"/>
                <w:szCs w:val="19"/>
              </w:rPr>
              <w:t>Certain mammalian orders are disproportionate sources of zoonoses</w:t>
            </w:r>
          </w:p>
        </w:tc>
        <w:tc>
          <w:tcPr>
            <w:tcW w:w="1872" w:type="dxa"/>
            <w:tcMar>
              <w:top w:w="60" w:type="dxa"/>
              <w:left w:w="90" w:type="dxa"/>
              <w:bottom w:w="60" w:type="dxa"/>
              <w:right w:w="90" w:type="dxa"/>
            </w:tcMar>
          </w:tcPr>
          <w:p w14:paraId="33B6FBF0" w14:textId="77777777" w:rsidR="008064B9" w:rsidRDefault="00000000" w:rsidP="003A798E">
            <w:pPr>
              <w:spacing w:before="100" w:beforeAutospacing="1" w:after="100" w:afterAutospacing="1"/>
            </w:pPr>
            <w:r>
              <w:rPr>
                <w:sz w:val="19"/>
                <w:szCs w:val="19"/>
              </w:rPr>
              <w:t>Proportion of zoonotic viruses is comparable across orders once virus richness is accounted for</w:t>
            </w:r>
          </w:p>
        </w:tc>
        <w:tc>
          <w:tcPr>
            <w:tcW w:w="1872" w:type="dxa"/>
            <w:tcMar>
              <w:top w:w="60" w:type="dxa"/>
              <w:left w:w="90" w:type="dxa"/>
              <w:bottom w:w="60" w:type="dxa"/>
              <w:right w:w="90" w:type="dxa"/>
            </w:tcMar>
          </w:tcPr>
          <w:p w14:paraId="0DEC0487" w14:textId="77777777" w:rsidR="008064B9" w:rsidRDefault="00000000" w:rsidP="003A798E">
            <w:pPr>
              <w:spacing w:before="100" w:beforeAutospacing="1" w:after="100" w:afterAutospacing="1"/>
            </w:pPr>
            <w:r>
              <w:rPr>
                <w:sz w:val="19"/>
                <w:szCs w:val="19"/>
              </w:rPr>
              <w:t>Position A conflates virus richness and research intensity with per-virus risk</w:t>
            </w:r>
          </w:p>
        </w:tc>
        <w:tc>
          <w:tcPr>
            <w:tcW w:w="1872" w:type="dxa"/>
            <w:tcMar>
              <w:top w:w="60" w:type="dxa"/>
              <w:left w:w="90" w:type="dxa"/>
              <w:bottom w:w="60" w:type="dxa"/>
              <w:right w:w="90" w:type="dxa"/>
            </w:tcMar>
          </w:tcPr>
          <w:p w14:paraId="32765675" w14:textId="77777777" w:rsidR="008064B9" w:rsidRDefault="00000000" w:rsidP="003A798E">
            <w:pPr>
              <w:spacing w:before="100" w:beforeAutospacing="1" w:after="100" w:afterAutospacing="1"/>
            </w:pPr>
            <w:r>
              <w:rPr>
                <w:sz w:val="19"/>
                <w:szCs w:val="19"/>
              </w:rPr>
              <w:t>Mollentze &amp; Streicker (2020); Wardeh et al. (2021)</w:t>
            </w:r>
          </w:p>
        </w:tc>
      </w:tr>
      <w:tr w:rsidR="008064B9" w14:paraId="1AF513C2" w14:textId="77777777">
        <w:tc>
          <w:tcPr>
            <w:tcW w:w="1872" w:type="dxa"/>
            <w:tcMar>
              <w:top w:w="60" w:type="dxa"/>
              <w:left w:w="90" w:type="dxa"/>
              <w:bottom w:w="60" w:type="dxa"/>
              <w:right w:w="90" w:type="dxa"/>
            </w:tcMar>
          </w:tcPr>
          <w:p w14:paraId="1B767FE8" w14:textId="77777777" w:rsidR="008064B9" w:rsidRDefault="00000000" w:rsidP="003A798E">
            <w:pPr>
              <w:spacing w:before="100" w:beforeAutospacing="1" w:after="100" w:afterAutospacing="1"/>
            </w:pPr>
            <w:r>
              <w:rPr>
                <w:sz w:val="19"/>
                <w:szCs w:val="19"/>
              </w:rPr>
              <w:t>Reported accuracy of human-infectivity prediction from genome</w:t>
            </w:r>
          </w:p>
        </w:tc>
        <w:tc>
          <w:tcPr>
            <w:tcW w:w="1872" w:type="dxa"/>
            <w:tcMar>
              <w:top w:w="60" w:type="dxa"/>
              <w:left w:w="90" w:type="dxa"/>
              <w:bottom w:w="60" w:type="dxa"/>
              <w:right w:w="90" w:type="dxa"/>
            </w:tcMar>
          </w:tcPr>
          <w:p w14:paraId="2C159F8E" w14:textId="77777777" w:rsidR="008064B9" w:rsidRDefault="00000000" w:rsidP="003A798E">
            <w:pPr>
              <w:spacing w:before="100" w:beforeAutospacing="1" w:after="100" w:afterAutospacing="1"/>
            </w:pPr>
            <w:r>
              <w:rPr>
                <w:sz w:val="19"/>
                <w:szCs w:val="19"/>
              </w:rPr>
              <w:t>Discrimination is well above chance and operationally useful</w:t>
            </w:r>
          </w:p>
        </w:tc>
        <w:tc>
          <w:tcPr>
            <w:tcW w:w="1872" w:type="dxa"/>
            <w:tcMar>
              <w:top w:w="60" w:type="dxa"/>
              <w:left w:w="90" w:type="dxa"/>
              <w:bottom w:w="60" w:type="dxa"/>
              <w:right w:w="90" w:type="dxa"/>
            </w:tcMar>
          </w:tcPr>
          <w:p w14:paraId="5496D95F" w14:textId="77777777" w:rsidR="008064B9" w:rsidRDefault="00000000" w:rsidP="003A798E">
            <w:pPr>
              <w:spacing w:before="100" w:beforeAutospacing="1" w:after="100" w:afterAutospacing="1"/>
            </w:pPr>
            <w:r>
              <w:rPr>
                <w:sz w:val="19"/>
                <w:szCs w:val="19"/>
              </w:rPr>
              <w:t>Apparent discrimination falls substantially under phylogenetically aware evaluation</w:t>
            </w:r>
          </w:p>
        </w:tc>
        <w:tc>
          <w:tcPr>
            <w:tcW w:w="1872" w:type="dxa"/>
            <w:tcMar>
              <w:top w:w="60" w:type="dxa"/>
              <w:left w:w="90" w:type="dxa"/>
              <w:bottom w:w="60" w:type="dxa"/>
              <w:right w:w="90" w:type="dxa"/>
            </w:tcMar>
          </w:tcPr>
          <w:p w14:paraId="3A1DFE59" w14:textId="77777777" w:rsidR="008064B9" w:rsidRDefault="00000000" w:rsidP="003A798E">
            <w:pPr>
              <w:spacing w:before="100" w:beforeAutospacing="1" w:after="100" w:afterAutospacing="1"/>
            </w:pPr>
            <w:r>
              <w:rPr>
                <w:sz w:val="19"/>
                <w:szCs w:val="19"/>
              </w:rPr>
              <w:t>Random partitioning permits leakage between closely related sequences</w:t>
            </w:r>
          </w:p>
        </w:tc>
        <w:tc>
          <w:tcPr>
            <w:tcW w:w="1872" w:type="dxa"/>
            <w:tcMar>
              <w:top w:w="60" w:type="dxa"/>
              <w:left w:w="90" w:type="dxa"/>
              <w:bottom w:w="60" w:type="dxa"/>
              <w:right w:w="90" w:type="dxa"/>
            </w:tcMar>
          </w:tcPr>
          <w:p w14:paraId="2BB35C9F" w14:textId="77777777" w:rsidR="008064B9" w:rsidRDefault="00000000" w:rsidP="003A798E">
            <w:pPr>
              <w:spacing w:before="100" w:beforeAutospacing="1" w:after="100" w:afterAutospacing="1"/>
            </w:pPr>
            <w:r>
              <w:rPr>
                <w:sz w:val="19"/>
                <w:szCs w:val="19"/>
              </w:rPr>
              <w:t>Kapoor &amp; Narayanan (2023); Kawasaki et al. (2025); Mollentze et al. (2021)</w:t>
            </w:r>
          </w:p>
        </w:tc>
      </w:tr>
      <w:tr w:rsidR="008064B9" w14:paraId="53CBF004" w14:textId="77777777">
        <w:tc>
          <w:tcPr>
            <w:tcW w:w="1872" w:type="dxa"/>
            <w:tcMar>
              <w:top w:w="60" w:type="dxa"/>
              <w:left w:w="90" w:type="dxa"/>
              <w:bottom w:w="60" w:type="dxa"/>
              <w:right w:w="90" w:type="dxa"/>
            </w:tcMar>
          </w:tcPr>
          <w:p w14:paraId="4703C4B4" w14:textId="77777777" w:rsidR="008064B9" w:rsidRDefault="00000000" w:rsidP="003A798E">
            <w:pPr>
              <w:spacing w:before="100" w:beforeAutospacing="1" w:after="100" w:afterAutospacing="1"/>
            </w:pPr>
            <w:r>
              <w:rPr>
                <w:sz w:val="19"/>
                <w:szCs w:val="19"/>
              </w:rPr>
              <w:t>Whether spillover frequency indexes host jump risk</w:t>
            </w:r>
          </w:p>
        </w:tc>
        <w:tc>
          <w:tcPr>
            <w:tcW w:w="1872" w:type="dxa"/>
            <w:tcMar>
              <w:top w:w="60" w:type="dxa"/>
              <w:left w:w="90" w:type="dxa"/>
              <w:bottom w:w="60" w:type="dxa"/>
              <w:right w:w="90" w:type="dxa"/>
            </w:tcMar>
          </w:tcPr>
          <w:p w14:paraId="769E1550" w14:textId="77777777" w:rsidR="008064B9" w:rsidRDefault="00000000" w:rsidP="003A798E">
            <w:pPr>
              <w:spacing w:before="100" w:beforeAutospacing="1" w:after="100" w:afterAutospacing="1"/>
            </w:pPr>
            <w:r>
              <w:rPr>
                <w:sz w:val="19"/>
                <w:szCs w:val="19"/>
              </w:rPr>
              <w:t>Frequent spillover marks pathogens likely to establish in new hosts</w:t>
            </w:r>
          </w:p>
        </w:tc>
        <w:tc>
          <w:tcPr>
            <w:tcW w:w="1872" w:type="dxa"/>
            <w:tcMar>
              <w:top w:w="60" w:type="dxa"/>
              <w:left w:w="90" w:type="dxa"/>
              <w:bottom w:w="60" w:type="dxa"/>
              <w:right w:w="90" w:type="dxa"/>
            </w:tcMar>
          </w:tcPr>
          <w:p w14:paraId="29A49BCB" w14:textId="77777777" w:rsidR="008064B9" w:rsidRDefault="00000000" w:rsidP="003A798E">
            <w:pPr>
              <w:spacing w:before="100" w:beforeAutospacing="1" w:after="100" w:afterAutospacing="1"/>
            </w:pPr>
            <w:r>
              <w:rPr>
                <w:sz w:val="19"/>
                <w:szCs w:val="19"/>
              </w:rPr>
              <w:t>Novelty to the recipient host, not spillover rate, predicts host jump</w:t>
            </w:r>
          </w:p>
        </w:tc>
        <w:tc>
          <w:tcPr>
            <w:tcW w:w="1872" w:type="dxa"/>
            <w:tcMar>
              <w:top w:w="60" w:type="dxa"/>
              <w:left w:w="90" w:type="dxa"/>
              <w:bottom w:w="60" w:type="dxa"/>
              <w:right w:w="90" w:type="dxa"/>
            </w:tcMar>
          </w:tcPr>
          <w:p w14:paraId="2AF98CCB" w14:textId="77777777" w:rsidR="008064B9" w:rsidRDefault="00000000" w:rsidP="003A798E">
            <w:pPr>
              <w:spacing w:before="100" w:beforeAutospacing="1" w:after="100" w:afterAutospacing="1"/>
            </w:pPr>
            <w:r>
              <w:rPr>
                <w:sz w:val="19"/>
                <w:szCs w:val="19"/>
              </w:rPr>
              <w:t>The two positions optimise against different target variables</w:t>
            </w:r>
          </w:p>
        </w:tc>
        <w:tc>
          <w:tcPr>
            <w:tcW w:w="1872" w:type="dxa"/>
            <w:tcMar>
              <w:top w:w="60" w:type="dxa"/>
              <w:left w:w="90" w:type="dxa"/>
              <w:bottom w:w="60" w:type="dxa"/>
              <w:right w:w="90" w:type="dxa"/>
            </w:tcMar>
          </w:tcPr>
          <w:p w14:paraId="429B1D9D" w14:textId="77777777" w:rsidR="008064B9" w:rsidRDefault="00000000" w:rsidP="003A798E">
            <w:pPr>
              <w:spacing w:before="100" w:beforeAutospacing="1" w:after="100" w:afterAutospacing="1"/>
            </w:pPr>
            <w:r>
              <w:rPr>
                <w:sz w:val="19"/>
                <w:szCs w:val="19"/>
              </w:rPr>
              <w:t>Simony &amp; Kennedy (2026)</w:t>
            </w:r>
          </w:p>
        </w:tc>
      </w:tr>
      <w:tr w:rsidR="008064B9" w14:paraId="76C86BC8" w14:textId="77777777">
        <w:tc>
          <w:tcPr>
            <w:tcW w:w="1872" w:type="dxa"/>
            <w:tcMar>
              <w:top w:w="60" w:type="dxa"/>
              <w:left w:w="90" w:type="dxa"/>
              <w:bottom w:w="60" w:type="dxa"/>
              <w:right w:w="90" w:type="dxa"/>
            </w:tcMar>
          </w:tcPr>
          <w:p w14:paraId="51C3BD71" w14:textId="77777777" w:rsidR="008064B9" w:rsidRDefault="00000000" w:rsidP="003A798E">
            <w:pPr>
              <w:spacing w:before="100" w:beforeAutospacing="1" w:after="100" w:afterAutospacing="1"/>
            </w:pPr>
            <w:r>
              <w:rPr>
                <w:sz w:val="19"/>
                <w:szCs w:val="19"/>
              </w:rPr>
              <w:t>Transferability of host prediction models across taxa and datasets</w:t>
            </w:r>
          </w:p>
        </w:tc>
        <w:tc>
          <w:tcPr>
            <w:tcW w:w="1872" w:type="dxa"/>
            <w:tcMar>
              <w:top w:w="60" w:type="dxa"/>
              <w:left w:w="90" w:type="dxa"/>
              <w:bottom w:w="60" w:type="dxa"/>
              <w:right w:w="90" w:type="dxa"/>
            </w:tcMar>
          </w:tcPr>
          <w:p w14:paraId="5D4778C8" w14:textId="77777777" w:rsidR="008064B9" w:rsidRDefault="00000000" w:rsidP="003A798E">
            <w:pPr>
              <w:spacing w:before="100" w:beforeAutospacing="1" w:after="100" w:afterAutospacing="1"/>
            </w:pPr>
            <w:r>
              <w:rPr>
                <w:sz w:val="19"/>
                <w:szCs w:val="19"/>
              </w:rPr>
              <w:t>Models trained on curated association data generalise</w:t>
            </w:r>
          </w:p>
        </w:tc>
        <w:tc>
          <w:tcPr>
            <w:tcW w:w="1872" w:type="dxa"/>
            <w:tcMar>
              <w:top w:w="60" w:type="dxa"/>
              <w:left w:w="90" w:type="dxa"/>
              <w:bottom w:w="60" w:type="dxa"/>
              <w:right w:w="90" w:type="dxa"/>
            </w:tcMar>
          </w:tcPr>
          <w:p w14:paraId="19F17D9B" w14:textId="77777777" w:rsidR="008064B9" w:rsidRDefault="00000000" w:rsidP="003A798E">
            <w:pPr>
              <w:spacing w:before="100" w:beforeAutospacing="1" w:after="100" w:afterAutospacing="1"/>
            </w:pPr>
            <w:r>
              <w:rPr>
                <w:sz w:val="19"/>
                <w:szCs w:val="19"/>
              </w:rPr>
              <w:t>Performance is dominated by dataset construction and host category definition</w:t>
            </w:r>
          </w:p>
        </w:tc>
        <w:tc>
          <w:tcPr>
            <w:tcW w:w="1872" w:type="dxa"/>
            <w:tcMar>
              <w:top w:w="60" w:type="dxa"/>
              <w:left w:w="90" w:type="dxa"/>
              <w:bottom w:w="60" w:type="dxa"/>
              <w:right w:w="90" w:type="dxa"/>
            </w:tcMar>
          </w:tcPr>
          <w:p w14:paraId="606C5AD4" w14:textId="77777777" w:rsidR="008064B9" w:rsidRDefault="00000000" w:rsidP="003A798E">
            <w:pPr>
              <w:spacing w:before="100" w:beforeAutospacing="1" w:after="100" w:afterAutospacing="1"/>
            </w:pPr>
            <w:r>
              <w:rPr>
                <w:sz w:val="19"/>
                <w:szCs w:val="19"/>
              </w:rPr>
              <w:t>Differences in negative-set construction and class balance</w:t>
            </w:r>
          </w:p>
        </w:tc>
        <w:tc>
          <w:tcPr>
            <w:tcW w:w="1872" w:type="dxa"/>
            <w:tcMar>
              <w:top w:w="60" w:type="dxa"/>
              <w:left w:w="90" w:type="dxa"/>
              <w:bottom w:w="60" w:type="dxa"/>
              <w:right w:w="90" w:type="dxa"/>
            </w:tcMar>
          </w:tcPr>
          <w:p w14:paraId="37E567B5" w14:textId="77777777" w:rsidR="008064B9" w:rsidRDefault="00000000" w:rsidP="003A798E">
            <w:pPr>
              <w:spacing w:before="100" w:beforeAutospacing="1" w:after="100" w:afterAutospacing="1"/>
            </w:pPr>
            <w:r>
              <w:rPr>
                <w:sz w:val="19"/>
                <w:szCs w:val="19"/>
              </w:rPr>
              <w:t>Carbajo et al. (2026); Tran et al. (2025)</w:t>
            </w:r>
          </w:p>
        </w:tc>
      </w:tr>
      <w:tr w:rsidR="008064B9" w14:paraId="5BDC5ED9" w14:textId="77777777">
        <w:tc>
          <w:tcPr>
            <w:tcW w:w="1872" w:type="dxa"/>
            <w:tcMar>
              <w:top w:w="60" w:type="dxa"/>
              <w:left w:w="90" w:type="dxa"/>
              <w:bottom w:w="60" w:type="dxa"/>
              <w:right w:w="90" w:type="dxa"/>
            </w:tcMar>
          </w:tcPr>
          <w:p w14:paraId="01DBE07B" w14:textId="77777777" w:rsidR="008064B9" w:rsidRDefault="00000000" w:rsidP="003A798E">
            <w:pPr>
              <w:spacing w:before="100" w:beforeAutospacing="1" w:after="100" w:afterAutospacing="1"/>
            </w:pPr>
            <w:r>
              <w:rPr>
                <w:sz w:val="19"/>
                <w:szCs w:val="19"/>
              </w:rPr>
              <w:t>Readiness of artificial intelligence for spillover prediction in practice</w:t>
            </w:r>
          </w:p>
        </w:tc>
        <w:tc>
          <w:tcPr>
            <w:tcW w:w="1872" w:type="dxa"/>
            <w:tcMar>
              <w:top w:w="60" w:type="dxa"/>
              <w:left w:w="90" w:type="dxa"/>
              <w:bottom w:w="60" w:type="dxa"/>
              <w:right w:w="90" w:type="dxa"/>
            </w:tcMar>
          </w:tcPr>
          <w:p w14:paraId="6B3F75DE" w14:textId="77777777" w:rsidR="008064B9" w:rsidRDefault="00000000" w:rsidP="003A798E">
            <w:pPr>
              <w:spacing w:before="100" w:beforeAutospacing="1" w:after="100" w:afterAutospacing="1"/>
            </w:pPr>
            <w:r>
              <w:rPr>
                <w:sz w:val="19"/>
                <w:szCs w:val="19"/>
              </w:rPr>
              <w:t>Convergence of genomics and machine learning makes prediction attainable</w:t>
            </w:r>
          </w:p>
        </w:tc>
        <w:tc>
          <w:tcPr>
            <w:tcW w:w="1872" w:type="dxa"/>
            <w:tcMar>
              <w:top w:w="60" w:type="dxa"/>
              <w:left w:w="90" w:type="dxa"/>
              <w:bottom w:w="60" w:type="dxa"/>
              <w:right w:w="90" w:type="dxa"/>
            </w:tcMar>
          </w:tcPr>
          <w:p w14:paraId="7C99C5C6" w14:textId="77777777" w:rsidR="008064B9" w:rsidRDefault="00000000" w:rsidP="003A798E">
            <w:pPr>
              <w:spacing w:before="100" w:beforeAutospacing="1" w:after="100" w:afterAutospacing="1"/>
            </w:pPr>
            <w:r>
              <w:rPr>
                <w:sz w:val="19"/>
                <w:szCs w:val="19"/>
              </w:rPr>
              <w:t>Current data cannot support prospective prediction</w:t>
            </w:r>
          </w:p>
        </w:tc>
        <w:tc>
          <w:tcPr>
            <w:tcW w:w="1872" w:type="dxa"/>
            <w:tcMar>
              <w:top w:w="60" w:type="dxa"/>
              <w:left w:w="90" w:type="dxa"/>
              <w:bottom w:w="60" w:type="dxa"/>
              <w:right w:w="90" w:type="dxa"/>
            </w:tcMar>
          </w:tcPr>
          <w:p w14:paraId="32454513" w14:textId="77777777" w:rsidR="008064B9" w:rsidRDefault="00000000" w:rsidP="003A798E">
            <w:pPr>
              <w:spacing w:before="100" w:beforeAutospacing="1" w:after="100" w:afterAutospacing="1"/>
            </w:pPr>
            <w:r>
              <w:rPr>
                <w:sz w:val="19"/>
                <w:szCs w:val="19"/>
              </w:rPr>
              <w:t>Divergent standards for what constitutes prediction rather than description</w:t>
            </w:r>
          </w:p>
        </w:tc>
        <w:tc>
          <w:tcPr>
            <w:tcW w:w="1872" w:type="dxa"/>
            <w:tcMar>
              <w:top w:w="60" w:type="dxa"/>
              <w:left w:w="90" w:type="dxa"/>
              <w:bottom w:w="60" w:type="dxa"/>
              <w:right w:w="90" w:type="dxa"/>
            </w:tcMar>
          </w:tcPr>
          <w:p w14:paraId="2677C564" w14:textId="77777777" w:rsidR="008064B9" w:rsidRDefault="00000000" w:rsidP="003A798E">
            <w:pPr>
              <w:spacing w:before="100" w:beforeAutospacing="1" w:after="100" w:afterAutospacing="1"/>
            </w:pPr>
            <w:r>
              <w:rPr>
                <w:sz w:val="19"/>
                <w:szCs w:val="19"/>
              </w:rPr>
              <w:t>Koopmans et al. (2026); Kraemer et al. (2025)</w:t>
            </w:r>
          </w:p>
        </w:tc>
      </w:tr>
    </w:tbl>
    <w:p w14:paraId="302F9CA6" w14:textId="77777777" w:rsidR="008064B9" w:rsidRDefault="008064B9" w:rsidP="003A798E">
      <w:pPr>
        <w:spacing w:before="100" w:beforeAutospacing="1" w:after="100" w:afterAutospacing="1"/>
      </w:pPr>
    </w:p>
    <w:p w14:paraId="2D9962C6" w14:textId="77777777" w:rsidR="008064B9" w:rsidRDefault="00000000" w:rsidP="003A798E">
      <w:pPr>
        <w:spacing w:before="100" w:beforeAutospacing="1" w:after="100" w:afterAutospacing="1"/>
      </w:pPr>
      <w:r>
        <w:rPr>
          <w:i/>
          <w:iCs/>
          <w:sz w:val="19"/>
          <w:szCs w:val="19"/>
        </w:rPr>
        <w:t xml:space="preserve">Note. </w:t>
      </w:r>
      <w:r>
        <w:rPr>
          <w:sz w:val="19"/>
          <w:szCs w:val="19"/>
        </w:rPr>
        <w:t>Positions are characterised as they appear in the cited literature and are not attributed as the settled views of individual authors. Explanations are offered as the most parsimonious account consistent with the cited evidence.</w:t>
      </w:r>
    </w:p>
    <w:p w14:paraId="706F10EE" w14:textId="77777777" w:rsidR="008064B9" w:rsidRDefault="00000000" w:rsidP="003A798E">
      <w:pPr>
        <w:pStyle w:val="Heading2"/>
        <w:spacing w:before="100" w:beforeAutospacing="1" w:after="100" w:afterAutospacing="1"/>
      </w:pPr>
      <w:r>
        <w:t>6. Genotype-to-Phenotype Prediction of Antimicrobial Resistance Across Sectors</w:t>
      </w:r>
    </w:p>
    <w:p w14:paraId="6FE973D8" w14:textId="77777777" w:rsidR="008064B9" w:rsidRDefault="00000000" w:rsidP="003A798E">
      <w:pPr>
        <w:pStyle w:val="Heading3"/>
        <w:spacing w:before="100" w:beforeAutospacing="1" w:after="100" w:afterAutospacing="1"/>
      </w:pPr>
      <w:r>
        <w:t>6.1 The task and its reference infrastructure</w:t>
      </w:r>
    </w:p>
    <w:p w14:paraId="6A0E0932" w14:textId="77777777" w:rsidR="008064B9" w:rsidRDefault="00000000" w:rsidP="003A798E">
      <w:pPr>
        <w:spacing w:before="100" w:beforeAutospacing="1" w:after="100" w:afterAutospacing="1"/>
        <w:jc w:val="both"/>
      </w:pPr>
      <w:r>
        <w:t>Antimicrobial resistance is the domain in which One Health genomics has the clearest policy mandate and the most developed data infrastructure. The global burden analysis attributed a very large number of deaths annually to bacterial resistance and projected continued increase to mid-century (GBD 2021 Antimicrobial Resistance Collaborators, 2024), and resistance determinants demonstrably circulate between human, animal and environmental compartments. Prediction of resistance phenotype from genotype is consequently attractive: it would permit surveillance from sequence alone in matrices where culture-based susceptibility testing is impractical, which describes most environmental and much veterinary sampling.</w:t>
      </w:r>
    </w:p>
    <w:p w14:paraId="3783BA60" w14:textId="77777777" w:rsidR="008064B9" w:rsidRDefault="00000000" w:rsidP="003A798E">
      <w:pPr>
        <w:spacing w:before="100" w:beforeAutospacing="1" w:after="100" w:afterAutospacing="1"/>
        <w:jc w:val="both"/>
      </w:pPr>
      <w:r>
        <w:lastRenderedPageBreak/>
        <w:t>The reference infrastructure supporting this task is comparatively mature. Curated resistance gene catalogues with associated detection tools provide standardised determinant identification (Feldgarden et al., 2021), and comprehensive resistance databases have expanded curation explicitly to support machine learning and resistome prediction (Alcock et al., 2023). Rule-based prediction of phenotype from genotype has been implemented and evaluated across multiple species and antimicrobial classes (Bortolaia et al., 2020). This infrastructure distinguishes the resistance domain from cross-species risk prediction, since it provides an auditable mapping between sequence features and biological function that is independent of the surveillance dataset being analysed.</w:t>
      </w:r>
    </w:p>
    <w:p w14:paraId="5391CE57" w14:textId="77777777" w:rsidR="008064B9" w:rsidRDefault="00000000" w:rsidP="003A798E">
      <w:pPr>
        <w:pStyle w:val="Heading3"/>
        <w:spacing w:before="100" w:beforeAutospacing="1" w:after="100" w:afterAutospacing="1"/>
      </w:pPr>
      <w:r>
        <w:t>6.2 Performance, interpretability and their trade-off</w:t>
      </w:r>
    </w:p>
    <w:p w14:paraId="1BA5B4CD" w14:textId="77777777" w:rsidR="008064B9" w:rsidRDefault="00000000" w:rsidP="003A798E">
      <w:pPr>
        <w:spacing w:before="100" w:beforeAutospacing="1" w:after="100" w:afterAutospacing="1"/>
        <w:jc w:val="both"/>
      </w:pPr>
      <w:r>
        <w:t xml:space="preserve">Recent supervised approaches report useful accuracy in specific organisms. Multi-level resistance prediction in </w:t>
      </w:r>
      <w:r>
        <w:rPr>
          <w:i/>
          <w:iCs/>
        </w:rPr>
        <w:t>Klebsiella pneumoniae</w:t>
      </w:r>
      <w:r>
        <w:t xml:space="preserve"> from whole-genome sequence data has been reported using machine learning across several antimicrobial classes (Jia et al., 2026). Work directed at interpretability has sought models whose predictions can be traced to specific genomic features rather than accepted as opaque outputs (Mediouni et al., 2025). Interpretability is not a secondary concern in this setting. A resistance prediction that cannot be attributed to identifiable determinants cannot be audited against the reference catalogues, cannot be updated when a new determinant is characterised, and cannot support the regulatory and clinical governance that susceptibility reporting requires.</w:t>
      </w:r>
    </w:p>
    <w:p w14:paraId="3F15E41B" w14:textId="77777777" w:rsidR="008064B9" w:rsidRDefault="00000000" w:rsidP="003A798E">
      <w:pPr>
        <w:spacing w:before="100" w:beforeAutospacing="1" w:after="100" w:afterAutospacing="1"/>
        <w:jc w:val="both"/>
      </w:pPr>
      <w:r>
        <w:t>Performance is nonetheless strongly taxon-dependent and class-dependent, and the reasons are structural. Prediction is most reliable where resistance is conferred by acquired genes with well-characterised function and where large phenotype-linked genome collections exist. It is least reliable where resistance arises from combinations of chromosomal mutations, from changes in expression rather than sequence, or from mechanisms that are poorly represented in reference catalogues. Because those latter mechanisms are more prevalent in some species and antimicrobial classes than others, aggregate performance figures across a panel of organisms conceal substantial variation. Reporting practices that emphasise mean accuracy across a panel therefore overstate reliability for the specific organism–drug combinations that clinicians and surveillance programmes actually need.</w:t>
      </w:r>
    </w:p>
    <w:p w14:paraId="45DCAC29" w14:textId="77777777" w:rsidR="008064B9" w:rsidRDefault="00000000" w:rsidP="003A798E">
      <w:pPr>
        <w:spacing w:before="100" w:beforeAutospacing="1" w:after="100" w:afterAutospacing="1"/>
        <w:jc w:val="both"/>
      </w:pPr>
      <w:r>
        <w:t>A further limitation is that the great majority of phenotype-linked training data derive from clinical isolates. Applying models trained on such data to environmental or agricultural isolates involves an unstated assumption of transferability, and evidence bearing on that assumption is scarce. The genomic context of a resistance determinant, its host chromosomal background and the selective regime under which it was acquired all differ across compartments, and each of these can modify the genotype–phenotype relationship. Studies that generate paired genotype and phenotype data outside clinical settings are the direct remedy and remain uncommon.</w:t>
      </w:r>
    </w:p>
    <w:p w14:paraId="3DC57E41" w14:textId="77777777" w:rsidR="008064B9" w:rsidRDefault="00000000" w:rsidP="003A798E">
      <w:pPr>
        <w:pStyle w:val="Heading3"/>
        <w:spacing w:before="100" w:beforeAutospacing="1" w:after="100" w:afterAutospacing="1"/>
      </w:pPr>
      <w:r>
        <w:t>6.3 The equity dimension of resistance genomics</w:t>
      </w:r>
    </w:p>
    <w:p w14:paraId="5C8969E4" w14:textId="77777777" w:rsidR="008064B9" w:rsidRDefault="00000000" w:rsidP="003A798E">
      <w:pPr>
        <w:spacing w:before="100" w:beforeAutospacing="1" w:after="100" w:afterAutospacing="1"/>
        <w:jc w:val="both"/>
      </w:pPr>
      <w:r>
        <w:t>The distribution of resistance genomic capacity is itself a determinant of what the field knows. A recent analysis characterised the genomic surveillance gap in resistance as requiring global equity and action rather than technical advance alone (Aanensen et al., 2026). Evaluation of bioinformatics tool selection for decentralised resistance surveillance in Africa identified the practical constraints that determine whether sequence data can be analysed where they are generated, including computational requirements, offline operation and training needs (Lacy-Roberts et al., 2026). A broader appraisal of One Health genomics in Africa identified both opportunities and structural obstacles for outbreak and resistance control (Derar et al., 2026).</w:t>
      </w:r>
    </w:p>
    <w:p w14:paraId="1EB02759" w14:textId="77777777" w:rsidR="008064B9" w:rsidRDefault="00000000" w:rsidP="003A798E">
      <w:pPr>
        <w:spacing w:before="100" w:beforeAutospacing="1" w:after="100" w:afterAutospacing="1"/>
        <w:jc w:val="both"/>
      </w:pPr>
      <w:r>
        <w:t>These constraints have direct analytical consequences that are frequently omitted from methodological papers. Models trained predominantly on isolates from high-income settings encode the resistance determinants, clonal backgrounds and selective histories prevalent in those settings. Their application elsewhere is an extrapolation whose validity has rarely been tested, and where such models underpin treatment guidance or surveillance interpretation, the extrapolation carries clinical risk. The equity problem is therefore not solely a matter of fairness in resource distribution; it is a source of measurable model misspecification.</w:t>
      </w:r>
    </w:p>
    <w:p w14:paraId="66E23ACD" w14:textId="77777777" w:rsidR="008064B9" w:rsidRDefault="00000000" w:rsidP="003A798E">
      <w:pPr>
        <w:pStyle w:val="Heading2"/>
        <w:spacing w:before="100" w:beforeAutospacing="1" w:after="100" w:afterAutospacing="1"/>
      </w:pPr>
      <w:r>
        <w:lastRenderedPageBreak/>
        <w:t>7. Environmental and Wastewater Genomics as the Integrative Layer</w:t>
      </w:r>
    </w:p>
    <w:p w14:paraId="0FF6B087" w14:textId="77777777" w:rsidR="008064B9" w:rsidRDefault="00000000" w:rsidP="003A798E">
      <w:pPr>
        <w:pStyle w:val="Heading3"/>
        <w:spacing w:before="100" w:beforeAutospacing="1" w:after="100" w:afterAutospacing="1"/>
      </w:pPr>
      <w:r>
        <w:t>7.1 Population-level sampling without individual ascertainment</w:t>
      </w:r>
    </w:p>
    <w:p w14:paraId="05DEEDA8" w14:textId="77777777" w:rsidR="008064B9" w:rsidRDefault="00000000" w:rsidP="003A798E">
      <w:pPr>
        <w:spacing w:before="100" w:beforeAutospacing="1" w:after="100" w:afterAutospacing="1"/>
        <w:jc w:val="both"/>
      </w:pPr>
      <w:r>
        <w:t>Wastewater and environmental sampling occupy a distinctive position in the One Health architecture because they aggregate signal across a population without requiring individual clinical presentation. Global sewage metagenomics established the feasibility of comparative resistance monitoring across many countries, revealing systematic regional differences in resistome composition (Hendriksen et al., 2019), and subsequent analysis extended this to more than one hundred countries with sufficient resolution to describe a global landscape of resistance (Munk et al., 2022). The conceptual argument for sewage as a surveillance substrate was set out explicitly in terms of its capacity to capture community-level carriage rather than clinical isolates alone (Aarestrup &amp; Woolhouse, 2020).</w:t>
      </w:r>
    </w:p>
    <w:p w14:paraId="54500BDD" w14:textId="77777777" w:rsidR="008064B9" w:rsidRDefault="00000000" w:rsidP="003A798E">
      <w:pPr>
        <w:spacing w:before="100" w:beforeAutospacing="1" w:after="100" w:afterAutospacing="1"/>
        <w:jc w:val="both"/>
      </w:pPr>
      <w:r>
        <w:t>The approach has since been applied at national scale and across settings. Comparison of high-throughput quantitative polymerase chain reaction with metagenomic approaches for national resistance surveillance found the methods to differ in sensitivity and in the breadth of determinants detected, with implications for how programme results should be interpreted (Knight et al., 2024). Metagenomic profiling of wastewater across metropolitan areas has characterised resistance patterns at city scale (Singh et al., 2026), and coordinated environmental genomic surveillance has been established across sub-Saharan African settings (Baker et al., 2026). Viral applications have developed in parallel, with wastewater genomic surveillance for severe acute respiratory syndrome coronavirus 2 reviewed comprehensively in terms of approaches, challenges and opportunities (Munteanu et al., 2026), and with specific attention to implementation in low-income countries where clinical surveillance is sparse (Wardi et al., 2024).</w:t>
      </w:r>
    </w:p>
    <w:p w14:paraId="1DE40237" w14:textId="77777777" w:rsidR="008064B9" w:rsidRDefault="00000000" w:rsidP="003A798E">
      <w:pPr>
        <w:pStyle w:val="Heading3"/>
        <w:spacing w:before="100" w:beforeAutospacing="1" w:after="100" w:afterAutospacing="1"/>
      </w:pPr>
      <w:r>
        <w:t>7.2 Analytical limitations that constrain inference</w:t>
      </w:r>
    </w:p>
    <w:p w14:paraId="4F35C528" w14:textId="77777777" w:rsidR="008064B9" w:rsidRDefault="00000000" w:rsidP="003A798E">
      <w:pPr>
        <w:spacing w:before="100" w:beforeAutospacing="1" w:after="100" w:afterAutospacing="1"/>
        <w:jc w:val="both"/>
      </w:pPr>
      <w:r>
        <w:t>Environmental genomics carries analytical burdens that differ from those of isolate sequencing, and these have been articulated most clearly in recent methodological appraisal of wastewater resistance surveillance (Hughes et al., 2026). Sequence reads from complex matrices must be assigned to organisms and functions in the presence of high diversity and incomplete reference coverage. Relative abundance is influenced by extraction efficiency, matrix composition, dilution and degradation, so quantitative comparison across sites or over time requires normalisation whose validity is difficult to establish. Critically for the One Health argument, detection of a resistance gene in a metagenome does not establish which organism carries it, whether it is on a mobile element, or whether the host organism is a pathogen. Linkage between determinant and host is precisely the information required to infer cross-sector transmission, and it is the information that short-read metagenomics is least able to provide.</w:t>
      </w:r>
    </w:p>
    <w:p w14:paraId="5CD96CD1" w14:textId="77777777" w:rsidR="008064B9" w:rsidRDefault="00000000" w:rsidP="003A798E">
      <w:pPr>
        <w:spacing w:before="100" w:beforeAutospacing="1" w:after="100" w:afterAutospacing="1"/>
        <w:jc w:val="both"/>
      </w:pPr>
      <w:r>
        <w:t>Machine learning is often proposed as the solution to these problems, and its contribution should be characterised carefully. Read classification, binning and assembly all benefit from learned models, and improvements in these areas are real. They do not, however, resolve the underlying identifiability problem: information about genomic linkage that is absent from short reads cannot be recovered by a classifier, however sophisticated. Long-read and hybridisation capture approaches address the problem at the level of data generation rather than analysis (Russell et al., 2025), which is the more defensible strategy. The distinction between analytical improvement and data generation improvement is one that the literature does not always maintain.</w:t>
      </w:r>
    </w:p>
    <w:p w14:paraId="1C306D3D" w14:textId="77777777" w:rsidR="008064B9" w:rsidRDefault="00000000" w:rsidP="003A798E">
      <w:pPr>
        <w:spacing w:before="100" w:beforeAutospacing="1" w:after="100" w:afterAutospacing="1"/>
        <w:jc w:val="both"/>
      </w:pPr>
      <w:r>
        <w:t xml:space="preserve">Table 4 summarises the principal methodological limitations that recur across the domains reviewed. The limitations are grouped by the level at which they arise, because the appropriate remedy differs accordingly: constraints arising from sampling design cannot be corrected analytically, whereas those arising from evaluation design can be. Two features of the table warrant emphasis. First, the most consequential limitations are concentrated at the data generation and sampling levels rather than at the modelling level, which is the inverse of where methodological effort in the literature is concentrated. Second, several limitations are mutually reinforcing: uneven geographical sampling produces training sets that are unrepresentative, which produces </w:t>
      </w:r>
      <w:r>
        <w:lastRenderedPageBreak/>
        <w:t>models whose failure is invisible under internal validation, which permits deployment in settings where the failure would matter most.</w:t>
      </w:r>
    </w:p>
    <w:p w14:paraId="08DB7270" w14:textId="77777777" w:rsidR="008064B9" w:rsidRDefault="00000000" w:rsidP="003A798E">
      <w:pPr>
        <w:spacing w:before="100" w:beforeAutospacing="1" w:after="100" w:afterAutospacing="1"/>
      </w:pPr>
      <w:r>
        <w:rPr>
          <w:b/>
          <w:bCs/>
          <w:sz w:val="21"/>
          <w:szCs w:val="21"/>
        </w:rPr>
        <w:t xml:space="preserve">Table 4. </w:t>
      </w:r>
      <w:r>
        <w:rPr>
          <w:sz w:val="21"/>
          <w:szCs w:val="21"/>
        </w:rPr>
        <w:t>Recurrent methodological limitations across the reviewed literature, grouped by level of origin</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47667C05" w14:textId="77777777">
        <w:trPr>
          <w:tblHeader/>
        </w:trPr>
        <w:tc>
          <w:tcPr>
            <w:tcW w:w="1872" w:type="dxa"/>
            <w:shd w:val="clear" w:color="auto" w:fill="E8E8E8"/>
            <w:tcMar>
              <w:top w:w="60" w:type="dxa"/>
              <w:left w:w="90" w:type="dxa"/>
              <w:bottom w:w="60" w:type="dxa"/>
              <w:right w:w="90" w:type="dxa"/>
            </w:tcMar>
          </w:tcPr>
          <w:p w14:paraId="65C1EBC8" w14:textId="77777777" w:rsidR="008064B9" w:rsidRDefault="00000000" w:rsidP="003A798E">
            <w:pPr>
              <w:spacing w:before="100" w:beforeAutospacing="1" w:after="100" w:afterAutospacing="1"/>
            </w:pPr>
            <w:r>
              <w:rPr>
                <w:b/>
                <w:bCs/>
                <w:sz w:val="19"/>
                <w:szCs w:val="19"/>
              </w:rPr>
              <w:t>Level</w:t>
            </w:r>
          </w:p>
        </w:tc>
        <w:tc>
          <w:tcPr>
            <w:tcW w:w="1872" w:type="dxa"/>
            <w:shd w:val="clear" w:color="auto" w:fill="E8E8E8"/>
            <w:tcMar>
              <w:top w:w="60" w:type="dxa"/>
              <w:left w:w="90" w:type="dxa"/>
              <w:bottom w:w="60" w:type="dxa"/>
              <w:right w:w="90" w:type="dxa"/>
            </w:tcMar>
          </w:tcPr>
          <w:p w14:paraId="5B7F413B" w14:textId="77777777" w:rsidR="008064B9" w:rsidRDefault="00000000" w:rsidP="003A798E">
            <w:pPr>
              <w:spacing w:before="100" w:beforeAutospacing="1" w:after="100" w:afterAutospacing="1"/>
            </w:pPr>
            <w:r>
              <w:rPr>
                <w:b/>
                <w:bCs/>
                <w:sz w:val="19"/>
                <w:szCs w:val="19"/>
              </w:rPr>
              <w:t>Limitation</w:t>
            </w:r>
          </w:p>
        </w:tc>
        <w:tc>
          <w:tcPr>
            <w:tcW w:w="1872" w:type="dxa"/>
            <w:shd w:val="clear" w:color="auto" w:fill="E8E8E8"/>
            <w:tcMar>
              <w:top w:w="60" w:type="dxa"/>
              <w:left w:w="90" w:type="dxa"/>
              <w:bottom w:w="60" w:type="dxa"/>
              <w:right w:w="90" w:type="dxa"/>
            </w:tcMar>
          </w:tcPr>
          <w:p w14:paraId="3BF64BA7" w14:textId="77777777" w:rsidR="008064B9" w:rsidRDefault="00000000" w:rsidP="003A798E">
            <w:pPr>
              <w:spacing w:before="100" w:beforeAutospacing="1" w:after="100" w:afterAutospacing="1"/>
            </w:pPr>
            <w:r>
              <w:rPr>
                <w:b/>
                <w:bCs/>
                <w:sz w:val="19"/>
                <w:szCs w:val="19"/>
              </w:rPr>
              <w:t>Domains most affected</w:t>
            </w:r>
          </w:p>
        </w:tc>
        <w:tc>
          <w:tcPr>
            <w:tcW w:w="1872" w:type="dxa"/>
            <w:shd w:val="clear" w:color="auto" w:fill="E8E8E8"/>
            <w:tcMar>
              <w:top w:w="60" w:type="dxa"/>
              <w:left w:w="90" w:type="dxa"/>
              <w:bottom w:w="60" w:type="dxa"/>
              <w:right w:w="90" w:type="dxa"/>
            </w:tcMar>
          </w:tcPr>
          <w:p w14:paraId="72C109A0" w14:textId="77777777" w:rsidR="008064B9" w:rsidRDefault="00000000" w:rsidP="003A798E">
            <w:pPr>
              <w:spacing w:before="100" w:beforeAutospacing="1" w:after="100" w:afterAutospacing="1"/>
            </w:pPr>
            <w:r>
              <w:rPr>
                <w:b/>
                <w:bCs/>
                <w:sz w:val="19"/>
                <w:szCs w:val="19"/>
              </w:rPr>
              <w:t>Analytically correctable?</w:t>
            </w:r>
          </w:p>
        </w:tc>
        <w:tc>
          <w:tcPr>
            <w:tcW w:w="1872" w:type="dxa"/>
            <w:shd w:val="clear" w:color="auto" w:fill="E8E8E8"/>
            <w:tcMar>
              <w:top w:w="60" w:type="dxa"/>
              <w:left w:w="90" w:type="dxa"/>
              <w:bottom w:w="60" w:type="dxa"/>
              <w:right w:w="90" w:type="dxa"/>
            </w:tcMar>
          </w:tcPr>
          <w:p w14:paraId="729B35A9" w14:textId="77777777" w:rsidR="008064B9" w:rsidRDefault="00000000" w:rsidP="003A798E">
            <w:pPr>
              <w:spacing w:before="100" w:beforeAutospacing="1" w:after="100" w:afterAutospacing="1"/>
            </w:pPr>
            <w:r>
              <w:rPr>
                <w:b/>
                <w:bCs/>
                <w:sz w:val="19"/>
                <w:szCs w:val="19"/>
              </w:rPr>
              <w:t>Supporting references</w:t>
            </w:r>
          </w:p>
        </w:tc>
      </w:tr>
      <w:tr w:rsidR="008064B9" w14:paraId="32E0EB82" w14:textId="77777777">
        <w:tc>
          <w:tcPr>
            <w:tcW w:w="1872" w:type="dxa"/>
            <w:tcMar>
              <w:top w:w="60" w:type="dxa"/>
              <w:left w:w="90" w:type="dxa"/>
              <w:bottom w:w="60" w:type="dxa"/>
              <w:right w:w="90" w:type="dxa"/>
            </w:tcMar>
          </w:tcPr>
          <w:p w14:paraId="41B0ADBF" w14:textId="77777777" w:rsidR="008064B9" w:rsidRDefault="00000000" w:rsidP="003A798E">
            <w:pPr>
              <w:spacing w:before="100" w:beforeAutospacing="1" w:after="100" w:afterAutospacing="1"/>
            </w:pPr>
            <w:r>
              <w:rPr>
                <w:sz w:val="19"/>
                <w:szCs w:val="19"/>
              </w:rPr>
              <w:t>Sampling</w:t>
            </w:r>
          </w:p>
        </w:tc>
        <w:tc>
          <w:tcPr>
            <w:tcW w:w="1872" w:type="dxa"/>
            <w:tcMar>
              <w:top w:w="60" w:type="dxa"/>
              <w:left w:w="90" w:type="dxa"/>
              <w:bottom w:w="60" w:type="dxa"/>
              <w:right w:w="90" w:type="dxa"/>
            </w:tcMar>
          </w:tcPr>
          <w:p w14:paraId="320661BD" w14:textId="77777777" w:rsidR="008064B9" w:rsidRDefault="00000000" w:rsidP="003A798E">
            <w:pPr>
              <w:spacing w:before="100" w:beforeAutospacing="1" w:after="100" w:afterAutospacing="1"/>
            </w:pPr>
            <w:r>
              <w:rPr>
                <w:sz w:val="19"/>
                <w:szCs w:val="19"/>
              </w:rPr>
              <w:t>Geographical concentration of sequencing capacity and output</w:t>
            </w:r>
          </w:p>
        </w:tc>
        <w:tc>
          <w:tcPr>
            <w:tcW w:w="1872" w:type="dxa"/>
            <w:tcMar>
              <w:top w:w="60" w:type="dxa"/>
              <w:left w:w="90" w:type="dxa"/>
              <w:bottom w:w="60" w:type="dxa"/>
              <w:right w:w="90" w:type="dxa"/>
            </w:tcMar>
          </w:tcPr>
          <w:p w14:paraId="39E051F9" w14:textId="77777777" w:rsidR="008064B9" w:rsidRDefault="00000000" w:rsidP="003A798E">
            <w:pPr>
              <w:spacing w:before="100" w:beforeAutospacing="1" w:after="100" w:afterAutospacing="1"/>
            </w:pPr>
            <w:r>
              <w:rPr>
                <w:sz w:val="19"/>
                <w:szCs w:val="19"/>
              </w:rPr>
              <w:t>All domains; acute in resistance and viral surveillance</w:t>
            </w:r>
          </w:p>
        </w:tc>
        <w:tc>
          <w:tcPr>
            <w:tcW w:w="1872" w:type="dxa"/>
            <w:tcMar>
              <w:top w:w="60" w:type="dxa"/>
              <w:left w:w="90" w:type="dxa"/>
              <w:bottom w:w="60" w:type="dxa"/>
              <w:right w:w="90" w:type="dxa"/>
            </w:tcMar>
          </w:tcPr>
          <w:p w14:paraId="6DB58DC7" w14:textId="77777777" w:rsidR="008064B9" w:rsidRDefault="00000000" w:rsidP="003A798E">
            <w:pPr>
              <w:spacing w:before="100" w:beforeAutospacing="1" w:after="100" w:afterAutospacing="1"/>
            </w:pPr>
            <w:r>
              <w:rPr>
                <w:sz w:val="19"/>
                <w:szCs w:val="19"/>
              </w:rPr>
              <w:t>No; requires investment in distributed capacity</w:t>
            </w:r>
          </w:p>
        </w:tc>
        <w:tc>
          <w:tcPr>
            <w:tcW w:w="1872" w:type="dxa"/>
            <w:tcMar>
              <w:top w:w="60" w:type="dxa"/>
              <w:left w:w="90" w:type="dxa"/>
              <w:bottom w:w="60" w:type="dxa"/>
              <w:right w:w="90" w:type="dxa"/>
            </w:tcMar>
          </w:tcPr>
          <w:p w14:paraId="690D00B4" w14:textId="77777777" w:rsidR="008064B9" w:rsidRDefault="00000000" w:rsidP="003A798E">
            <w:pPr>
              <w:spacing w:before="100" w:beforeAutospacing="1" w:after="100" w:afterAutospacing="1"/>
            </w:pPr>
            <w:r>
              <w:rPr>
                <w:sz w:val="19"/>
                <w:szCs w:val="19"/>
              </w:rPr>
              <w:t>Aanensen et al. (2026); Brito et al. (2022); Getchell et al. (2024)</w:t>
            </w:r>
          </w:p>
        </w:tc>
      </w:tr>
      <w:tr w:rsidR="008064B9" w14:paraId="5A9E1B41" w14:textId="77777777">
        <w:tc>
          <w:tcPr>
            <w:tcW w:w="1872" w:type="dxa"/>
            <w:tcMar>
              <w:top w:w="60" w:type="dxa"/>
              <w:left w:w="90" w:type="dxa"/>
              <w:bottom w:w="60" w:type="dxa"/>
              <w:right w:w="90" w:type="dxa"/>
            </w:tcMar>
          </w:tcPr>
          <w:p w14:paraId="79B7A633" w14:textId="77777777" w:rsidR="008064B9" w:rsidRDefault="00000000" w:rsidP="003A798E">
            <w:pPr>
              <w:spacing w:before="100" w:beforeAutospacing="1" w:after="100" w:afterAutospacing="1"/>
            </w:pPr>
            <w:r>
              <w:rPr>
                <w:sz w:val="19"/>
                <w:szCs w:val="19"/>
              </w:rPr>
              <w:t>Sampling</w:t>
            </w:r>
          </w:p>
        </w:tc>
        <w:tc>
          <w:tcPr>
            <w:tcW w:w="1872" w:type="dxa"/>
            <w:tcMar>
              <w:top w:w="60" w:type="dxa"/>
              <w:left w:w="90" w:type="dxa"/>
              <w:bottom w:w="60" w:type="dxa"/>
              <w:right w:w="90" w:type="dxa"/>
            </w:tcMar>
          </w:tcPr>
          <w:p w14:paraId="156FF9C7" w14:textId="77777777" w:rsidR="008064B9" w:rsidRDefault="00000000" w:rsidP="003A798E">
            <w:pPr>
              <w:spacing w:before="100" w:beforeAutospacing="1" w:after="100" w:afterAutospacing="1"/>
            </w:pPr>
            <w:r>
              <w:rPr>
                <w:sz w:val="19"/>
                <w:szCs w:val="19"/>
              </w:rPr>
              <w:t>Research effort recorded as biological signal in host–virus databases</w:t>
            </w:r>
          </w:p>
        </w:tc>
        <w:tc>
          <w:tcPr>
            <w:tcW w:w="1872" w:type="dxa"/>
            <w:tcMar>
              <w:top w:w="60" w:type="dxa"/>
              <w:left w:w="90" w:type="dxa"/>
              <w:bottom w:w="60" w:type="dxa"/>
              <w:right w:w="90" w:type="dxa"/>
            </w:tcMar>
          </w:tcPr>
          <w:p w14:paraId="03CDF587" w14:textId="77777777" w:rsidR="008064B9" w:rsidRDefault="00000000" w:rsidP="003A798E">
            <w:pPr>
              <w:spacing w:before="100" w:beforeAutospacing="1" w:after="100" w:afterAutospacing="1"/>
            </w:pPr>
            <w:r>
              <w:rPr>
                <w:sz w:val="19"/>
                <w:szCs w:val="19"/>
              </w:rPr>
              <w:t>Cross-species risk prediction</w:t>
            </w:r>
          </w:p>
        </w:tc>
        <w:tc>
          <w:tcPr>
            <w:tcW w:w="1872" w:type="dxa"/>
            <w:tcMar>
              <w:top w:w="60" w:type="dxa"/>
              <w:left w:w="90" w:type="dxa"/>
              <w:bottom w:w="60" w:type="dxa"/>
              <w:right w:w="90" w:type="dxa"/>
            </w:tcMar>
          </w:tcPr>
          <w:p w14:paraId="0F50F24B" w14:textId="77777777" w:rsidR="008064B9" w:rsidRDefault="00000000" w:rsidP="003A798E">
            <w:pPr>
              <w:spacing w:before="100" w:beforeAutospacing="1" w:after="100" w:afterAutospacing="1"/>
            </w:pPr>
            <w:r>
              <w:rPr>
                <w:sz w:val="19"/>
                <w:szCs w:val="19"/>
              </w:rPr>
              <w:t>No; requires structured sampling of understudied taxa</w:t>
            </w:r>
          </w:p>
        </w:tc>
        <w:tc>
          <w:tcPr>
            <w:tcW w:w="1872" w:type="dxa"/>
            <w:tcMar>
              <w:top w:w="60" w:type="dxa"/>
              <w:left w:w="90" w:type="dxa"/>
              <w:bottom w:w="60" w:type="dxa"/>
              <w:right w:w="90" w:type="dxa"/>
            </w:tcMar>
          </w:tcPr>
          <w:p w14:paraId="2F6BEE34" w14:textId="77777777" w:rsidR="008064B9" w:rsidRDefault="00000000" w:rsidP="003A798E">
            <w:pPr>
              <w:spacing w:before="100" w:beforeAutospacing="1" w:after="100" w:afterAutospacing="1"/>
            </w:pPr>
            <w:r>
              <w:rPr>
                <w:sz w:val="19"/>
                <w:szCs w:val="19"/>
              </w:rPr>
              <w:t>Mollentze &amp; Streicker (2020); Simony &amp; Kennedy (2026)</w:t>
            </w:r>
          </w:p>
        </w:tc>
      </w:tr>
      <w:tr w:rsidR="008064B9" w14:paraId="3FB3D597" w14:textId="77777777">
        <w:tc>
          <w:tcPr>
            <w:tcW w:w="1872" w:type="dxa"/>
            <w:tcMar>
              <w:top w:w="60" w:type="dxa"/>
              <w:left w:w="90" w:type="dxa"/>
              <w:bottom w:w="60" w:type="dxa"/>
              <w:right w:w="90" w:type="dxa"/>
            </w:tcMar>
          </w:tcPr>
          <w:p w14:paraId="7E8868B2" w14:textId="77777777" w:rsidR="008064B9" w:rsidRDefault="00000000" w:rsidP="003A798E">
            <w:pPr>
              <w:spacing w:before="100" w:beforeAutospacing="1" w:after="100" w:afterAutospacing="1"/>
            </w:pPr>
            <w:r>
              <w:rPr>
                <w:sz w:val="19"/>
                <w:szCs w:val="19"/>
              </w:rPr>
              <w:t>Sampling</w:t>
            </w:r>
          </w:p>
        </w:tc>
        <w:tc>
          <w:tcPr>
            <w:tcW w:w="1872" w:type="dxa"/>
            <w:tcMar>
              <w:top w:w="60" w:type="dxa"/>
              <w:left w:w="90" w:type="dxa"/>
              <w:bottom w:w="60" w:type="dxa"/>
              <w:right w:w="90" w:type="dxa"/>
            </w:tcMar>
          </w:tcPr>
          <w:p w14:paraId="52257DEF" w14:textId="77777777" w:rsidR="008064B9" w:rsidRDefault="00000000" w:rsidP="003A798E">
            <w:pPr>
              <w:spacing w:before="100" w:beforeAutospacing="1" w:after="100" w:afterAutospacing="1"/>
            </w:pPr>
            <w:r>
              <w:rPr>
                <w:sz w:val="19"/>
                <w:szCs w:val="19"/>
              </w:rPr>
              <w:t>Under-representation of animal and environmental sectors relative to human</w:t>
            </w:r>
          </w:p>
        </w:tc>
        <w:tc>
          <w:tcPr>
            <w:tcW w:w="1872" w:type="dxa"/>
            <w:tcMar>
              <w:top w:w="60" w:type="dxa"/>
              <w:left w:w="90" w:type="dxa"/>
              <w:bottom w:w="60" w:type="dxa"/>
              <w:right w:w="90" w:type="dxa"/>
            </w:tcMar>
          </w:tcPr>
          <w:p w14:paraId="035D0AAD" w14:textId="77777777" w:rsidR="008064B9" w:rsidRDefault="00000000" w:rsidP="003A798E">
            <w:pPr>
              <w:spacing w:before="100" w:beforeAutospacing="1" w:after="100" w:afterAutospacing="1"/>
            </w:pPr>
            <w:r>
              <w:rPr>
                <w:sz w:val="19"/>
                <w:szCs w:val="19"/>
              </w:rPr>
              <w:t>One Health integration</w:t>
            </w:r>
          </w:p>
        </w:tc>
        <w:tc>
          <w:tcPr>
            <w:tcW w:w="1872" w:type="dxa"/>
            <w:tcMar>
              <w:top w:w="60" w:type="dxa"/>
              <w:left w:w="90" w:type="dxa"/>
              <w:bottom w:w="60" w:type="dxa"/>
              <w:right w:w="90" w:type="dxa"/>
            </w:tcMar>
          </w:tcPr>
          <w:p w14:paraId="236F41F3" w14:textId="77777777" w:rsidR="008064B9" w:rsidRDefault="00000000" w:rsidP="003A798E">
            <w:pPr>
              <w:spacing w:before="100" w:beforeAutospacing="1" w:after="100" w:afterAutospacing="1"/>
            </w:pPr>
            <w:r>
              <w:rPr>
                <w:sz w:val="19"/>
                <w:szCs w:val="19"/>
              </w:rPr>
              <w:t>No; requires cross-sector programme design</w:t>
            </w:r>
          </w:p>
        </w:tc>
        <w:tc>
          <w:tcPr>
            <w:tcW w:w="1872" w:type="dxa"/>
            <w:tcMar>
              <w:top w:w="60" w:type="dxa"/>
              <w:left w:w="90" w:type="dxa"/>
              <w:bottom w:w="60" w:type="dxa"/>
              <w:right w:w="90" w:type="dxa"/>
            </w:tcMar>
          </w:tcPr>
          <w:p w14:paraId="7E41DC78" w14:textId="77777777" w:rsidR="008064B9" w:rsidRDefault="00000000" w:rsidP="003A798E">
            <w:pPr>
              <w:spacing w:before="100" w:beforeAutospacing="1" w:after="100" w:afterAutospacing="1"/>
            </w:pPr>
            <w:r>
              <w:rPr>
                <w:sz w:val="19"/>
                <w:szCs w:val="19"/>
              </w:rPr>
              <w:t>Elton et al. (2025); Gupta et al. (2025)</w:t>
            </w:r>
          </w:p>
        </w:tc>
      </w:tr>
      <w:tr w:rsidR="008064B9" w14:paraId="2DE30FEF" w14:textId="77777777">
        <w:tc>
          <w:tcPr>
            <w:tcW w:w="1872" w:type="dxa"/>
            <w:tcMar>
              <w:top w:w="60" w:type="dxa"/>
              <w:left w:w="90" w:type="dxa"/>
              <w:bottom w:w="60" w:type="dxa"/>
              <w:right w:w="90" w:type="dxa"/>
            </w:tcMar>
          </w:tcPr>
          <w:p w14:paraId="7115CE34" w14:textId="77777777" w:rsidR="008064B9" w:rsidRDefault="00000000" w:rsidP="003A798E">
            <w:pPr>
              <w:spacing w:before="100" w:beforeAutospacing="1" w:after="100" w:afterAutospacing="1"/>
            </w:pPr>
            <w:r>
              <w:rPr>
                <w:sz w:val="19"/>
                <w:szCs w:val="19"/>
              </w:rPr>
              <w:t>Data generation</w:t>
            </w:r>
          </w:p>
        </w:tc>
        <w:tc>
          <w:tcPr>
            <w:tcW w:w="1872" w:type="dxa"/>
            <w:tcMar>
              <w:top w:w="60" w:type="dxa"/>
              <w:left w:w="90" w:type="dxa"/>
              <w:bottom w:w="60" w:type="dxa"/>
              <w:right w:w="90" w:type="dxa"/>
            </w:tcMar>
          </w:tcPr>
          <w:p w14:paraId="6C94A49D" w14:textId="77777777" w:rsidR="008064B9" w:rsidRDefault="00000000" w:rsidP="003A798E">
            <w:pPr>
              <w:spacing w:before="100" w:beforeAutospacing="1" w:after="100" w:afterAutospacing="1"/>
            </w:pPr>
            <w:r>
              <w:rPr>
                <w:sz w:val="19"/>
                <w:szCs w:val="19"/>
              </w:rPr>
              <w:t>Loss of genomic linkage information in short-read metagenomics</w:t>
            </w:r>
          </w:p>
        </w:tc>
        <w:tc>
          <w:tcPr>
            <w:tcW w:w="1872" w:type="dxa"/>
            <w:tcMar>
              <w:top w:w="60" w:type="dxa"/>
              <w:left w:w="90" w:type="dxa"/>
              <w:bottom w:w="60" w:type="dxa"/>
              <w:right w:w="90" w:type="dxa"/>
            </w:tcMar>
          </w:tcPr>
          <w:p w14:paraId="1D7C0177" w14:textId="77777777" w:rsidR="008064B9" w:rsidRDefault="00000000" w:rsidP="003A798E">
            <w:pPr>
              <w:spacing w:before="100" w:beforeAutospacing="1" w:after="100" w:afterAutospacing="1"/>
            </w:pPr>
            <w:r>
              <w:rPr>
                <w:sz w:val="19"/>
                <w:szCs w:val="19"/>
              </w:rPr>
              <w:t>Environmental and wastewater surveillance</w:t>
            </w:r>
          </w:p>
        </w:tc>
        <w:tc>
          <w:tcPr>
            <w:tcW w:w="1872" w:type="dxa"/>
            <w:tcMar>
              <w:top w:w="60" w:type="dxa"/>
              <w:left w:w="90" w:type="dxa"/>
              <w:bottom w:w="60" w:type="dxa"/>
              <w:right w:w="90" w:type="dxa"/>
            </w:tcMar>
          </w:tcPr>
          <w:p w14:paraId="3950F165" w14:textId="77777777" w:rsidR="008064B9" w:rsidRDefault="00000000" w:rsidP="003A798E">
            <w:pPr>
              <w:spacing w:before="100" w:beforeAutospacing="1" w:after="100" w:afterAutospacing="1"/>
            </w:pPr>
            <w:r>
              <w:rPr>
                <w:sz w:val="19"/>
                <w:szCs w:val="19"/>
              </w:rPr>
              <w:t>No; requires long-read or capture-based generation</w:t>
            </w:r>
          </w:p>
        </w:tc>
        <w:tc>
          <w:tcPr>
            <w:tcW w:w="1872" w:type="dxa"/>
            <w:tcMar>
              <w:top w:w="60" w:type="dxa"/>
              <w:left w:w="90" w:type="dxa"/>
              <w:bottom w:w="60" w:type="dxa"/>
              <w:right w:w="90" w:type="dxa"/>
            </w:tcMar>
          </w:tcPr>
          <w:p w14:paraId="71498E40" w14:textId="77777777" w:rsidR="008064B9" w:rsidRDefault="00000000" w:rsidP="003A798E">
            <w:pPr>
              <w:spacing w:before="100" w:beforeAutospacing="1" w:after="100" w:afterAutospacing="1"/>
            </w:pPr>
            <w:r>
              <w:rPr>
                <w:sz w:val="19"/>
                <w:szCs w:val="19"/>
              </w:rPr>
              <w:t>Hughes et al. (2026); Russell et al. (2025)</w:t>
            </w:r>
          </w:p>
        </w:tc>
      </w:tr>
      <w:tr w:rsidR="008064B9" w14:paraId="23B0FE5E" w14:textId="77777777">
        <w:tc>
          <w:tcPr>
            <w:tcW w:w="1872" w:type="dxa"/>
            <w:tcMar>
              <w:top w:w="60" w:type="dxa"/>
              <w:left w:w="90" w:type="dxa"/>
              <w:bottom w:w="60" w:type="dxa"/>
              <w:right w:w="90" w:type="dxa"/>
            </w:tcMar>
          </w:tcPr>
          <w:p w14:paraId="7AE6FFD7" w14:textId="77777777" w:rsidR="008064B9" w:rsidRDefault="00000000" w:rsidP="003A798E">
            <w:pPr>
              <w:spacing w:before="100" w:beforeAutospacing="1" w:after="100" w:afterAutospacing="1"/>
            </w:pPr>
            <w:r>
              <w:rPr>
                <w:sz w:val="19"/>
                <w:szCs w:val="19"/>
              </w:rPr>
              <w:t>Data generation</w:t>
            </w:r>
          </w:p>
        </w:tc>
        <w:tc>
          <w:tcPr>
            <w:tcW w:w="1872" w:type="dxa"/>
            <w:tcMar>
              <w:top w:w="60" w:type="dxa"/>
              <w:left w:w="90" w:type="dxa"/>
              <w:bottom w:w="60" w:type="dxa"/>
              <w:right w:w="90" w:type="dxa"/>
            </w:tcMar>
          </w:tcPr>
          <w:p w14:paraId="0AF1C7E8" w14:textId="77777777" w:rsidR="008064B9" w:rsidRDefault="00000000" w:rsidP="003A798E">
            <w:pPr>
              <w:spacing w:before="100" w:beforeAutospacing="1" w:after="100" w:afterAutospacing="1"/>
            </w:pPr>
            <w:r>
              <w:rPr>
                <w:sz w:val="19"/>
                <w:szCs w:val="19"/>
              </w:rPr>
              <w:t>Matrix-dependent recovery affecting quantitative comparison</w:t>
            </w:r>
          </w:p>
        </w:tc>
        <w:tc>
          <w:tcPr>
            <w:tcW w:w="1872" w:type="dxa"/>
            <w:tcMar>
              <w:top w:w="60" w:type="dxa"/>
              <w:left w:w="90" w:type="dxa"/>
              <w:bottom w:w="60" w:type="dxa"/>
              <w:right w:w="90" w:type="dxa"/>
            </w:tcMar>
          </w:tcPr>
          <w:p w14:paraId="788EB8DD" w14:textId="77777777" w:rsidR="008064B9" w:rsidRDefault="00000000" w:rsidP="003A798E">
            <w:pPr>
              <w:spacing w:before="100" w:beforeAutospacing="1" w:after="100" w:afterAutospacing="1"/>
            </w:pPr>
            <w:r>
              <w:rPr>
                <w:sz w:val="19"/>
                <w:szCs w:val="19"/>
              </w:rPr>
              <w:t>Wastewater surveillance</w:t>
            </w:r>
          </w:p>
        </w:tc>
        <w:tc>
          <w:tcPr>
            <w:tcW w:w="1872" w:type="dxa"/>
            <w:tcMar>
              <w:top w:w="60" w:type="dxa"/>
              <w:left w:w="90" w:type="dxa"/>
              <w:bottom w:w="60" w:type="dxa"/>
              <w:right w:w="90" w:type="dxa"/>
            </w:tcMar>
          </w:tcPr>
          <w:p w14:paraId="1656EF39" w14:textId="77777777" w:rsidR="008064B9" w:rsidRDefault="00000000" w:rsidP="003A798E">
            <w:pPr>
              <w:spacing w:before="100" w:beforeAutospacing="1" w:after="100" w:afterAutospacing="1"/>
            </w:pPr>
            <w:r>
              <w:rPr>
                <w:sz w:val="19"/>
                <w:szCs w:val="19"/>
              </w:rPr>
              <w:t>Partially, through normalisation of uncertain validity</w:t>
            </w:r>
          </w:p>
        </w:tc>
        <w:tc>
          <w:tcPr>
            <w:tcW w:w="1872" w:type="dxa"/>
            <w:tcMar>
              <w:top w:w="60" w:type="dxa"/>
              <w:left w:w="90" w:type="dxa"/>
              <w:bottom w:w="60" w:type="dxa"/>
              <w:right w:w="90" w:type="dxa"/>
            </w:tcMar>
          </w:tcPr>
          <w:p w14:paraId="202417C7" w14:textId="77777777" w:rsidR="008064B9" w:rsidRDefault="00000000" w:rsidP="003A798E">
            <w:pPr>
              <w:spacing w:before="100" w:beforeAutospacing="1" w:after="100" w:afterAutospacing="1"/>
            </w:pPr>
            <w:r>
              <w:rPr>
                <w:sz w:val="19"/>
                <w:szCs w:val="19"/>
              </w:rPr>
              <w:t>Knight et al. (2024); Munteanu et al. (2026)</w:t>
            </w:r>
          </w:p>
        </w:tc>
      </w:tr>
      <w:tr w:rsidR="008064B9" w14:paraId="0A16887F" w14:textId="77777777">
        <w:tc>
          <w:tcPr>
            <w:tcW w:w="1872" w:type="dxa"/>
            <w:tcMar>
              <w:top w:w="60" w:type="dxa"/>
              <w:left w:w="90" w:type="dxa"/>
              <w:bottom w:w="60" w:type="dxa"/>
              <w:right w:w="90" w:type="dxa"/>
            </w:tcMar>
          </w:tcPr>
          <w:p w14:paraId="581B2427" w14:textId="77777777" w:rsidR="008064B9" w:rsidRDefault="00000000" w:rsidP="003A798E">
            <w:pPr>
              <w:spacing w:before="100" w:beforeAutospacing="1" w:after="100" w:afterAutospacing="1"/>
            </w:pPr>
            <w:r>
              <w:rPr>
                <w:sz w:val="19"/>
                <w:szCs w:val="19"/>
              </w:rPr>
              <w:t>Metadata</w:t>
            </w:r>
          </w:p>
        </w:tc>
        <w:tc>
          <w:tcPr>
            <w:tcW w:w="1872" w:type="dxa"/>
            <w:tcMar>
              <w:top w:w="60" w:type="dxa"/>
              <w:left w:w="90" w:type="dxa"/>
              <w:bottom w:w="60" w:type="dxa"/>
              <w:right w:w="90" w:type="dxa"/>
            </w:tcMar>
          </w:tcPr>
          <w:p w14:paraId="2446DB5D" w14:textId="77777777" w:rsidR="008064B9" w:rsidRDefault="00000000" w:rsidP="003A798E">
            <w:pPr>
              <w:spacing w:before="100" w:beforeAutospacing="1" w:after="100" w:afterAutospacing="1"/>
            </w:pPr>
            <w:r>
              <w:rPr>
                <w:sz w:val="19"/>
                <w:szCs w:val="19"/>
              </w:rPr>
              <w:t>Absent or non-interoperable contextual data limiting cross-sector linkage</w:t>
            </w:r>
          </w:p>
        </w:tc>
        <w:tc>
          <w:tcPr>
            <w:tcW w:w="1872" w:type="dxa"/>
            <w:tcMar>
              <w:top w:w="60" w:type="dxa"/>
              <w:left w:w="90" w:type="dxa"/>
              <w:bottom w:w="60" w:type="dxa"/>
              <w:right w:w="90" w:type="dxa"/>
            </w:tcMar>
          </w:tcPr>
          <w:p w14:paraId="4D5A478A" w14:textId="77777777" w:rsidR="008064B9" w:rsidRDefault="00000000" w:rsidP="003A798E">
            <w:pPr>
              <w:spacing w:before="100" w:beforeAutospacing="1" w:after="100" w:afterAutospacing="1"/>
            </w:pPr>
            <w:r>
              <w:rPr>
                <w:sz w:val="19"/>
                <w:szCs w:val="19"/>
              </w:rPr>
              <w:t>All integrative analyses</w:t>
            </w:r>
          </w:p>
        </w:tc>
        <w:tc>
          <w:tcPr>
            <w:tcW w:w="1872" w:type="dxa"/>
            <w:tcMar>
              <w:top w:w="60" w:type="dxa"/>
              <w:left w:w="90" w:type="dxa"/>
              <w:bottom w:w="60" w:type="dxa"/>
              <w:right w:w="90" w:type="dxa"/>
            </w:tcMar>
          </w:tcPr>
          <w:p w14:paraId="1B776149" w14:textId="77777777" w:rsidR="008064B9" w:rsidRDefault="00000000" w:rsidP="003A798E">
            <w:pPr>
              <w:spacing w:before="100" w:beforeAutospacing="1" w:after="100" w:afterAutospacing="1"/>
            </w:pPr>
            <w:r>
              <w:rPr>
                <w:sz w:val="19"/>
                <w:szCs w:val="19"/>
              </w:rPr>
              <w:t>Partially, through specification adoption</w:t>
            </w:r>
          </w:p>
        </w:tc>
        <w:tc>
          <w:tcPr>
            <w:tcW w:w="1872" w:type="dxa"/>
            <w:tcMar>
              <w:top w:w="60" w:type="dxa"/>
              <w:left w:w="90" w:type="dxa"/>
              <w:bottom w:w="60" w:type="dxa"/>
              <w:right w:w="90" w:type="dxa"/>
            </w:tcMar>
          </w:tcPr>
          <w:p w14:paraId="4DDBF36D" w14:textId="77777777" w:rsidR="008064B9" w:rsidRDefault="00000000" w:rsidP="003A798E">
            <w:pPr>
              <w:spacing w:before="100" w:beforeAutospacing="1" w:after="100" w:afterAutospacing="1"/>
            </w:pPr>
            <w:r>
              <w:rPr>
                <w:sz w:val="19"/>
                <w:szCs w:val="19"/>
              </w:rPr>
              <w:t>Ara et al., 2026; Griffiths et al. (2026)</w:t>
            </w:r>
          </w:p>
        </w:tc>
      </w:tr>
      <w:tr w:rsidR="008064B9" w14:paraId="0EF87E69" w14:textId="77777777">
        <w:tc>
          <w:tcPr>
            <w:tcW w:w="1872" w:type="dxa"/>
            <w:tcMar>
              <w:top w:w="60" w:type="dxa"/>
              <w:left w:w="90" w:type="dxa"/>
              <w:bottom w:w="60" w:type="dxa"/>
              <w:right w:w="90" w:type="dxa"/>
            </w:tcMar>
          </w:tcPr>
          <w:p w14:paraId="1D7F3932" w14:textId="77777777" w:rsidR="008064B9" w:rsidRDefault="00000000" w:rsidP="003A798E">
            <w:pPr>
              <w:spacing w:before="100" w:beforeAutospacing="1" w:after="100" w:afterAutospacing="1"/>
            </w:pPr>
            <w:r>
              <w:rPr>
                <w:sz w:val="19"/>
                <w:szCs w:val="19"/>
              </w:rPr>
              <w:t>Evaluation</w:t>
            </w:r>
          </w:p>
        </w:tc>
        <w:tc>
          <w:tcPr>
            <w:tcW w:w="1872" w:type="dxa"/>
            <w:tcMar>
              <w:top w:w="60" w:type="dxa"/>
              <w:left w:w="90" w:type="dxa"/>
              <w:bottom w:w="60" w:type="dxa"/>
              <w:right w:w="90" w:type="dxa"/>
            </w:tcMar>
          </w:tcPr>
          <w:p w14:paraId="34C1EA76" w14:textId="77777777" w:rsidR="008064B9" w:rsidRDefault="00000000" w:rsidP="003A798E">
            <w:pPr>
              <w:spacing w:before="100" w:beforeAutospacing="1" w:after="100" w:afterAutospacing="1"/>
            </w:pPr>
            <w:r>
              <w:rPr>
                <w:sz w:val="19"/>
                <w:szCs w:val="19"/>
              </w:rPr>
              <w:t>Random partitioning permitting leakage between related sequences</w:t>
            </w:r>
          </w:p>
        </w:tc>
        <w:tc>
          <w:tcPr>
            <w:tcW w:w="1872" w:type="dxa"/>
            <w:tcMar>
              <w:top w:w="60" w:type="dxa"/>
              <w:left w:w="90" w:type="dxa"/>
              <w:bottom w:w="60" w:type="dxa"/>
              <w:right w:w="90" w:type="dxa"/>
            </w:tcMar>
          </w:tcPr>
          <w:p w14:paraId="0E4C8CA8" w14:textId="77777777" w:rsidR="008064B9" w:rsidRDefault="00000000" w:rsidP="003A798E">
            <w:pPr>
              <w:spacing w:before="100" w:beforeAutospacing="1" w:after="100" w:afterAutospacing="1"/>
            </w:pPr>
            <w:r>
              <w:rPr>
                <w:sz w:val="19"/>
                <w:szCs w:val="19"/>
              </w:rPr>
              <w:t>Host prediction; resistance prediction</w:t>
            </w:r>
          </w:p>
        </w:tc>
        <w:tc>
          <w:tcPr>
            <w:tcW w:w="1872" w:type="dxa"/>
            <w:tcMar>
              <w:top w:w="60" w:type="dxa"/>
              <w:left w:w="90" w:type="dxa"/>
              <w:bottom w:w="60" w:type="dxa"/>
              <w:right w:w="90" w:type="dxa"/>
            </w:tcMar>
          </w:tcPr>
          <w:p w14:paraId="29BCD011" w14:textId="77777777" w:rsidR="008064B9" w:rsidRDefault="00000000" w:rsidP="003A798E">
            <w:pPr>
              <w:spacing w:before="100" w:beforeAutospacing="1" w:after="100" w:afterAutospacing="1"/>
            </w:pPr>
            <w:r>
              <w:rPr>
                <w:sz w:val="19"/>
                <w:szCs w:val="19"/>
              </w:rPr>
              <w:t>Yes; phylogenetically aware partitioning</w:t>
            </w:r>
          </w:p>
        </w:tc>
        <w:tc>
          <w:tcPr>
            <w:tcW w:w="1872" w:type="dxa"/>
            <w:tcMar>
              <w:top w:w="60" w:type="dxa"/>
              <w:left w:w="90" w:type="dxa"/>
              <w:bottom w:w="60" w:type="dxa"/>
              <w:right w:w="90" w:type="dxa"/>
            </w:tcMar>
          </w:tcPr>
          <w:p w14:paraId="4B86D725" w14:textId="77777777" w:rsidR="008064B9" w:rsidRDefault="00000000" w:rsidP="003A798E">
            <w:pPr>
              <w:spacing w:before="100" w:beforeAutospacing="1" w:after="100" w:afterAutospacing="1"/>
            </w:pPr>
            <w:r>
              <w:rPr>
                <w:sz w:val="19"/>
                <w:szCs w:val="19"/>
              </w:rPr>
              <w:t>Kapoor &amp; Narayanan (2023); Kawasaki et al. (2025)</w:t>
            </w:r>
          </w:p>
        </w:tc>
      </w:tr>
      <w:tr w:rsidR="008064B9" w14:paraId="0AB34B6B" w14:textId="77777777">
        <w:tc>
          <w:tcPr>
            <w:tcW w:w="1872" w:type="dxa"/>
            <w:tcMar>
              <w:top w:w="60" w:type="dxa"/>
              <w:left w:w="90" w:type="dxa"/>
              <w:bottom w:w="60" w:type="dxa"/>
              <w:right w:w="90" w:type="dxa"/>
            </w:tcMar>
          </w:tcPr>
          <w:p w14:paraId="6E163F0F" w14:textId="77777777" w:rsidR="008064B9" w:rsidRDefault="00000000" w:rsidP="003A798E">
            <w:pPr>
              <w:spacing w:before="100" w:beforeAutospacing="1" w:after="100" w:afterAutospacing="1"/>
            </w:pPr>
            <w:r>
              <w:rPr>
                <w:sz w:val="19"/>
                <w:szCs w:val="19"/>
              </w:rPr>
              <w:t>Evaluation</w:t>
            </w:r>
          </w:p>
        </w:tc>
        <w:tc>
          <w:tcPr>
            <w:tcW w:w="1872" w:type="dxa"/>
            <w:tcMar>
              <w:top w:w="60" w:type="dxa"/>
              <w:left w:w="90" w:type="dxa"/>
              <w:bottom w:w="60" w:type="dxa"/>
              <w:right w:w="90" w:type="dxa"/>
            </w:tcMar>
          </w:tcPr>
          <w:p w14:paraId="667E1623" w14:textId="77777777" w:rsidR="008064B9" w:rsidRDefault="00000000" w:rsidP="003A798E">
            <w:pPr>
              <w:spacing w:before="100" w:beforeAutospacing="1" w:after="100" w:afterAutospacing="1"/>
            </w:pPr>
            <w:r>
              <w:rPr>
                <w:sz w:val="19"/>
                <w:szCs w:val="19"/>
              </w:rPr>
              <w:t>Absence of external validation on independently collected data</w:t>
            </w:r>
          </w:p>
        </w:tc>
        <w:tc>
          <w:tcPr>
            <w:tcW w:w="1872" w:type="dxa"/>
            <w:tcMar>
              <w:top w:w="60" w:type="dxa"/>
              <w:left w:w="90" w:type="dxa"/>
              <w:bottom w:w="60" w:type="dxa"/>
              <w:right w:w="90" w:type="dxa"/>
            </w:tcMar>
          </w:tcPr>
          <w:p w14:paraId="0E2427F1" w14:textId="77777777" w:rsidR="008064B9" w:rsidRDefault="00000000" w:rsidP="003A798E">
            <w:pPr>
              <w:spacing w:before="100" w:beforeAutospacing="1" w:after="100" w:afterAutospacing="1"/>
            </w:pPr>
            <w:r>
              <w:rPr>
                <w:sz w:val="19"/>
                <w:szCs w:val="19"/>
              </w:rPr>
              <w:t>Most supervised applications</w:t>
            </w:r>
          </w:p>
        </w:tc>
        <w:tc>
          <w:tcPr>
            <w:tcW w:w="1872" w:type="dxa"/>
            <w:tcMar>
              <w:top w:w="60" w:type="dxa"/>
              <w:left w:w="90" w:type="dxa"/>
              <w:bottom w:w="60" w:type="dxa"/>
              <w:right w:w="90" w:type="dxa"/>
            </w:tcMar>
          </w:tcPr>
          <w:p w14:paraId="1C1CF942" w14:textId="77777777" w:rsidR="008064B9" w:rsidRDefault="00000000" w:rsidP="003A798E">
            <w:pPr>
              <w:spacing w:before="100" w:beforeAutospacing="1" w:after="100" w:afterAutospacing="1"/>
            </w:pPr>
            <w:r>
              <w:rPr>
                <w:sz w:val="19"/>
                <w:szCs w:val="19"/>
              </w:rPr>
              <w:t>Yes; external validation designs</w:t>
            </w:r>
          </w:p>
        </w:tc>
        <w:tc>
          <w:tcPr>
            <w:tcW w:w="1872" w:type="dxa"/>
            <w:tcMar>
              <w:top w:w="60" w:type="dxa"/>
              <w:left w:w="90" w:type="dxa"/>
              <w:bottom w:w="60" w:type="dxa"/>
              <w:right w:w="90" w:type="dxa"/>
            </w:tcMar>
          </w:tcPr>
          <w:p w14:paraId="1E930F01" w14:textId="77777777" w:rsidR="008064B9" w:rsidRDefault="00000000" w:rsidP="003A798E">
            <w:pPr>
              <w:spacing w:before="100" w:beforeAutospacing="1" w:after="100" w:afterAutospacing="1"/>
            </w:pPr>
            <w:r>
              <w:rPr>
                <w:sz w:val="19"/>
                <w:szCs w:val="19"/>
              </w:rPr>
              <w:t>Carbajo et al. (2026); Tran et al. (2025)</w:t>
            </w:r>
          </w:p>
        </w:tc>
      </w:tr>
      <w:tr w:rsidR="008064B9" w14:paraId="71336032" w14:textId="77777777">
        <w:tc>
          <w:tcPr>
            <w:tcW w:w="1872" w:type="dxa"/>
            <w:tcMar>
              <w:top w:w="60" w:type="dxa"/>
              <w:left w:w="90" w:type="dxa"/>
              <w:bottom w:w="60" w:type="dxa"/>
              <w:right w:w="90" w:type="dxa"/>
            </w:tcMar>
          </w:tcPr>
          <w:p w14:paraId="1B61083D" w14:textId="77777777" w:rsidR="008064B9" w:rsidRDefault="00000000" w:rsidP="003A798E">
            <w:pPr>
              <w:spacing w:before="100" w:beforeAutospacing="1" w:after="100" w:afterAutospacing="1"/>
            </w:pPr>
            <w:r>
              <w:rPr>
                <w:sz w:val="19"/>
                <w:szCs w:val="19"/>
              </w:rPr>
              <w:t>Evaluation</w:t>
            </w:r>
          </w:p>
        </w:tc>
        <w:tc>
          <w:tcPr>
            <w:tcW w:w="1872" w:type="dxa"/>
            <w:tcMar>
              <w:top w:w="60" w:type="dxa"/>
              <w:left w:w="90" w:type="dxa"/>
              <w:bottom w:w="60" w:type="dxa"/>
              <w:right w:w="90" w:type="dxa"/>
            </w:tcMar>
          </w:tcPr>
          <w:p w14:paraId="7485C0C2" w14:textId="77777777" w:rsidR="008064B9" w:rsidRDefault="00000000" w:rsidP="003A798E">
            <w:pPr>
              <w:spacing w:before="100" w:beforeAutospacing="1" w:after="100" w:afterAutospacing="1"/>
            </w:pPr>
            <w:r>
              <w:rPr>
                <w:sz w:val="19"/>
                <w:szCs w:val="19"/>
              </w:rPr>
              <w:t>Metrics insensitive to class imbalance in rare-event prediction</w:t>
            </w:r>
          </w:p>
        </w:tc>
        <w:tc>
          <w:tcPr>
            <w:tcW w:w="1872" w:type="dxa"/>
            <w:tcMar>
              <w:top w:w="60" w:type="dxa"/>
              <w:left w:w="90" w:type="dxa"/>
              <w:bottom w:w="60" w:type="dxa"/>
              <w:right w:w="90" w:type="dxa"/>
            </w:tcMar>
          </w:tcPr>
          <w:p w14:paraId="4A40BFF2" w14:textId="77777777" w:rsidR="008064B9" w:rsidRDefault="00000000" w:rsidP="003A798E">
            <w:pPr>
              <w:spacing w:before="100" w:beforeAutospacing="1" w:after="100" w:afterAutospacing="1"/>
            </w:pPr>
            <w:r>
              <w:rPr>
                <w:sz w:val="19"/>
                <w:szCs w:val="19"/>
              </w:rPr>
              <w:t>Spillover and emergence prediction</w:t>
            </w:r>
          </w:p>
        </w:tc>
        <w:tc>
          <w:tcPr>
            <w:tcW w:w="1872" w:type="dxa"/>
            <w:tcMar>
              <w:top w:w="60" w:type="dxa"/>
              <w:left w:w="90" w:type="dxa"/>
              <w:bottom w:w="60" w:type="dxa"/>
              <w:right w:w="90" w:type="dxa"/>
            </w:tcMar>
          </w:tcPr>
          <w:p w14:paraId="31108F4A" w14:textId="77777777" w:rsidR="008064B9" w:rsidRDefault="00000000" w:rsidP="003A798E">
            <w:pPr>
              <w:spacing w:before="100" w:beforeAutospacing="1" w:after="100" w:afterAutospacing="1"/>
            </w:pPr>
            <w:r>
              <w:rPr>
                <w:sz w:val="19"/>
                <w:szCs w:val="19"/>
              </w:rPr>
              <w:t>Yes; prevalence-appropriate metrics</w:t>
            </w:r>
          </w:p>
        </w:tc>
        <w:tc>
          <w:tcPr>
            <w:tcW w:w="1872" w:type="dxa"/>
            <w:tcMar>
              <w:top w:w="60" w:type="dxa"/>
              <w:left w:w="90" w:type="dxa"/>
              <w:bottom w:w="60" w:type="dxa"/>
              <w:right w:w="90" w:type="dxa"/>
            </w:tcMar>
          </w:tcPr>
          <w:p w14:paraId="6355E4B2" w14:textId="77777777" w:rsidR="008064B9" w:rsidRDefault="00000000" w:rsidP="003A798E">
            <w:pPr>
              <w:spacing w:before="100" w:beforeAutospacing="1" w:after="100" w:afterAutospacing="1"/>
            </w:pPr>
            <w:r>
              <w:rPr>
                <w:sz w:val="19"/>
                <w:szCs w:val="19"/>
              </w:rPr>
              <w:t>Kawasaki et al. (2025)</w:t>
            </w:r>
          </w:p>
        </w:tc>
      </w:tr>
      <w:tr w:rsidR="008064B9" w14:paraId="5BCF6952" w14:textId="77777777">
        <w:tc>
          <w:tcPr>
            <w:tcW w:w="1872" w:type="dxa"/>
            <w:tcMar>
              <w:top w:w="60" w:type="dxa"/>
              <w:left w:w="90" w:type="dxa"/>
              <w:bottom w:w="60" w:type="dxa"/>
              <w:right w:w="90" w:type="dxa"/>
            </w:tcMar>
          </w:tcPr>
          <w:p w14:paraId="5AFE4EB4" w14:textId="77777777" w:rsidR="008064B9" w:rsidRDefault="00000000" w:rsidP="003A798E">
            <w:pPr>
              <w:spacing w:before="100" w:beforeAutospacing="1" w:after="100" w:afterAutospacing="1"/>
            </w:pPr>
            <w:r>
              <w:rPr>
                <w:sz w:val="19"/>
                <w:szCs w:val="19"/>
              </w:rPr>
              <w:t>Translation</w:t>
            </w:r>
          </w:p>
        </w:tc>
        <w:tc>
          <w:tcPr>
            <w:tcW w:w="1872" w:type="dxa"/>
            <w:tcMar>
              <w:top w:w="60" w:type="dxa"/>
              <w:left w:w="90" w:type="dxa"/>
              <w:bottom w:w="60" w:type="dxa"/>
              <w:right w:w="90" w:type="dxa"/>
            </w:tcMar>
          </w:tcPr>
          <w:p w14:paraId="691E48FF" w14:textId="77777777" w:rsidR="008064B9" w:rsidRDefault="00000000" w:rsidP="003A798E">
            <w:pPr>
              <w:spacing w:before="100" w:beforeAutospacing="1" w:after="100" w:afterAutospacing="1"/>
            </w:pPr>
            <w:r>
              <w:rPr>
                <w:sz w:val="19"/>
                <w:szCs w:val="19"/>
              </w:rPr>
              <w:t>Evaluation against classification metrics rather than decision outcomes</w:t>
            </w:r>
          </w:p>
        </w:tc>
        <w:tc>
          <w:tcPr>
            <w:tcW w:w="1872" w:type="dxa"/>
            <w:tcMar>
              <w:top w:w="60" w:type="dxa"/>
              <w:left w:w="90" w:type="dxa"/>
              <w:bottom w:w="60" w:type="dxa"/>
              <w:right w:w="90" w:type="dxa"/>
            </w:tcMar>
          </w:tcPr>
          <w:p w14:paraId="49E35745" w14:textId="77777777" w:rsidR="008064B9" w:rsidRDefault="00000000" w:rsidP="003A798E">
            <w:pPr>
              <w:spacing w:before="100" w:beforeAutospacing="1" w:after="100" w:afterAutospacing="1"/>
            </w:pPr>
            <w:r>
              <w:rPr>
                <w:sz w:val="19"/>
                <w:szCs w:val="19"/>
              </w:rPr>
              <w:t>All domains</w:t>
            </w:r>
          </w:p>
        </w:tc>
        <w:tc>
          <w:tcPr>
            <w:tcW w:w="1872" w:type="dxa"/>
            <w:tcMar>
              <w:top w:w="60" w:type="dxa"/>
              <w:left w:w="90" w:type="dxa"/>
              <w:bottom w:w="60" w:type="dxa"/>
              <w:right w:w="90" w:type="dxa"/>
            </w:tcMar>
          </w:tcPr>
          <w:p w14:paraId="3197DCD7" w14:textId="77777777" w:rsidR="008064B9" w:rsidRDefault="00000000" w:rsidP="003A798E">
            <w:pPr>
              <w:spacing w:before="100" w:beforeAutospacing="1" w:after="100" w:afterAutospacing="1"/>
            </w:pPr>
            <w:r>
              <w:rPr>
                <w:sz w:val="19"/>
                <w:szCs w:val="19"/>
              </w:rPr>
              <w:t>Partially; requires outcome-linked study designs</w:t>
            </w:r>
          </w:p>
        </w:tc>
        <w:tc>
          <w:tcPr>
            <w:tcW w:w="1872" w:type="dxa"/>
            <w:tcMar>
              <w:top w:w="60" w:type="dxa"/>
              <w:left w:w="90" w:type="dxa"/>
              <w:bottom w:w="60" w:type="dxa"/>
              <w:right w:w="90" w:type="dxa"/>
            </w:tcMar>
          </w:tcPr>
          <w:p w14:paraId="29FFF7BA" w14:textId="77777777" w:rsidR="008064B9" w:rsidRDefault="00000000" w:rsidP="003A798E">
            <w:pPr>
              <w:spacing w:before="100" w:beforeAutospacing="1" w:after="100" w:afterAutospacing="1"/>
            </w:pPr>
            <w:r>
              <w:rPr>
                <w:sz w:val="19"/>
                <w:szCs w:val="19"/>
              </w:rPr>
              <w:t>Nghiem et al. (2025); Sundermann et al. (2026)</w:t>
            </w:r>
          </w:p>
        </w:tc>
      </w:tr>
    </w:tbl>
    <w:p w14:paraId="3F0844F5" w14:textId="77777777" w:rsidR="008064B9" w:rsidRDefault="008064B9" w:rsidP="003A798E">
      <w:pPr>
        <w:spacing w:before="100" w:beforeAutospacing="1" w:after="100" w:afterAutospacing="1"/>
      </w:pPr>
    </w:p>
    <w:p w14:paraId="3B4A407F" w14:textId="77777777" w:rsidR="008064B9" w:rsidRDefault="00000000" w:rsidP="003A798E">
      <w:pPr>
        <w:spacing w:before="100" w:beforeAutospacing="1" w:after="100" w:afterAutospacing="1"/>
      </w:pPr>
      <w:r>
        <w:rPr>
          <w:i/>
          <w:iCs/>
          <w:sz w:val="19"/>
          <w:szCs w:val="19"/>
        </w:rPr>
        <w:t xml:space="preserve">Note. </w:t>
      </w:r>
      <w:r>
        <w:rPr>
          <w:sz w:val="19"/>
          <w:szCs w:val="19"/>
        </w:rPr>
        <w:t>Correctability refers to whether the limitation can be addressed through analytical choices alone, as distinct from changes to sampling or data generation. Domains are indicated where a limitation is most consequential rather than exclusively present.</w:t>
      </w:r>
    </w:p>
    <w:p w14:paraId="2A992BA5" w14:textId="77777777" w:rsidR="008064B9" w:rsidRDefault="00000000" w:rsidP="003A798E">
      <w:pPr>
        <w:pStyle w:val="Heading2"/>
        <w:spacing w:before="100" w:beforeAutospacing="1" w:after="100" w:afterAutospacing="1"/>
      </w:pPr>
      <w:r>
        <w:lastRenderedPageBreak/>
        <w:t>8. Data Infrastructure, Metadata and Governance as Determinants of Analytical Validity</w:t>
      </w:r>
    </w:p>
    <w:p w14:paraId="512C14CF" w14:textId="77777777" w:rsidR="008064B9" w:rsidRDefault="00000000" w:rsidP="003A798E">
      <w:pPr>
        <w:pStyle w:val="Heading3"/>
        <w:spacing w:before="100" w:beforeAutospacing="1" w:after="100" w:afterAutospacing="1"/>
      </w:pPr>
      <w:r>
        <w:t>8.1 Sharing architectures and their consequences</w:t>
      </w:r>
    </w:p>
    <w:p w14:paraId="2327280F" w14:textId="77777777" w:rsidR="008064B9" w:rsidRDefault="00000000" w:rsidP="003A798E">
      <w:pPr>
        <w:spacing w:before="100" w:beforeAutospacing="1" w:after="100" w:afterAutospacing="1"/>
        <w:jc w:val="both"/>
      </w:pPr>
      <w:r>
        <w:t>Analytical possibility in this field is bounded by data architecture. Two broad models coexist. Open repositories provide unrestricted access with attendant analytical flexibility, and integrated public repository systems now explicitly accommodate pathogen surveillance data alongside general sequence submissions (Ara et al., 2026). Access-controlled platforms provide rapid sharing under terms that protect the interests of data generators, an arrangement that has demonstrably increased submission from countries that would otherwise withhold data (Shu &amp; McCauley, 2017). The trade-off is direct: restricted access limits reproducibility and complicates the construction of training corpora, while unrestricted access can discourage contribution from generators concerned about equitable recognition and benefit. Both effects are real, and analyses that advocate one model without acknowledging the other misrepresent the problem.</w:t>
      </w:r>
    </w:p>
    <w:p w14:paraId="30389FA4" w14:textId="77777777" w:rsidR="008064B9" w:rsidRDefault="00000000" w:rsidP="003A798E">
      <w:pPr>
        <w:spacing w:before="100" w:beforeAutospacing="1" w:after="100" w:afterAutospacing="1"/>
        <w:jc w:val="both"/>
      </w:pPr>
      <w:r>
        <w:t>Metadata is the more binding constraint for One Health analysis specifically. A sequence without host species, collection matrix, geographical origin and collection date supports phylogenetic placement but not cross-sector inference. Structured curation packages developed for mpox demonstrate the form that a solution takes, providing specifications and tooling to support collaborative surveillance with harmonised contextual data (Griffiths et al., 2026). Comparable specifications across the animal, food and environmental sectors are less developed, and their absence is the practical reason that many cross-sector analyses depend on bespoke data assembly rather than routine query.</w:t>
      </w:r>
    </w:p>
    <w:p w14:paraId="07512867" w14:textId="77777777" w:rsidR="008064B9" w:rsidRDefault="00000000" w:rsidP="003A798E">
      <w:pPr>
        <w:pStyle w:val="Heading3"/>
        <w:spacing w:before="100" w:beforeAutospacing="1" w:after="100" w:afterAutospacing="1"/>
      </w:pPr>
      <w:r>
        <w:t>8.2 Capacity distribution and its analytical consequences</w:t>
      </w:r>
    </w:p>
    <w:p w14:paraId="4F87B861" w14:textId="77777777" w:rsidR="008064B9" w:rsidRDefault="00000000" w:rsidP="003A798E">
      <w:pPr>
        <w:spacing w:before="100" w:beforeAutospacing="1" w:after="100" w:afterAutospacing="1"/>
        <w:jc w:val="both"/>
      </w:pPr>
      <w:r>
        <w:t>The unevenness of sequencing capacity has been documented repeatedly and with increasing specificity. Global analysis of coronavirus disease 2019 surveillance quantified disparities not only in the volume of sequences generated but also in the time from sample collection to submission, which determines whether data can inform response (Brito et al., 2022). Multi-country assessment across lower-resource settings in Asia identified specific bottlenecks in laboratory capacity, bioinformatics and sustainable financing (Getchell et al., 2024), and subsequent analysis identified supply chain fragility as an under-recognised constraint on sustaining genomic surveillance in the region (Stona et al., 2026). Capacity building for mpox and other emerging disease surveillance in the African Great Lakes region illustrates both the feasibility of establishing local sequencing and the persistence of dependence on external technical support (Schuele et al., 2026). The African experience during the coronavirus disease 2019 pandemic is instructive in both directions, since continental collaboration produced genomic characterisation at a scale that had not previously been achieved on the continent (Wilkinson et al., 2021) and subsequently supported detailed reconstruction of epidemic waves and variant introductions (Tegally et al., 2022), while the same analyses documented that sequencing output remained concentrated in a minority of countries and that turnaround times lengthened where reagent supply was interrupted. Development of continental-scale malaria genomic surveillance using portable platforms demonstrates that distributed generation is achievable at scale when reagent supply and training are addressed (Mwenda et al., 2026), and integrated frameworks combining artificial intelligence with One Health approaches have been proposed specifically for resource-limited settings (Mukherjee et al., 2025).</w:t>
      </w:r>
    </w:p>
    <w:p w14:paraId="24B94D96" w14:textId="77777777" w:rsidR="008064B9" w:rsidRDefault="00000000" w:rsidP="003A798E">
      <w:pPr>
        <w:spacing w:before="100" w:beforeAutospacing="1" w:after="100" w:afterAutospacing="1"/>
        <w:jc w:val="both"/>
      </w:pPr>
      <w:r>
        <w:t>Two analytical consequences follow. Models trained on data reflecting this distribution encode the pathogen diversity of well-sequenced regions, so their performance elsewhere is untested. Estimates of pathogen distribution, resistance prevalence and lineage dynamics derived from these data are subject to ascertainment bias whose magnitude varies systematically with income. Neither consequence is addressed by algorithmic improvement, and both are frequently omitted from the limitations sections of methodological papers.</w:t>
      </w:r>
    </w:p>
    <w:p w14:paraId="73E23FFE" w14:textId="77777777" w:rsidR="008064B9" w:rsidRDefault="00000000" w:rsidP="003A798E">
      <w:pPr>
        <w:pStyle w:val="Heading3"/>
        <w:spacing w:before="100" w:beforeAutospacing="1" w:after="100" w:afterAutospacing="1"/>
      </w:pPr>
      <w:r>
        <w:t>8.3 Demonstrating public health value</w:t>
      </w:r>
    </w:p>
    <w:p w14:paraId="49BDDE92" w14:textId="77777777" w:rsidR="008064B9" w:rsidRDefault="00000000" w:rsidP="003A798E">
      <w:pPr>
        <w:spacing w:before="100" w:beforeAutospacing="1" w:after="100" w:afterAutospacing="1"/>
        <w:jc w:val="both"/>
      </w:pPr>
      <w:r>
        <w:lastRenderedPageBreak/>
        <w:t xml:space="preserve">A striking feature of this literature is how rarely the value of genomic surveillance is evaluated against public health outcomes rather than technical performance. An ecological study of integrated genomic surveillance for non-typhoidal </w:t>
      </w:r>
      <w:r>
        <w:rPr>
          <w:i/>
          <w:iCs/>
        </w:rPr>
        <w:t>Salmonella</w:t>
      </w:r>
      <w:r>
        <w:t xml:space="preserve"> in Australia represents an important exception, examining the association between programme implementation and infection outcomes at population scale (Nghiem et al., 2025). Institutional evaluations of artificial intelligence–enhanced outbreak detection report investigation-level benefit within single settings (Sundermann et al., 2026). Beyond these, evidence linking genomic surveillance investment to measurable reductions in transmission, morbidity or resistance is sparse, and evidence linking machine learning components specifically to such outcomes is close to absent.</w:t>
      </w:r>
    </w:p>
    <w:p w14:paraId="14106514" w14:textId="77777777" w:rsidR="008064B9" w:rsidRDefault="00000000" w:rsidP="003A798E">
      <w:pPr>
        <w:spacing w:before="100" w:beforeAutospacing="1" w:after="100" w:afterAutospacing="1"/>
        <w:jc w:val="both"/>
      </w:pPr>
      <w:r>
        <w:t>This absence has practical consequences for the field's credibility. Investment cases for One Health genomic surveillance are constructed largely from the demonstrated informational value of genomics during the coronavirus disease 2019 pandemic, a period whose conditions were exceptional in resourcing, political attention and pathogen characteristics. Whether comparable value accrues under routine conditions, for endemic pathogens, and in the animal and environmental sectors where sampling is costlier and institutional incentives weaker, remains an open empirical question that the field has largely not attempted to answer.</w:t>
      </w:r>
    </w:p>
    <w:p w14:paraId="5402622B" w14:textId="77777777" w:rsidR="008064B9" w:rsidRDefault="00000000" w:rsidP="003A798E">
      <w:pPr>
        <w:pStyle w:val="Heading3"/>
        <w:spacing w:before="100" w:beforeAutospacing="1" w:after="100" w:afterAutospacing="1"/>
      </w:pPr>
      <w:r>
        <w:t>8.4 Dual-use considerations</w:t>
      </w:r>
    </w:p>
    <w:p w14:paraId="7A7CE468" w14:textId="77777777" w:rsidR="008064B9" w:rsidRDefault="00000000" w:rsidP="003A798E">
      <w:pPr>
        <w:spacing w:before="100" w:beforeAutospacing="1" w:after="100" w:afterAutospacing="1"/>
        <w:jc w:val="both"/>
      </w:pPr>
      <w:r>
        <w:t>Improved generative and predictive capability over pathogen sequence creates dual-use risk that is intrinsic to the capability rather than incidental to it. The same representations that support escape prediction for surveillance could in principle inform deliberate modification, and models capable of genome-scale generation extend this concern beyond individual proteins (Nguyen et al., 2024). Proposals for upstream risk–benefit review of dual-use artificial intelligence in biology argue for assessment at the point of model development rather than after publication (Hanke et al., 2026). The governance question interacts with the equity question in ways that resist simple resolution: restricting access to models and data mitigates misuse risk while entrenching the capability asymmetry that already limits the field's analytical validity. This review notes the tension without resolving it, since the empirical evidence required to evaluate the trade-off does not currently exist.</w:t>
      </w:r>
    </w:p>
    <w:p w14:paraId="2453735A" w14:textId="77777777" w:rsidR="008064B9" w:rsidRDefault="00000000" w:rsidP="003A798E">
      <w:pPr>
        <w:spacing w:before="100" w:beforeAutospacing="1" w:after="100" w:afterAutospacing="1"/>
        <w:jc w:val="both"/>
      </w:pPr>
      <w:r>
        <w:t>Table 5 relates identified gaps to proposed research priorities and to the evidence that would be required to close them.</w:t>
      </w:r>
    </w:p>
    <w:p w14:paraId="307D0A0E" w14:textId="77777777" w:rsidR="008064B9" w:rsidRDefault="00000000" w:rsidP="003A798E">
      <w:pPr>
        <w:spacing w:before="100" w:beforeAutospacing="1" w:after="100" w:afterAutospacing="1"/>
      </w:pPr>
      <w:r>
        <w:rPr>
          <w:b/>
          <w:bCs/>
          <w:sz w:val="21"/>
          <w:szCs w:val="21"/>
        </w:rPr>
        <w:t xml:space="preserve">Table 5. </w:t>
      </w:r>
      <w:r>
        <w:rPr>
          <w:sz w:val="21"/>
          <w:szCs w:val="21"/>
        </w:rPr>
        <w:t>Research gaps, proposed priorities and the evidence required to resolve them</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1326F257" w14:textId="77777777">
        <w:trPr>
          <w:tblHeader/>
        </w:trPr>
        <w:tc>
          <w:tcPr>
            <w:tcW w:w="1872" w:type="dxa"/>
            <w:shd w:val="clear" w:color="auto" w:fill="E8E8E8"/>
            <w:tcMar>
              <w:top w:w="60" w:type="dxa"/>
              <w:left w:w="90" w:type="dxa"/>
              <w:bottom w:w="60" w:type="dxa"/>
              <w:right w:w="90" w:type="dxa"/>
            </w:tcMar>
          </w:tcPr>
          <w:p w14:paraId="47F78411" w14:textId="77777777" w:rsidR="008064B9" w:rsidRDefault="00000000" w:rsidP="003A798E">
            <w:pPr>
              <w:spacing w:before="100" w:beforeAutospacing="1" w:after="100" w:afterAutospacing="1"/>
            </w:pPr>
            <w:r>
              <w:rPr>
                <w:b/>
                <w:bCs/>
                <w:sz w:val="19"/>
                <w:szCs w:val="19"/>
              </w:rPr>
              <w:t>Identified gap</w:t>
            </w:r>
          </w:p>
        </w:tc>
        <w:tc>
          <w:tcPr>
            <w:tcW w:w="1872" w:type="dxa"/>
            <w:shd w:val="clear" w:color="auto" w:fill="E8E8E8"/>
            <w:tcMar>
              <w:top w:w="60" w:type="dxa"/>
              <w:left w:w="90" w:type="dxa"/>
              <w:bottom w:w="60" w:type="dxa"/>
              <w:right w:w="90" w:type="dxa"/>
            </w:tcMar>
          </w:tcPr>
          <w:p w14:paraId="7D9256DD" w14:textId="77777777" w:rsidR="008064B9" w:rsidRDefault="00000000" w:rsidP="003A798E">
            <w:pPr>
              <w:spacing w:before="100" w:beforeAutospacing="1" w:after="100" w:afterAutospacing="1"/>
            </w:pPr>
            <w:r>
              <w:rPr>
                <w:b/>
                <w:bCs/>
                <w:sz w:val="19"/>
                <w:szCs w:val="19"/>
              </w:rPr>
              <w:t>Why current evidence is inadequate</w:t>
            </w:r>
          </w:p>
        </w:tc>
        <w:tc>
          <w:tcPr>
            <w:tcW w:w="1872" w:type="dxa"/>
            <w:shd w:val="clear" w:color="auto" w:fill="E8E8E8"/>
            <w:tcMar>
              <w:top w:w="60" w:type="dxa"/>
              <w:left w:w="90" w:type="dxa"/>
              <w:bottom w:w="60" w:type="dxa"/>
              <w:right w:w="90" w:type="dxa"/>
            </w:tcMar>
          </w:tcPr>
          <w:p w14:paraId="721B628E" w14:textId="77777777" w:rsidR="008064B9" w:rsidRDefault="00000000" w:rsidP="003A798E">
            <w:pPr>
              <w:spacing w:before="100" w:beforeAutospacing="1" w:after="100" w:afterAutospacing="1"/>
            </w:pPr>
            <w:r>
              <w:rPr>
                <w:b/>
                <w:bCs/>
                <w:sz w:val="19"/>
                <w:szCs w:val="19"/>
              </w:rPr>
              <w:t>Priority research design</w:t>
            </w:r>
          </w:p>
        </w:tc>
        <w:tc>
          <w:tcPr>
            <w:tcW w:w="1872" w:type="dxa"/>
            <w:shd w:val="clear" w:color="auto" w:fill="E8E8E8"/>
            <w:tcMar>
              <w:top w:w="60" w:type="dxa"/>
              <w:left w:w="90" w:type="dxa"/>
              <w:bottom w:w="60" w:type="dxa"/>
              <w:right w:w="90" w:type="dxa"/>
            </w:tcMar>
          </w:tcPr>
          <w:p w14:paraId="1FA0CE9C" w14:textId="77777777" w:rsidR="008064B9" w:rsidRDefault="00000000" w:rsidP="003A798E">
            <w:pPr>
              <w:spacing w:before="100" w:beforeAutospacing="1" w:after="100" w:afterAutospacing="1"/>
            </w:pPr>
            <w:r>
              <w:rPr>
                <w:b/>
                <w:bCs/>
                <w:sz w:val="19"/>
                <w:szCs w:val="19"/>
              </w:rPr>
              <w:t>Evidence that would resolve the gap</w:t>
            </w:r>
          </w:p>
        </w:tc>
        <w:tc>
          <w:tcPr>
            <w:tcW w:w="1872" w:type="dxa"/>
            <w:shd w:val="clear" w:color="auto" w:fill="E8E8E8"/>
            <w:tcMar>
              <w:top w:w="60" w:type="dxa"/>
              <w:left w:w="90" w:type="dxa"/>
              <w:bottom w:w="60" w:type="dxa"/>
              <w:right w:w="90" w:type="dxa"/>
            </w:tcMar>
          </w:tcPr>
          <w:p w14:paraId="7722F53C" w14:textId="77777777" w:rsidR="008064B9" w:rsidRDefault="00000000" w:rsidP="003A798E">
            <w:pPr>
              <w:spacing w:before="100" w:beforeAutospacing="1" w:after="100" w:afterAutospacing="1"/>
            </w:pPr>
            <w:r>
              <w:rPr>
                <w:b/>
                <w:bCs/>
                <w:sz w:val="19"/>
                <w:szCs w:val="19"/>
              </w:rPr>
              <w:t>Supporting references</w:t>
            </w:r>
          </w:p>
        </w:tc>
      </w:tr>
      <w:tr w:rsidR="008064B9" w14:paraId="04EB9B09" w14:textId="77777777">
        <w:tc>
          <w:tcPr>
            <w:tcW w:w="1872" w:type="dxa"/>
            <w:tcMar>
              <w:top w:w="60" w:type="dxa"/>
              <w:left w:w="90" w:type="dxa"/>
              <w:bottom w:w="60" w:type="dxa"/>
              <w:right w:w="90" w:type="dxa"/>
            </w:tcMar>
          </w:tcPr>
          <w:p w14:paraId="582BAAAD" w14:textId="77777777" w:rsidR="008064B9" w:rsidRDefault="00000000" w:rsidP="003A798E">
            <w:pPr>
              <w:spacing w:before="100" w:beforeAutospacing="1" w:after="100" w:afterAutospacing="1"/>
            </w:pPr>
            <w:r>
              <w:rPr>
                <w:sz w:val="19"/>
                <w:szCs w:val="19"/>
              </w:rPr>
              <w:t>Prospective validity of genome-based zoonotic risk prediction</w:t>
            </w:r>
          </w:p>
        </w:tc>
        <w:tc>
          <w:tcPr>
            <w:tcW w:w="1872" w:type="dxa"/>
            <w:tcMar>
              <w:top w:w="60" w:type="dxa"/>
              <w:left w:w="90" w:type="dxa"/>
              <w:bottom w:w="60" w:type="dxa"/>
              <w:right w:w="90" w:type="dxa"/>
            </w:tcMar>
          </w:tcPr>
          <w:p w14:paraId="1E3F9C18" w14:textId="77777777" w:rsidR="008064B9" w:rsidRDefault="00000000" w:rsidP="003A798E">
            <w:pPr>
              <w:spacing w:before="100" w:beforeAutospacing="1" w:after="100" w:afterAutospacing="1"/>
            </w:pPr>
            <w:r>
              <w:rPr>
                <w:sz w:val="19"/>
                <w:szCs w:val="19"/>
              </w:rPr>
              <w:t>Validation is retrospective; leakage inflates reported performance</w:t>
            </w:r>
          </w:p>
        </w:tc>
        <w:tc>
          <w:tcPr>
            <w:tcW w:w="1872" w:type="dxa"/>
            <w:tcMar>
              <w:top w:w="60" w:type="dxa"/>
              <w:left w:w="90" w:type="dxa"/>
              <w:bottom w:w="60" w:type="dxa"/>
              <w:right w:w="90" w:type="dxa"/>
            </w:tcMar>
          </w:tcPr>
          <w:p w14:paraId="0954181E" w14:textId="77777777" w:rsidR="008064B9" w:rsidRDefault="00000000" w:rsidP="003A798E">
            <w:pPr>
              <w:spacing w:before="100" w:beforeAutospacing="1" w:after="100" w:afterAutospacing="1"/>
            </w:pPr>
            <w:r>
              <w:rPr>
                <w:sz w:val="19"/>
                <w:szCs w:val="19"/>
              </w:rPr>
              <w:t>Prospective evaluation with pre-registered predictions and phylogenetically blocked partitions</w:t>
            </w:r>
          </w:p>
        </w:tc>
        <w:tc>
          <w:tcPr>
            <w:tcW w:w="1872" w:type="dxa"/>
            <w:tcMar>
              <w:top w:w="60" w:type="dxa"/>
              <w:left w:w="90" w:type="dxa"/>
              <w:bottom w:w="60" w:type="dxa"/>
              <w:right w:w="90" w:type="dxa"/>
            </w:tcMar>
          </w:tcPr>
          <w:p w14:paraId="7A2DF0BD" w14:textId="77777777" w:rsidR="008064B9" w:rsidRDefault="00000000" w:rsidP="003A798E">
            <w:pPr>
              <w:spacing w:before="100" w:beforeAutospacing="1" w:after="100" w:afterAutospacing="1"/>
            </w:pPr>
            <w:r>
              <w:rPr>
                <w:sz w:val="19"/>
                <w:szCs w:val="19"/>
              </w:rPr>
              <w:t>Model-prioritised candidates confirmed at higher rate than matched controls</w:t>
            </w:r>
          </w:p>
        </w:tc>
        <w:tc>
          <w:tcPr>
            <w:tcW w:w="1872" w:type="dxa"/>
            <w:tcMar>
              <w:top w:w="60" w:type="dxa"/>
              <w:left w:w="90" w:type="dxa"/>
              <w:bottom w:w="60" w:type="dxa"/>
              <w:right w:w="90" w:type="dxa"/>
            </w:tcMar>
          </w:tcPr>
          <w:p w14:paraId="4F798B8E" w14:textId="77777777" w:rsidR="008064B9" w:rsidRDefault="00000000" w:rsidP="003A798E">
            <w:pPr>
              <w:spacing w:before="100" w:beforeAutospacing="1" w:after="100" w:afterAutospacing="1"/>
            </w:pPr>
            <w:r>
              <w:rPr>
                <w:sz w:val="19"/>
                <w:szCs w:val="19"/>
              </w:rPr>
              <w:t>Kawasaki et al. (2025); Mollentze et al. (2021); Simony &amp; Kennedy (2026)</w:t>
            </w:r>
          </w:p>
        </w:tc>
      </w:tr>
      <w:tr w:rsidR="008064B9" w14:paraId="2FFC17A4" w14:textId="77777777">
        <w:tc>
          <w:tcPr>
            <w:tcW w:w="1872" w:type="dxa"/>
            <w:tcMar>
              <w:top w:w="60" w:type="dxa"/>
              <w:left w:w="90" w:type="dxa"/>
              <w:bottom w:w="60" w:type="dxa"/>
              <w:right w:w="90" w:type="dxa"/>
            </w:tcMar>
          </w:tcPr>
          <w:p w14:paraId="5DA75094" w14:textId="77777777" w:rsidR="008064B9" w:rsidRDefault="00000000" w:rsidP="003A798E">
            <w:pPr>
              <w:spacing w:before="100" w:beforeAutospacing="1" w:after="100" w:afterAutospacing="1"/>
            </w:pPr>
            <w:r>
              <w:rPr>
                <w:sz w:val="19"/>
                <w:szCs w:val="19"/>
              </w:rPr>
              <w:t>Transferability of resistance prediction beyond clinical isolates</w:t>
            </w:r>
          </w:p>
        </w:tc>
        <w:tc>
          <w:tcPr>
            <w:tcW w:w="1872" w:type="dxa"/>
            <w:tcMar>
              <w:top w:w="60" w:type="dxa"/>
              <w:left w:w="90" w:type="dxa"/>
              <w:bottom w:w="60" w:type="dxa"/>
              <w:right w:w="90" w:type="dxa"/>
            </w:tcMar>
          </w:tcPr>
          <w:p w14:paraId="76CB3353" w14:textId="77777777" w:rsidR="008064B9" w:rsidRDefault="00000000" w:rsidP="003A798E">
            <w:pPr>
              <w:spacing w:before="100" w:beforeAutospacing="1" w:after="100" w:afterAutospacing="1"/>
            </w:pPr>
            <w:r>
              <w:rPr>
                <w:sz w:val="19"/>
                <w:szCs w:val="19"/>
              </w:rPr>
              <w:t>Training data derive overwhelmingly from human clinical sources</w:t>
            </w:r>
          </w:p>
        </w:tc>
        <w:tc>
          <w:tcPr>
            <w:tcW w:w="1872" w:type="dxa"/>
            <w:tcMar>
              <w:top w:w="60" w:type="dxa"/>
              <w:left w:w="90" w:type="dxa"/>
              <w:bottom w:w="60" w:type="dxa"/>
              <w:right w:w="90" w:type="dxa"/>
            </w:tcMar>
          </w:tcPr>
          <w:p w14:paraId="6C7CF721" w14:textId="77777777" w:rsidR="008064B9" w:rsidRDefault="00000000" w:rsidP="003A798E">
            <w:pPr>
              <w:spacing w:before="100" w:beforeAutospacing="1" w:after="100" w:afterAutospacing="1"/>
            </w:pPr>
            <w:r>
              <w:rPr>
                <w:sz w:val="19"/>
                <w:szCs w:val="19"/>
              </w:rPr>
              <w:t>Paired genotype–phenotype generation in veterinary, food and environmental isolates</w:t>
            </w:r>
          </w:p>
        </w:tc>
        <w:tc>
          <w:tcPr>
            <w:tcW w:w="1872" w:type="dxa"/>
            <w:tcMar>
              <w:top w:w="60" w:type="dxa"/>
              <w:left w:w="90" w:type="dxa"/>
              <w:bottom w:w="60" w:type="dxa"/>
              <w:right w:w="90" w:type="dxa"/>
            </w:tcMar>
          </w:tcPr>
          <w:p w14:paraId="1121901F" w14:textId="77777777" w:rsidR="008064B9" w:rsidRDefault="00000000" w:rsidP="003A798E">
            <w:pPr>
              <w:spacing w:before="100" w:beforeAutospacing="1" w:after="100" w:afterAutospacing="1"/>
            </w:pPr>
            <w:r>
              <w:rPr>
                <w:sz w:val="19"/>
                <w:szCs w:val="19"/>
              </w:rPr>
              <w:t>Quantified performance change across compartments for defined organism–drug pairs</w:t>
            </w:r>
          </w:p>
        </w:tc>
        <w:tc>
          <w:tcPr>
            <w:tcW w:w="1872" w:type="dxa"/>
            <w:tcMar>
              <w:top w:w="60" w:type="dxa"/>
              <w:left w:w="90" w:type="dxa"/>
              <w:bottom w:w="60" w:type="dxa"/>
              <w:right w:w="90" w:type="dxa"/>
            </w:tcMar>
          </w:tcPr>
          <w:p w14:paraId="4FA2B4BA" w14:textId="77777777" w:rsidR="008064B9" w:rsidRDefault="00000000" w:rsidP="003A798E">
            <w:pPr>
              <w:spacing w:before="100" w:beforeAutospacing="1" w:after="100" w:afterAutospacing="1"/>
            </w:pPr>
            <w:r>
              <w:rPr>
                <w:sz w:val="19"/>
                <w:szCs w:val="19"/>
              </w:rPr>
              <w:t>Bortolaia et al. (2020); Elton et al. (2025); Jia et al. (2026)</w:t>
            </w:r>
          </w:p>
        </w:tc>
      </w:tr>
      <w:tr w:rsidR="008064B9" w14:paraId="0FECD5A6" w14:textId="77777777">
        <w:tc>
          <w:tcPr>
            <w:tcW w:w="1872" w:type="dxa"/>
            <w:tcMar>
              <w:top w:w="60" w:type="dxa"/>
              <w:left w:w="90" w:type="dxa"/>
              <w:bottom w:w="60" w:type="dxa"/>
              <w:right w:w="90" w:type="dxa"/>
            </w:tcMar>
          </w:tcPr>
          <w:p w14:paraId="7523C0C6" w14:textId="77777777" w:rsidR="008064B9" w:rsidRDefault="00000000" w:rsidP="003A798E">
            <w:pPr>
              <w:spacing w:before="100" w:beforeAutospacing="1" w:after="100" w:afterAutospacing="1"/>
            </w:pPr>
            <w:r>
              <w:rPr>
                <w:sz w:val="19"/>
                <w:szCs w:val="19"/>
              </w:rPr>
              <w:t>Determinant-to-host linkage in environmental metagenomes</w:t>
            </w:r>
          </w:p>
        </w:tc>
        <w:tc>
          <w:tcPr>
            <w:tcW w:w="1872" w:type="dxa"/>
            <w:tcMar>
              <w:top w:w="60" w:type="dxa"/>
              <w:left w:w="90" w:type="dxa"/>
              <w:bottom w:w="60" w:type="dxa"/>
              <w:right w:w="90" w:type="dxa"/>
            </w:tcMar>
          </w:tcPr>
          <w:p w14:paraId="77A74FBB" w14:textId="77777777" w:rsidR="008064B9" w:rsidRDefault="00000000" w:rsidP="003A798E">
            <w:pPr>
              <w:spacing w:before="100" w:beforeAutospacing="1" w:after="100" w:afterAutospacing="1"/>
            </w:pPr>
            <w:r>
              <w:rPr>
                <w:sz w:val="19"/>
                <w:szCs w:val="19"/>
              </w:rPr>
              <w:t>Short-read data cannot resolve genomic context</w:t>
            </w:r>
          </w:p>
        </w:tc>
        <w:tc>
          <w:tcPr>
            <w:tcW w:w="1872" w:type="dxa"/>
            <w:tcMar>
              <w:top w:w="60" w:type="dxa"/>
              <w:left w:w="90" w:type="dxa"/>
              <w:bottom w:w="60" w:type="dxa"/>
              <w:right w:w="90" w:type="dxa"/>
            </w:tcMar>
          </w:tcPr>
          <w:p w14:paraId="68AAB709" w14:textId="77777777" w:rsidR="008064B9" w:rsidRDefault="00000000" w:rsidP="003A798E">
            <w:pPr>
              <w:spacing w:before="100" w:beforeAutospacing="1" w:after="100" w:afterAutospacing="1"/>
            </w:pPr>
            <w:r>
              <w:rPr>
                <w:sz w:val="19"/>
                <w:szCs w:val="19"/>
              </w:rPr>
              <w:t>Long-read and capture-based environmental sequencing with linkage benchmarks</w:t>
            </w:r>
          </w:p>
        </w:tc>
        <w:tc>
          <w:tcPr>
            <w:tcW w:w="1872" w:type="dxa"/>
            <w:tcMar>
              <w:top w:w="60" w:type="dxa"/>
              <w:left w:w="90" w:type="dxa"/>
              <w:bottom w:w="60" w:type="dxa"/>
              <w:right w:w="90" w:type="dxa"/>
            </w:tcMar>
          </w:tcPr>
          <w:p w14:paraId="783CC914" w14:textId="77777777" w:rsidR="008064B9" w:rsidRDefault="00000000" w:rsidP="003A798E">
            <w:pPr>
              <w:spacing w:before="100" w:beforeAutospacing="1" w:after="100" w:afterAutospacing="1"/>
            </w:pPr>
            <w:r>
              <w:rPr>
                <w:sz w:val="19"/>
                <w:szCs w:val="19"/>
              </w:rPr>
              <w:t>Demonstrated recovery of determinant–host associations against known standards</w:t>
            </w:r>
          </w:p>
        </w:tc>
        <w:tc>
          <w:tcPr>
            <w:tcW w:w="1872" w:type="dxa"/>
            <w:tcMar>
              <w:top w:w="60" w:type="dxa"/>
              <w:left w:w="90" w:type="dxa"/>
              <w:bottom w:w="60" w:type="dxa"/>
              <w:right w:w="90" w:type="dxa"/>
            </w:tcMar>
          </w:tcPr>
          <w:p w14:paraId="4EFB0B49" w14:textId="77777777" w:rsidR="008064B9" w:rsidRDefault="00000000" w:rsidP="003A798E">
            <w:pPr>
              <w:spacing w:before="100" w:beforeAutospacing="1" w:after="100" w:afterAutospacing="1"/>
            </w:pPr>
            <w:r>
              <w:rPr>
                <w:sz w:val="19"/>
                <w:szCs w:val="19"/>
              </w:rPr>
              <w:t>Hughes et al. (2026); Knight et al. (2024); Russell et al. (2025)</w:t>
            </w:r>
          </w:p>
        </w:tc>
      </w:tr>
      <w:tr w:rsidR="008064B9" w14:paraId="63A48B8F" w14:textId="77777777">
        <w:tc>
          <w:tcPr>
            <w:tcW w:w="1872" w:type="dxa"/>
            <w:tcMar>
              <w:top w:w="60" w:type="dxa"/>
              <w:left w:w="90" w:type="dxa"/>
              <w:bottom w:w="60" w:type="dxa"/>
              <w:right w:w="90" w:type="dxa"/>
            </w:tcMar>
          </w:tcPr>
          <w:p w14:paraId="0BCD0AE3" w14:textId="77777777" w:rsidR="008064B9" w:rsidRDefault="00000000" w:rsidP="003A798E">
            <w:pPr>
              <w:spacing w:before="100" w:beforeAutospacing="1" w:after="100" w:afterAutospacing="1"/>
            </w:pPr>
            <w:r>
              <w:rPr>
                <w:sz w:val="19"/>
                <w:szCs w:val="19"/>
              </w:rPr>
              <w:t>Public health outcome value of genomic surveillance</w:t>
            </w:r>
          </w:p>
        </w:tc>
        <w:tc>
          <w:tcPr>
            <w:tcW w:w="1872" w:type="dxa"/>
            <w:tcMar>
              <w:top w:w="60" w:type="dxa"/>
              <w:left w:w="90" w:type="dxa"/>
              <w:bottom w:w="60" w:type="dxa"/>
              <w:right w:w="90" w:type="dxa"/>
            </w:tcMar>
          </w:tcPr>
          <w:p w14:paraId="5427682D" w14:textId="77777777" w:rsidR="008064B9" w:rsidRDefault="00000000" w:rsidP="003A798E">
            <w:pPr>
              <w:spacing w:before="100" w:beforeAutospacing="1" w:after="100" w:afterAutospacing="1"/>
            </w:pPr>
            <w:r>
              <w:rPr>
                <w:sz w:val="19"/>
                <w:szCs w:val="19"/>
              </w:rPr>
              <w:t xml:space="preserve">Evaluation concentrates on </w:t>
            </w:r>
            <w:r>
              <w:rPr>
                <w:sz w:val="19"/>
                <w:szCs w:val="19"/>
              </w:rPr>
              <w:lastRenderedPageBreak/>
              <w:t>technical performance</w:t>
            </w:r>
          </w:p>
        </w:tc>
        <w:tc>
          <w:tcPr>
            <w:tcW w:w="1872" w:type="dxa"/>
            <w:tcMar>
              <w:top w:w="60" w:type="dxa"/>
              <w:left w:w="90" w:type="dxa"/>
              <w:bottom w:w="60" w:type="dxa"/>
              <w:right w:w="90" w:type="dxa"/>
            </w:tcMar>
          </w:tcPr>
          <w:p w14:paraId="06D46BA8" w14:textId="77777777" w:rsidR="008064B9" w:rsidRDefault="00000000" w:rsidP="003A798E">
            <w:pPr>
              <w:spacing w:before="100" w:beforeAutospacing="1" w:after="100" w:afterAutospacing="1"/>
            </w:pPr>
            <w:r>
              <w:rPr>
                <w:sz w:val="19"/>
                <w:szCs w:val="19"/>
              </w:rPr>
              <w:lastRenderedPageBreak/>
              <w:t xml:space="preserve">Quasi-experimental and ecological designs comparing </w:t>
            </w:r>
            <w:r>
              <w:rPr>
                <w:sz w:val="19"/>
                <w:szCs w:val="19"/>
              </w:rPr>
              <w:lastRenderedPageBreak/>
              <w:t>implemented and comparison jurisdictions</w:t>
            </w:r>
          </w:p>
        </w:tc>
        <w:tc>
          <w:tcPr>
            <w:tcW w:w="1872" w:type="dxa"/>
            <w:tcMar>
              <w:top w:w="60" w:type="dxa"/>
              <w:left w:w="90" w:type="dxa"/>
              <w:bottom w:w="60" w:type="dxa"/>
              <w:right w:w="90" w:type="dxa"/>
            </w:tcMar>
          </w:tcPr>
          <w:p w14:paraId="1E32AF53" w14:textId="77777777" w:rsidR="008064B9" w:rsidRDefault="00000000" w:rsidP="003A798E">
            <w:pPr>
              <w:spacing w:before="100" w:beforeAutospacing="1" w:after="100" w:afterAutospacing="1"/>
            </w:pPr>
            <w:r>
              <w:rPr>
                <w:sz w:val="19"/>
                <w:szCs w:val="19"/>
              </w:rPr>
              <w:lastRenderedPageBreak/>
              <w:t xml:space="preserve">Association between programme </w:t>
            </w:r>
            <w:r>
              <w:rPr>
                <w:sz w:val="19"/>
                <w:szCs w:val="19"/>
              </w:rPr>
              <w:lastRenderedPageBreak/>
              <w:t>implementation and infection outcomes</w:t>
            </w:r>
          </w:p>
        </w:tc>
        <w:tc>
          <w:tcPr>
            <w:tcW w:w="1872" w:type="dxa"/>
            <w:tcMar>
              <w:top w:w="60" w:type="dxa"/>
              <w:left w:w="90" w:type="dxa"/>
              <w:bottom w:w="60" w:type="dxa"/>
              <w:right w:w="90" w:type="dxa"/>
            </w:tcMar>
          </w:tcPr>
          <w:p w14:paraId="197CCBD6" w14:textId="77777777" w:rsidR="008064B9" w:rsidRDefault="00000000" w:rsidP="003A798E">
            <w:pPr>
              <w:spacing w:before="100" w:beforeAutospacing="1" w:after="100" w:afterAutospacing="1"/>
            </w:pPr>
            <w:r>
              <w:rPr>
                <w:sz w:val="19"/>
                <w:szCs w:val="19"/>
              </w:rPr>
              <w:lastRenderedPageBreak/>
              <w:t>Nghiem et al. (2025); Sundermann et al. (2026)</w:t>
            </w:r>
          </w:p>
        </w:tc>
      </w:tr>
      <w:tr w:rsidR="008064B9" w14:paraId="5DE7D4A2" w14:textId="77777777">
        <w:tc>
          <w:tcPr>
            <w:tcW w:w="1872" w:type="dxa"/>
            <w:tcMar>
              <w:top w:w="60" w:type="dxa"/>
              <w:left w:w="90" w:type="dxa"/>
              <w:bottom w:w="60" w:type="dxa"/>
              <w:right w:w="90" w:type="dxa"/>
            </w:tcMar>
          </w:tcPr>
          <w:p w14:paraId="3A8ADD58" w14:textId="77777777" w:rsidR="008064B9" w:rsidRDefault="00000000" w:rsidP="003A798E">
            <w:pPr>
              <w:spacing w:before="100" w:beforeAutospacing="1" w:after="100" w:afterAutospacing="1"/>
            </w:pPr>
            <w:r>
              <w:rPr>
                <w:sz w:val="19"/>
                <w:szCs w:val="19"/>
              </w:rPr>
              <w:t>Cross-sector metadata interoperability</w:t>
            </w:r>
          </w:p>
        </w:tc>
        <w:tc>
          <w:tcPr>
            <w:tcW w:w="1872" w:type="dxa"/>
            <w:tcMar>
              <w:top w:w="60" w:type="dxa"/>
              <w:left w:w="90" w:type="dxa"/>
              <w:bottom w:w="60" w:type="dxa"/>
              <w:right w:w="90" w:type="dxa"/>
            </w:tcMar>
          </w:tcPr>
          <w:p w14:paraId="7C5A3E20" w14:textId="77777777" w:rsidR="008064B9" w:rsidRDefault="00000000" w:rsidP="003A798E">
            <w:pPr>
              <w:spacing w:before="100" w:beforeAutospacing="1" w:after="100" w:afterAutospacing="1"/>
            </w:pPr>
            <w:r>
              <w:rPr>
                <w:sz w:val="19"/>
                <w:szCs w:val="19"/>
              </w:rPr>
              <w:t>Specifications exist for selected pathogens only</w:t>
            </w:r>
          </w:p>
        </w:tc>
        <w:tc>
          <w:tcPr>
            <w:tcW w:w="1872" w:type="dxa"/>
            <w:tcMar>
              <w:top w:w="60" w:type="dxa"/>
              <w:left w:w="90" w:type="dxa"/>
              <w:bottom w:w="60" w:type="dxa"/>
              <w:right w:w="90" w:type="dxa"/>
            </w:tcMar>
          </w:tcPr>
          <w:p w14:paraId="2D0E4491" w14:textId="77777777" w:rsidR="008064B9" w:rsidRDefault="00000000" w:rsidP="003A798E">
            <w:pPr>
              <w:spacing w:before="100" w:beforeAutospacing="1" w:after="100" w:afterAutospacing="1"/>
            </w:pPr>
            <w:r>
              <w:rPr>
                <w:sz w:val="19"/>
                <w:szCs w:val="19"/>
              </w:rPr>
              <w:t>Extension of contextual specification packages to animal, food and environmental sectors</w:t>
            </w:r>
          </w:p>
        </w:tc>
        <w:tc>
          <w:tcPr>
            <w:tcW w:w="1872" w:type="dxa"/>
            <w:tcMar>
              <w:top w:w="60" w:type="dxa"/>
              <w:left w:w="90" w:type="dxa"/>
              <w:bottom w:w="60" w:type="dxa"/>
              <w:right w:w="90" w:type="dxa"/>
            </w:tcMar>
          </w:tcPr>
          <w:p w14:paraId="17693ABB" w14:textId="77777777" w:rsidR="008064B9" w:rsidRDefault="00000000" w:rsidP="003A798E">
            <w:pPr>
              <w:spacing w:before="100" w:beforeAutospacing="1" w:after="100" w:afterAutospacing="1"/>
            </w:pPr>
            <w:r>
              <w:rPr>
                <w:sz w:val="19"/>
                <w:szCs w:val="19"/>
              </w:rPr>
              <w:t>Routine cross-sector query without bespoke data assembly</w:t>
            </w:r>
          </w:p>
        </w:tc>
        <w:tc>
          <w:tcPr>
            <w:tcW w:w="1872" w:type="dxa"/>
            <w:tcMar>
              <w:top w:w="60" w:type="dxa"/>
              <w:left w:w="90" w:type="dxa"/>
              <w:bottom w:w="60" w:type="dxa"/>
              <w:right w:w="90" w:type="dxa"/>
            </w:tcMar>
          </w:tcPr>
          <w:p w14:paraId="3AFED96C" w14:textId="77777777" w:rsidR="008064B9" w:rsidRDefault="00000000" w:rsidP="003A798E">
            <w:pPr>
              <w:spacing w:before="100" w:beforeAutospacing="1" w:after="100" w:afterAutospacing="1"/>
            </w:pPr>
            <w:r>
              <w:rPr>
                <w:sz w:val="19"/>
                <w:szCs w:val="19"/>
              </w:rPr>
              <w:t>Ara et al. (2026); Griffiths et al. (2026); Gupta et al. (2025)</w:t>
            </w:r>
          </w:p>
        </w:tc>
      </w:tr>
      <w:tr w:rsidR="008064B9" w14:paraId="2B8F94A4" w14:textId="77777777">
        <w:tc>
          <w:tcPr>
            <w:tcW w:w="1872" w:type="dxa"/>
            <w:tcMar>
              <w:top w:w="60" w:type="dxa"/>
              <w:left w:w="90" w:type="dxa"/>
              <w:bottom w:w="60" w:type="dxa"/>
              <w:right w:w="90" w:type="dxa"/>
            </w:tcMar>
          </w:tcPr>
          <w:p w14:paraId="21D520DF" w14:textId="77777777" w:rsidR="008064B9" w:rsidRDefault="00000000" w:rsidP="003A798E">
            <w:pPr>
              <w:spacing w:before="100" w:beforeAutospacing="1" w:after="100" w:afterAutospacing="1"/>
            </w:pPr>
            <w:r>
              <w:rPr>
                <w:sz w:val="19"/>
                <w:szCs w:val="19"/>
              </w:rPr>
              <w:t>Model validity in under-sequenced regions</w:t>
            </w:r>
          </w:p>
        </w:tc>
        <w:tc>
          <w:tcPr>
            <w:tcW w:w="1872" w:type="dxa"/>
            <w:tcMar>
              <w:top w:w="60" w:type="dxa"/>
              <w:left w:w="90" w:type="dxa"/>
              <w:bottom w:w="60" w:type="dxa"/>
              <w:right w:w="90" w:type="dxa"/>
            </w:tcMar>
          </w:tcPr>
          <w:p w14:paraId="085AD292" w14:textId="77777777" w:rsidR="008064B9" w:rsidRDefault="00000000" w:rsidP="003A798E">
            <w:pPr>
              <w:spacing w:before="100" w:beforeAutospacing="1" w:after="100" w:afterAutospacing="1"/>
            </w:pPr>
            <w:r>
              <w:rPr>
                <w:sz w:val="19"/>
                <w:szCs w:val="19"/>
              </w:rPr>
              <w:t>Training corpora reflect high-income sequencing output</w:t>
            </w:r>
          </w:p>
        </w:tc>
        <w:tc>
          <w:tcPr>
            <w:tcW w:w="1872" w:type="dxa"/>
            <w:tcMar>
              <w:top w:w="60" w:type="dxa"/>
              <w:left w:w="90" w:type="dxa"/>
              <w:bottom w:w="60" w:type="dxa"/>
              <w:right w:w="90" w:type="dxa"/>
            </w:tcMar>
          </w:tcPr>
          <w:p w14:paraId="1F4CF06D" w14:textId="77777777" w:rsidR="008064B9" w:rsidRDefault="00000000" w:rsidP="003A798E">
            <w:pPr>
              <w:spacing w:before="100" w:beforeAutospacing="1" w:after="100" w:afterAutospacing="1"/>
            </w:pPr>
            <w:r>
              <w:rPr>
                <w:sz w:val="19"/>
                <w:szCs w:val="19"/>
              </w:rPr>
              <w:t>External validation using independently generated data from under-represented settings</w:t>
            </w:r>
          </w:p>
        </w:tc>
        <w:tc>
          <w:tcPr>
            <w:tcW w:w="1872" w:type="dxa"/>
            <w:tcMar>
              <w:top w:w="60" w:type="dxa"/>
              <w:left w:w="90" w:type="dxa"/>
              <w:bottom w:w="60" w:type="dxa"/>
              <w:right w:w="90" w:type="dxa"/>
            </w:tcMar>
          </w:tcPr>
          <w:p w14:paraId="65B040B7" w14:textId="77777777" w:rsidR="008064B9" w:rsidRDefault="00000000" w:rsidP="003A798E">
            <w:pPr>
              <w:spacing w:before="100" w:beforeAutospacing="1" w:after="100" w:afterAutospacing="1"/>
            </w:pPr>
            <w:r>
              <w:rPr>
                <w:sz w:val="19"/>
                <w:szCs w:val="19"/>
              </w:rPr>
              <w:t>Reported performance stratified by region of data origin</w:t>
            </w:r>
          </w:p>
        </w:tc>
        <w:tc>
          <w:tcPr>
            <w:tcW w:w="1872" w:type="dxa"/>
            <w:tcMar>
              <w:top w:w="60" w:type="dxa"/>
              <w:left w:w="90" w:type="dxa"/>
              <w:bottom w:w="60" w:type="dxa"/>
              <w:right w:w="90" w:type="dxa"/>
            </w:tcMar>
          </w:tcPr>
          <w:p w14:paraId="35AF9262" w14:textId="77777777" w:rsidR="008064B9" w:rsidRDefault="00000000" w:rsidP="003A798E">
            <w:pPr>
              <w:spacing w:before="100" w:beforeAutospacing="1" w:after="100" w:afterAutospacing="1"/>
            </w:pPr>
            <w:r>
              <w:rPr>
                <w:sz w:val="19"/>
                <w:szCs w:val="19"/>
              </w:rPr>
              <w:t>Brito et al. (2022); Derar et al. (2026); Lacy-Roberts et al. (2026)</w:t>
            </w:r>
          </w:p>
        </w:tc>
      </w:tr>
      <w:tr w:rsidR="008064B9" w14:paraId="6BA540C0" w14:textId="77777777">
        <w:tc>
          <w:tcPr>
            <w:tcW w:w="1872" w:type="dxa"/>
            <w:tcMar>
              <w:top w:w="60" w:type="dxa"/>
              <w:left w:w="90" w:type="dxa"/>
              <w:bottom w:w="60" w:type="dxa"/>
              <w:right w:w="90" w:type="dxa"/>
            </w:tcMar>
          </w:tcPr>
          <w:p w14:paraId="3E4625A7" w14:textId="77777777" w:rsidR="008064B9" w:rsidRDefault="00000000" w:rsidP="003A798E">
            <w:pPr>
              <w:spacing w:before="100" w:beforeAutospacing="1" w:after="100" w:afterAutospacing="1"/>
            </w:pPr>
            <w:r>
              <w:rPr>
                <w:sz w:val="19"/>
                <w:szCs w:val="19"/>
              </w:rPr>
              <w:t>Governance of dual-use capability</w:t>
            </w:r>
          </w:p>
        </w:tc>
        <w:tc>
          <w:tcPr>
            <w:tcW w:w="1872" w:type="dxa"/>
            <w:tcMar>
              <w:top w:w="60" w:type="dxa"/>
              <w:left w:w="90" w:type="dxa"/>
              <w:bottom w:w="60" w:type="dxa"/>
              <w:right w:w="90" w:type="dxa"/>
            </w:tcMar>
          </w:tcPr>
          <w:p w14:paraId="241F5BD9" w14:textId="77777777" w:rsidR="008064B9" w:rsidRDefault="00000000" w:rsidP="003A798E">
            <w:pPr>
              <w:spacing w:before="100" w:beforeAutospacing="1" w:after="100" w:afterAutospacing="1"/>
            </w:pPr>
            <w:r>
              <w:rPr>
                <w:sz w:val="19"/>
                <w:szCs w:val="19"/>
              </w:rPr>
              <w:t>Frameworks proposed but not evaluated in operation</w:t>
            </w:r>
          </w:p>
        </w:tc>
        <w:tc>
          <w:tcPr>
            <w:tcW w:w="1872" w:type="dxa"/>
            <w:tcMar>
              <w:top w:w="60" w:type="dxa"/>
              <w:left w:w="90" w:type="dxa"/>
              <w:bottom w:w="60" w:type="dxa"/>
              <w:right w:w="90" w:type="dxa"/>
            </w:tcMar>
          </w:tcPr>
          <w:p w14:paraId="6213680D" w14:textId="77777777" w:rsidR="008064B9" w:rsidRDefault="00000000" w:rsidP="003A798E">
            <w:pPr>
              <w:spacing w:before="100" w:beforeAutospacing="1" w:after="100" w:afterAutospacing="1"/>
            </w:pPr>
            <w:r>
              <w:rPr>
                <w:sz w:val="19"/>
                <w:szCs w:val="19"/>
              </w:rPr>
              <w:t>Comparative evaluation of review mechanisms against defined risk and access outcomes</w:t>
            </w:r>
          </w:p>
        </w:tc>
        <w:tc>
          <w:tcPr>
            <w:tcW w:w="1872" w:type="dxa"/>
            <w:tcMar>
              <w:top w:w="60" w:type="dxa"/>
              <w:left w:w="90" w:type="dxa"/>
              <w:bottom w:w="60" w:type="dxa"/>
              <w:right w:w="90" w:type="dxa"/>
            </w:tcMar>
          </w:tcPr>
          <w:p w14:paraId="1D8B9ADC" w14:textId="77777777" w:rsidR="008064B9" w:rsidRDefault="00000000" w:rsidP="003A798E">
            <w:pPr>
              <w:spacing w:before="100" w:beforeAutospacing="1" w:after="100" w:afterAutospacing="1"/>
            </w:pPr>
            <w:r>
              <w:rPr>
                <w:sz w:val="19"/>
                <w:szCs w:val="19"/>
              </w:rPr>
              <w:t>Evidence on whether review reduces risk without reducing legitimate capability</w:t>
            </w:r>
          </w:p>
        </w:tc>
        <w:tc>
          <w:tcPr>
            <w:tcW w:w="1872" w:type="dxa"/>
            <w:tcMar>
              <w:top w:w="60" w:type="dxa"/>
              <w:left w:w="90" w:type="dxa"/>
              <w:bottom w:w="60" w:type="dxa"/>
              <w:right w:w="90" w:type="dxa"/>
            </w:tcMar>
          </w:tcPr>
          <w:p w14:paraId="0FC09F20" w14:textId="77777777" w:rsidR="008064B9" w:rsidRDefault="00000000" w:rsidP="003A798E">
            <w:pPr>
              <w:spacing w:before="100" w:beforeAutospacing="1" w:after="100" w:afterAutospacing="1"/>
            </w:pPr>
            <w:r>
              <w:rPr>
                <w:sz w:val="19"/>
                <w:szCs w:val="19"/>
              </w:rPr>
              <w:t>Hanke et al. (2026)</w:t>
            </w:r>
          </w:p>
        </w:tc>
      </w:tr>
    </w:tbl>
    <w:p w14:paraId="3DB1F372" w14:textId="77777777" w:rsidR="008064B9" w:rsidRDefault="008064B9" w:rsidP="003A798E">
      <w:pPr>
        <w:spacing w:before="100" w:beforeAutospacing="1" w:after="100" w:afterAutospacing="1"/>
      </w:pPr>
    </w:p>
    <w:p w14:paraId="6ED53341" w14:textId="77777777" w:rsidR="008064B9" w:rsidRDefault="00000000" w:rsidP="003A798E">
      <w:pPr>
        <w:spacing w:before="100" w:beforeAutospacing="1" w:after="100" w:afterAutospacing="1"/>
      </w:pPr>
      <w:r>
        <w:rPr>
          <w:i/>
          <w:iCs/>
          <w:sz w:val="19"/>
          <w:szCs w:val="19"/>
        </w:rPr>
        <w:t xml:space="preserve">Note. </w:t>
      </w:r>
      <w:r>
        <w:rPr>
          <w:sz w:val="19"/>
          <w:szCs w:val="19"/>
        </w:rPr>
        <w:t>Priorities are ordered by domain rather than by rank. Designs are indicated at the level of study architecture rather than specific protocol.</w:t>
      </w:r>
    </w:p>
    <w:p w14:paraId="041C3276" w14:textId="77777777" w:rsidR="008064B9" w:rsidRDefault="00000000" w:rsidP="003A798E">
      <w:pPr>
        <w:pStyle w:val="Heading2"/>
        <w:spacing w:before="100" w:beforeAutospacing="1" w:after="100" w:afterAutospacing="1"/>
      </w:pPr>
      <w:r>
        <w:t>9. Future Directions</w:t>
      </w:r>
    </w:p>
    <w:p w14:paraId="48C8976F" w14:textId="77777777" w:rsidR="008064B9" w:rsidRDefault="00000000" w:rsidP="003A798E">
      <w:pPr>
        <w:pStyle w:val="Heading3"/>
        <w:spacing w:before="100" w:beforeAutospacing="1" w:after="100" w:afterAutospacing="1"/>
      </w:pPr>
      <w:r>
        <w:t>9.1 Immediate priorities</w:t>
      </w:r>
    </w:p>
    <w:p w14:paraId="52664A80" w14:textId="77777777" w:rsidR="008064B9" w:rsidRDefault="00000000" w:rsidP="003A798E">
      <w:pPr>
        <w:spacing w:before="100" w:beforeAutospacing="1" w:after="100" w:afterAutospacing="1"/>
        <w:jc w:val="both"/>
      </w:pPr>
      <w:r>
        <w:t>The most urgent methodological requirement is the adoption of evaluation designs adequate to the inferential claims being made. Random partitioning of sequence data permits closely related sequences to appear in training and test sets, and the resulting performance estimates are not informative about deployment. Phylogenetically blocked partitioning, in which entire clades are withheld, and geographically blocked partitioning, in which entire regions are withheld, are both straightforward to implement and both substantially reduce apparent performance in the applications where this has been examined (Kapoor &amp; Narayanan, 2023; Kawasaki et al., 2025). Reporting should present performance under both random and blocked partitioning, since the difference between them quantifies the extent to which a model depends on relatedness within the dataset. Journals and funders are positioned to make this expectation routine, and doing so would resolve a substantial fraction of current disagreement about model capability at negligible cost.</w:t>
      </w:r>
    </w:p>
    <w:p w14:paraId="3944EDC9" w14:textId="77777777" w:rsidR="008064B9" w:rsidRDefault="00000000" w:rsidP="003A798E">
      <w:pPr>
        <w:spacing w:before="100" w:beforeAutospacing="1" w:after="100" w:afterAutospacing="1"/>
        <w:jc w:val="both"/>
      </w:pPr>
      <w:r>
        <w:t>The second immediate priority is prospective evaluation of cross-species prediction. The specific design required is a pre-registered exercise in which models rank a defined candidate set of viruses or bacterial lineages before laboratory characterisation, and in which model-prioritised and randomly selected candidates are characterised in parallel by investigators blinded to the ranking. The outcome measure is the difference in confirmed host compatibility between the two groups. Such a study is feasible within the timeframe of a standard research award, requires no methodological innovation, and would replace the current position, in which the field's central claim rests on retrospective demonstrations, with a defensible estimate of triage value. Its interpretation requires attention to the finding that novelty rather than spillover frequency may govern host jump risk (Simony &amp; Kennedy, 2026), which implies that candidate sets should be constructed to include pathogens novel to the recipient host rather than only those with frequent recorded spillover.</w:t>
      </w:r>
    </w:p>
    <w:p w14:paraId="24631755" w14:textId="77777777" w:rsidR="008064B9" w:rsidRDefault="00000000" w:rsidP="003A798E">
      <w:pPr>
        <w:spacing w:before="100" w:beforeAutospacing="1" w:after="100" w:afterAutospacing="1"/>
        <w:jc w:val="both"/>
      </w:pPr>
      <w:r>
        <w:lastRenderedPageBreak/>
        <w:t>The third immediate priority is the generation of paired genotype and phenotype data outside clinical settings. Resistance prediction is the application closest to operational deployment in the One Health context, and its principal untested assumption is that models trained on human clinical isolates transfer to veterinary, food and environmental isolates. The required work is unglamorous: susceptibility testing performed alongside sequencing on isolates from these compartments, at sufficient scale to estimate performance for defined organism–drug combinations. The appropriate scale is a few thousand isolates per major food-animal species and matrix, sampled across more than one country to permit assessment of geographical transferability. Outcome measures should be very major and major error rates by organism and drug rather than aggregate accuracy, since the former are the quantities that determine clinical and regulatory acceptability.</w:t>
      </w:r>
    </w:p>
    <w:p w14:paraId="0882CD28" w14:textId="77777777" w:rsidR="008064B9" w:rsidRDefault="00000000" w:rsidP="003A798E">
      <w:pPr>
        <w:pStyle w:val="Heading3"/>
        <w:spacing w:before="100" w:beforeAutospacing="1" w:after="100" w:afterAutospacing="1"/>
      </w:pPr>
      <w:r>
        <w:t>9.2 Medium-term priorities</w:t>
      </w:r>
    </w:p>
    <w:p w14:paraId="1D0530A1" w14:textId="77777777" w:rsidR="008064B9" w:rsidRDefault="00000000" w:rsidP="003A798E">
      <w:pPr>
        <w:spacing w:before="100" w:beforeAutospacing="1" w:after="100" w:afterAutospacing="1"/>
        <w:jc w:val="both"/>
      </w:pPr>
      <w:r>
        <w:t>Metadata interoperability across sectors is a medium-term priority because it requires institutional coordination rather than technical development. Contextual data specification packages have demonstrated their value for individual pathogens (Griffiths et al., 2026), and the extension required is to develop equivalent specifications for animal, food and environmental sampling and to embed them in the submission requirements of major repositories (Ara et al., 2026). The relevant outcome measure is the proportion of submitted sequences carrying the minimum contextual fields required for cross-sector analysis, disaggregated by sector, which is directly measurable from repository holdings and would provide an accountability mechanism that currently does not exist. The policy implication is that funders of sequencing in the animal and environmental sectors are better placed than repository operators to enforce metadata completeness, since they control the resource at the point of generation.</w:t>
      </w:r>
    </w:p>
    <w:p w14:paraId="6B2753B2" w14:textId="77777777" w:rsidR="008064B9" w:rsidRDefault="00000000" w:rsidP="003A798E">
      <w:pPr>
        <w:spacing w:before="100" w:beforeAutospacing="1" w:after="100" w:afterAutospacing="1"/>
        <w:jc w:val="both"/>
      </w:pPr>
      <w:r>
        <w:t>Data generation strategies that preserve genomic linkage in environmental samples constitute a second medium-term priority. The identifiability limitation of short-read metagenomics is not solvable analytically, and the appropriate response is investment in long-read and capture-based approaches at surveillance scale (Russell et al., 2025). The research required is comparative: parallel application of short-read, long-read and capture-based methods to the same environmental samples, with evaluation against known determinant–host associations, across the range of matrices used in surveillance. The outcome measures are the recovery rate of determinant–host linkage and the cost per linked observation, since the latter determines whether the approach is deployable in the settings where environmental surveillance is most needed.</w:t>
      </w:r>
    </w:p>
    <w:p w14:paraId="5EC2D13E" w14:textId="77777777" w:rsidR="008064B9" w:rsidRDefault="00000000" w:rsidP="003A798E">
      <w:pPr>
        <w:spacing w:before="100" w:beforeAutospacing="1" w:after="100" w:afterAutospacing="1"/>
        <w:jc w:val="both"/>
      </w:pPr>
      <w:r>
        <w:t xml:space="preserve">Outcome-linked evaluation of genomic surveillance programmes is the third medium-term priority and arguably the most consequential for sustained investment. The design template exists in the ecological analysis of integrated </w:t>
      </w:r>
      <w:r>
        <w:rPr>
          <w:i/>
          <w:iCs/>
        </w:rPr>
        <w:t>Salmonella</w:t>
      </w:r>
      <w:r>
        <w:t xml:space="preserve"> surveillance in Australia (Nghiem et al., 2025), and its extension requires comparable studies in other pathogen systems and jurisdictions, ideally exploiting staggered programme implementation to permit quasi-experimental inference. The outcome measures should be epidemiological rather than technical: incidence, outbreak size, time to control, and where applicable resistance prevalence. Studies of this kind would allow the field to state what genomic surveillance achieves rather than what it detects, and would provide the evidence base that ministries of finance require and that the field currently cannot supply.</w:t>
      </w:r>
    </w:p>
    <w:p w14:paraId="72E221D8" w14:textId="77777777" w:rsidR="008064B9" w:rsidRDefault="00000000" w:rsidP="003A798E">
      <w:pPr>
        <w:pStyle w:val="Heading3"/>
        <w:spacing w:before="100" w:beforeAutospacing="1" w:after="100" w:afterAutospacing="1"/>
      </w:pPr>
      <w:r>
        <w:t>9.3 Longer-term research needs</w:t>
      </w:r>
    </w:p>
    <w:p w14:paraId="68395201" w14:textId="77777777" w:rsidR="008064B9" w:rsidRDefault="00000000" w:rsidP="003A798E">
      <w:pPr>
        <w:spacing w:before="100" w:beforeAutospacing="1" w:after="100" w:afterAutospacing="1"/>
        <w:jc w:val="both"/>
      </w:pPr>
      <w:r>
        <w:t>Two longer-term needs are distinguishable from the priorities above because they require sustained observation rather than discrete studies. The first is the construction of sampling frames in the animal and environmental sectors that are representative by design rather than opportunistic. Current cross-species inference is limited by databases that record where investigators have looked, and no analytical technique corrects this. Structured sampling of understudied host taxa and geographical regions, sustained over years, is the only remedy. The appropriate design is a sentinel network with defined sampling protocols across host groups and habitats, sized to permit estimation of viral and bacterial diversity with quantified confidence rather than to maximise discovery. The implementation implication is that such networks must be funded as infrastructure rather than as projects, since their value accrues only through continuity.</w:t>
      </w:r>
    </w:p>
    <w:p w14:paraId="7A0BD7FC" w14:textId="77777777" w:rsidR="008064B9" w:rsidRDefault="00000000" w:rsidP="003A798E">
      <w:pPr>
        <w:spacing w:before="100" w:beforeAutospacing="1" w:after="100" w:afterAutospacing="1"/>
        <w:jc w:val="both"/>
      </w:pPr>
      <w:r>
        <w:lastRenderedPageBreak/>
        <w:t>The second longer-term need concerns the governance of increasingly capable generative models over pathogen sequence. Upstream risk–benefit review has been proposed (Hanke et al., 2026), but no evidence exists on whether such review reduces misuse risk, at what cost to legitimate research, or how it interacts with the equity considerations that already constrain this field. Empirical evaluation of governance mechanisms, comparing jurisdictions and institutions that adopt different arrangements, would provide evidence for a debate currently conducted on the basis of assertion. The relevant outcome measures are the rate at which review identifies genuine concerns, the delay imposed on legitimate work, and the differential effect on institutions in high-income and lower-income settings, since a mechanism that protects against misuse by further concentrating capability would exchange one risk for another.</w:t>
      </w:r>
    </w:p>
    <w:p w14:paraId="3369E6C5" w14:textId="77777777" w:rsidR="008064B9" w:rsidRDefault="00000000" w:rsidP="003A798E">
      <w:pPr>
        <w:pStyle w:val="Heading2"/>
        <w:spacing w:before="100" w:beforeAutospacing="1" w:after="100" w:afterAutospacing="1"/>
      </w:pPr>
      <w:r>
        <w:t>10. Conclusions</w:t>
      </w:r>
    </w:p>
    <w:p w14:paraId="00C6CFBD" w14:textId="77777777" w:rsidR="008064B9" w:rsidRDefault="00000000" w:rsidP="003A798E">
      <w:pPr>
        <w:spacing w:before="100" w:beforeAutospacing="1" w:after="100" w:afterAutospacing="1"/>
        <w:jc w:val="both"/>
      </w:pPr>
      <w:r>
        <w:t>The evidence reviewed supports a differentiated rather than uniform assessment of artificial intelligence–enabled genomics for One Health infectious disease surveillance. Computational methods have delivered clear and well-evidenced operational capability in the standardisation, acceleration and scaling of genomic description. Automated phylogenetic placement, reference-based clade and lineage assignment, and rapid high-resolution typing on portable platforms are validated at scale, auditable against curated references, and increasingly deployable outside specialist centres. These capabilities are the foundation of contemporary genomic surveillance, and confidence in them is high. They are, however, methods that describe more precisely and more quickly rather than methods that predict.</w:t>
      </w:r>
    </w:p>
    <w:p w14:paraId="661C33AA" w14:textId="77777777" w:rsidR="008064B9" w:rsidRDefault="00000000" w:rsidP="003A798E">
      <w:pPr>
        <w:spacing w:before="100" w:beforeAutospacing="1" w:after="100" w:afterAutospacing="1"/>
        <w:jc w:val="both"/>
      </w:pPr>
      <w:r>
        <w:t>Confidence declines as the inferential distance between sequence and predicted outcome increases, and this gradient is the central finding of the review. Sequence-based inference of antigenic escape and lineage fitness is supported by substantial retrospective evidence and by at least one design that excludes retrospective knowledge, but prospective operational value has not been demonstrated. Genotype-to-phenotype prediction of antimicrobial resistance performs usefully in organisms with dense phenotype-linked reference data and acquired resistance mechanisms, less reliably where resistance is chromosomally mediated, and with untested validity outside the clinical isolates that dominate training data. Prospective prediction of cross-species transmission and emergence, which is the capability most often invoked to justify investment, is not supported by current evidence. Independent analyses indicate that reported performance in this area is substantially attributable to sampling bias and to evaluation designs that permit information leakage, and at least one analysis suggests that the target variable conventionally modelled may not be the quantity that governs host jumps.</w:t>
      </w:r>
    </w:p>
    <w:p w14:paraId="62F6EED4" w14:textId="77777777" w:rsidR="008064B9" w:rsidRDefault="00000000" w:rsidP="003A798E">
      <w:pPr>
        <w:spacing w:before="100" w:beforeAutospacing="1" w:after="100" w:afterAutospacing="1"/>
        <w:jc w:val="both"/>
      </w:pPr>
      <w:r>
        <w:t>The biological premise of the One Health framing is well supported. Lineages, determinants and mobile elements demonstrably traverse human, animal and environmental compartments, and integrated genomic analysis reveals structure that single-sector sampling misrepresents. The analytical realisation of that premise is considerably less advanced than the premise itself. Sequencing output, metadata completeness and analytical capacity remain concentrated in a minority of settings and, within those settings, in the human health sector. This distribution is not merely an equity concern to be addressed alongside technical development. It is a direct source of model misspecification, because algorithms trained on unrepresentative data encode that unrepresentativeness and because internal validation cannot detect the resulting failure.</w:t>
      </w:r>
    </w:p>
    <w:p w14:paraId="363519CD" w14:textId="77777777" w:rsidR="008064B9" w:rsidRDefault="00000000" w:rsidP="003A798E">
      <w:pPr>
        <w:spacing w:before="100" w:beforeAutospacing="1" w:after="100" w:afterAutospacing="1"/>
        <w:jc w:val="both"/>
      </w:pPr>
      <w:r>
        <w:t>A consistent conclusion follows for research strategy. The binding constraints on this field are located predominantly at the levels of sampling, data generation and evaluation design rather than at the level of model architecture. Improvements in representation learning will not correct a host–virus database that records research effort, will not recover genomic linkage absent from short reads, and will not establish that a model trained in one compartment transfers to another. Progress therefore depends on structured sampling across sectors and regions, on contextual metadata sufficient to support cross-sector inference, on evaluation designs that partition data in ways reflecting deployment conditions, and on outcome-linked studies that establish what genomic surveillance achieves rather than what it detects.</w:t>
      </w:r>
    </w:p>
    <w:p w14:paraId="2E2B9EB2" w14:textId="77777777" w:rsidR="008064B9" w:rsidRDefault="00000000" w:rsidP="003A798E">
      <w:pPr>
        <w:spacing w:before="100" w:beforeAutospacing="1" w:after="100" w:afterAutospacing="1"/>
        <w:jc w:val="both"/>
      </w:pPr>
      <w:r>
        <w:t xml:space="preserve">The field's ambitions are reasonable and its foundations are sound. The current gap between demonstrated capability and asserted capability is nonetheless wide enough that closing it should be treated as the immediate objective, in preference to extending claims further. Precise characterisation of what is known, what is plausible </w:t>
      </w:r>
      <w:r>
        <w:lastRenderedPageBreak/>
        <w:t>and what remains speculative serves the field's long-term credibility better than optimistic aggregation of the three.</w:t>
      </w:r>
    </w:p>
    <w:p w14:paraId="5A73E89B" w14:textId="77777777" w:rsidR="008064B9" w:rsidRDefault="00000000" w:rsidP="003A798E">
      <w:pPr>
        <w:pStyle w:val="Heading2"/>
        <w:spacing w:before="100" w:beforeAutospacing="1" w:after="100" w:afterAutospacing="1"/>
      </w:pPr>
      <w:r>
        <w:t>11. Limitations</w:t>
      </w:r>
    </w:p>
    <w:p w14:paraId="2BAF6943" w14:textId="77777777" w:rsidR="008064B9" w:rsidRDefault="00000000" w:rsidP="003A798E">
      <w:pPr>
        <w:spacing w:before="100" w:beforeAutospacing="1" w:after="100" w:afterAutospacing="1"/>
        <w:jc w:val="both"/>
      </w:pPr>
      <w:r>
        <w:t>This review is a narrative synthesis and carries the limitations intrinsic to that design. Source identification, selection and appraisal involved interpretive judgement at each stage, and a different reviewer applying comparable criteria could reasonably have assembled a partly different evidence base and reached somewhat different emphases. Although the search strategy, information sources, eligibility criteria and appraisal approach have been described in detail, the process was concept-driven and iterative rather than executed as a single enumerable protocol, and selection and interpretive bias cannot be excluded. The synthesis should be read as a critically argued assessment rather than as an exhaustive account of the field.</w:t>
      </w:r>
    </w:p>
    <w:p w14:paraId="0365F8D9" w14:textId="77777777" w:rsidR="008064B9" w:rsidRDefault="00000000" w:rsidP="003A798E">
      <w:pPr>
        <w:spacing w:before="100" w:beforeAutospacing="1" w:after="100" w:afterAutospacing="1"/>
        <w:jc w:val="both"/>
      </w:pPr>
      <w:r>
        <w:t>Access to subscription-restricted bibliographic databases was not available during preparation. Searching was confined to Europe PMC, Crossref and the Directory of Open Access Journals, supplemented by institutional sources and by examination of reference lists in retrieved reviews. Literature indexed exclusively in resources such as Web of Science, Scopus, Embase or agricultural and veterinary databases may therefore be under-represented, and veterinary and environmental literature is more likely to be affected by this than human biomedical literature, which is a material concern given the review's cross-sectoral framing.</w:t>
      </w:r>
    </w:p>
    <w:p w14:paraId="7A085793" w14:textId="77777777" w:rsidR="008064B9" w:rsidRDefault="00000000" w:rsidP="003A798E">
      <w:pPr>
        <w:spacing w:before="100" w:beforeAutospacing="1" w:after="100" w:afterAutospacing="1"/>
        <w:jc w:val="both"/>
      </w:pPr>
      <w:r>
        <w:t>All sources ultimately retained are published in English. No language restriction was applied at the search stage, but the indexes searched are English-dominant and no systematic effort was made to identify non-English publications. Relevant work published in other languages, particularly national surveillance reporting from regions where such reporting is not published in English, is likely to be absent. This compounds the geographical unevenness that the review itself identifies as a limitation of the underlying field.</w:t>
      </w:r>
    </w:p>
    <w:p w14:paraId="2D148BD4" w14:textId="77777777" w:rsidR="008064B9" w:rsidRDefault="00000000" w:rsidP="003A798E">
      <w:pPr>
        <w:spacing w:before="100" w:beforeAutospacing="1" w:after="100" w:afterAutospacing="1"/>
        <w:jc w:val="both"/>
      </w:pPr>
      <w:r>
        <w:t>Preprints were excluded, and a substantial volume of recent methodological work in machine learning applied to pathogen genomics circulates initially as preprints. The most recent developments in generative and representation learning are therefore represented by their peer-reviewed subset, which introduces a lag of uncertain duration in a domain where methods develop quickly. Some conclusions about the current state of methodological capability may consequently be conservative.</w:t>
      </w:r>
    </w:p>
    <w:p w14:paraId="08450D60" w14:textId="77777777" w:rsidR="008064B9" w:rsidRDefault="00000000" w:rsidP="003A798E">
      <w:pPr>
        <w:spacing w:before="100" w:beforeAutospacing="1" w:after="100" w:afterAutospacing="1"/>
        <w:jc w:val="both"/>
      </w:pPr>
      <w:r>
        <w:t>The heterogeneity of the included literature precluded quantitative synthesis. Outcome measures ranged from classification metrics to sequencing turnaround times to epidemiological incidence, populations ranged from viral genome collections to national surveillance programmes, and designs ranged from computational benchmarking to ecological analysis. No pooled estimate of model performance or programme effect is offered, and comparisons of evidence strength across method families are qualitative judgements based on the availability of external validation, the number of independent groups reporting concordant results and the scale of deployment. No formal risk-of-bias instrument was applied, since no recognised tool covers the range of designs represented and the information required to apply one was frequently unavailable.</w:t>
      </w:r>
    </w:p>
    <w:p w14:paraId="5C1EC8AE" w14:textId="77777777" w:rsidR="008064B9" w:rsidRDefault="00000000" w:rsidP="003A798E">
      <w:pPr>
        <w:spacing w:before="100" w:beforeAutospacing="1" w:after="100" w:afterAutospacing="1"/>
        <w:jc w:val="both"/>
      </w:pPr>
      <w:r>
        <w:t>Evidence in this field is unevenly distributed across pathogens and sectors, and the review reflects that distribution. Viral applications, particularly those developed during the coronavirus disease 2019 pandemic, are substantially better represented than bacterial, fungal or parasitic applications. Human health applications are better represented than veterinary, food safety or environmental applications. Assessments of method families in which evidence is concentrated in a small number of research programmes are correspondingly less robust than assessments of families with broader independent replication.</w:t>
      </w:r>
    </w:p>
    <w:p w14:paraId="2405ACE1" w14:textId="77777777" w:rsidR="008064B9" w:rsidRDefault="00000000" w:rsidP="003A798E">
      <w:pPr>
        <w:spacing w:before="100" w:beforeAutospacing="1" w:after="100" w:afterAutospacing="1"/>
        <w:jc w:val="both"/>
      </w:pPr>
      <w:r>
        <w:t>Finally, the field is developing rapidly, and the search concluded on a defined date. Publications appearing after that date are not represented, and in areas where methods are advancing quickly, particularly generative sequence modelling and its governance, the assessment of current capability may require revision on a short timescale. Long-term evidence is scarce throughout, and conclusions regarding the sustained value of genomic surveillance programmes rest on a small number of evaluations conducted over limited periods.</w:t>
      </w:r>
    </w:p>
    <w:p w14:paraId="27E47963" w14:textId="77777777" w:rsidR="00302DCB" w:rsidRPr="000839CE" w:rsidRDefault="00302DCB" w:rsidP="00302DCB">
      <w:pPr>
        <w:rPr>
          <w:b/>
        </w:rPr>
      </w:pPr>
      <w:r w:rsidRPr="000839CE">
        <w:rPr>
          <w:b/>
        </w:rPr>
        <w:lastRenderedPageBreak/>
        <w:t>Declaration of AI Use</w:t>
      </w:r>
    </w:p>
    <w:p w14:paraId="0311906D" w14:textId="77777777" w:rsidR="00302DCB" w:rsidRPr="000839CE" w:rsidRDefault="00302DCB" w:rsidP="00302DCB"/>
    <w:p w14:paraId="53DE67AF" w14:textId="77777777" w:rsidR="00302DCB" w:rsidRPr="000839CE" w:rsidRDefault="00302DCB" w:rsidP="00302DCB">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63C865C" w14:textId="77777777" w:rsidR="00302DCB" w:rsidRDefault="00302DCB" w:rsidP="00302DCB"/>
    <w:p w14:paraId="296F24D3" w14:textId="77777777" w:rsidR="00302DCB" w:rsidRDefault="00302DCB" w:rsidP="003A798E">
      <w:pPr>
        <w:spacing w:before="100" w:beforeAutospacing="1" w:after="100" w:afterAutospacing="1"/>
        <w:jc w:val="both"/>
      </w:pPr>
    </w:p>
    <w:p w14:paraId="08C5FC46" w14:textId="77777777" w:rsidR="008064B9" w:rsidRDefault="00000000" w:rsidP="003A798E">
      <w:pPr>
        <w:pStyle w:val="Heading2"/>
        <w:spacing w:before="100" w:beforeAutospacing="1" w:after="100" w:afterAutospacing="1"/>
      </w:pPr>
      <w:r>
        <w:t>References</w:t>
      </w:r>
    </w:p>
    <w:p w14:paraId="2E6BB650" w14:textId="77777777" w:rsidR="008064B9" w:rsidRDefault="00000000" w:rsidP="003A798E">
      <w:pPr>
        <w:spacing w:before="100" w:beforeAutospacing="1" w:after="100" w:afterAutospacing="1"/>
        <w:ind w:left="720" w:hanging="720"/>
      </w:pPr>
      <w:r>
        <w:t xml:space="preserve">Aanensen, D. M., Okeke, I. N., Donado-Godoy, P., Egyir, B., Lingegowda, R. K., &amp; Sia, S. (2026). The genomic surveillance gap: averting the antimicrobial resistance pandemic requires global equity and action. </w:t>
      </w:r>
      <w:r>
        <w:rPr>
          <w:i/>
          <w:iCs/>
        </w:rPr>
        <w:t>The Lancet Infectious Diseases</w:t>
      </w:r>
      <w:r>
        <w:t xml:space="preserve">, </w:t>
      </w:r>
      <w:r>
        <w:rPr>
          <w:i/>
          <w:iCs/>
        </w:rPr>
        <w:t>26</w:t>
      </w:r>
      <w:r>
        <w:t>(2), 122–123. https://doi.org/10.1016/s1473-3099(25)00723-6</w:t>
      </w:r>
    </w:p>
    <w:p w14:paraId="753DED55" w14:textId="77777777" w:rsidR="008064B9" w:rsidRDefault="00000000" w:rsidP="003A798E">
      <w:pPr>
        <w:spacing w:before="100" w:beforeAutospacing="1" w:after="100" w:afterAutospacing="1"/>
        <w:ind w:left="720" w:hanging="720"/>
      </w:pPr>
      <w:r>
        <w:t xml:space="preserve">Aarestrup, F. M., &amp; Woolhouse, M. E. J. (2020). Using sewage for surveillance of antimicrobial resistance. </w:t>
      </w:r>
      <w:r>
        <w:rPr>
          <w:i/>
          <w:iCs/>
        </w:rPr>
        <w:t>Science</w:t>
      </w:r>
      <w:r>
        <w:t xml:space="preserve">, </w:t>
      </w:r>
      <w:r>
        <w:rPr>
          <w:i/>
          <w:iCs/>
        </w:rPr>
        <w:t>367</w:t>
      </w:r>
      <w:r>
        <w:t>(6478), 630–632. https://doi.org/10.1126/science.aba3432</w:t>
      </w:r>
    </w:p>
    <w:p w14:paraId="63C6C0A6" w14:textId="77777777" w:rsidR="008064B9" w:rsidRDefault="00000000" w:rsidP="003A798E">
      <w:pPr>
        <w:spacing w:before="100" w:beforeAutospacing="1" w:after="100" w:afterAutospacing="1"/>
        <w:ind w:left="720" w:hanging="720"/>
      </w:pPr>
      <w:r>
        <w:t xml:space="preserve">Aguilar-Vera, A., López-Sánchez, R., Hernández-Alvarez, A. J., Vargas-Peralta, D., Peralta, H., &amp; Castillo-Ramírez, S. (2026). Global multi-host genomic epidemiology of </w:t>
      </w:r>
      <w:r>
        <w:rPr>
          <w:i/>
          <w:iCs/>
        </w:rPr>
        <w:t>Acinetobacter baumannii</w:t>
      </w:r>
      <w:r>
        <w:t xml:space="preserve"> reveals transmission at one health interfaces. </w:t>
      </w:r>
      <w:r>
        <w:rPr>
          <w:i/>
          <w:iCs/>
        </w:rPr>
        <w:t>Nature Communications</w:t>
      </w:r>
      <w:r>
        <w:t xml:space="preserve">, </w:t>
      </w:r>
      <w:r>
        <w:rPr>
          <w:i/>
          <w:iCs/>
        </w:rPr>
        <w:t>17</w:t>
      </w:r>
      <w:r>
        <w:t>(1), Article 5832. https://doi.org/10.1038/s41467-026-72585-4</w:t>
      </w:r>
    </w:p>
    <w:p w14:paraId="5AD99A5D" w14:textId="77777777" w:rsidR="008064B9" w:rsidRDefault="00000000" w:rsidP="003A798E">
      <w:pPr>
        <w:spacing w:before="100" w:beforeAutospacing="1" w:after="100" w:afterAutospacing="1"/>
        <w:ind w:left="720" w:hanging="720"/>
      </w:pPr>
      <w:r>
        <w:t xml:space="preserve">Aksamentov, I., Roemer, C., Hodcroft, E., &amp; Neher, R. (2021). Nextclade: clade assignment, mutation calling and quality control for viral genomes. </w:t>
      </w:r>
      <w:r>
        <w:rPr>
          <w:i/>
          <w:iCs/>
        </w:rPr>
        <w:t>Journal of Open Source Software</w:t>
      </w:r>
      <w:r>
        <w:t xml:space="preserve">, </w:t>
      </w:r>
      <w:r>
        <w:rPr>
          <w:i/>
          <w:iCs/>
        </w:rPr>
        <w:t>6</w:t>
      </w:r>
      <w:r>
        <w:t>(67), 3773. https://doi.org/10.21105/joss.03773</w:t>
      </w:r>
    </w:p>
    <w:p w14:paraId="6903B780" w14:textId="77777777" w:rsidR="008064B9" w:rsidRDefault="00000000" w:rsidP="003A798E">
      <w:pPr>
        <w:spacing w:before="100" w:beforeAutospacing="1" w:after="100" w:afterAutospacing="1"/>
        <w:ind w:left="720" w:hanging="720"/>
      </w:pPr>
      <w:r>
        <w:t xml:space="preserve">Alcock, B. P., Huynh, W., Chalil, R., Smith, K. W., Raphenya, A. R., Wlodarski, M. A., Edalatmand, A., Petkau, A., Syed, S. A., Tsang, K. K., Baker, S. J. C., Dave, M., McCarthy, M. C., Mukiri, K. M., Nasir, J. A., Golbon, B., Imtiaz, H., Jiang, X., Kaur, K., ... McArthur, A. G. (2023). CARD 2023: expanded curation, support for machine learning, and resistome prediction at the Comprehensive Antibiotic Resistance Database. </w:t>
      </w:r>
      <w:r>
        <w:rPr>
          <w:i/>
          <w:iCs/>
        </w:rPr>
        <w:t>Nucleic Acids Research</w:t>
      </w:r>
      <w:r>
        <w:t xml:space="preserve">, </w:t>
      </w:r>
      <w:r>
        <w:rPr>
          <w:i/>
          <w:iCs/>
        </w:rPr>
        <w:t>51</w:t>
      </w:r>
      <w:r>
        <w:t>(D1), D690–D699. https://doi.org/10.1093/nar/gkac920</w:t>
      </w:r>
    </w:p>
    <w:p w14:paraId="4EA3A1E9" w14:textId="77777777" w:rsidR="008064B9" w:rsidRDefault="00000000" w:rsidP="003A798E">
      <w:pPr>
        <w:spacing w:before="100" w:beforeAutospacing="1" w:after="100" w:afterAutospacing="1"/>
        <w:ind w:left="720" w:hanging="720"/>
      </w:pPr>
      <w:r>
        <w:t xml:space="preserve">Ara, T., Kodama, Y., Fujisawa, T., Kosuge, T., Lee, K., Mashima, J., Ogasawara, O., Tanizawa, Y., Tanjo, T., Nakamura, Y., &amp; Arita, M. (2026). DDBJ update in 2025: system integration for global data-sharing including pathogen surveillance. </w:t>
      </w:r>
      <w:r>
        <w:rPr>
          <w:i/>
          <w:iCs/>
        </w:rPr>
        <w:t>Nucleic Acids Research</w:t>
      </w:r>
      <w:r>
        <w:t xml:space="preserve">, </w:t>
      </w:r>
      <w:r>
        <w:rPr>
          <w:i/>
          <w:iCs/>
        </w:rPr>
        <w:t>54</w:t>
      </w:r>
      <w:r>
        <w:t>(D1), D106–D110. https://doi.org/10.1093/nar/gkaf1273</w:t>
      </w:r>
    </w:p>
    <w:p w14:paraId="76873D82" w14:textId="77777777" w:rsidR="008064B9" w:rsidRDefault="00000000" w:rsidP="003A798E">
      <w:pPr>
        <w:spacing w:before="100" w:beforeAutospacing="1" w:after="100" w:afterAutospacing="1"/>
        <w:ind w:left="720" w:hanging="720"/>
      </w:pPr>
      <w:r>
        <w:t xml:space="preserve">Babayan, S. A., Orton, R. J., &amp; Streicker, D. G. (2018). Predicting reservoir hosts and arthropod vectors from evolutionary signatures in RNA virus genomes. </w:t>
      </w:r>
      <w:r>
        <w:rPr>
          <w:i/>
          <w:iCs/>
        </w:rPr>
        <w:t>Science</w:t>
      </w:r>
      <w:r>
        <w:t xml:space="preserve">, </w:t>
      </w:r>
      <w:r>
        <w:rPr>
          <w:i/>
          <w:iCs/>
        </w:rPr>
        <w:t>362</w:t>
      </w:r>
      <w:r>
        <w:t>(6414), 577–580. https://doi.org/10.1126/science.aap9072</w:t>
      </w:r>
    </w:p>
    <w:p w14:paraId="3D4FAA93" w14:textId="77777777" w:rsidR="008064B9" w:rsidRDefault="00000000" w:rsidP="003A798E">
      <w:pPr>
        <w:spacing w:before="100" w:beforeAutospacing="1" w:after="100" w:afterAutospacing="1"/>
        <w:ind w:left="720" w:hanging="720"/>
      </w:pPr>
      <w:r>
        <w:t xml:space="preserve">Baethge, C., Goldbeck-Wood, S., &amp; Mertens, S. (2019). SANRA—a scale for the quality assessment of narrative review articles. </w:t>
      </w:r>
      <w:r>
        <w:rPr>
          <w:i/>
          <w:iCs/>
        </w:rPr>
        <w:t>Research Integrity and Peer Review</w:t>
      </w:r>
      <w:r>
        <w:t xml:space="preserve">, </w:t>
      </w:r>
      <w:r>
        <w:rPr>
          <w:i/>
          <w:iCs/>
        </w:rPr>
        <w:t>4</w:t>
      </w:r>
      <w:r>
        <w:t>(1), Article 5. https://doi.org/10.1186/s41073-019-0064-8</w:t>
      </w:r>
    </w:p>
    <w:p w14:paraId="344F971B" w14:textId="77777777" w:rsidR="008064B9" w:rsidRDefault="00000000" w:rsidP="003A798E">
      <w:pPr>
        <w:spacing w:before="100" w:beforeAutospacing="1" w:after="100" w:afterAutospacing="1"/>
        <w:ind w:left="720" w:hanging="720"/>
      </w:pPr>
      <w:r>
        <w:lastRenderedPageBreak/>
        <w:t xml:space="preserve">Baker, B., Baz Lomba, J. A., Bitilinyu-Bangoh, J., Berglöf, A., Bombaywala, S., Calvert-Joshua, T., Kaboré, B., Kingpriest, P., Lang, T., Levy, J. I., Lompo, P., Lyimo, E., Martens, L., Mavoko, H. M., Mesuere, B., Moremi, N., Mulder, N., Ndure, S. L., Rameto, M. A., ... Lood, R. (2026). Project ODIN: advancing environmental genomic surveillance for public health across sub-Saharan Africa. </w:t>
      </w:r>
      <w:r>
        <w:rPr>
          <w:i/>
          <w:iCs/>
        </w:rPr>
        <w:t>The Lancet Microbe</w:t>
      </w:r>
      <w:r>
        <w:t>, Article 101426. https://doi.org/10.1016/j.lanmic.2026.101426</w:t>
      </w:r>
    </w:p>
    <w:p w14:paraId="6C64A825" w14:textId="77777777" w:rsidR="008064B9" w:rsidRDefault="00000000" w:rsidP="003A798E">
      <w:pPr>
        <w:spacing w:before="100" w:beforeAutospacing="1" w:after="100" w:afterAutospacing="1"/>
        <w:ind w:left="720" w:hanging="720"/>
      </w:pPr>
      <w:r>
        <w:t xml:space="preserve">Bortolaia, V., Kaas, R. S., Ruppe, E., Roberts, M. C., Schwarz, S., Cattoir, V., Philippon, A., Allesoe, R. L., Rebelo, A. R., Florensa, A. F., Fagelhauer, L., Chakraborty, T., Neumann, B., Werner, G., Bender, J. K., Stingl, K., Nguyen, M., Coppens, J., Xavier, B. B., ... Aarestrup, F. M. (2020). ResFinder 4.0 for predictions of phenotypes from genotypes. </w:t>
      </w:r>
      <w:r>
        <w:rPr>
          <w:i/>
          <w:iCs/>
        </w:rPr>
        <w:t>Journal of Antimicrobial Chemotherapy</w:t>
      </w:r>
      <w:r>
        <w:t xml:space="preserve">, </w:t>
      </w:r>
      <w:r>
        <w:rPr>
          <w:i/>
          <w:iCs/>
        </w:rPr>
        <w:t>75</w:t>
      </w:r>
      <w:r>
        <w:t>(12), 3491–3500. https://doi.org/10.1093/jac/dkaa345</w:t>
      </w:r>
    </w:p>
    <w:p w14:paraId="6C937C44" w14:textId="77777777" w:rsidR="008064B9" w:rsidRDefault="00000000" w:rsidP="003A798E">
      <w:pPr>
        <w:spacing w:before="100" w:beforeAutospacing="1" w:after="100" w:afterAutospacing="1"/>
        <w:ind w:left="720" w:hanging="720"/>
      </w:pPr>
      <w:r>
        <w:t xml:space="preserve">Brito, A. F., Semenova, E., Dudas, G., Hassler, G. W., Kalinich, C. C., Kraemer, M. U. G., Ho, J., Tegally, H., Githinji, G., Agoti, C. N., Matkin, L. E., Whittaker, C., Kantardjiev, T., Korsun, N., Stoitsova, S., Dimitrova, R., Trifonova, I., Dobrinov, V., Grigorova, L., ... Nandram, N. (2022). Global disparities in SARS-CoV-2 genomic surveillance. </w:t>
      </w:r>
      <w:r>
        <w:rPr>
          <w:i/>
          <w:iCs/>
        </w:rPr>
        <w:t>Nature Communications</w:t>
      </w:r>
      <w:r>
        <w:t xml:space="preserve">, </w:t>
      </w:r>
      <w:r>
        <w:rPr>
          <w:i/>
          <w:iCs/>
        </w:rPr>
        <w:t>13</w:t>
      </w:r>
      <w:r>
        <w:t>(1), Article 7003. https://doi.org/10.1038/s41467-022-33713-y</w:t>
      </w:r>
    </w:p>
    <w:p w14:paraId="71131B09" w14:textId="77777777" w:rsidR="008064B9" w:rsidRDefault="00000000" w:rsidP="003A798E">
      <w:pPr>
        <w:spacing w:before="100" w:beforeAutospacing="1" w:after="100" w:afterAutospacing="1"/>
        <w:ind w:left="720" w:hanging="720"/>
      </w:pPr>
      <w:r>
        <w:t xml:space="preserve">Carbajo, A. L., Jr., Vensko, T. A., &amp; Pellett, P. E. (2026). Sequence based virus host prediction: a curated dataset and generalizable framework for training artificial intelligence to identify viruses of humans. </w:t>
      </w:r>
      <w:r>
        <w:rPr>
          <w:i/>
          <w:iCs/>
        </w:rPr>
        <w:t>Virus Evolution</w:t>
      </w:r>
      <w:r>
        <w:t xml:space="preserve">, </w:t>
      </w:r>
      <w:r>
        <w:rPr>
          <w:i/>
          <w:iCs/>
        </w:rPr>
        <w:t>12</w:t>
      </w:r>
      <w:r>
        <w:t>(1), Article veag009. https://doi.org/10.1093/ve/veag009</w:t>
      </w:r>
    </w:p>
    <w:p w14:paraId="05011C7D" w14:textId="77777777" w:rsidR="008064B9" w:rsidRDefault="00000000" w:rsidP="003A798E">
      <w:pPr>
        <w:spacing w:before="100" w:beforeAutospacing="1" w:after="100" w:afterAutospacing="1"/>
        <w:ind w:left="720" w:hanging="720"/>
      </w:pPr>
      <w:r>
        <w:t xml:space="preserve">Carlson, C. J., Albery, G. F., Merow, C., Trisos, C. H., Zipfel, C. M., Eskew, E. A., Olival, K. J., Ross, N., &amp; Bansal, S. (2022). Climate change increases cross-species viral transmission risk. </w:t>
      </w:r>
      <w:r>
        <w:rPr>
          <w:i/>
          <w:iCs/>
        </w:rPr>
        <w:t>Nature</w:t>
      </w:r>
      <w:r>
        <w:t xml:space="preserve">, </w:t>
      </w:r>
      <w:r>
        <w:rPr>
          <w:i/>
          <w:iCs/>
        </w:rPr>
        <w:t>607</w:t>
      </w:r>
      <w:r>
        <w:t>(7919), 555–562. https://doi.org/10.1038/s41586-022-04788-w</w:t>
      </w:r>
    </w:p>
    <w:p w14:paraId="16AE9066" w14:textId="77777777" w:rsidR="008064B9" w:rsidRDefault="00000000" w:rsidP="003A798E">
      <w:pPr>
        <w:spacing w:before="100" w:beforeAutospacing="1" w:after="100" w:afterAutospacing="1"/>
        <w:ind w:left="720" w:hanging="720"/>
      </w:pPr>
      <w:r>
        <w:t xml:space="preserve">Derar, D. I., Hany, F., Eltaher, H., Mahmoud, S., Sedarous, Y., Ruan, Z., Alkhaldi, M., &amp; Elhadidy, M. (2026). Advancing One Health genomics in Africa: opportunities and challenges for outbreak and antimicrobial resistance control. </w:t>
      </w:r>
      <w:r>
        <w:rPr>
          <w:i/>
          <w:iCs/>
        </w:rPr>
        <w:t>Clinical Microbiology Reviews</w:t>
      </w:r>
      <w:r>
        <w:t>, Article e00387-25. https://doi.org/10.1128/cmr.00387-25</w:t>
      </w:r>
    </w:p>
    <w:p w14:paraId="41E65A3E" w14:textId="77777777" w:rsidR="008064B9" w:rsidRDefault="00000000" w:rsidP="003A798E">
      <w:pPr>
        <w:spacing w:before="100" w:beforeAutospacing="1" w:after="100" w:afterAutospacing="1"/>
        <w:ind w:left="720" w:hanging="720"/>
      </w:pPr>
      <w:r>
        <w:t xml:space="preserve">Elton, L., Mateos, A. D., Frosini, S. M., Jepson, R., Rofael, S., McHugh, T. D., &amp; Wey, E. Q. (2025). A metagenomic approach to One Health surveillance of antimicrobial resistance in a UK veterinary centre. </w:t>
      </w:r>
      <w:r>
        <w:rPr>
          <w:i/>
          <w:iCs/>
        </w:rPr>
        <w:t>Microbial Genomics</w:t>
      </w:r>
      <w:r>
        <w:t xml:space="preserve">, </w:t>
      </w:r>
      <w:r>
        <w:rPr>
          <w:i/>
          <w:iCs/>
        </w:rPr>
        <w:t>11</w:t>
      </w:r>
      <w:r>
        <w:t>(9), Article 001471. https://doi.org/10.1099/mgen.0.001471</w:t>
      </w:r>
    </w:p>
    <w:p w14:paraId="3D20D769" w14:textId="77777777" w:rsidR="008064B9" w:rsidRDefault="00000000" w:rsidP="003A798E">
      <w:pPr>
        <w:spacing w:before="100" w:beforeAutospacing="1" w:after="100" w:afterAutospacing="1"/>
        <w:ind w:left="720" w:hanging="720"/>
      </w:pPr>
      <w:r>
        <w:t xml:space="preserve">FAO, UNEP, WHO, &amp; WOAH. (2022). </w:t>
      </w:r>
      <w:r>
        <w:rPr>
          <w:i/>
          <w:iCs/>
        </w:rPr>
        <w:t>One Health joint plan of action (2022–2026): Working together for the health of humans, animals, plants and the environment</w:t>
      </w:r>
      <w:r>
        <w:t>. Food and Agriculture Organization of the United Nations. https://doi.org/10.4060/cc2289en</w:t>
      </w:r>
    </w:p>
    <w:p w14:paraId="2FF4BDA6" w14:textId="77777777" w:rsidR="008064B9" w:rsidRDefault="00000000" w:rsidP="003A798E">
      <w:pPr>
        <w:spacing w:before="100" w:beforeAutospacing="1" w:after="100" w:afterAutospacing="1"/>
        <w:ind w:left="720" w:hanging="720"/>
      </w:pPr>
      <w:r>
        <w:t xml:space="preserve">Feldgarden, M., Brover, V., Gonzalez-Escalona, N., Frye, J. G., Haendiges, J., Haft, D. H., Hoffmann, M., Pettengill, J. B., Prasad, A. B., Tillman, G. E., Tyson, G. H., &amp; Klimke, W. (2021). AMRFinderPlus and the Reference Gene Catalog facilitate examination of the genomic links among antimicrobial resistance, stress response, and virulence. </w:t>
      </w:r>
      <w:r>
        <w:rPr>
          <w:i/>
          <w:iCs/>
        </w:rPr>
        <w:t>Scientific Reports</w:t>
      </w:r>
      <w:r>
        <w:t xml:space="preserve">, </w:t>
      </w:r>
      <w:r>
        <w:rPr>
          <w:i/>
          <w:iCs/>
        </w:rPr>
        <w:t>11</w:t>
      </w:r>
      <w:r>
        <w:t>(1), Article 12728. https://doi.org/10.1038/s41598-021-91456-0</w:t>
      </w:r>
    </w:p>
    <w:p w14:paraId="5B1C4F5C" w14:textId="77777777" w:rsidR="008064B9" w:rsidRDefault="00000000" w:rsidP="003A798E">
      <w:pPr>
        <w:spacing w:before="100" w:beforeAutospacing="1" w:after="100" w:afterAutospacing="1"/>
        <w:ind w:left="720" w:hanging="720"/>
      </w:pPr>
      <w:r>
        <w:t xml:space="preserve">GBD 2021 Antimicrobial Resistance Collaborators. (2024). Global burden of bacterial antimicrobial resistance 1990–2021: a systematic analysis with forecasts to 2050. </w:t>
      </w:r>
      <w:r>
        <w:rPr>
          <w:i/>
          <w:iCs/>
        </w:rPr>
        <w:t>The Lancet</w:t>
      </w:r>
      <w:r>
        <w:t xml:space="preserve">, </w:t>
      </w:r>
      <w:r>
        <w:rPr>
          <w:i/>
          <w:iCs/>
        </w:rPr>
        <w:t>404</w:t>
      </w:r>
      <w:r>
        <w:t>(10459), 1199–1226. https://doi.org/10.1016/s0140-6736(24)01867-1</w:t>
      </w:r>
    </w:p>
    <w:p w14:paraId="681D7641" w14:textId="77777777" w:rsidR="008064B9" w:rsidRDefault="00000000" w:rsidP="003A798E">
      <w:pPr>
        <w:spacing w:before="100" w:beforeAutospacing="1" w:after="100" w:afterAutospacing="1"/>
        <w:ind w:left="720" w:hanging="720"/>
      </w:pPr>
      <w:r>
        <w:t xml:space="preserve">Getchell, M., Wulandari, S., de Alwis, R., Agoramurthy, S., Khoo, Y. K., Mak, T. M., Moe, L., Stona, A. C., Pang, J., Momin, M. H. F. H. A., Amir, A., Andalucia, L. R., Azzam, G., Chin, S., Chookajorn, T., Arunkumar, G., Hung, D. T., Ikram, A., Jha, R., ... Pronyk, P. (2024). Pathogen genomic surveillance status among lower resource settings in Asia. </w:t>
      </w:r>
      <w:r>
        <w:rPr>
          <w:i/>
          <w:iCs/>
        </w:rPr>
        <w:t>Nature Microbiology</w:t>
      </w:r>
      <w:r>
        <w:t xml:space="preserve">, </w:t>
      </w:r>
      <w:r>
        <w:rPr>
          <w:i/>
          <w:iCs/>
        </w:rPr>
        <w:t>9</w:t>
      </w:r>
      <w:r>
        <w:t>(10), 2738–2747. https://doi.org/10.1038/s41564-024-01809-4</w:t>
      </w:r>
    </w:p>
    <w:p w14:paraId="4D4E82CA" w14:textId="77777777" w:rsidR="008064B9" w:rsidRDefault="00000000" w:rsidP="003A798E">
      <w:pPr>
        <w:spacing w:before="100" w:beforeAutospacing="1" w:after="100" w:afterAutospacing="1"/>
        <w:ind w:left="720" w:hanging="720"/>
      </w:pPr>
      <w:r>
        <w:lastRenderedPageBreak/>
        <w:t xml:space="preserve">Griffiths, E. J., Cameron, R., Barclay, C., John, N. S., Dooley, D., Gill, I., Iseminger, M., Anwar, M. Z., Horsman, M. E., MacKenzie, K., Prystajecky, N., Tyson, J., Jassem, A., Lee, T., Azana, R., Fung, J., Chan, M., Cheung, B., Tsang, F., ... Hsiao, W. W. .. L. (2026). The Mpox contextual data specification package: a data curation toolkit to support collaborative pathogen genomic surveillance. </w:t>
      </w:r>
      <w:r>
        <w:rPr>
          <w:i/>
          <w:iCs/>
        </w:rPr>
        <w:t>Microbial Genomics</w:t>
      </w:r>
      <w:r>
        <w:t xml:space="preserve">, </w:t>
      </w:r>
      <w:r>
        <w:rPr>
          <w:i/>
          <w:iCs/>
        </w:rPr>
        <w:t>12</w:t>
      </w:r>
      <w:r>
        <w:t>(1), Article 001614. https://doi.org/10.1099/mgen.0.001614</w:t>
      </w:r>
    </w:p>
    <w:p w14:paraId="57FC5DCB" w14:textId="77777777" w:rsidR="008064B9" w:rsidRDefault="00000000" w:rsidP="003A798E">
      <w:pPr>
        <w:spacing w:before="100" w:beforeAutospacing="1" w:after="100" w:afterAutospacing="1"/>
        <w:ind w:left="720" w:hanging="720"/>
      </w:pPr>
      <w:r>
        <w:t xml:space="preserve">Grubaugh, N. D., Ladner, J. T., Lemey, P., Pybus, O. G., Rambaut, A., Holmes, E. C., &amp; Andersen, K. G. (2019). Tracking virus outbreaks in the twenty-first century. </w:t>
      </w:r>
      <w:r>
        <w:rPr>
          <w:i/>
          <w:iCs/>
        </w:rPr>
        <w:t>Nature Microbiology</w:t>
      </w:r>
      <w:r>
        <w:t xml:space="preserve">, </w:t>
      </w:r>
      <w:r>
        <w:rPr>
          <w:i/>
          <w:iCs/>
        </w:rPr>
        <w:t>4</w:t>
      </w:r>
      <w:r>
        <w:t>(1), 10–19. https://doi.org/10.1038/s41564-018-0296-2</w:t>
      </w:r>
    </w:p>
    <w:p w14:paraId="07A7097E" w14:textId="77777777" w:rsidR="008064B9" w:rsidRDefault="00000000" w:rsidP="003A798E">
      <w:pPr>
        <w:spacing w:before="100" w:beforeAutospacing="1" w:after="100" w:afterAutospacing="1"/>
        <w:ind w:left="720" w:hanging="720"/>
      </w:pPr>
      <w:r>
        <w:t xml:space="preserve">Gupta, Y. K., Adams, I., van Aerle, R., Avant, J., Bass, D., Batista, F. M., Benucci, M., Briggs, T., Cano, I., Choudhury, B., Crampton, B., Ellis, R. J., Freimanis, G., Haynes, E., Hill, S. C., Jones, E., Laurenson, L., Maclaren, A., Maskell, D., ... Ward, L. (2025). An integrated One Health initiative for pathogen genomic surveillance in the UK. </w:t>
      </w:r>
      <w:r>
        <w:rPr>
          <w:i/>
          <w:iCs/>
        </w:rPr>
        <w:t>Microbial Genomics</w:t>
      </w:r>
      <w:r>
        <w:t xml:space="preserve">, </w:t>
      </w:r>
      <w:r>
        <w:rPr>
          <w:i/>
          <w:iCs/>
        </w:rPr>
        <w:t>11</w:t>
      </w:r>
      <w:r>
        <w:t>(11), Article 001539. https://doi.org/10.1099/mgen.0.001539</w:t>
      </w:r>
    </w:p>
    <w:p w14:paraId="2E23EAF6" w14:textId="77777777" w:rsidR="008064B9" w:rsidRDefault="00000000" w:rsidP="003A798E">
      <w:pPr>
        <w:spacing w:before="100" w:beforeAutospacing="1" w:after="100" w:afterAutospacing="1"/>
        <w:ind w:left="720" w:hanging="720"/>
      </w:pPr>
      <w:r>
        <w:t xml:space="preserve">Hadfield, J., Megill, C., Bell, S. M., Huddleston, J., Potter, B., Callender, C., Sagulenko, P., Bedford, T., &amp; Neher, R. A. (2018). Nextstrain: real-time tracking of pathogen evolution. </w:t>
      </w:r>
      <w:r>
        <w:rPr>
          <w:i/>
          <w:iCs/>
        </w:rPr>
        <w:t>Bioinformatics</w:t>
      </w:r>
      <w:r>
        <w:t xml:space="preserve">, </w:t>
      </w:r>
      <w:r>
        <w:rPr>
          <w:i/>
          <w:iCs/>
        </w:rPr>
        <w:t>34</w:t>
      </w:r>
      <w:r>
        <w:t>(23), 4121–4123. https://doi.org/10.1093/bioinformatics/bty407</w:t>
      </w:r>
    </w:p>
    <w:p w14:paraId="32F99E15" w14:textId="77777777" w:rsidR="008064B9" w:rsidRDefault="00000000" w:rsidP="003A798E">
      <w:pPr>
        <w:spacing w:before="100" w:beforeAutospacing="1" w:after="100" w:afterAutospacing="1"/>
        <w:ind w:left="720" w:hanging="720"/>
      </w:pPr>
      <w:r>
        <w:t xml:space="preserve">Hanke, M. S., Rath, S., Cicero, A., Inglesby, T. V., &amp; Pannu, J. (2026). Dual-use artificial intelligence and biology: upstream risk-benefit reviews. </w:t>
      </w:r>
      <w:r>
        <w:rPr>
          <w:i/>
          <w:iCs/>
        </w:rPr>
        <w:t>Frontiers in Microbiology</w:t>
      </w:r>
      <w:r>
        <w:t xml:space="preserve">, </w:t>
      </w:r>
      <w:r>
        <w:rPr>
          <w:i/>
          <w:iCs/>
        </w:rPr>
        <w:t>17</w:t>
      </w:r>
      <w:r>
        <w:t>, Article 1832974. https://doi.org/10.3389/fmicb.2026.1832974</w:t>
      </w:r>
    </w:p>
    <w:p w14:paraId="2D3266BE" w14:textId="77777777" w:rsidR="008064B9" w:rsidRDefault="00000000" w:rsidP="003A798E">
      <w:pPr>
        <w:spacing w:before="100" w:beforeAutospacing="1" w:after="100" w:afterAutospacing="1"/>
        <w:ind w:left="720" w:hanging="720"/>
      </w:pPr>
      <w:r>
        <w:t xml:space="preserve">Hendriksen, R. S., Munk, P., Njage, P., van Bunnik, B., McNally, L., Lukjancenko, O., Röder, T., Nieuwenhuijse, D., Pedersen, S. K., Kjeldgaard, J., Kaas, R. S., Clausen, P. T. L. C., Vogt, J. K., Leekitcharoenphon, P., van de Schans, M. G. M., Zuidema, T., de Roda Husman, A. M., Rasmussen, S., Petersen, B., ... Battisti, A. (2019). Global monitoring of antimicrobial resistance based on metagenomics analyses of urban sewage. </w:t>
      </w:r>
      <w:r>
        <w:rPr>
          <w:i/>
          <w:iCs/>
        </w:rPr>
        <w:t>Nature Communications</w:t>
      </w:r>
      <w:r>
        <w:t xml:space="preserve">, </w:t>
      </w:r>
      <w:r>
        <w:rPr>
          <w:i/>
          <w:iCs/>
        </w:rPr>
        <w:t>10</w:t>
      </w:r>
      <w:r>
        <w:t>(1), Article 1124. https://doi.org/10.1038/s41467-019-08853-3</w:t>
      </w:r>
    </w:p>
    <w:p w14:paraId="019C5C12" w14:textId="77777777" w:rsidR="008064B9" w:rsidRDefault="00000000" w:rsidP="003A798E">
      <w:pPr>
        <w:spacing w:before="100" w:beforeAutospacing="1" w:after="100" w:afterAutospacing="1"/>
        <w:ind w:left="720" w:hanging="720"/>
      </w:pPr>
      <w:r>
        <w:t xml:space="preserve">Hie, B., Zhong, E. D., Berger, B., &amp; Bryson, B. (2021). Learning the language of viral evolution and escape. </w:t>
      </w:r>
      <w:r>
        <w:rPr>
          <w:i/>
          <w:iCs/>
        </w:rPr>
        <w:t>Science</w:t>
      </w:r>
      <w:r>
        <w:t xml:space="preserve">, </w:t>
      </w:r>
      <w:r>
        <w:rPr>
          <w:i/>
          <w:iCs/>
        </w:rPr>
        <w:t>371</w:t>
      </w:r>
      <w:r>
        <w:t>(6526), 284–288. https://doi.org/10.1126/science.abd7331</w:t>
      </w:r>
    </w:p>
    <w:p w14:paraId="6684D83B" w14:textId="77777777" w:rsidR="008064B9" w:rsidRDefault="00000000" w:rsidP="003A798E">
      <w:pPr>
        <w:spacing w:before="100" w:beforeAutospacing="1" w:after="100" w:afterAutospacing="1"/>
        <w:ind w:left="720" w:hanging="720"/>
      </w:pPr>
      <w:r>
        <w:t xml:space="preserve">Hughes, N., Sathiananthamoorthy, S., &amp; Sergaki, C. (2026). Antimicrobial resistance surveillance through wastewater: methodological considerations for metagenomic approaches and public health perspectives. </w:t>
      </w:r>
      <w:r>
        <w:rPr>
          <w:i/>
          <w:iCs/>
        </w:rPr>
        <w:t>The Lancet Microbe</w:t>
      </w:r>
      <w:r>
        <w:t xml:space="preserve">, </w:t>
      </w:r>
      <w:r>
        <w:rPr>
          <w:i/>
          <w:iCs/>
        </w:rPr>
        <w:t>7</w:t>
      </w:r>
      <w:r>
        <w:t>(8), Article 101400. https://doi.org/10.1016/j.lanmic.2026.101400</w:t>
      </w:r>
    </w:p>
    <w:p w14:paraId="11684A65" w14:textId="77777777" w:rsidR="008064B9" w:rsidRDefault="00000000" w:rsidP="003A798E">
      <w:pPr>
        <w:spacing w:before="100" w:beforeAutospacing="1" w:after="100" w:afterAutospacing="1"/>
        <w:ind w:left="720" w:hanging="720"/>
      </w:pPr>
      <w:r>
        <w:t xml:space="preserve">Jia, X., Zhang, J., Chen, J., Wang, J., Chu, X., Yu, W., Chen, S., Zhang, Q., Li, Z., Gao, H., Li, M., &amp; Yang, Q. (2026). Machine learning-based prediction of multi-level antimicrobial resistance in </w:t>
      </w:r>
      <w:r>
        <w:rPr>
          <w:i/>
          <w:iCs/>
        </w:rPr>
        <w:t>Klebsiella pneumoniae</w:t>
      </w:r>
      <w:r>
        <w:t xml:space="preserve"> using whole-genome sequencing data. </w:t>
      </w:r>
      <w:r>
        <w:rPr>
          <w:i/>
          <w:iCs/>
        </w:rPr>
        <w:t>International Journal of Antimicrobial Agents</w:t>
      </w:r>
      <w:r>
        <w:t xml:space="preserve">, </w:t>
      </w:r>
      <w:r>
        <w:rPr>
          <w:i/>
          <w:iCs/>
        </w:rPr>
        <w:t>67</w:t>
      </w:r>
      <w:r>
        <w:t>(7), Article 107807. https://doi.org/10.1016/j.ijantimicag.2026.107807</w:t>
      </w:r>
    </w:p>
    <w:p w14:paraId="68FAC667" w14:textId="77777777" w:rsidR="008064B9" w:rsidRDefault="00000000" w:rsidP="003A798E">
      <w:pPr>
        <w:spacing w:before="100" w:beforeAutospacing="1" w:after="100" w:afterAutospacing="1"/>
        <w:ind w:left="720" w:hanging="720"/>
      </w:pPr>
      <w:r>
        <w:t xml:space="preserve">Jumper, J., Evans, R., Pritzel, A., Green, T., Figurnov, M., Ronneberger, O., Tunyasuvunakool, K., Bates, R., Žídek, A., Potapenko, A., Bridgland, A., Meyer, C., Kohl, S. A. A., Ballard, A. J., Cowie, A., Romera-Paredes, B., Nikolov, S., Jain, R., Adler, J., ... Hassabis, D. (2021). Highly accurate protein structure prediction with AlphaFold. </w:t>
      </w:r>
      <w:r>
        <w:rPr>
          <w:i/>
          <w:iCs/>
        </w:rPr>
        <w:t>Nature</w:t>
      </w:r>
      <w:r>
        <w:t xml:space="preserve">, </w:t>
      </w:r>
      <w:r>
        <w:rPr>
          <w:i/>
          <w:iCs/>
        </w:rPr>
        <w:t>596</w:t>
      </w:r>
      <w:r>
        <w:t>(7873), 583–589. https://doi.org/10.1038/s41586-021-03819-2</w:t>
      </w:r>
    </w:p>
    <w:p w14:paraId="779A42B8" w14:textId="77777777" w:rsidR="008064B9" w:rsidRDefault="00000000" w:rsidP="003A798E">
      <w:pPr>
        <w:spacing w:before="100" w:beforeAutospacing="1" w:after="100" w:afterAutospacing="1"/>
        <w:ind w:left="720" w:hanging="720"/>
      </w:pPr>
      <w:r>
        <w:t xml:space="preserve">Kapoor, S., &amp; Narayanan, A. (2023). Leakage and the reproducibility crisis in machine-learning-based science. </w:t>
      </w:r>
      <w:r>
        <w:rPr>
          <w:i/>
          <w:iCs/>
        </w:rPr>
        <w:t>Patterns</w:t>
      </w:r>
      <w:r>
        <w:t xml:space="preserve">, </w:t>
      </w:r>
      <w:r>
        <w:rPr>
          <w:i/>
          <w:iCs/>
        </w:rPr>
        <w:t>4</w:t>
      </w:r>
      <w:r>
        <w:t>(9), Article 100804. https://doi.org/10.1016/j.patter.2023.100804</w:t>
      </w:r>
    </w:p>
    <w:p w14:paraId="73FE7CDC" w14:textId="77777777" w:rsidR="008064B9" w:rsidRDefault="00000000" w:rsidP="003A798E">
      <w:pPr>
        <w:spacing w:before="100" w:beforeAutospacing="1" w:after="100" w:afterAutospacing="1"/>
        <w:ind w:left="720" w:hanging="720"/>
      </w:pPr>
      <w:r>
        <w:lastRenderedPageBreak/>
        <w:t xml:space="preserve">Kawasaki, J., Suzuki, T., &amp; Hamada, M. (2025). Hidden challenges in evaluating spillover risk of zoonotic viruses using machine learning models. </w:t>
      </w:r>
      <w:r>
        <w:rPr>
          <w:i/>
          <w:iCs/>
        </w:rPr>
        <w:t>Communications Medicine</w:t>
      </w:r>
      <w:r>
        <w:t xml:space="preserve">, </w:t>
      </w:r>
      <w:r>
        <w:rPr>
          <w:i/>
          <w:iCs/>
        </w:rPr>
        <w:t>5</w:t>
      </w:r>
      <w:r>
        <w:t>(1), Article 187. https://doi.org/10.1038/s43856-025-00903-w</w:t>
      </w:r>
    </w:p>
    <w:p w14:paraId="0508F30B" w14:textId="77777777" w:rsidR="008064B9" w:rsidRDefault="00000000" w:rsidP="003A798E">
      <w:pPr>
        <w:spacing w:before="100" w:beforeAutospacing="1" w:after="100" w:afterAutospacing="1"/>
        <w:ind w:left="720" w:hanging="720"/>
      </w:pPr>
      <w:r>
        <w:t xml:space="preserve">Knight, M. E., Webster, G., Perry, W. B., Baldwin, A., Rushton, L., Pass, D. A., Cross, G., Durance, I., Muziasari, W., Kille, P., Farkas, K., Weightman, A. J., &amp; Jones, D. L. (2024). National-scale antimicrobial resistance surveillance in wastewater: A comparative analysis of HT qPCR and metagenomic approaches. </w:t>
      </w:r>
      <w:r>
        <w:rPr>
          <w:i/>
          <w:iCs/>
        </w:rPr>
        <w:t>Water Research</w:t>
      </w:r>
      <w:r>
        <w:t xml:space="preserve">, </w:t>
      </w:r>
      <w:r>
        <w:rPr>
          <w:i/>
          <w:iCs/>
        </w:rPr>
        <w:t>262</w:t>
      </w:r>
      <w:r>
        <w:t>, Article 121989. https://doi.org/10.1016/j.watres.2024.121989</w:t>
      </w:r>
    </w:p>
    <w:p w14:paraId="4360AEDC" w14:textId="77777777" w:rsidR="008064B9" w:rsidRDefault="00000000" w:rsidP="003A798E">
      <w:pPr>
        <w:spacing w:before="100" w:beforeAutospacing="1" w:after="100" w:afterAutospacing="1"/>
        <w:ind w:left="720" w:hanging="720"/>
      </w:pPr>
      <w:r>
        <w:t xml:space="preserve">Koopmans, M., Csabai, I., Remondini, D., Snary, E., &amp; Aarestrup, F. (2026). Artificial intelligence and One Health: potential for spillover prediction?. </w:t>
      </w:r>
      <w:r>
        <w:rPr>
          <w:i/>
          <w:iCs/>
        </w:rPr>
        <w:t>The Lancet Infectious Diseases</w:t>
      </w:r>
      <w:r>
        <w:t xml:space="preserve">, </w:t>
      </w:r>
      <w:r>
        <w:rPr>
          <w:i/>
          <w:iCs/>
        </w:rPr>
        <w:t>26</w:t>
      </w:r>
      <w:r>
        <w:t>(3), 219–220. https://doi.org/10.1016/s1473-3099(25)00498-0</w:t>
      </w:r>
    </w:p>
    <w:p w14:paraId="6F20FACC" w14:textId="77777777" w:rsidR="008064B9" w:rsidRDefault="00000000" w:rsidP="003A798E">
      <w:pPr>
        <w:spacing w:before="100" w:beforeAutospacing="1" w:after="100" w:afterAutospacing="1"/>
        <w:ind w:left="720" w:hanging="720"/>
      </w:pPr>
      <w:r>
        <w:t xml:space="preserve">Kraemer, M. U. G., Tsui, J. L. H., Chang, S. Y., Lytras, S., Khurana, M. P., Vanderslott, S., Bajaj, S., Scheidwasser, N., Curran-Sebastian, J. L., Semenova, E., Zhang, M., Unwin, H. J. T., Watson, O. J., Mills, C., Dasgupta, A., Ferretti, L., Scarpino, S. V., Koua, E., Morgan, O., ... Bhatt, S. (2025). Artificial intelligence for modelling infectious disease epidemics. </w:t>
      </w:r>
      <w:r>
        <w:rPr>
          <w:i/>
          <w:iCs/>
        </w:rPr>
        <w:t>Nature</w:t>
      </w:r>
      <w:r>
        <w:t xml:space="preserve">, </w:t>
      </w:r>
      <w:r>
        <w:rPr>
          <w:i/>
          <w:iCs/>
        </w:rPr>
        <w:t>638</w:t>
      </w:r>
      <w:r>
        <w:t>(8051), 623–635. https://doi.org/10.1038/s41586-024-08564-w</w:t>
      </w:r>
    </w:p>
    <w:p w14:paraId="5F424BE2" w14:textId="77777777" w:rsidR="008064B9" w:rsidRDefault="00000000" w:rsidP="003A798E">
      <w:pPr>
        <w:spacing w:before="100" w:beforeAutospacing="1" w:after="100" w:afterAutospacing="1"/>
        <w:ind w:left="720" w:hanging="720"/>
      </w:pPr>
      <w:r>
        <w:t xml:space="preserve">Lacy-Roberts, N., Gibson, C. T., Nilsson, P., Weese, C. J., Odgaard, C., Thornval, N. R., &amp; Hendriksen, R. S. (2026). Bridging the bioinformatics gap: tool selection for decentralized AMR genomic surveillance in Africa. </w:t>
      </w:r>
      <w:r>
        <w:rPr>
          <w:i/>
          <w:iCs/>
        </w:rPr>
        <w:t>Frontiers in Public Health</w:t>
      </w:r>
      <w:r>
        <w:t xml:space="preserve">, </w:t>
      </w:r>
      <w:r>
        <w:rPr>
          <w:i/>
          <w:iCs/>
        </w:rPr>
        <w:t>14</w:t>
      </w:r>
      <w:r>
        <w:t>, Article 1756324. https://doi.org/10.3389/fpubh.2026.1756324</w:t>
      </w:r>
    </w:p>
    <w:p w14:paraId="0D660CF9" w14:textId="77777777" w:rsidR="008064B9" w:rsidRDefault="00000000" w:rsidP="003A798E">
      <w:pPr>
        <w:spacing w:before="100" w:beforeAutospacing="1" w:after="100" w:afterAutospacing="1"/>
        <w:ind w:left="720" w:hanging="720"/>
      </w:pPr>
      <w:r>
        <w:t xml:space="preserve">Lin, Z., Akin, H., Rao, R., Hie, B., Zhu, Z., Lu, W., Smetanin, N., Verkuil, R., Kabeli, O., Shmueli, Y., dos Santos Costa, A., Fazel-Zarandi, M., Sercu, T., Candido, S., &amp; Rives, A. (2023). Evolutionary-scale prediction of atomic-level protein structure with a language model. </w:t>
      </w:r>
      <w:r>
        <w:rPr>
          <w:i/>
          <w:iCs/>
        </w:rPr>
        <w:t>Science</w:t>
      </w:r>
      <w:r>
        <w:t xml:space="preserve">, </w:t>
      </w:r>
      <w:r>
        <w:rPr>
          <w:i/>
          <w:iCs/>
        </w:rPr>
        <w:t>379</w:t>
      </w:r>
      <w:r>
        <w:t>(6637), 1123–1130. https://doi.org/10.1126/science.ade2574</w:t>
      </w:r>
    </w:p>
    <w:p w14:paraId="1F0C6734" w14:textId="77777777" w:rsidR="008064B9" w:rsidRDefault="00000000" w:rsidP="003A798E">
      <w:pPr>
        <w:spacing w:before="100" w:beforeAutospacing="1" w:after="100" w:afterAutospacing="1"/>
        <w:ind w:left="720" w:hanging="720"/>
      </w:pPr>
      <w:r>
        <w:t xml:space="preserve">Lytras, S., Lamb, K. D., Ito, J., Grove, J., Yuan, K., Sato, K., Hughes, J., &amp; Robertson, D. L. (2025). Pathogen genomic surveillance and the AI revolution. </w:t>
      </w:r>
      <w:r>
        <w:rPr>
          <w:i/>
          <w:iCs/>
        </w:rPr>
        <w:t>Journal of Virology</w:t>
      </w:r>
      <w:r>
        <w:t xml:space="preserve">, </w:t>
      </w:r>
      <w:r>
        <w:rPr>
          <w:i/>
          <w:iCs/>
        </w:rPr>
        <w:t>99</w:t>
      </w:r>
      <w:r>
        <w:t>(2), Article e01601-24. https://doi.org/10.1128/jvi.01601-24</w:t>
      </w:r>
    </w:p>
    <w:p w14:paraId="39DFF8F4" w14:textId="77777777" w:rsidR="008064B9" w:rsidRDefault="00000000" w:rsidP="003A798E">
      <w:pPr>
        <w:spacing w:before="100" w:beforeAutospacing="1" w:after="100" w:afterAutospacing="1"/>
        <w:ind w:left="720" w:hanging="720"/>
      </w:pPr>
      <w:r>
        <w:t xml:space="preserve">Maher, M. C., Bartha, I., Weaver, S., di Iulio, J., Ferri, E., Soriaga, L., Lempp, F. A., Hie, B. L., Bryson, B., Berger, B., Robertson, D. L., Snell, G., Corti, D., Virgin, H. W., Kosakovsky Pond, S. L., &amp; Telenti, A. (2022). Predicting the mutational drivers of future SARS-CoV-2 variants of concern. </w:t>
      </w:r>
      <w:r>
        <w:rPr>
          <w:i/>
          <w:iCs/>
        </w:rPr>
        <w:t>Science Translational Medicine</w:t>
      </w:r>
      <w:r>
        <w:t xml:space="preserve">, </w:t>
      </w:r>
      <w:r>
        <w:rPr>
          <w:i/>
          <w:iCs/>
        </w:rPr>
        <w:t>14</w:t>
      </w:r>
      <w:r>
        <w:t>(633), eabk3445. https://doi.org/10.1126/scitranslmed.abk3445</w:t>
      </w:r>
    </w:p>
    <w:p w14:paraId="605E71EB" w14:textId="77777777" w:rsidR="008064B9" w:rsidRDefault="00000000" w:rsidP="003A798E">
      <w:pPr>
        <w:spacing w:before="100" w:beforeAutospacing="1" w:after="100" w:afterAutospacing="1"/>
        <w:ind w:left="720" w:hanging="720"/>
      </w:pPr>
      <w:r>
        <w:t xml:space="preserve">Mediouni, M., Makarenkov, V., &amp; Diallo, A. B. (2025). Towards an interpretable machine learning model for predicting antimicrobial resistance. </w:t>
      </w:r>
      <w:r>
        <w:rPr>
          <w:i/>
          <w:iCs/>
        </w:rPr>
        <w:t>Journal of Global Antimicrobial Resistance</w:t>
      </w:r>
      <w:r>
        <w:t xml:space="preserve">, </w:t>
      </w:r>
      <w:r>
        <w:rPr>
          <w:i/>
          <w:iCs/>
        </w:rPr>
        <w:t>45</w:t>
      </w:r>
      <w:r>
        <w:t>, 47–51. https://doi.org/10.1016/j.jgar.2025.08.011</w:t>
      </w:r>
    </w:p>
    <w:p w14:paraId="224536F0" w14:textId="77777777" w:rsidR="008064B9" w:rsidRDefault="00000000" w:rsidP="003A798E">
      <w:pPr>
        <w:spacing w:before="100" w:beforeAutospacing="1" w:after="100" w:afterAutospacing="1"/>
        <w:ind w:left="720" w:hanging="720"/>
      </w:pPr>
      <w:r>
        <w:t xml:space="preserve">Mollentze, N., &amp; Streicker, D. G. (2020). Viral zoonotic risk is homogenous among taxonomic orders of mammalian and avian reservoir hosts. </w:t>
      </w:r>
      <w:r>
        <w:rPr>
          <w:i/>
          <w:iCs/>
        </w:rPr>
        <w:t>Proceedings of the National Academy of Sciences of the United States of America</w:t>
      </w:r>
      <w:r>
        <w:t xml:space="preserve">, </w:t>
      </w:r>
      <w:r>
        <w:rPr>
          <w:i/>
          <w:iCs/>
        </w:rPr>
        <w:t>117</w:t>
      </w:r>
      <w:r>
        <w:t>(17), 9423–9430. https://doi.org/10.1073/pnas.1919176117</w:t>
      </w:r>
    </w:p>
    <w:p w14:paraId="5459649C" w14:textId="77777777" w:rsidR="008064B9" w:rsidRDefault="00000000" w:rsidP="003A798E">
      <w:pPr>
        <w:spacing w:before="100" w:beforeAutospacing="1" w:after="100" w:afterAutospacing="1"/>
        <w:ind w:left="720" w:hanging="720"/>
      </w:pPr>
      <w:r>
        <w:t xml:space="preserve">Mollentze, N., Babayan, S. A., &amp; Streicker, D. G. (2021). Identifying and prioritizing potential human-infecting viruses from their genome sequences. </w:t>
      </w:r>
      <w:r>
        <w:rPr>
          <w:i/>
          <w:iCs/>
        </w:rPr>
        <w:t>PLOS Biology</w:t>
      </w:r>
      <w:r>
        <w:t xml:space="preserve">, </w:t>
      </w:r>
      <w:r>
        <w:rPr>
          <w:i/>
          <w:iCs/>
        </w:rPr>
        <w:t>19</w:t>
      </w:r>
      <w:r>
        <w:t>(9), e3001390. https://doi.org/10.1371/journal.pbio.3001390</w:t>
      </w:r>
    </w:p>
    <w:p w14:paraId="0475A332" w14:textId="77777777" w:rsidR="008064B9" w:rsidRDefault="00000000" w:rsidP="003A798E">
      <w:pPr>
        <w:spacing w:before="100" w:beforeAutospacing="1" w:after="100" w:afterAutospacing="1"/>
        <w:ind w:left="720" w:hanging="720"/>
      </w:pPr>
      <w:r>
        <w:t xml:space="preserve">Mukherjee, D., Sagar, K., Kobialka, R. M., Ghosh, P., Weidmann, M., Savareh, B. A., Joardar, S. N., Truyen, U., Abd El Wahed, A., &amp; Ceruti, A. (2025). Filling the gap: artificial intelligence-driven one health </w:t>
      </w:r>
      <w:r>
        <w:lastRenderedPageBreak/>
        <w:t xml:space="preserve">integration to strengthen pandemic preparedness in resource-limited settings. </w:t>
      </w:r>
      <w:r>
        <w:rPr>
          <w:i/>
          <w:iCs/>
        </w:rPr>
        <w:t>Frontiers in Public Health</w:t>
      </w:r>
      <w:r>
        <w:t xml:space="preserve">, </w:t>
      </w:r>
      <w:r>
        <w:rPr>
          <w:i/>
          <w:iCs/>
        </w:rPr>
        <w:t>13</w:t>
      </w:r>
      <w:r>
        <w:t>, Article 1707306. https://doi.org/10.3389/fpubh.2025.1707306</w:t>
      </w:r>
    </w:p>
    <w:p w14:paraId="30026592" w14:textId="77777777" w:rsidR="008064B9" w:rsidRDefault="00000000" w:rsidP="003A798E">
      <w:pPr>
        <w:spacing w:before="100" w:beforeAutospacing="1" w:after="100" w:afterAutospacing="1"/>
        <w:ind w:left="720" w:hanging="720"/>
      </w:pPr>
      <w:r>
        <w:t xml:space="preserve">Munk, P., Brinch, C., Møller, F. D., Petersen, T. N., Hendriksen, R. S., Seyfarth, A. M., Kjeldgaard, J. S., Svendsen, C. A., van Bunnik, B., Berglund, F., Bego, A., Power, P., Rees, C., Lambrinidis, D., Neilson, E. H. J., Gibb, K., Coventry, K., Collignon, P., Cassar, S., ... JiaYong, Z. (2022). Genomic analysis of sewage from 101 countries reveals global landscape of antimicrobial resistance. </w:t>
      </w:r>
      <w:r>
        <w:rPr>
          <w:i/>
          <w:iCs/>
        </w:rPr>
        <w:t>Nature Communications</w:t>
      </w:r>
      <w:r>
        <w:t xml:space="preserve">, </w:t>
      </w:r>
      <w:r>
        <w:rPr>
          <w:i/>
          <w:iCs/>
        </w:rPr>
        <w:t>13</w:t>
      </w:r>
      <w:r>
        <w:t>(1), Article 7251. https://doi.org/10.1038/s41467-022-34312-7</w:t>
      </w:r>
    </w:p>
    <w:p w14:paraId="66FF528D" w14:textId="77777777" w:rsidR="008064B9" w:rsidRDefault="00000000" w:rsidP="003A798E">
      <w:pPr>
        <w:spacing w:before="100" w:beforeAutospacing="1" w:after="100" w:afterAutospacing="1"/>
        <w:ind w:left="720" w:hanging="720"/>
      </w:pPr>
      <w:r>
        <w:t xml:space="preserve">Munteanu, V., Saldana, M. A., Dreifuss, D., Ouyang, W. O., Ferdous, J., Mohebbi, F., Roseberry, J. S., Ciorba, D., Bostan, V., Gordeev, V., Drabcinski, N., Su, J. M., Kasianchuk, N., Sharma, N. K., Knyazev, S., Aßmann, E., Lobiuc, A., Covasa, M., Crandall, K. A., ... Mangul, S. (2026). SARS-CoV-2 wastewater genomic surveillance: approaches, challenges, and opportunities. </w:t>
      </w:r>
      <w:r>
        <w:rPr>
          <w:i/>
          <w:iCs/>
        </w:rPr>
        <w:t>Genome Biology</w:t>
      </w:r>
      <w:r>
        <w:t xml:space="preserve">, </w:t>
      </w:r>
      <w:r>
        <w:rPr>
          <w:i/>
          <w:iCs/>
        </w:rPr>
        <w:t>27</w:t>
      </w:r>
      <w:r>
        <w:t>(1), Article 1. https://doi.org/10.1186/s13059-025-03927-6</w:t>
      </w:r>
    </w:p>
    <w:p w14:paraId="6C0ED41F" w14:textId="77777777" w:rsidR="008064B9" w:rsidRDefault="00000000" w:rsidP="003A798E">
      <w:pPr>
        <w:spacing w:before="100" w:beforeAutospacing="1" w:after="100" w:afterAutospacing="1"/>
        <w:ind w:left="720" w:hanging="720"/>
      </w:pPr>
      <w:r>
        <w:t xml:space="preserve">Mwenda, M., Mosler, K., Bohmeier, B., Chomba, M., van Loon, W., Mambwe, B., Gaye, A., Olorunfemi, A., Suliman, S., Yanogo, N. J., Sow, D., Ngom, B., Zoure, O. A. Z., Tibiri, Y. N. G., Ojeniyi, F., Zongo, A., Anoh, E. A., Achi, V., Chiyesu, C., ... Hendry, J. A. (2026). Continental-scale genomic surveillance of </w:t>
      </w:r>
      <w:r>
        <w:rPr>
          <w:i/>
          <w:iCs/>
        </w:rPr>
        <w:t>Plasmodium falciparum</w:t>
      </w:r>
      <w:r>
        <w:t xml:space="preserve"> malaria across sub-Saharan Africa with rapid nanopore sequencing. </w:t>
      </w:r>
      <w:r>
        <w:rPr>
          <w:i/>
          <w:iCs/>
        </w:rPr>
        <w:t>Nature Communications</w:t>
      </w:r>
      <w:r>
        <w:t xml:space="preserve">, </w:t>
      </w:r>
      <w:r>
        <w:rPr>
          <w:i/>
          <w:iCs/>
        </w:rPr>
        <w:t>17</w:t>
      </w:r>
      <w:r>
        <w:t>(1), Article 4218. https://doi.org/10.1038/s41467-026-72358-z</w:t>
      </w:r>
    </w:p>
    <w:p w14:paraId="0FEC8E7E" w14:textId="77777777" w:rsidR="008064B9" w:rsidRDefault="00000000" w:rsidP="003A798E">
      <w:pPr>
        <w:spacing w:before="100" w:beforeAutospacing="1" w:after="100" w:afterAutospacing="1"/>
        <w:ind w:left="720" w:hanging="720"/>
      </w:pPr>
      <w:r>
        <w:t xml:space="preserve">Nagpal, S., Pal, R., Ashima, Tyagi, A., Tripathi, S., Nagori, A., Ahmad, S., Mishra, H. P., Malhotra, R., Kutum, R., &amp; Sethi, T. (2022). Genomic surveillance of COVID-19 variants with language models and machine learning. </w:t>
      </w:r>
      <w:r>
        <w:rPr>
          <w:i/>
          <w:iCs/>
        </w:rPr>
        <w:t>Frontiers in Genetics</w:t>
      </w:r>
      <w:r>
        <w:t xml:space="preserve">, </w:t>
      </w:r>
      <w:r>
        <w:rPr>
          <w:i/>
          <w:iCs/>
        </w:rPr>
        <w:t>13</w:t>
      </w:r>
      <w:r>
        <w:t>, Article 858252. https://doi.org/10.3389/fgene.2022.858252</w:t>
      </w:r>
    </w:p>
    <w:p w14:paraId="01233A8A" w14:textId="77777777" w:rsidR="008064B9" w:rsidRDefault="00000000" w:rsidP="003A798E">
      <w:pPr>
        <w:spacing w:before="100" w:beforeAutospacing="1" w:after="100" w:afterAutospacing="1"/>
        <w:ind w:left="720" w:hanging="720"/>
      </w:pPr>
      <w:r>
        <w:t xml:space="preserve">Nghiem, S., Mai, N., Tran, M., Cribb, D. M., Bulfone, L., Andersson, P., Zahedi, A., Hoang, T., Zulfiqar, T., Ferdinand, A., Glass, K., Kirk, M. D., Sintchenko, V., Jennison, A. V., Howden, B. P., &amp; Lancsar, E. (2025). The impact of integrated genomic surveillance on non-typhoidal Salmonella infection in Australia: an ecological study. </w:t>
      </w:r>
      <w:r>
        <w:rPr>
          <w:i/>
          <w:iCs/>
        </w:rPr>
        <w:t>The Lancet Regional Health - Western Pacific</w:t>
      </w:r>
      <w:r>
        <w:t xml:space="preserve">, </w:t>
      </w:r>
      <w:r>
        <w:rPr>
          <w:i/>
          <w:iCs/>
        </w:rPr>
        <w:t>59</w:t>
      </w:r>
      <w:r>
        <w:t>, Article 101592. https://doi.org/10.1016/j.lanwpc.2025.101592</w:t>
      </w:r>
    </w:p>
    <w:p w14:paraId="3F896D8A" w14:textId="77777777" w:rsidR="008064B9" w:rsidRDefault="00000000" w:rsidP="003A798E">
      <w:pPr>
        <w:spacing w:before="100" w:beforeAutospacing="1" w:after="100" w:afterAutospacing="1"/>
        <w:ind w:left="720" w:hanging="720"/>
      </w:pPr>
      <w:r>
        <w:t xml:space="preserve">Nguyen, E., Poli, M., Durrant, M. G., Kang, B., Katrekar, D., Li, D. B., Bartie, L. J., Thomas, A. W., King, S. H., Brixi, G., Sullivan, J., Ng, M. Y., Lewis, A., Lou, A., Ermon, S., Baccus, S. A., Hernandez-Boussard, T., Ré, C., Hsu, P. D., &amp; Hie, B. L. (2024). Sequence modeling and design from molecular to genome scale with Evo. </w:t>
      </w:r>
      <w:r>
        <w:rPr>
          <w:i/>
          <w:iCs/>
        </w:rPr>
        <w:t>Science</w:t>
      </w:r>
      <w:r>
        <w:t xml:space="preserve">, </w:t>
      </w:r>
      <w:r>
        <w:rPr>
          <w:i/>
          <w:iCs/>
        </w:rPr>
        <w:t>386</w:t>
      </w:r>
      <w:r>
        <w:t>(6723), eado9336. https://doi.org/10.1126/science.ado9336</w:t>
      </w:r>
    </w:p>
    <w:p w14:paraId="163C23D3" w14:textId="77777777" w:rsidR="008064B9" w:rsidRDefault="00000000" w:rsidP="003A798E">
      <w:pPr>
        <w:spacing w:before="100" w:beforeAutospacing="1" w:after="100" w:afterAutospacing="1"/>
        <w:ind w:left="720" w:hanging="720"/>
      </w:pPr>
      <w:r>
        <w:t xml:space="preserve">Nguyen, T. Q., Hutter, C. R., Markin, A., Thomas, M., Lantz, K., Killian, M. L., Janzen, G. M., Vijendran, S., Wagle, S., Inderski, B., Magstadt, D. R., Li, G., Diel, D. G., Frye, E. A., Dimitrov, K. M., Swinford, A. K., Thompson, A. C., Snekvik, K. R., Suarez, D. L., ... Anderson, T. K. (2025). Emergence and interstate spread of highly pathogenic avian influenza A(H5N1) in dairy cattle in the United States. </w:t>
      </w:r>
      <w:r>
        <w:rPr>
          <w:i/>
          <w:iCs/>
        </w:rPr>
        <w:t>Science</w:t>
      </w:r>
      <w:r>
        <w:t xml:space="preserve">, </w:t>
      </w:r>
      <w:r>
        <w:rPr>
          <w:i/>
          <w:iCs/>
        </w:rPr>
        <w:t>388</w:t>
      </w:r>
      <w:r>
        <w:t>(6745), eadq0900. https://doi.org/10.1126/science.adq0900</w:t>
      </w:r>
    </w:p>
    <w:p w14:paraId="1C3708AE" w14:textId="77777777" w:rsidR="008064B9" w:rsidRDefault="00000000" w:rsidP="003A798E">
      <w:pPr>
        <w:spacing w:before="100" w:beforeAutospacing="1" w:after="100" w:afterAutospacing="1"/>
        <w:ind w:left="720" w:hanging="720"/>
      </w:pPr>
      <w:r>
        <w:t xml:space="preserve">Obermeyer, F., Jankowiak, M., Barkas, N., Schaffner, S. F., Pyle, J. D., Yurkovetskiy, L., Bosso, M., Park, D. J., Babadi, M., MacInnis, B. L., Luban, J., Sabeti, P. C., &amp; Lemieux, J. E. (2022). Analysis of 6.4 million SARS-CoV-2 genomes identifies mutations associated with fitness. </w:t>
      </w:r>
      <w:r>
        <w:rPr>
          <w:i/>
          <w:iCs/>
        </w:rPr>
        <w:t>Science</w:t>
      </w:r>
      <w:r>
        <w:t xml:space="preserve">, </w:t>
      </w:r>
      <w:r>
        <w:rPr>
          <w:i/>
          <w:iCs/>
        </w:rPr>
        <w:t>376</w:t>
      </w:r>
      <w:r>
        <w:t>(6599), 1327–1332. https://doi.org/10.1126/science.abm1208</w:t>
      </w:r>
    </w:p>
    <w:p w14:paraId="0654C971" w14:textId="77777777" w:rsidR="008064B9" w:rsidRDefault="00000000" w:rsidP="003A798E">
      <w:pPr>
        <w:spacing w:before="100" w:beforeAutospacing="1" w:after="100" w:afterAutospacing="1"/>
        <w:ind w:left="720" w:hanging="720"/>
      </w:pPr>
      <w:r>
        <w:t xml:space="preserve">One Health High-Level Expert Panel. (2022). One Health: A new definition for a sustainable and healthy future. </w:t>
      </w:r>
      <w:r>
        <w:rPr>
          <w:i/>
          <w:iCs/>
        </w:rPr>
        <w:t>PLOS Pathogens</w:t>
      </w:r>
      <w:r>
        <w:t xml:space="preserve">, </w:t>
      </w:r>
      <w:r>
        <w:rPr>
          <w:i/>
          <w:iCs/>
        </w:rPr>
        <w:t>18</w:t>
      </w:r>
      <w:r>
        <w:t>(6), e1010537. https://doi.org/10.1371/journal.ppat.1010537</w:t>
      </w:r>
    </w:p>
    <w:p w14:paraId="7DC09970" w14:textId="77777777" w:rsidR="008064B9" w:rsidRDefault="00000000" w:rsidP="003A798E">
      <w:pPr>
        <w:spacing w:before="100" w:beforeAutospacing="1" w:after="100" w:afterAutospacing="1"/>
        <w:ind w:left="720" w:hanging="720"/>
      </w:pPr>
      <w:r>
        <w:lastRenderedPageBreak/>
        <w:t xml:space="preserve">Ort, J. T., Shepard, S. S., Zolnoski, S. A., Lam, T. T. Y., Davis, C. T., Neher, R. A., &amp; Moncla, L. H. (2025). Development of avian influenza A(H5) virus datasets for Nextclade enables rapid and accurate clade assignment. </w:t>
      </w:r>
      <w:r>
        <w:rPr>
          <w:i/>
          <w:iCs/>
        </w:rPr>
        <w:t>Virus Evolution</w:t>
      </w:r>
      <w:r>
        <w:t xml:space="preserve">, </w:t>
      </w:r>
      <w:r>
        <w:rPr>
          <w:i/>
          <w:iCs/>
        </w:rPr>
        <w:t>11</w:t>
      </w:r>
      <w:r>
        <w:t>(1), Article veaf058. https://doi.org/10.1093/ve/veaf058</w:t>
      </w:r>
    </w:p>
    <w:p w14:paraId="60CB5007" w14:textId="77777777" w:rsidR="008064B9" w:rsidRDefault="00000000" w:rsidP="003A798E">
      <w:pPr>
        <w:spacing w:before="100" w:beforeAutospacing="1" w:after="100" w:afterAutospacing="1"/>
        <w:ind w:left="720" w:hanging="720"/>
      </w:pPr>
      <w:r>
        <w:t xml:space="preserve">Peiffer-Smadja, N., Dellière, S., Rodriguez, C., Birgand, G., Lescure, F. X., Fourati, S., &amp; Ruppé, E. (2020). Machine learning in the clinical microbiology laboratory: Has the time come for routine practice?. </w:t>
      </w:r>
      <w:r>
        <w:rPr>
          <w:i/>
          <w:iCs/>
        </w:rPr>
        <w:t>Clinical Microbiology and Infection</w:t>
      </w:r>
      <w:r>
        <w:t xml:space="preserve">, </w:t>
      </w:r>
      <w:r>
        <w:rPr>
          <w:i/>
          <w:iCs/>
        </w:rPr>
        <w:t>26</w:t>
      </w:r>
      <w:r>
        <w:t>(10), 1300–1309. https://doi.org/10.1016/j.cmi.2020.02.006</w:t>
      </w:r>
    </w:p>
    <w:p w14:paraId="72C9FD93" w14:textId="77777777" w:rsidR="008064B9" w:rsidRDefault="00000000" w:rsidP="003A798E">
      <w:pPr>
        <w:spacing w:before="100" w:beforeAutospacing="1" w:after="100" w:afterAutospacing="1"/>
        <w:ind w:left="720" w:hanging="720"/>
      </w:pPr>
      <w:r>
        <w:t xml:space="preserve">Quick, J., Loman, N. J., Duraffour, S., Simpson, J. T., Severi, E., Cowley, L., Bore, J. A., Koundouno, R., Dudas, G., Mikhail, A., Ouédraogo, N., Afrough, B., Bah, A., Baum, J. H. J., Becker-Ziaja, B., Boettcher, J. P., Cabeza-Cabrerizo, M., Camino-Sánchez, Á., Carter, L. L., ... Jourdain, M. (2016). Real-time, portable genome sequencing for Ebola surveillance. </w:t>
      </w:r>
      <w:r>
        <w:rPr>
          <w:i/>
          <w:iCs/>
        </w:rPr>
        <w:t>Nature</w:t>
      </w:r>
      <w:r>
        <w:t xml:space="preserve">, </w:t>
      </w:r>
      <w:r>
        <w:rPr>
          <w:i/>
          <w:iCs/>
        </w:rPr>
        <w:t>530</w:t>
      </w:r>
      <w:r>
        <w:t>(7589), 228–232. https://doi.org/10.1038/nature16996</w:t>
      </w:r>
    </w:p>
    <w:p w14:paraId="4A11D2DC" w14:textId="77777777" w:rsidR="008064B9" w:rsidRDefault="00000000" w:rsidP="003A798E">
      <w:pPr>
        <w:spacing w:before="100" w:beforeAutospacing="1" w:after="100" w:afterAutospacing="1"/>
        <w:ind w:left="720" w:hanging="720"/>
      </w:pPr>
      <w:r>
        <w:t xml:space="preserve">Rambaut, A., Holmes, E. C., O’Toole, Á., Hill, V., McCrone, J. T., Ruis, C., du Plessis, L., &amp; Pybus, O. G. (2020). A dynamic nomenclature proposal for SARS-CoV-2 lineages to assist genomic epidemiology. </w:t>
      </w:r>
      <w:r>
        <w:rPr>
          <w:i/>
          <w:iCs/>
        </w:rPr>
        <w:t>Nature Microbiology</w:t>
      </w:r>
      <w:r>
        <w:t xml:space="preserve">, </w:t>
      </w:r>
      <w:r>
        <w:rPr>
          <w:i/>
          <w:iCs/>
        </w:rPr>
        <w:t>5</w:t>
      </w:r>
      <w:r>
        <w:t>(11), 1403–1407. https://doi.org/10.1038/s41564-020-0770-5</w:t>
      </w:r>
    </w:p>
    <w:p w14:paraId="28D30F79" w14:textId="77777777" w:rsidR="008064B9" w:rsidRDefault="00000000" w:rsidP="003A798E">
      <w:pPr>
        <w:spacing w:before="100" w:beforeAutospacing="1" w:after="100" w:afterAutospacing="1"/>
        <w:ind w:left="720" w:hanging="720"/>
      </w:pPr>
      <w:r>
        <w:t xml:space="preserve">Russell, J. N., Kos, D., Yacoub, E., Sies, A. N., Warr, B., Jelinski, M., Ruzzini, A., &amp; Cameron, A. D. S. (2025). Enhanced metagenomic surveillance for bovine respiratory disease pathogens and antimicrobial resistance by hybridization capture sequencing. </w:t>
      </w:r>
      <w:r>
        <w:rPr>
          <w:i/>
          <w:iCs/>
        </w:rPr>
        <w:t>Applied and Environmental Microbiology</w:t>
      </w:r>
      <w:r>
        <w:t xml:space="preserve">, </w:t>
      </w:r>
      <w:r>
        <w:rPr>
          <w:i/>
          <w:iCs/>
        </w:rPr>
        <w:t>91</w:t>
      </w:r>
      <w:r>
        <w:t>(10), Article e00977-25. https://doi.org/10.1128/aem.00977-25</w:t>
      </w:r>
    </w:p>
    <w:p w14:paraId="44056EB9" w14:textId="77777777" w:rsidR="008064B9" w:rsidRDefault="00000000" w:rsidP="003A798E">
      <w:pPr>
        <w:spacing w:before="100" w:beforeAutospacing="1" w:after="100" w:afterAutospacing="1"/>
        <w:ind w:left="720" w:hanging="720"/>
      </w:pPr>
      <w:r>
        <w:t xml:space="preserve">Schuele, L., Nzoyikorera, N., Udahemuka, J. C., Cassidy, H., Murhula Masirika, L., Nieuwenhuijse, D. F., Nduwimana, C., Molenkamp, R., Nyandwi, J., Boter, M., Minega Ndoli, J., Zaeck, L. M., Musabyimana, J. P., de Vries, R. D., Mbiribindi, J. B., Siangoli, F. B., Otani, S., Aarestrup, F. M., Koopmans, M., ... Oude Munnink, B. B. (2026). Capacity building for genomic surveillance of mpox and other emerging diseases in resource-limited settings within the African Great Lakes region. </w:t>
      </w:r>
      <w:r>
        <w:rPr>
          <w:i/>
          <w:iCs/>
        </w:rPr>
        <w:t>Communications Medicine</w:t>
      </w:r>
      <w:r>
        <w:t xml:space="preserve">, </w:t>
      </w:r>
      <w:r>
        <w:rPr>
          <w:i/>
          <w:iCs/>
        </w:rPr>
        <w:t>6</w:t>
      </w:r>
      <w:r>
        <w:t>(1), Article 356. https://doi.org/10.1038/s43856-026-01713-4</w:t>
      </w:r>
    </w:p>
    <w:p w14:paraId="1F7579EA" w14:textId="77777777" w:rsidR="008064B9" w:rsidRDefault="00000000" w:rsidP="003A798E">
      <w:pPr>
        <w:spacing w:before="100" w:beforeAutospacing="1" w:after="100" w:afterAutospacing="1"/>
        <w:ind w:left="720" w:hanging="720"/>
      </w:pPr>
      <w:r>
        <w:t xml:space="preserve">Shu, Y., &amp; McCauley, J. (2017). GISAID: Global initiative on sharing all influenza data – from vision to reality. </w:t>
      </w:r>
      <w:r>
        <w:rPr>
          <w:i/>
          <w:iCs/>
        </w:rPr>
        <w:t>Eurosurveillance</w:t>
      </w:r>
      <w:r>
        <w:t xml:space="preserve">, </w:t>
      </w:r>
      <w:r>
        <w:rPr>
          <w:i/>
          <w:iCs/>
        </w:rPr>
        <w:t>22</w:t>
      </w:r>
      <w:r>
        <w:t>(13), Article 30494. https://doi.org/10.2807/1560-7917.es.2017.22.13.30494</w:t>
      </w:r>
    </w:p>
    <w:p w14:paraId="78D2BD27" w14:textId="77777777" w:rsidR="008064B9" w:rsidRDefault="00000000" w:rsidP="003A798E">
      <w:pPr>
        <w:spacing w:before="100" w:beforeAutospacing="1" w:after="100" w:afterAutospacing="1"/>
        <w:ind w:left="720" w:hanging="720"/>
      </w:pPr>
      <w:r>
        <w:t xml:space="preserve">Simony, B. J., &amp; Kennedy, D. A. (2026). Pathogen host jump risk is not predicted by spillover rate, but rather by novelty. </w:t>
      </w:r>
      <w:r>
        <w:rPr>
          <w:i/>
          <w:iCs/>
        </w:rPr>
        <w:t>PLOS Biology</w:t>
      </w:r>
      <w:r>
        <w:t xml:space="preserve">, </w:t>
      </w:r>
      <w:r>
        <w:rPr>
          <w:i/>
          <w:iCs/>
        </w:rPr>
        <w:t>24</w:t>
      </w:r>
      <w:r>
        <w:t>(3), e3003640. https://doi.org/10.1371/journal.pbio.3003640</w:t>
      </w:r>
    </w:p>
    <w:p w14:paraId="47AF7562" w14:textId="77777777" w:rsidR="008064B9" w:rsidRDefault="00000000" w:rsidP="003A798E">
      <w:pPr>
        <w:spacing w:before="100" w:beforeAutospacing="1" w:after="100" w:afterAutospacing="1"/>
        <w:ind w:left="720" w:hanging="720"/>
      </w:pPr>
      <w:r>
        <w:t xml:space="preserve">Singh, N. K., Garg, P., Kumari, S., Banda, L., Patel, A. M., Sindhuja, R. H., Bhandari, Y., Khan, N. A., Tandon, S., Jain, R., Rajesh, T., Qureshi, A., Vodapalli, A., Singha, B., Esari, D., Annan, M. O., Nagabandi, T., Panda, A., Kapley, A., ... Tallapaka, K. B. (2026). Metagenomic profiling of antimicrobial resistance in wastewater from metropolitan cities of India. </w:t>
      </w:r>
      <w:r>
        <w:rPr>
          <w:i/>
          <w:iCs/>
        </w:rPr>
        <w:t>Nature Communications</w:t>
      </w:r>
      <w:r>
        <w:t xml:space="preserve">, </w:t>
      </w:r>
      <w:r>
        <w:rPr>
          <w:i/>
          <w:iCs/>
        </w:rPr>
        <w:t>17</w:t>
      </w:r>
      <w:r>
        <w:t>(1), Article 4097. https://doi.org/10.1038/s41467-026-70702-x</w:t>
      </w:r>
    </w:p>
    <w:p w14:paraId="3136FFF4" w14:textId="77777777" w:rsidR="008064B9" w:rsidRDefault="00000000" w:rsidP="003A798E">
      <w:pPr>
        <w:spacing w:before="100" w:beforeAutospacing="1" w:after="100" w:afterAutospacing="1"/>
        <w:ind w:left="720" w:hanging="720"/>
      </w:pPr>
      <w:r>
        <w:t xml:space="preserve">Stona, A. C., Khoo, Y. K., Moe, L., Wulandari, S., Agoramurthy, S., Getchell, M., Mak, T. M., Pang, J., Liu, E. J., Selva Kumar, S., Lim, J. C. W., Smith, G. J. D., Bertholet, A., Garg, A., Harsono, S., Magner, M., Qadri, F., Shirin, T., Andalucia, L. R., ... Pronyk, P. M. (2026). Strengthening supply chains for pathogen genomic surveillance in Asia. </w:t>
      </w:r>
      <w:r>
        <w:rPr>
          <w:i/>
          <w:iCs/>
        </w:rPr>
        <w:t>BMJ Global Health</w:t>
      </w:r>
      <w:r>
        <w:t xml:space="preserve">, </w:t>
      </w:r>
      <w:r>
        <w:rPr>
          <w:i/>
          <w:iCs/>
        </w:rPr>
        <w:t>11</w:t>
      </w:r>
      <w:r>
        <w:t>(2), e019241. https://doi.org/10.1136/bmjgh-2025-019241</w:t>
      </w:r>
    </w:p>
    <w:p w14:paraId="2605F4D5" w14:textId="77777777" w:rsidR="008064B9" w:rsidRDefault="00000000" w:rsidP="003A798E">
      <w:pPr>
        <w:spacing w:before="100" w:beforeAutospacing="1" w:after="100" w:afterAutospacing="1"/>
        <w:ind w:left="720" w:hanging="720"/>
      </w:pPr>
      <w:r>
        <w:t xml:space="preserve">Sundermann, A., Chen, J., Saul, M., Shutt, K., Griffith, M., Snyder, G., Pless, L. L., Dubrawski, A., &amp; Harrison, L. (2026). Artificial intelligence enhances genomic surveillance in healthcare outbreak investigations. </w:t>
      </w:r>
      <w:r>
        <w:rPr>
          <w:i/>
          <w:iCs/>
        </w:rPr>
        <w:t>Infection Control &amp;amp; Hospital Epidemiology</w:t>
      </w:r>
      <w:r>
        <w:t xml:space="preserve">, </w:t>
      </w:r>
      <w:r>
        <w:rPr>
          <w:i/>
          <w:iCs/>
        </w:rPr>
        <w:t>47</w:t>
      </w:r>
      <w:r>
        <w:t>(2), 170–174. https://doi.org/10.1017/ice.2025.10355</w:t>
      </w:r>
    </w:p>
    <w:p w14:paraId="4D8E43E7" w14:textId="77777777" w:rsidR="008064B9" w:rsidRDefault="00000000" w:rsidP="003A798E">
      <w:pPr>
        <w:spacing w:before="100" w:beforeAutospacing="1" w:after="100" w:afterAutospacing="1"/>
        <w:ind w:left="720" w:hanging="720"/>
      </w:pPr>
      <w:r>
        <w:lastRenderedPageBreak/>
        <w:t xml:space="preserve">Tegally, H., San, J. E., Cotten, M., Moir, M., Tegomoh, B., Mboowa, G., Martin, D. P., Baxter, C., Lambisia, A. W., Diallo, A., Amoako, D. G., Diagne, M. M., Sisay, A., Zekri, A. R. N., Gueye, A. S., Sangare, A. K., Ouedraogo, A. S., Sow, A., Musa, A. O., ... Sijuwola, A. E. (2022). The evolving SARS-CoV-2 epidemic in Africa: Insights from rapidly expanding genomic surveillance. </w:t>
      </w:r>
      <w:r>
        <w:rPr>
          <w:i/>
          <w:iCs/>
        </w:rPr>
        <w:t>Science</w:t>
      </w:r>
      <w:r>
        <w:t xml:space="preserve">, </w:t>
      </w:r>
      <w:r>
        <w:rPr>
          <w:i/>
          <w:iCs/>
        </w:rPr>
        <w:t>378</w:t>
      </w:r>
      <w:r>
        <w:t>(6615), eabq5358. https://doi.org/10.1126/science.abq5358</w:t>
      </w:r>
    </w:p>
    <w:p w14:paraId="65CFDB6B" w14:textId="77777777" w:rsidR="008064B9" w:rsidRDefault="00000000" w:rsidP="003A798E">
      <w:pPr>
        <w:spacing w:before="100" w:beforeAutospacing="1" w:after="100" w:afterAutospacing="1"/>
        <w:ind w:left="720" w:hanging="720"/>
      </w:pPr>
      <w:r>
        <w:t xml:space="preserve">Thadani, N. N., Gurev, S., Notin, P., Youssef, N., Rollins, N. J., Ritter, D., Sander, C., Gal, Y., &amp; Marks, D. S. (2023). Learning from prepandemic data to forecast viral escape. </w:t>
      </w:r>
      <w:r>
        <w:rPr>
          <w:i/>
          <w:iCs/>
        </w:rPr>
        <w:t>Nature</w:t>
      </w:r>
      <w:r>
        <w:t xml:space="preserve">, </w:t>
      </w:r>
      <w:r>
        <w:rPr>
          <w:i/>
          <w:iCs/>
        </w:rPr>
        <w:t>622</w:t>
      </w:r>
      <w:r>
        <w:t>(7984), 818–825. https://doi.org/10.1038/s41586-023-06617-0</w:t>
      </w:r>
    </w:p>
    <w:p w14:paraId="7221844A" w14:textId="77777777" w:rsidR="008064B9" w:rsidRDefault="00000000" w:rsidP="003A798E">
      <w:pPr>
        <w:spacing w:before="100" w:beforeAutospacing="1" w:after="100" w:afterAutospacing="1"/>
        <w:ind w:left="720" w:hanging="720"/>
      </w:pPr>
      <w:r>
        <w:t xml:space="preserve">Tran, H., Berke, O., Ricker, N., &amp; Poljak, Z. (2025). Evaluating machine learning approaches for host prediction using H3 influenza genomic data. </w:t>
      </w:r>
      <w:r>
        <w:rPr>
          <w:i/>
          <w:iCs/>
        </w:rPr>
        <w:t>PLOS ONE</w:t>
      </w:r>
      <w:r>
        <w:t xml:space="preserve">, </w:t>
      </w:r>
      <w:r>
        <w:rPr>
          <w:i/>
          <w:iCs/>
        </w:rPr>
        <w:t>20</w:t>
      </w:r>
      <w:r>
        <w:t>(11), e0336142. https://doi.org/10.1371/journal.pone.0336142</w:t>
      </w:r>
    </w:p>
    <w:p w14:paraId="0ADD04B8" w14:textId="77777777" w:rsidR="008064B9" w:rsidRDefault="00000000" w:rsidP="003A798E">
      <w:pPr>
        <w:spacing w:before="100" w:beforeAutospacing="1" w:after="100" w:afterAutospacing="1"/>
        <w:ind w:left="720" w:hanging="720"/>
      </w:pPr>
      <w:r>
        <w:t xml:space="preserve">Tseng, K. K., Koehler, H., Becker, D. J., Gibb, R., Carlson, C. J., Pilar Fernandez, M. D., &amp; Seifert, S. N. (2025). Viral genomic features predict Orthopoxvirus reservoir hosts. </w:t>
      </w:r>
      <w:r>
        <w:rPr>
          <w:i/>
          <w:iCs/>
        </w:rPr>
        <w:t>Communications Biology</w:t>
      </w:r>
      <w:r>
        <w:t xml:space="preserve">, </w:t>
      </w:r>
      <w:r>
        <w:rPr>
          <w:i/>
          <w:iCs/>
        </w:rPr>
        <w:t>8</w:t>
      </w:r>
      <w:r>
        <w:t>(1), Article 309. https://doi.org/10.1038/s42003-025-07746-0</w:t>
      </w:r>
    </w:p>
    <w:p w14:paraId="5C0AC7CE" w14:textId="77777777" w:rsidR="008064B9" w:rsidRDefault="00000000" w:rsidP="003A798E">
      <w:pPr>
        <w:spacing w:before="100" w:beforeAutospacing="1" w:after="100" w:afterAutospacing="1"/>
        <w:ind w:left="720" w:hanging="720"/>
      </w:pPr>
      <w:r>
        <w:t xml:space="preserve">Umeshkumar, K. U., &amp; Karwasra, R. (2026). Zoonoticus: A machine learning model for genomic prediction of zoonotic bacterial strains using virulence, resistance, and mobile genetic elements. </w:t>
      </w:r>
      <w:r>
        <w:rPr>
          <w:i/>
          <w:iCs/>
        </w:rPr>
        <w:t>Computational Biology and Chemistry</w:t>
      </w:r>
      <w:r>
        <w:t xml:space="preserve">, </w:t>
      </w:r>
      <w:r>
        <w:rPr>
          <w:i/>
          <w:iCs/>
        </w:rPr>
        <w:t>120</w:t>
      </w:r>
      <w:r>
        <w:t>, Article 108760. https://doi.org/10.1016/j.compbiolchem.2025.108760</w:t>
      </w:r>
    </w:p>
    <w:p w14:paraId="24A0162F" w14:textId="77777777" w:rsidR="008064B9" w:rsidRDefault="00000000" w:rsidP="003A798E">
      <w:pPr>
        <w:spacing w:before="100" w:beforeAutospacing="1" w:after="100" w:afterAutospacing="1"/>
        <w:ind w:left="720" w:hanging="720"/>
      </w:pPr>
      <w:r>
        <w:t xml:space="preserve">Wagner, G. E., Dabernig-Heinz, J., Lipp, M., Cabal, A., Simantzik, J., Kohl, M., Scheiber, M., Lichtenegger, S., Ehricht, R., Leitner, E., Ruppitsch, W., &amp; Steinmetz, I. (2023). Real-time nanopore Q20+ sequencing enables extremely fast and accurate core genome MLST typing and democratizes access to high-resolution bacterial pathogen surveillance. </w:t>
      </w:r>
      <w:r>
        <w:rPr>
          <w:i/>
          <w:iCs/>
        </w:rPr>
        <w:t>Journal of Clinical Microbiology</w:t>
      </w:r>
      <w:r>
        <w:t xml:space="preserve">, </w:t>
      </w:r>
      <w:r>
        <w:rPr>
          <w:i/>
          <w:iCs/>
        </w:rPr>
        <w:t>61</w:t>
      </w:r>
      <w:r>
        <w:t>(4), Article e01631-22. https://doi.org/10.1128/jcm.01631-22</w:t>
      </w:r>
    </w:p>
    <w:p w14:paraId="2C7FD594" w14:textId="77777777" w:rsidR="008064B9" w:rsidRDefault="00000000" w:rsidP="003A798E">
      <w:pPr>
        <w:spacing w:before="100" w:beforeAutospacing="1" w:after="100" w:afterAutospacing="1"/>
        <w:ind w:left="720" w:hanging="720"/>
      </w:pPr>
      <w:r>
        <w:t xml:space="preserve">Wardeh, M., Baylis, M., &amp; Blagrove, M. S. C. (2021). Predicting mammalian hosts in which novel coronaviruses can be generated. </w:t>
      </w:r>
      <w:r>
        <w:rPr>
          <w:i/>
          <w:iCs/>
        </w:rPr>
        <w:t>Nature Communications</w:t>
      </w:r>
      <w:r>
        <w:t xml:space="preserve">, </w:t>
      </w:r>
      <w:r>
        <w:rPr>
          <w:i/>
          <w:iCs/>
        </w:rPr>
        <w:t>12</w:t>
      </w:r>
      <w:r>
        <w:t>(1), Article 780. https://doi.org/10.1038/s41467-021-21034-5</w:t>
      </w:r>
    </w:p>
    <w:p w14:paraId="3F3153B3" w14:textId="77777777" w:rsidR="008064B9" w:rsidRDefault="00000000" w:rsidP="003A798E">
      <w:pPr>
        <w:spacing w:before="100" w:beforeAutospacing="1" w:after="100" w:afterAutospacing="1"/>
        <w:ind w:left="720" w:hanging="720"/>
      </w:pPr>
      <w:r>
        <w:t xml:space="preserve">Wardi, M., Belmouden, A., Aghrouch, M., Lotfy, A., Idaghdour, Y., &amp; Lemkhente, Z. (2024). Wastewater genomic surveillance to track infectious disease-causing pathogens in low-income countries: Advantages, limitations, and perspectives. </w:t>
      </w:r>
      <w:r>
        <w:rPr>
          <w:i/>
          <w:iCs/>
        </w:rPr>
        <w:t>Environment International</w:t>
      </w:r>
      <w:r>
        <w:t xml:space="preserve">, </w:t>
      </w:r>
      <w:r>
        <w:rPr>
          <w:i/>
          <w:iCs/>
        </w:rPr>
        <w:t>192</w:t>
      </w:r>
      <w:r>
        <w:t>, Article 109029. https://doi.org/10.1016/j.envint.2024.109029</w:t>
      </w:r>
    </w:p>
    <w:p w14:paraId="6264D810" w14:textId="77777777" w:rsidR="008064B9" w:rsidRDefault="00000000" w:rsidP="003A798E">
      <w:pPr>
        <w:spacing w:before="100" w:beforeAutospacing="1" w:after="100" w:afterAutospacing="1"/>
        <w:ind w:left="720" w:hanging="720"/>
      </w:pPr>
      <w:r>
        <w:t xml:space="preserve">Wilkinson, E., Giovanetti, M., Tegally, H., San, J. E., Lessells, R., Cuadros, D., Martin, D. P., Rasmussen, D. A., Zekri, A. R. N., Sangare, A. K., Ouedraogo, A. S., Sesay, A. K., Priscilla, A., Kemi, A. S., Olubusuyi, A. M., Oluwapelumi, A. O. O., Hammami, A., Amuri, A. A., Sayed, A., ... Nokes, D. J. (2021). A year of genomic surveillance reveals how the SARS-CoV-2 pandemic unfolded in Africa. </w:t>
      </w:r>
      <w:r>
        <w:rPr>
          <w:i/>
          <w:iCs/>
        </w:rPr>
        <w:t>Science</w:t>
      </w:r>
      <w:r>
        <w:t xml:space="preserve">, </w:t>
      </w:r>
      <w:r>
        <w:rPr>
          <w:i/>
          <w:iCs/>
        </w:rPr>
        <w:t>374</w:t>
      </w:r>
      <w:r>
        <w:t>(6566), 423–431. https://doi.org/10.1126/science.abj4336</w:t>
      </w:r>
    </w:p>
    <w:p w14:paraId="51C1B614" w14:textId="77777777" w:rsidR="008064B9" w:rsidRDefault="00000000" w:rsidP="003A798E">
      <w:pPr>
        <w:spacing w:before="100" w:beforeAutospacing="1" w:after="100" w:afterAutospacing="1"/>
        <w:ind w:left="720" w:hanging="720"/>
      </w:pPr>
      <w:r>
        <w:t xml:space="preserve">World Health Organization. (2022). </w:t>
      </w:r>
      <w:r>
        <w:rPr>
          <w:i/>
          <w:iCs/>
        </w:rPr>
        <w:t>Global genomic surveillance strategy for pathogens with pandemic and epidemic potential, 2022–2032</w:t>
      </w:r>
      <w:r>
        <w:t>. https://www.who.int/publications/i/item/9789240046979</w:t>
      </w:r>
    </w:p>
    <w:p w14:paraId="0F72F60F" w14:textId="77777777" w:rsidR="008064B9" w:rsidRDefault="00000000" w:rsidP="003A798E">
      <w:pPr>
        <w:spacing w:before="100" w:beforeAutospacing="1" w:after="100" w:afterAutospacing="1"/>
        <w:ind w:left="720" w:hanging="720"/>
      </w:pPr>
      <w:r>
        <w:t xml:space="preserve">Zhang, Y., Wang, J., Wang, L., Miao, L., Sun, Y., Yang, X., Fang, R., Guo, Y., Vanwambeke, S., &amp; Li, S. (2026). An integrated machine learning framework to understand zoonotic spillover emergence across anthropogenically modified landscapes. </w:t>
      </w:r>
      <w:r>
        <w:rPr>
          <w:i/>
          <w:iCs/>
        </w:rPr>
        <w:t>Environmental Health Perspectives</w:t>
      </w:r>
      <w:r>
        <w:t xml:space="preserve">, </w:t>
      </w:r>
      <w:r>
        <w:rPr>
          <w:i/>
          <w:iCs/>
        </w:rPr>
        <w:t>134</w:t>
      </w:r>
      <w:r>
        <w:t>(1), 25–40. https://doi.org/10.1021/ehp.6c00028</w:t>
      </w:r>
    </w:p>
    <w:p w14:paraId="48565A4A" w14:textId="77777777" w:rsidR="008064B9" w:rsidRDefault="00000000" w:rsidP="003A798E">
      <w:pPr>
        <w:spacing w:before="100" w:beforeAutospacing="1" w:after="100" w:afterAutospacing="1"/>
        <w:ind w:left="720" w:hanging="720"/>
      </w:pPr>
      <w:r>
        <w:t xml:space="preserve">Zhou, H., Huang, L., Gong, J., Jia, C., Cao, Q., Wang, Z., Song, Y., Chen, J., Chen, A., Zhang, Y., Ed-Dra, A., Li, Y., Zhao, G., &amp; Yue, M. (2026). One Health genomics reveals niche-specific lineage </w:t>
      </w:r>
      <w:r>
        <w:lastRenderedPageBreak/>
        <w:t xml:space="preserve">replacement in </w:t>
      </w:r>
      <w:r>
        <w:rPr>
          <w:i/>
          <w:iCs/>
        </w:rPr>
        <w:t>Salmonella Enteritidis</w:t>
      </w:r>
      <w:r>
        <w:t xml:space="preserve">. </w:t>
      </w:r>
      <w:r>
        <w:rPr>
          <w:i/>
          <w:iCs/>
        </w:rPr>
        <w:t>National Science Review</w:t>
      </w:r>
      <w:r>
        <w:t xml:space="preserve">, </w:t>
      </w:r>
      <w:r>
        <w:rPr>
          <w:i/>
          <w:iCs/>
        </w:rPr>
        <w:t>13</w:t>
      </w:r>
      <w:r>
        <w:t>(11), nwag275. https://doi.org/10.1093/nsr/nwag275</w:t>
      </w:r>
    </w:p>
    <w:sectPr w:rsidR="008064B9">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889D" w14:textId="77777777" w:rsidR="000C504D" w:rsidRDefault="000C504D" w:rsidP="001E71E4">
      <w:r>
        <w:separator/>
      </w:r>
    </w:p>
  </w:endnote>
  <w:endnote w:type="continuationSeparator" w:id="0">
    <w:p w14:paraId="4A9E7AF4" w14:textId="77777777" w:rsidR="000C504D" w:rsidRDefault="000C504D" w:rsidP="001E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810F" w14:textId="77777777" w:rsidR="001E71E4" w:rsidRDefault="001E7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9072" w14:textId="77777777" w:rsidR="001E71E4" w:rsidRDefault="001E7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50DA" w14:textId="77777777" w:rsidR="001E71E4" w:rsidRDefault="001E7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F869E" w14:textId="77777777" w:rsidR="000C504D" w:rsidRDefault="000C504D" w:rsidP="001E71E4">
      <w:r>
        <w:separator/>
      </w:r>
    </w:p>
  </w:footnote>
  <w:footnote w:type="continuationSeparator" w:id="0">
    <w:p w14:paraId="6687E71C" w14:textId="77777777" w:rsidR="000C504D" w:rsidRDefault="000C504D" w:rsidP="001E7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44B8" w14:textId="01D5814C" w:rsidR="001E71E4" w:rsidRDefault="001E71E4">
    <w:pPr>
      <w:pStyle w:val="Header"/>
    </w:pPr>
    <w:r>
      <w:rPr>
        <w:noProof/>
      </w:rPr>
      <w:pict w14:anchorId="5FA2C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66579" o:spid="_x0000_s1026" type="#_x0000_t136" style="position:absolute;margin-left:0;margin-top:0;width:618.3pt;height:68.7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F7DC" w14:textId="7A432D9C" w:rsidR="001E71E4" w:rsidRDefault="001E71E4">
    <w:pPr>
      <w:pStyle w:val="Header"/>
    </w:pPr>
    <w:r>
      <w:rPr>
        <w:noProof/>
      </w:rPr>
      <w:pict w14:anchorId="3C67EE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66580" o:spid="_x0000_s1027" type="#_x0000_t136" style="position:absolute;margin-left:0;margin-top:0;width:618.3pt;height:68.7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A613" w14:textId="47FF6B02" w:rsidR="001E71E4" w:rsidRDefault="001E71E4">
    <w:pPr>
      <w:pStyle w:val="Header"/>
    </w:pPr>
    <w:r>
      <w:rPr>
        <w:noProof/>
      </w:rPr>
      <w:pict w14:anchorId="4D3366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66578" o:spid="_x0000_s1025" type="#_x0000_t136" style="position:absolute;margin-left:0;margin-top:0;width:618.3pt;height:68.7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91F70"/>
    <w:multiLevelType w:val="hybridMultilevel"/>
    <w:tmpl w:val="1F72A01A"/>
    <w:lvl w:ilvl="0" w:tplc="751AF120">
      <w:start w:val="1"/>
      <w:numFmt w:val="bullet"/>
      <w:lvlText w:val="●"/>
      <w:lvlJc w:val="left"/>
      <w:pPr>
        <w:ind w:left="720" w:hanging="360"/>
      </w:pPr>
    </w:lvl>
    <w:lvl w:ilvl="1" w:tplc="229C104A">
      <w:start w:val="1"/>
      <w:numFmt w:val="bullet"/>
      <w:lvlText w:val="○"/>
      <w:lvlJc w:val="left"/>
      <w:pPr>
        <w:ind w:left="1440" w:hanging="360"/>
      </w:pPr>
    </w:lvl>
    <w:lvl w:ilvl="2" w:tplc="6310D5C0">
      <w:start w:val="1"/>
      <w:numFmt w:val="bullet"/>
      <w:lvlText w:val="■"/>
      <w:lvlJc w:val="left"/>
      <w:pPr>
        <w:ind w:left="2160" w:hanging="360"/>
      </w:pPr>
    </w:lvl>
    <w:lvl w:ilvl="3" w:tplc="ADE2456E">
      <w:start w:val="1"/>
      <w:numFmt w:val="bullet"/>
      <w:lvlText w:val="●"/>
      <w:lvlJc w:val="left"/>
      <w:pPr>
        <w:ind w:left="2880" w:hanging="360"/>
      </w:pPr>
    </w:lvl>
    <w:lvl w:ilvl="4" w:tplc="E7DC6EF0">
      <w:start w:val="1"/>
      <w:numFmt w:val="bullet"/>
      <w:lvlText w:val="○"/>
      <w:lvlJc w:val="left"/>
      <w:pPr>
        <w:ind w:left="3600" w:hanging="360"/>
      </w:pPr>
    </w:lvl>
    <w:lvl w:ilvl="5" w:tplc="65D066C0">
      <w:start w:val="1"/>
      <w:numFmt w:val="bullet"/>
      <w:lvlText w:val="■"/>
      <w:lvlJc w:val="left"/>
      <w:pPr>
        <w:ind w:left="4320" w:hanging="360"/>
      </w:pPr>
    </w:lvl>
    <w:lvl w:ilvl="6" w:tplc="5FDCE412">
      <w:start w:val="1"/>
      <w:numFmt w:val="bullet"/>
      <w:lvlText w:val="●"/>
      <w:lvlJc w:val="left"/>
      <w:pPr>
        <w:ind w:left="5040" w:hanging="360"/>
      </w:pPr>
    </w:lvl>
    <w:lvl w:ilvl="7" w:tplc="07FA7C2C">
      <w:start w:val="1"/>
      <w:numFmt w:val="bullet"/>
      <w:lvlText w:val="●"/>
      <w:lvlJc w:val="left"/>
      <w:pPr>
        <w:ind w:left="5760" w:hanging="360"/>
      </w:pPr>
    </w:lvl>
    <w:lvl w:ilvl="8" w:tplc="2B04A7DE">
      <w:start w:val="1"/>
      <w:numFmt w:val="bullet"/>
      <w:lvlText w:val="●"/>
      <w:lvlJc w:val="left"/>
      <w:pPr>
        <w:ind w:left="6480" w:hanging="360"/>
      </w:pPr>
    </w:lvl>
  </w:abstractNum>
  <w:num w:numId="1" w16cid:durableId="10974821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4B9"/>
    <w:rsid w:val="000503E6"/>
    <w:rsid w:val="000C504D"/>
    <w:rsid w:val="001E71E4"/>
    <w:rsid w:val="00302DCB"/>
    <w:rsid w:val="003A798E"/>
    <w:rsid w:val="004306F1"/>
    <w:rsid w:val="005963DA"/>
    <w:rsid w:val="00806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4E44F"/>
  <w15:docId w15:val="{C61A34AE-B0C0-44C5-8B59-008C85B0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30"/>
      <w:szCs w:val="30"/>
    </w:rPr>
  </w:style>
  <w:style w:type="paragraph" w:styleId="Heading2">
    <w:name w:val="heading 2"/>
    <w:uiPriority w:val="9"/>
    <w:unhideWhenUsed/>
    <w:qFormat/>
    <w:pPr>
      <w:outlineLvl w:val="1"/>
    </w:pPr>
    <w:rPr>
      <w:b/>
      <w:bCs/>
      <w:color w:val="000000"/>
      <w:sz w:val="26"/>
      <w:szCs w:val="26"/>
    </w:rPr>
  </w:style>
  <w:style w:type="paragraph" w:styleId="Heading3">
    <w:name w:val="heading 3"/>
    <w:uiPriority w:val="9"/>
    <w:unhideWhenUsed/>
    <w:qFormat/>
    <w:pPr>
      <w:outlineLvl w:val="2"/>
    </w:pPr>
    <w:rPr>
      <w:b/>
      <w:bCs/>
      <w:color w:val="000000"/>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E71E4"/>
    <w:pPr>
      <w:tabs>
        <w:tab w:val="center" w:pos="4680"/>
        <w:tab w:val="right" w:pos="9360"/>
      </w:tabs>
    </w:pPr>
  </w:style>
  <w:style w:type="character" w:customStyle="1" w:styleId="HeaderChar">
    <w:name w:val="Header Char"/>
    <w:basedOn w:val="DefaultParagraphFont"/>
    <w:link w:val="Header"/>
    <w:uiPriority w:val="99"/>
    <w:rsid w:val="001E71E4"/>
  </w:style>
  <w:style w:type="paragraph" w:styleId="Footer">
    <w:name w:val="footer"/>
    <w:basedOn w:val="Normal"/>
    <w:link w:val="FooterChar"/>
    <w:uiPriority w:val="99"/>
    <w:unhideWhenUsed/>
    <w:rsid w:val="001E71E4"/>
    <w:pPr>
      <w:tabs>
        <w:tab w:val="center" w:pos="4680"/>
        <w:tab w:val="right" w:pos="9360"/>
      </w:tabs>
    </w:pPr>
  </w:style>
  <w:style w:type="character" w:customStyle="1" w:styleId="FooterChar">
    <w:name w:val="Footer Char"/>
    <w:basedOn w:val="DefaultParagraphFont"/>
    <w:link w:val="Footer"/>
    <w:uiPriority w:val="99"/>
    <w:rsid w:val="001E7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29</Pages>
  <Words>16956</Words>
  <Characters>96654</Characters>
  <Application>Microsoft Office Word</Application>
  <DocSecurity>0</DocSecurity>
  <Lines>805</Lines>
  <Paragraphs>226</Paragraphs>
  <ScaleCrop>false</ScaleCrop>
  <Company>HP</Company>
  <LinksUpToDate>false</LinksUpToDate>
  <CharactersWithSpaces>113384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Health, One Genome</dc:title>
  <dc:creator>Manuscript</dc:creator>
  <cp:lastModifiedBy>SDI 1084</cp:lastModifiedBy>
  <cp:revision>5</cp:revision>
  <dcterms:created xsi:type="dcterms:W3CDTF">2026-08-11T20:23:00Z</dcterms:created>
  <dcterms:modified xsi:type="dcterms:W3CDTF">2026-08-13T11:47:00Z</dcterms:modified>
</cp:coreProperties>
</file>