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640F1" w14:textId="77777777" w:rsidR="000D1CFF" w:rsidRPr="000D1CFF" w:rsidRDefault="000D1CFF" w:rsidP="000D1CFF">
      <w:pPr>
        <w:keepNext/>
        <w:spacing w:after="280"/>
        <w:jc w:val="center"/>
        <w:rPr>
          <w:rFonts w:eastAsia="Times New Roman"/>
          <w:b/>
          <w:bCs/>
          <w:i/>
          <w:iCs/>
          <w:color w:val="1F4E79"/>
          <w:sz w:val="34"/>
          <w:u w:val="single"/>
        </w:rPr>
      </w:pPr>
      <w:r w:rsidRPr="000D1CFF">
        <w:rPr>
          <w:rFonts w:eastAsia="Times New Roman"/>
          <w:b/>
          <w:bCs/>
          <w:i/>
          <w:iCs/>
          <w:color w:val="1F4E79"/>
          <w:sz w:val="34"/>
          <w:u w:val="single"/>
        </w:rPr>
        <w:t>Review Article</w:t>
      </w:r>
    </w:p>
    <w:p w14:paraId="3012E261" w14:textId="77777777" w:rsidR="0020504F" w:rsidRDefault="00000000">
      <w:pPr>
        <w:keepNext/>
        <w:spacing w:after="280"/>
        <w:jc w:val="center"/>
      </w:pPr>
      <w:r>
        <w:rPr>
          <w:rFonts w:eastAsia="Times New Roman"/>
          <w:b/>
          <w:color w:val="1F4E79"/>
          <w:sz w:val="34"/>
        </w:rPr>
        <w:t>Electronic Waste Exposure and Public Health Risks Among Informal Recycling Workers: A Critical Narrative Review of Occupational Mixtures, Health Effects and Prevention</w:t>
      </w:r>
    </w:p>
    <w:p w14:paraId="5F836D6A" w14:textId="77777777" w:rsidR="0020504F" w:rsidRDefault="00000000">
      <w:pPr>
        <w:pStyle w:val="FrontHeading"/>
      </w:pPr>
      <w:r>
        <w:t>Abstract</w:t>
      </w:r>
    </w:p>
    <w:p w14:paraId="500974F7" w14:textId="77777777" w:rsidR="0020504F" w:rsidRDefault="00000000">
      <w:pPr>
        <w:spacing w:after="180" w:line="259" w:lineRule="auto"/>
      </w:pPr>
      <w:r>
        <w:rPr>
          <w:rFonts w:eastAsia="Times New Roman"/>
          <w:sz w:val="21"/>
        </w:rPr>
        <w:t>Electronic waste recycling sustains livelihoods and recovers valuable materials, yet informal processing can transfer a substantial fraction of the environmental and occupational costs of the digital economy to workers with limited access to engineering controls, occupational health services and social protection. This critical narrative review evaluates the evidence linking informal electronic waste work with hazardous exposures and adverse health outcomes, with emphasis on worker-specific studies rather than community exposure alone. Literature published from 2000 to 13 June 2026 was identified through accessible scholarly indexes and institutional sources, supplemented by citation searching and verification of bibliographic metadata and Digital Object Identifiers. The evidence consistently demonstrates task-related exposure to complex mixtures of metals, particulate matter, polycyclic aromatic hydrocarbons, polychlorinated biphenyls and other combustion- or process-derived contaminants. Biomonitoring studies, particularly from Ghana, show elevated internal doses for several toxicants, while studies from Bangladesh, Nigeria, Thailand, Chile and Hong Kong broaden the geographic evidence. The most defensible health conclusions concern frequent injuries, musculoskeletal symptoms, eye and skin complaints, and measurable occupational exposure. Evidence for respiratory impairment is increasingly suggestive, supported by recent worker studies, but remains sensitive to study design and comparator selection. Cardiovascular autonomic changes, renal and hepatic alterations, endocrine disruption, neurobehavioural symptoms and epigenetic biomarkers are biologically plausible and sometimes associated with exposure, yet causal inference remains limited by cross-sectional designs, mixed tasks, background contamination, exposure misclassification and residual confounding. Formalisation and personal protective equipment alone cannot be assumed to eliminate risk. Prevention requires source control, safer processing, task redesign, hygiene, appropriate respiratory protection, exposure and health surveillance, and governance that does not remove livelihoods without viable alternatives. Future research should prioritise longitudinal, task-resolved, mixture-aware studies and intervention evaluations capable of distinguishing exposure reduction from displacement of risk.</w:t>
      </w:r>
    </w:p>
    <w:p w14:paraId="15D9126E" w14:textId="77777777" w:rsidR="0020504F" w:rsidRDefault="00000000">
      <w:pPr>
        <w:spacing w:before="60" w:after="200"/>
      </w:pPr>
      <w:r>
        <w:rPr>
          <w:rFonts w:eastAsia="Times New Roman"/>
          <w:b/>
          <w:sz w:val="21"/>
        </w:rPr>
        <w:t xml:space="preserve">Keywords: </w:t>
      </w:r>
      <w:r>
        <w:rPr>
          <w:rFonts w:eastAsia="Times New Roman"/>
          <w:i/>
          <w:sz w:val="21"/>
        </w:rPr>
        <w:t>electronic waste; informal recycling; occupational exposure; heavy metals; particulate matter; biomonitoring; occupational health; environmental justice</w:t>
      </w:r>
    </w:p>
    <w:p w14:paraId="43A4D29D" w14:textId="77777777" w:rsidR="0020504F" w:rsidRDefault="00000000">
      <w:pPr>
        <w:pStyle w:val="Heading1"/>
      </w:pPr>
      <w:r>
        <w:t>1. Introduction</w:t>
      </w:r>
    </w:p>
    <w:p w14:paraId="2530A3E8" w14:textId="77777777" w:rsidR="0020504F" w:rsidRDefault="00000000">
      <w:pPr>
        <w:ind w:firstLine="259"/>
      </w:pPr>
      <w:r>
        <w:rPr>
          <w:rFonts w:eastAsia="Times New Roman"/>
        </w:rPr>
        <w:t>Discarded electrical and electronic equipment has become a defining waste stream of the digital economy. The Global E-waste Monitor 2024 estimated that 62 million tonnes of electronic waste were generated in 2022, while only 22.3% was documented as formally collected and recycled; under current trajectories, annual generation is projected to reach 82 million tonnes by 2030 (International Telecommunication Union &amp; United Nations Institute for Training and Research, 2024). These figures describe a material-flow problem, but they also conceal an occupational-health problem. Where collection systems, repair economies and downstream recycling are weakly regulated, discarded devices are dismantled, heated, burned, crushed or chemically processed by workers whose income depends on rapid recovery of copper, aluminium, ferrous metals, circuit-board fractions and reusable components. Informal recycling is therefore not a single exposure but a labour system in which market value, task organisation, material composition and weak hazard controls interact.</w:t>
      </w:r>
    </w:p>
    <w:p w14:paraId="560CD113" w14:textId="77777777" w:rsidR="0020504F" w:rsidRDefault="00000000">
      <w:pPr>
        <w:ind w:firstLine="259"/>
      </w:pPr>
      <w:r>
        <w:rPr>
          <w:rFonts w:eastAsia="Times New Roman"/>
        </w:rPr>
        <w:t xml:space="preserve">Electronic waste is heterogeneous. Devices can contain lead, cadmium, mercury, chromium, nickel and other metals, brominated flame retardants, polychlorinated biphenyls (PCBs) in older equipment, plastic additives and a changing range of technology-critical elements. Mechanical disruption creates contaminated dust and sharp fragments, heating and desoldering can release metal fumes and organic compounds, and open burning of </w:t>
      </w:r>
      <w:r>
        <w:rPr>
          <w:rFonts w:eastAsia="Times New Roman"/>
        </w:rPr>
        <w:lastRenderedPageBreak/>
        <w:t>insulated wire and plastics produces fine particulate matter (PM) and complex combustion products including polycyclic aromatic hydrocarbons (PAHs). Acid leaching and other rudimentary recovery methods may add corrosive and chemical hazards. The World Health Organization (WHO) has emphasised that unsafe e-waste recycling can release more than a thousand substances and that inhalation, ingestion and dermal contact may occur during dismantling, heating, burning, shredding and handling contaminated residues (World Health Organization, 2024). The worker is thus exposed to a dynamic mixture rather than a stable single agent.</w:t>
      </w:r>
    </w:p>
    <w:p w14:paraId="44BD9EEB" w14:textId="77777777" w:rsidR="0020504F" w:rsidRDefault="00000000">
      <w:pPr>
        <w:ind w:firstLine="259"/>
      </w:pPr>
      <w:r>
        <w:rPr>
          <w:rFonts w:eastAsia="Times New Roman"/>
        </w:rPr>
        <w:t>The distinction between occupational and environmental exposure is especially difficult at informal recycling sites. Workplaces can merge with residential areas, markets, food preparation spaces and transport corridors; some workers live at or near the site; dust can be carried on clothing; and background biomass smoke, traffic emissions and contaminated soil may be substantial. These conditions can expose workers outside working hours and expose non-workers to emissions generated by recycling. They also complicate causal inference because a comparison group living near the site may not be unexposed. Amankwaa et al. (2017), for example, found similar mean blood lead levels among e-waste and non-e-waste workers in the Agbogbloshie enclave, although e-waste workers had a wider distribution and burners tended to have higher levels. Such findings should not be interpreted as evidence that recycling is harmless; rather, they show how contamination shared across a work-residential environment can reduce contrast between nominal exposure groups.</w:t>
      </w:r>
    </w:p>
    <w:p w14:paraId="39866F1E" w14:textId="77777777" w:rsidR="0020504F" w:rsidRDefault="00000000">
      <w:pPr>
        <w:ind w:firstLine="259"/>
      </w:pPr>
      <w:r>
        <w:rPr>
          <w:rFonts w:eastAsia="Times New Roman"/>
        </w:rPr>
        <w:t>Earlier reviews established the plausibility and breadth of health effects associated with e-waste exposure. Grant et al. (2013) identified adverse outcomes across populations exposed in recycling areas, and Parvez et al. (2021) later documented continued concern across neonatal, endocrine, immune, oxidative and other domains. These reviews were essential for defining e-waste as a public-health issue, but much of the underlying evidence concerned residents, pregnant women or children living in contaminated locations rather than occupationally exposed workers. Broad population reviews can therefore blur the distinction between direct task-related exposure and general environmental contamination. Reviews focused more specifically on workers have subsequently highlighted the diversity of occupational hazards (Okeme &amp; Arrandale, 2019) and the concentration of research in a small number of sites, particularly in Ghana (Issah et al., 2022b). Most recently, Eckhardt and Kaifie (2024) concluded that direct causal attribution of many clinical outcomes to informal e-waste work remains difficult because findings are inconsistent and study quality is often limited; injuries and skin conditions were among the outcomes for which the evidence was comparatively stronger.</w:t>
      </w:r>
    </w:p>
    <w:p w14:paraId="7561B241" w14:textId="77777777" w:rsidR="0020504F" w:rsidRDefault="00000000">
      <w:pPr>
        <w:ind w:firstLine="259"/>
      </w:pPr>
      <w:r>
        <w:rPr>
          <w:rFonts w:eastAsia="Times New Roman"/>
        </w:rPr>
        <w:t>This tension is central to the current evidence base. There is compelling evidence that informal e-waste workers encounter hazardous agents, and multiple biomonitoring studies demonstrate internal exposure. It is less certain how much of the observed burden of respiratory, cardiovascular, renal, hepatic, endocrine or neurological dysfunction can be attributed specifically to e-waste work rather than to co-exposures, social conditions, baseline disease or other occupational activities. A critical review must therefore resist two symmetrical errors: treating biological plausibility and elevated biomarkers as proof of disease causation, or treating inconsistent epidemiological estimates as evidence of safety. Exposure confirmation, biological effect, clinical disease and population-level burden are different evidentiary steps.</w:t>
      </w:r>
    </w:p>
    <w:p w14:paraId="40005815" w14:textId="77777777" w:rsidR="0020504F" w:rsidRDefault="00000000">
      <w:pPr>
        <w:ind w:firstLine="259"/>
      </w:pPr>
      <w:r>
        <w:rPr>
          <w:rFonts w:eastAsia="Times New Roman"/>
        </w:rPr>
        <w:t>The structure of informal labour further complicates interpretation. Workers may collect on one day, dismantle on another and burn wires intermittently. Srigboh et al. (2016) reported that workers at Agbogbloshie commonly engaged in several task categories, while Takyi et al. (2021) similarly found extensive overlap between dismantling, trading, burning and collection activities. A single occupational label therefore has limited precision. Task rotation can create exposure mixtures that vary within a person and across days, and self-reported primary occupation may misclassify the activities responsible for peak exposure. Studies that use personal sampling or task observation provide stronger occupational attribution than those that assign exposure only by job title or residence.</w:t>
      </w:r>
    </w:p>
    <w:p w14:paraId="683FE9D4" w14:textId="77777777" w:rsidR="0020504F" w:rsidRDefault="00000000">
      <w:pPr>
        <w:ind w:firstLine="259"/>
      </w:pPr>
      <w:r>
        <w:rPr>
          <w:rFonts w:eastAsia="Times New Roman"/>
        </w:rPr>
        <w:t xml:space="preserve">There are also important ethical and policy dimensions. Informal recycling is often framed as an environmental violation or technological deficit, yet it is also a livelihood strategy embedded in markets for </w:t>
      </w:r>
      <w:r>
        <w:rPr>
          <w:rFonts w:eastAsia="Times New Roman"/>
        </w:rPr>
        <w:lastRenderedPageBreak/>
        <w:t>repair, reuse and secondary materials. Workers may accept visible hazards because immediate income has greater salience than uncertain future disease. Surveys in Nigeria and India have shown substantial gaps in occupational-risk knowledge and low use of personal protective equipment (Ohajinwa et al., 2017; Singhal et al., 2021), but information deficits are only part of the problem. Gloves, respirators, washing facilities and safer tools cost money, can slow work, may be uncomfortable in hot environments and cannot control emissions generated by open burning or poorly ventilated heating. Formalisation can improve infrastructure, but evidence from formal electronics recycling shows that occupational exposures to metals and flame retardants can persist even in regulated facilities (Ceballos &amp; Dong, 2016). The relevant question is therefore not whether informal workers should simply be moved into formal facilities, but which combinations of material policy, engineering, work organisation, hygiene, health surveillance and social protection actually reduce exposure without transferring risk elsewhere.</w:t>
      </w:r>
    </w:p>
    <w:p w14:paraId="76FA5FCD" w14:textId="77777777" w:rsidR="0020504F" w:rsidRDefault="00000000">
      <w:pPr>
        <w:pStyle w:val="Heading2"/>
      </w:pPr>
      <w:r>
        <w:t>1.1 Scope, Research Gap and Objectives</w:t>
      </w:r>
    </w:p>
    <w:p w14:paraId="7E3A29FD" w14:textId="77777777" w:rsidR="0020504F" w:rsidRDefault="00000000">
      <w:pPr>
        <w:ind w:firstLine="259"/>
      </w:pPr>
      <w:r>
        <w:rPr>
          <w:rFonts w:eastAsia="Times New Roman"/>
        </w:rPr>
        <w:t>This review focuses on occupational exposure and health risks among people who directly collect, sort, dismantle, repair, burn, shred or otherwise recover materials from electronic waste in informal or weakly formalised settings. Community-only studies are not used to infer worker effects, although environmental evidence is considered when it clarifies exposure pathways relevant to work. The review gives particular attention to metals, airborne particles, combustion products and persistent organic contaminants; to respiratory, cardiovascular, renal, hepatic, endocrine, neurological, dermatological, musculoskeletal and injury outcomes; and to the methodological problems that determine how confidently these outcomes can be attributed to work. The central gap is not the absence of hazard identification, but the limited capacity of the literature to connect complex, task-varying mixtures with clinically meaningful outcomes over time and across diverse worker populations. The objectives are to distinguish well-supported exposure findings from less certain health-effect claims, explain why studies diverge, identify prevention strategies proportionate to the evidence, and define research priorities that would materially improve causal inference and worker protection.</w:t>
      </w:r>
    </w:p>
    <w:p w14:paraId="1869CC1E" w14:textId="77777777" w:rsidR="0020504F" w:rsidRDefault="00000000">
      <w:pPr>
        <w:pStyle w:val="Heading1"/>
      </w:pPr>
      <w:r>
        <w:t>2. Methods for Literature Selection</w:t>
      </w:r>
    </w:p>
    <w:p w14:paraId="2DC86275" w14:textId="77777777" w:rsidR="0020504F" w:rsidRDefault="00000000">
      <w:pPr>
        <w:pStyle w:val="Heading2"/>
      </w:pPr>
      <w:r>
        <w:t>2.1 Review Design and Rationale</w:t>
      </w:r>
    </w:p>
    <w:p w14:paraId="7B75E7E2" w14:textId="77777777" w:rsidR="0020504F" w:rsidRDefault="00000000">
      <w:pPr>
        <w:ind w:firstLine="259"/>
      </w:pPr>
      <w:r>
        <w:rPr>
          <w:rFonts w:eastAsia="Times New Roman"/>
        </w:rPr>
        <w:t>A critical narrative review was selected because the question requires integration of heterogeneous evidence rather than estimation of a single pooled effect. The literature spans personal air monitoring, environmental sampling, human biomonitoring, questionnaire studies, clinical measurements, cross-shift assessments, longitudinal repeated-measures studies, mechanistic biomarkers, ergonomics and policy research. Exposure definitions and outcome measures vary substantially, and many studies recruit workers from different task combinations or compare them with populations that have different background exposures. Under these conditions, a meta-analysis would risk combining non-equivalent exposures and endpoints, while a scoping review would map the literature without necessarily resolving the hierarchy of evidence or the reasons for contradictory findings. The review was therefore designed to support critical interpretation while retaining transparent literature selection and explicit appraisal, consistent with the quality principles embodied in the Scale for the Assessment of Narrative Review Articles (SANRA) (Baethge et al., 2019).</w:t>
      </w:r>
    </w:p>
    <w:p w14:paraId="754DD0F2" w14:textId="77777777" w:rsidR="0020504F" w:rsidRDefault="00000000">
      <w:pPr>
        <w:pStyle w:val="Heading2"/>
      </w:pPr>
      <w:r>
        <w:t>2.2 Information Sources</w:t>
      </w:r>
    </w:p>
    <w:p w14:paraId="4555B9E4" w14:textId="77777777" w:rsidR="0020504F" w:rsidRDefault="00000000">
      <w:pPr>
        <w:ind w:firstLine="259"/>
      </w:pPr>
      <w:r>
        <w:rPr>
          <w:rFonts w:eastAsia="Times New Roman"/>
        </w:rPr>
        <w:t xml:space="preserve">Literature discovery used PubMed, Europe PMC and the Directory of Open Access Journals (DOAJ). Crossref was used as a bibliographic and Digital Object Identifier (DOI) verification source rather than as the sole evidence source for health claims. Searches were supplemented by backward and forward citation checking from high-quality reviews and influential worker studies, related-article searching, and targeted searches of authoritative institutional sources including WHO, the International Telecommunication Union (ITU), the United Nations Institute for Training and Research (UNITAR) and the Basel Convention. Journal and commercial </w:t>
      </w:r>
      <w:r>
        <w:rPr>
          <w:rFonts w:eastAsia="Times New Roman"/>
        </w:rPr>
        <w:lastRenderedPageBreak/>
        <w:t>publisher websites were used only when necessary to confirm article metadata or DOI resolution and were not treated as literature databases.</w:t>
      </w:r>
    </w:p>
    <w:p w14:paraId="04C941EA" w14:textId="77777777" w:rsidR="0020504F" w:rsidRDefault="00000000">
      <w:pPr>
        <w:pStyle w:val="Heading2"/>
      </w:pPr>
      <w:r>
        <w:t>2.3 Search Strategy and Search Period</w:t>
      </w:r>
    </w:p>
    <w:p w14:paraId="37F25891" w14:textId="77777777" w:rsidR="0020504F" w:rsidRDefault="00000000">
      <w:pPr>
        <w:ind w:firstLine="259"/>
      </w:pPr>
      <w:r>
        <w:rPr>
          <w:rFonts w:eastAsia="Times New Roman"/>
        </w:rPr>
        <w:t>The primary search period was 1 January 2000 to 13 June 2026, a range selected to capture the modern expansion of informal e-waste recycling, worker biomonitoring and contemporary occupational epidemiology while allowing older foundational material to be considered when necessary. Search concepts combined terms for the waste stream, workforce, exposure process and health outcome. Representative combinations included ("electronic waste" OR e-waste OR WEEE) AND (worker* OR recycler* OR dismantler* OR informal sector) AND (occupational exposure OR biomonitoring OR blood OR urine OR particulate matter OR lead OR cadmium OR arsenic OR PCB OR PAH); and ("electronic waste" OR e-waste) AND (worker* OR recycler*) AND (respiratory OR lung function OR cardiovascular OR heart rate variability OR renal OR kidney OR liver OR endocrine OR thyroid OR neurobehaviour* OR injury OR musculoskeletal OR dermatitis). Additional searches combined e-waste terms with exposure control, personal protective equipment, hygiene, formalisation, policy and extended producer responsibility. Exact-title searches were used for reference verification, and DOI metadata were checked against authoritative records before inclusion.</w:t>
      </w:r>
    </w:p>
    <w:p w14:paraId="673C931B" w14:textId="77777777" w:rsidR="0020504F" w:rsidRDefault="00000000">
      <w:pPr>
        <w:pStyle w:val="Heading2"/>
      </w:pPr>
      <w:r>
        <w:t>2.4 Eligibility Criteria</w:t>
      </w:r>
    </w:p>
    <w:p w14:paraId="19E46A3F" w14:textId="77777777" w:rsidR="0020504F" w:rsidRDefault="00000000">
      <w:pPr>
        <w:ind w:firstLine="259"/>
      </w:pPr>
      <w:r>
        <w:rPr>
          <w:rFonts w:eastAsia="Times New Roman"/>
        </w:rPr>
        <w:t>Priority was given to peer-reviewed human studies that examined workers directly involved in e-waste collection, repair, dismantling, recovery or recycling, including informal workers and studies that compared informal with formal recycling. Eligible designs included cross-sectional, case-control, cohort, longitudinal repeated-measures and occupational exposure studies, as well as high-quality reviews that helped define the state of evidence or methodological gap. Environmental measurements were included when they characterised worker breathing zones, task areas or process-specific contamination. English-language publications were used for the main synthesis to maintain consistent verification of methods and outcomes. Institutional reports were included when they provided authoritative global waste estimates, health guidance or governance frameworks. Studies restricted to residents, children or pregnant women in e-waste communities were excluded from direct worker-effect conclusions, as were purely laboratory toxicology studies, unverified reports, low-quality conference abstracts and sources without sufficient bibliographic identity.</w:t>
      </w:r>
    </w:p>
    <w:p w14:paraId="6ACCBAE4" w14:textId="77777777" w:rsidR="0020504F" w:rsidRDefault="00000000">
      <w:pPr>
        <w:pStyle w:val="Heading2"/>
      </w:pPr>
      <w:r>
        <w:t>2.5 Screening, Duplicate Handling and Study Selection</w:t>
      </w:r>
    </w:p>
    <w:p w14:paraId="4B2AAC05" w14:textId="77777777" w:rsidR="0020504F" w:rsidRDefault="00000000">
      <w:pPr>
        <w:ind w:firstLine="259"/>
      </w:pPr>
      <w:r>
        <w:rPr>
          <w:rFonts w:eastAsia="Times New Roman"/>
        </w:rPr>
        <w:t>Titles and abstracts were assessed for direct relevance to informal e-waste work, followed by full-text or detailed record review where accessible. Duplicate citations encountered across indexes were consolidated using DOI, title, author and year. When the same cohort generated several publications, each article was retained only when it contributed a distinct exposure, outcome or methodological perspective; repeated cohort use was considered during interpretation so that multiple papers were not treated as independent replication. Sources with uncertain identity, unresolved DOI discrepancies, inaccessible core methods or unclear population definitions were not used to support substantive claims. Because this was a critical narrative review rather than a systematic enumeration of all records, screening counts were not used to imply exhaustive coverage.</w:t>
      </w:r>
    </w:p>
    <w:p w14:paraId="3F162AEF" w14:textId="77777777" w:rsidR="0020504F" w:rsidRDefault="00000000">
      <w:pPr>
        <w:pStyle w:val="Heading2"/>
      </w:pPr>
      <w:r>
        <w:t>2.6 Critical Appraisal and Evidence Synthesis</w:t>
      </w:r>
    </w:p>
    <w:p w14:paraId="5079FAF9" w14:textId="77777777" w:rsidR="0020504F" w:rsidRDefault="00000000">
      <w:pPr>
        <w:ind w:firstLine="259"/>
      </w:pPr>
      <w:r>
        <w:rPr>
          <w:rFonts w:eastAsia="Times New Roman"/>
        </w:rPr>
        <w:t xml:space="preserve">Evidence was appraised according to the appropriateness of exposure measurement, temporal relationship between exposure and outcome, comparator quality, sample size, task classification, control of confounding, validity of clinical or biomarker endpoints, repeated measurement, statistical modelling, and generalisability. Particular weight was given to personal exposure monitoring, biomonitoring linked to work tasks, longitudinal or cross-shift designs, objective clinical measurements and studies that quantified relevant co-exposures. Self-reported symptoms were interpreted cautiously when participants were aware of exposure status. Biomarkers of molecular or physiological response were distinguished from diagnosed disease. The synthesis was organised by </w:t>
      </w:r>
      <w:r>
        <w:rPr>
          <w:rFonts w:eastAsia="Times New Roman"/>
        </w:rPr>
        <w:lastRenderedPageBreak/>
        <w:t>exposure system, internal dose, health-effect domain, causal limitations and prevention. Apparent disagreement among studies was examined in relation to task mix, background contamination, exposure timing, comparator selection, healthy-worker selection and outcome definition rather than resolved by simple vote counting.</w:t>
      </w:r>
    </w:p>
    <w:p w14:paraId="729E0EBA" w14:textId="77777777" w:rsidR="0020504F" w:rsidRDefault="00000000">
      <w:pPr>
        <w:pStyle w:val="Heading1"/>
      </w:pPr>
      <w:r>
        <w:t>3. Informal E-Waste Work as an Exposure System</w:t>
      </w:r>
    </w:p>
    <w:p w14:paraId="34A7E178" w14:textId="77777777" w:rsidR="0020504F" w:rsidRDefault="00000000">
      <w:pPr>
        <w:pStyle w:val="Heading2"/>
      </w:pPr>
      <w:r>
        <w:t>3.1 Tasks, Materials and Exposure Routes</w:t>
      </w:r>
    </w:p>
    <w:p w14:paraId="278181A7" w14:textId="77777777" w:rsidR="0020504F" w:rsidRDefault="00000000">
      <w:pPr>
        <w:ind w:firstLine="259"/>
      </w:pPr>
      <w:r>
        <w:rPr>
          <w:rFonts w:eastAsia="Times New Roman"/>
        </w:rPr>
        <w:t>The occupational risk in informal e-waste recycling is best understood as a chain of material transformations. Collection and sorting determine which devices enter the recovery stream; dismantling fractures casings, printed circuit boards, cathode-ray components, batteries and cables; heating or desoldering separates components; open burning removes insulation or concentrates recoverable metals; and residues are moved, stored or discarded. Each step changes the form and bioavailability of contaminants. A metal contained in an intact device is not equivalent to the same metal dispersed in respirable dust, deposited on hands or volatilised during heating. This process-based view helps explain why broad labels such as "e-waste worker" have limited exposure specificity.</w:t>
      </w:r>
    </w:p>
    <w:p w14:paraId="2E579AF7" w14:textId="77777777" w:rsidR="0020504F" w:rsidRDefault="00000000">
      <w:pPr>
        <w:ind w:firstLine="259"/>
      </w:pPr>
      <w:r>
        <w:rPr>
          <w:rFonts w:eastAsia="Times New Roman"/>
        </w:rPr>
        <w:t>Manual dismantling creates an important combination of chemical, ergonomic and traumatic hazards. Hammering, cutting and prying generate dust and small fragments while also requiring forceful exertion, awkward trunk and neck postures, repetitive upper-limb movements and handling of sharp edges. Work-task analyses in Ghana, Thailand and Chile show that tool use, lifting and posture can be linked both to body burden and to musculoskeletal strain (Acquah et al., 2021; Shkembi et al., 2021). The same activity may therefore produce several pathways to harm. A worker striking a device can inhale dust, contaminate the hands, sustain a laceration and accumulate biomechanical load within a single task cycle.</w:t>
      </w:r>
    </w:p>
    <w:p w14:paraId="71E0D184" w14:textId="77777777" w:rsidR="0020504F" w:rsidRDefault="00000000">
      <w:pPr>
        <w:ind w:firstLine="259"/>
      </w:pPr>
      <w:r>
        <w:rPr>
          <w:rFonts w:eastAsia="Times New Roman"/>
        </w:rPr>
        <w:t>Open burning is a particularly high-leverage exposure source because it converts plastics, coatings and residual organic materials into smoke and particle-bound chemicals while allowing metal-rich ash to contaminate soil and dust. Personal sampling at Agbogbloshie found elevated fine and coarse PM during recovery work, with burning among the activities associated with higher concentrations (Laskaris et al., 2021). More detailed breathing-zone work also demonstrated elevated PM and detectable PAHs among workers, with burning and dismantling associated with higher exposure profiles (Kwarteng et al., 2022). These studies are stronger than area-only monitoring for occupational inference because the sampler follows the worker through changing microenvironments. Area measurements remain useful, however, for showing how occupational emissions become community exposures. At Agbogbloshie, 24-hour PM concentrations were elevated at the e-waste site and downwind, while very high short-term concentrations occurred near combustion sources (Kwarteng et al., 2020).</w:t>
      </w:r>
    </w:p>
    <w:p w14:paraId="58D2A259" w14:textId="77777777" w:rsidR="0020504F" w:rsidRDefault="00000000">
      <w:pPr>
        <w:ind w:firstLine="259"/>
      </w:pPr>
      <w:r>
        <w:rPr>
          <w:rFonts w:eastAsia="Times New Roman"/>
        </w:rPr>
        <w:t>Heating and desoldering can release metal-containing fumes, flux-related emissions and volatile organic compounds. Lin et al. (2021) identified a complex pattern of airborne volatile organic compounds at an e-waste site in Ghana and used source-apportionment approaches to distinguish contributions from recycling and other urban sources. Such work underscores a recurring challenge: workers operate within polluted cities, so occupational exposure is superimposed on traffic emissions, biomass burning, household fuel use and regional background pollution. The question is not whether background exposure exists, but whether work adds a measurable increment and whether that increment can be linked to health outcomes.</w:t>
      </w:r>
    </w:p>
    <w:p w14:paraId="23AB11AA" w14:textId="77777777" w:rsidR="0020504F" w:rsidRDefault="00000000">
      <w:pPr>
        <w:ind w:firstLine="259"/>
      </w:pPr>
      <w:r>
        <w:rPr>
          <w:rFonts w:eastAsia="Times New Roman"/>
        </w:rPr>
        <w:t>Ingestion is often underestimated because it is less visible than smoke. Contaminated dust can settle on hands, food, drinking containers and clothing. Hand-to-mouth transfer is plausible where eating occurs within work areas and washing facilities are limited. The importance of this pathway is supported indirectly by studies in Hong Kong, where increased hand-washing frequency was associated with lower urinary concentrations of multiple pollutants among e-waste workers (Liao et al., 2025). The cross-sectional design cannot prove that hand washing caused the reduction, and pandemic-era behavioural changes may have correlated with other protective practices, but the pattern is consistent with dermal and ingestion control being relevant components of exposure prevention.</w:t>
      </w:r>
    </w:p>
    <w:p w14:paraId="74D17EB9" w14:textId="77777777" w:rsidR="0020504F" w:rsidRDefault="00000000">
      <w:pPr>
        <w:ind w:firstLine="259"/>
      </w:pPr>
      <w:r>
        <w:rPr>
          <w:rFonts w:eastAsia="Times New Roman"/>
        </w:rPr>
        <w:lastRenderedPageBreak/>
        <w:t>Dermal exposure can arise from direct handling of dust, oils, residues and chemical agents as well as from cuts that compromise the skin barrier. Eye exposure is similarly plausible during dust-generating or burning tasks. Fischer et al. (2020) found more back pain, work-related injuries and red itchy eyes among e-waste workers than among bystanders at Agbogbloshie. Decharat and Kiddee (2020) reported skin and neurological-type symptoms among recycling workers in southern Thailand and identified associations between rash or itching and poor hygiene or inadequate protective practices. These symptom studies cannot isolate a specific toxicant, yet they are occupationally coherent because the reported outcomes correspond to direct physical and irritant pathways.</w:t>
      </w:r>
    </w:p>
    <w:p w14:paraId="23F7627D" w14:textId="77777777" w:rsidR="0020504F" w:rsidRDefault="00000000">
      <w:pPr>
        <w:pStyle w:val="Heading2"/>
      </w:pPr>
      <w:r>
        <w:t>3.2 Exposure Mixtures, Task Variability and Background Contamination</w:t>
      </w:r>
    </w:p>
    <w:p w14:paraId="648A22CF" w14:textId="77777777" w:rsidR="0020504F" w:rsidRDefault="00000000">
      <w:pPr>
        <w:ind w:firstLine="259"/>
      </w:pPr>
      <w:r>
        <w:rPr>
          <w:rFonts w:eastAsia="Times New Roman"/>
        </w:rPr>
        <w:t>The mixture problem has two dimensions. First, different contaminants share a source. Burning a cable can simultaneously generate PM, PAHs, metal-containing particles and organic combustion products. Second, workers move between sources. Srigboh et al. (2016) reported extensive multi-task participation at Agbogbloshie, and Takyi et al. (2021) found that many recyclers performed four or more activities. This makes "primary task" an imperfect exposure variable and weakens studies that assign a stable exposure category across months or years. Personal monitoring and video-assisted task observation are therefore particularly valuable because they can capture within-worker variability.</w:t>
      </w:r>
    </w:p>
    <w:p w14:paraId="22665164" w14:textId="77777777" w:rsidR="0020504F" w:rsidRDefault="00000000">
      <w:pPr>
        <w:ind w:firstLine="259"/>
      </w:pPr>
      <w:r>
        <w:rPr>
          <w:rFonts w:eastAsia="Times New Roman"/>
        </w:rPr>
        <w:t>The composition of electronic products is also changing. Legacy equipment may contribute substances that are less common in newer devices, while modern electronics introduce rare earth and technology-critical elements whose occupational toxicology is less established. Takyi et al. (2021) measured a broad panel of conventional and less frequently studied elements and found higher levels of several metals and technology-related elements in recyclers than controls. The interpretation of these findings requires caution: detection of an element in blood or urine demonstrates absorption but does not establish that the measured concentration is toxic, and reference values may be unavailable for emerging elements. Nevertheless, the study illustrates why an occupational programme focused only on lead may miss changing chemical profiles.</w:t>
      </w:r>
    </w:p>
    <w:p w14:paraId="4A4D3C46" w14:textId="77777777" w:rsidR="0020504F" w:rsidRDefault="00000000">
      <w:pPr>
        <w:ind w:firstLine="259"/>
      </w:pPr>
      <w:r>
        <w:rPr>
          <w:rFonts w:eastAsia="Times New Roman"/>
        </w:rPr>
        <w:t>A further difficulty is that the reference population can share the same polluted environment. Amankwaa et al. (2017) demonstrated this problem for lead at Agbogbloshie, where mean blood lead levels were similar between e-waste and non-e-waste workers despite higher extremes among e-waste workers and a tendency for burners to have higher concentrations. Asante et al. (2012) also showed that arsenic interpretation could be affected by non-occupational sources such as seafood, emphasising the value of chemical speciation rather than relying on total urinary arsenic. More recent work using inorganic arsenic species strengthened evidence for occupational contribution by showing higher species-specific burdens among e-waste workers (Yang et al., 2020). These examples show how analytical refinement can change causal interpretation.</w:t>
      </w:r>
    </w:p>
    <w:p w14:paraId="100E2632" w14:textId="77777777" w:rsidR="0020504F" w:rsidRDefault="00000000">
      <w:pPr>
        <w:ind w:firstLine="259"/>
      </w:pPr>
      <w:r>
        <w:rPr>
          <w:rFonts w:eastAsia="Times New Roman"/>
        </w:rPr>
        <w:t>Table 1 summarises the major task-hazard combinations. The table is intentionally organised by work process rather than chemical because prevention is usually implemented at the task level. It also distinguishes evidence that directly measures worker exposure from evidence inferred from the process, which is important when deciding how strongly a control recommendation can be justified.</w:t>
      </w:r>
    </w:p>
    <w:p w14:paraId="09DBFAB3" w14:textId="77777777" w:rsidR="0020504F" w:rsidRDefault="00000000">
      <w:pPr>
        <w:keepNext/>
        <w:spacing w:before="120" w:after="80"/>
      </w:pPr>
      <w:r>
        <w:rPr>
          <w:rFonts w:eastAsia="Times New Roman"/>
          <w:b/>
          <w:sz w:val="20"/>
        </w:rPr>
        <w:t>Table 1. Informal e-waste tasks, principal hazard pathways and priority controls</w:t>
      </w:r>
    </w:p>
    <w:tbl>
      <w:tblPr>
        <w:tblStyle w:val="TableGrid"/>
        <w:tblW w:w="5000" w:type="pct"/>
        <w:jc w:val="center"/>
        <w:tblLook w:val="04A0" w:firstRow="1" w:lastRow="0" w:firstColumn="1" w:lastColumn="0" w:noHBand="0" w:noVBand="1"/>
      </w:tblPr>
      <w:tblGrid>
        <w:gridCol w:w="1615"/>
        <w:gridCol w:w="1994"/>
        <w:gridCol w:w="1939"/>
        <w:gridCol w:w="3021"/>
        <w:gridCol w:w="1615"/>
      </w:tblGrid>
      <w:tr w:rsidR="0020504F" w14:paraId="289C4106" w14:textId="77777777" w:rsidTr="0058340A">
        <w:trPr>
          <w:cantSplit/>
          <w:tblHeader/>
          <w:jc w:val="center"/>
        </w:trPr>
        <w:tc>
          <w:tcPr>
            <w:tcW w:w="793" w:type="pct"/>
            <w:shd w:val="clear" w:color="auto" w:fill="1F4E79"/>
            <w:tcMar>
              <w:top w:w="95" w:type="dxa"/>
              <w:left w:w="95" w:type="dxa"/>
              <w:bottom w:w="95" w:type="dxa"/>
              <w:right w:w="95" w:type="dxa"/>
            </w:tcMar>
            <w:vAlign w:val="center"/>
          </w:tcPr>
          <w:p w14:paraId="572D50C9" w14:textId="77777777" w:rsidR="0020504F" w:rsidRDefault="00000000">
            <w:pPr>
              <w:spacing w:after="0" w:line="240" w:lineRule="auto"/>
              <w:jc w:val="center"/>
            </w:pPr>
            <w:r>
              <w:rPr>
                <w:rFonts w:eastAsia="Times New Roman"/>
                <w:b/>
                <w:color w:val="FFFFFF"/>
                <w:sz w:val="16"/>
              </w:rPr>
              <w:t>Task or process</w:t>
            </w:r>
          </w:p>
        </w:tc>
        <w:tc>
          <w:tcPr>
            <w:tcW w:w="979" w:type="pct"/>
            <w:shd w:val="clear" w:color="auto" w:fill="1F4E79"/>
            <w:tcMar>
              <w:top w:w="95" w:type="dxa"/>
              <w:left w:w="95" w:type="dxa"/>
              <w:bottom w:w="95" w:type="dxa"/>
              <w:right w:w="95" w:type="dxa"/>
            </w:tcMar>
            <w:vAlign w:val="center"/>
          </w:tcPr>
          <w:p w14:paraId="00810BDC" w14:textId="77777777" w:rsidR="0020504F" w:rsidRDefault="00000000">
            <w:pPr>
              <w:spacing w:after="0" w:line="240" w:lineRule="auto"/>
              <w:jc w:val="center"/>
            </w:pPr>
            <w:r>
              <w:rPr>
                <w:rFonts w:eastAsia="Times New Roman"/>
                <w:b/>
                <w:color w:val="FFFFFF"/>
                <w:sz w:val="16"/>
              </w:rPr>
              <w:t>Prominent hazards</w:t>
            </w:r>
          </w:p>
        </w:tc>
        <w:tc>
          <w:tcPr>
            <w:tcW w:w="952" w:type="pct"/>
            <w:shd w:val="clear" w:color="auto" w:fill="1F4E79"/>
            <w:tcMar>
              <w:top w:w="95" w:type="dxa"/>
              <w:left w:w="95" w:type="dxa"/>
              <w:bottom w:w="95" w:type="dxa"/>
              <w:right w:w="95" w:type="dxa"/>
            </w:tcMar>
            <w:vAlign w:val="center"/>
          </w:tcPr>
          <w:p w14:paraId="71B0AC6B" w14:textId="77777777" w:rsidR="0020504F" w:rsidRDefault="00000000">
            <w:pPr>
              <w:spacing w:after="0" w:line="240" w:lineRule="auto"/>
              <w:jc w:val="center"/>
            </w:pPr>
            <w:r>
              <w:rPr>
                <w:rFonts w:eastAsia="Times New Roman"/>
                <w:b/>
                <w:color w:val="FFFFFF"/>
                <w:sz w:val="16"/>
              </w:rPr>
              <w:t>Main routes or injury pathways</w:t>
            </w:r>
          </w:p>
        </w:tc>
        <w:tc>
          <w:tcPr>
            <w:tcW w:w="1483" w:type="pct"/>
            <w:shd w:val="clear" w:color="auto" w:fill="1F4E79"/>
            <w:tcMar>
              <w:top w:w="95" w:type="dxa"/>
              <w:left w:w="95" w:type="dxa"/>
              <w:bottom w:w="95" w:type="dxa"/>
              <w:right w:w="95" w:type="dxa"/>
            </w:tcMar>
            <w:vAlign w:val="center"/>
          </w:tcPr>
          <w:p w14:paraId="21D3793D" w14:textId="77777777" w:rsidR="0020504F" w:rsidRDefault="00000000">
            <w:pPr>
              <w:spacing w:after="0" w:line="240" w:lineRule="auto"/>
              <w:jc w:val="center"/>
            </w:pPr>
            <w:r>
              <w:rPr>
                <w:rFonts w:eastAsia="Times New Roman"/>
                <w:b/>
                <w:color w:val="FFFFFF"/>
                <w:sz w:val="16"/>
              </w:rPr>
              <w:t>Critical interpretation and control priority</w:t>
            </w:r>
          </w:p>
        </w:tc>
        <w:tc>
          <w:tcPr>
            <w:tcW w:w="793" w:type="pct"/>
            <w:shd w:val="clear" w:color="auto" w:fill="1F4E79"/>
            <w:tcMar>
              <w:top w:w="95" w:type="dxa"/>
              <w:left w:w="95" w:type="dxa"/>
              <w:bottom w:w="95" w:type="dxa"/>
              <w:right w:w="95" w:type="dxa"/>
            </w:tcMar>
            <w:vAlign w:val="center"/>
          </w:tcPr>
          <w:p w14:paraId="48DEDB9F" w14:textId="77777777" w:rsidR="0020504F" w:rsidRDefault="00000000">
            <w:pPr>
              <w:spacing w:after="0" w:line="240" w:lineRule="auto"/>
              <w:jc w:val="center"/>
            </w:pPr>
            <w:r>
              <w:rPr>
                <w:rFonts w:eastAsia="Times New Roman"/>
                <w:b/>
                <w:color w:val="FFFFFF"/>
                <w:sz w:val="16"/>
              </w:rPr>
              <w:t>Supporting references</w:t>
            </w:r>
          </w:p>
        </w:tc>
      </w:tr>
      <w:tr w:rsidR="0020504F" w14:paraId="261C5C79" w14:textId="77777777" w:rsidTr="0058340A">
        <w:trPr>
          <w:cantSplit/>
          <w:jc w:val="center"/>
        </w:trPr>
        <w:tc>
          <w:tcPr>
            <w:tcW w:w="793" w:type="pct"/>
            <w:shd w:val="clear" w:color="auto" w:fill="EAF2F8"/>
            <w:tcMar>
              <w:top w:w="85" w:type="dxa"/>
              <w:left w:w="90" w:type="dxa"/>
              <w:bottom w:w="85" w:type="dxa"/>
              <w:right w:w="90" w:type="dxa"/>
            </w:tcMar>
            <w:vAlign w:val="center"/>
          </w:tcPr>
          <w:p w14:paraId="0D7749FE" w14:textId="77777777" w:rsidR="0020504F" w:rsidRDefault="00000000">
            <w:pPr>
              <w:spacing w:after="0" w:line="240" w:lineRule="auto"/>
              <w:jc w:val="left"/>
            </w:pPr>
            <w:r>
              <w:rPr>
                <w:rFonts w:eastAsia="Times New Roman"/>
                <w:sz w:val="16"/>
              </w:rPr>
              <w:t>Collection, loading and transport</w:t>
            </w:r>
          </w:p>
        </w:tc>
        <w:tc>
          <w:tcPr>
            <w:tcW w:w="979" w:type="pct"/>
            <w:tcMar>
              <w:top w:w="85" w:type="dxa"/>
              <w:left w:w="90" w:type="dxa"/>
              <w:bottom w:w="85" w:type="dxa"/>
              <w:right w:w="90" w:type="dxa"/>
            </w:tcMar>
            <w:vAlign w:val="center"/>
          </w:tcPr>
          <w:p w14:paraId="345E3B57" w14:textId="77777777" w:rsidR="0020504F" w:rsidRDefault="00000000">
            <w:pPr>
              <w:spacing w:after="0" w:line="240" w:lineRule="auto"/>
              <w:jc w:val="left"/>
            </w:pPr>
            <w:r>
              <w:rPr>
                <w:rFonts w:eastAsia="Times New Roman"/>
                <w:sz w:val="16"/>
              </w:rPr>
              <w:t>Contaminated dust, metal-rich residues, manual loads, sharp objects and traffic hazards</w:t>
            </w:r>
          </w:p>
        </w:tc>
        <w:tc>
          <w:tcPr>
            <w:tcW w:w="952" w:type="pct"/>
            <w:tcMar>
              <w:top w:w="85" w:type="dxa"/>
              <w:left w:w="90" w:type="dxa"/>
              <w:bottom w:w="85" w:type="dxa"/>
              <w:right w:w="90" w:type="dxa"/>
            </w:tcMar>
            <w:vAlign w:val="center"/>
          </w:tcPr>
          <w:p w14:paraId="1E173693" w14:textId="77777777" w:rsidR="0020504F" w:rsidRDefault="00000000">
            <w:pPr>
              <w:spacing w:after="0" w:line="240" w:lineRule="auto"/>
              <w:jc w:val="left"/>
            </w:pPr>
            <w:r>
              <w:rPr>
                <w:rFonts w:eastAsia="Times New Roman"/>
                <w:sz w:val="16"/>
              </w:rPr>
              <w:t>Inhalation and ingestion of dust; laceration; crush or traffic injury; cumulative biomechanical load</w:t>
            </w:r>
          </w:p>
        </w:tc>
        <w:tc>
          <w:tcPr>
            <w:tcW w:w="1483" w:type="pct"/>
            <w:tcMar>
              <w:top w:w="85" w:type="dxa"/>
              <w:left w:w="90" w:type="dxa"/>
              <w:bottom w:w="85" w:type="dxa"/>
              <w:right w:w="90" w:type="dxa"/>
            </w:tcMar>
            <w:vAlign w:val="center"/>
          </w:tcPr>
          <w:p w14:paraId="7B956131" w14:textId="77777777" w:rsidR="0020504F" w:rsidRDefault="00000000">
            <w:pPr>
              <w:spacing w:after="0" w:line="240" w:lineRule="auto"/>
              <w:jc w:val="left"/>
            </w:pPr>
            <w:r>
              <w:rPr>
                <w:rFonts w:eastAsia="Times New Roman"/>
                <w:sz w:val="16"/>
              </w:rPr>
              <w:t>Exposure is not confined to burning. Safer handling tools, load management, segregated transport routes and hand hygiene are priority measures.</w:t>
            </w:r>
          </w:p>
        </w:tc>
        <w:tc>
          <w:tcPr>
            <w:tcW w:w="793" w:type="pct"/>
            <w:tcMar>
              <w:top w:w="85" w:type="dxa"/>
              <w:left w:w="90" w:type="dxa"/>
              <w:bottom w:w="85" w:type="dxa"/>
              <w:right w:w="90" w:type="dxa"/>
            </w:tcMar>
            <w:vAlign w:val="center"/>
          </w:tcPr>
          <w:p w14:paraId="2CBE930E" w14:textId="77777777" w:rsidR="0020504F" w:rsidRDefault="00000000">
            <w:pPr>
              <w:spacing w:after="0" w:line="240" w:lineRule="auto"/>
              <w:jc w:val="left"/>
            </w:pPr>
            <w:r>
              <w:rPr>
                <w:rFonts w:eastAsia="Times New Roman"/>
                <w:sz w:val="16"/>
              </w:rPr>
              <w:t>(Acquah et al., 2021; Srigboh et al., 2016)</w:t>
            </w:r>
          </w:p>
        </w:tc>
      </w:tr>
      <w:tr w:rsidR="0020504F" w14:paraId="5A8AE5A4" w14:textId="77777777" w:rsidTr="0058340A">
        <w:trPr>
          <w:cantSplit/>
          <w:jc w:val="center"/>
        </w:trPr>
        <w:tc>
          <w:tcPr>
            <w:tcW w:w="793" w:type="pct"/>
            <w:tcMar>
              <w:top w:w="85" w:type="dxa"/>
              <w:left w:w="90" w:type="dxa"/>
              <w:bottom w:w="85" w:type="dxa"/>
              <w:right w:w="90" w:type="dxa"/>
            </w:tcMar>
            <w:vAlign w:val="center"/>
          </w:tcPr>
          <w:p w14:paraId="29146660" w14:textId="77777777" w:rsidR="0020504F" w:rsidRDefault="00000000">
            <w:pPr>
              <w:spacing w:after="0" w:line="240" w:lineRule="auto"/>
              <w:jc w:val="left"/>
            </w:pPr>
            <w:r>
              <w:rPr>
                <w:rFonts w:eastAsia="Times New Roman"/>
                <w:sz w:val="16"/>
              </w:rPr>
              <w:lastRenderedPageBreak/>
              <w:t>Manual dismantling and component recovery</w:t>
            </w:r>
          </w:p>
        </w:tc>
        <w:tc>
          <w:tcPr>
            <w:tcW w:w="979" w:type="pct"/>
            <w:tcMar>
              <w:top w:w="85" w:type="dxa"/>
              <w:left w:w="90" w:type="dxa"/>
              <w:bottom w:w="85" w:type="dxa"/>
              <w:right w:w="90" w:type="dxa"/>
            </w:tcMar>
            <w:vAlign w:val="center"/>
          </w:tcPr>
          <w:p w14:paraId="0EA8313E" w14:textId="77777777" w:rsidR="0020504F" w:rsidRDefault="00000000">
            <w:pPr>
              <w:spacing w:after="0" w:line="240" w:lineRule="auto"/>
              <w:jc w:val="left"/>
            </w:pPr>
            <w:r>
              <w:rPr>
                <w:rFonts w:eastAsia="Times New Roman"/>
                <w:sz w:val="16"/>
              </w:rPr>
              <w:t>Metal-containing dust, contaminated surfaces, sharp fragments, noise and forceful or awkward work</w:t>
            </w:r>
          </w:p>
        </w:tc>
        <w:tc>
          <w:tcPr>
            <w:tcW w:w="952" w:type="pct"/>
            <w:tcMar>
              <w:top w:w="85" w:type="dxa"/>
              <w:left w:w="90" w:type="dxa"/>
              <w:bottom w:w="85" w:type="dxa"/>
              <w:right w:w="90" w:type="dxa"/>
            </w:tcMar>
            <w:vAlign w:val="center"/>
          </w:tcPr>
          <w:p w14:paraId="6575CC1F" w14:textId="77777777" w:rsidR="0020504F" w:rsidRDefault="00000000">
            <w:pPr>
              <w:spacing w:after="0" w:line="240" w:lineRule="auto"/>
              <w:jc w:val="left"/>
            </w:pPr>
            <w:r>
              <w:rPr>
                <w:rFonts w:eastAsia="Times New Roman"/>
                <w:sz w:val="16"/>
              </w:rPr>
              <w:t>Breathing-zone inhalation; hand-to-mouth transfer; dermal contact; laceration; musculoskeletal loading</w:t>
            </w:r>
          </w:p>
        </w:tc>
        <w:tc>
          <w:tcPr>
            <w:tcW w:w="1483" w:type="pct"/>
            <w:tcMar>
              <w:top w:w="85" w:type="dxa"/>
              <w:left w:w="90" w:type="dxa"/>
              <w:bottom w:w="85" w:type="dxa"/>
              <w:right w:w="90" w:type="dxa"/>
            </w:tcMar>
            <w:vAlign w:val="center"/>
          </w:tcPr>
          <w:p w14:paraId="7324AEBB" w14:textId="77777777" w:rsidR="0020504F" w:rsidRDefault="00000000">
            <w:pPr>
              <w:spacing w:after="0" w:line="240" w:lineRule="auto"/>
              <w:jc w:val="left"/>
            </w:pPr>
            <w:r>
              <w:rPr>
                <w:rFonts w:eastAsia="Times New Roman"/>
                <w:sz w:val="16"/>
              </w:rPr>
              <w:t>Task labels should be linked to observed tools and time-activity patterns. Local dust extraction, guarded tools, wet or vacuum cleaning and ergonomic redesign target several hazards simultaneously.</w:t>
            </w:r>
          </w:p>
        </w:tc>
        <w:tc>
          <w:tcPr>
            <w:tcW w:w="793" w:type="pct"/>
            <w:tcMar>
              <w:top w:w="85" w:type="dxa"/>
              <w:left w:w="90" w:type="dxa"/>
              <w:bottom w:w="85" w:type="dxa"/>
              <w:right w:w="90" w:type="dxa"/>
            </w:tcMar>
            <w:vAlign w:val="center"/>
          </w:tcPr>
          <w:p w14:paraId="6150243B" w14:textId="77777777" w:rsidR="0020504F" w:rsidRDefault="00000000">
            <w:pPr>
              <w:spacing w:after="0" w:line="240" w:lineRule="auto"/>
              <w:jc w:val="left"/>
            </w:pPr>
            <w:r>
              <w:rPr>
                <w:rFonts w:eastAsia="Times New Roman"/>
                <w:sz w:val="16"/>
              </w:rPr>
              <w:t>(Acquah et al., 2021; Kwarteng et al., 2022; Shkembi et al., 2021)</w:t>
            </w:r>
          </w:p>
        </w:tc>
      </w:tr>
      <w:tr w:rsidR="0020504F" w14:paraId="3C0E4EC1" w14:textId="77777777" w:rsidTr="0058340A">
        <w:trPr>
          <w:cantSplit/>
          <w:jc w:val="center"/>
        </w:trPr>
        <w:tc>
          <w:tcPr>
            <w:tcW w:w="793" w:type="pct"/>
            <w:shd w:val="clear" w:color="auto" w:fill="EAF2F8"/>
            <w:tcMar>
              <w:top w:w="85" w:type="dxa"/>
              <w:left w:w="90" w:type="dxa"/>
              <w:bottom w:w="85" w:type="dxa"/>
              <w:right w:w="90" w:type="dxa"/>
            </w:tcMar>
            <w:vAlign w:val="center"/>
          </w:tcPr>
          <w:p w14:paraId="1D98A83C" w14:textId="77777777" w:rsidR="0020504F" w:rsidRDefault="00000000">
            <w:pPr>
              <w:spacing w:after="0" w:line="240" w:lineRule="auto"/>
              <w:jc w:val="left"/>
            </w:pPr>
            <w:r>
              <w:rPr>
                <w:rFonts w:eastAsia="Times New Roman"/>
                <w:sz w:val="16"/>
              </w:rPr>
              <w:t>Heating and desoldering</w:t>
            </w:r>
          </w:p>
        </w:tc>
        <w:tc>
          <w:tcPr>
            <w:tcW w:w="979" w:type="pct"/>
            <w:tcMar>
              <w:top w:w="85" w:type="dxa"/>
              <w:left w:w="90" w:type="dxa"/>
              <w:bottom w:w="85" w:type="dxa"/>
              <w:right w:w="90" w:type="dxa"/>
            </w:tcMar>
            <w:vAlign w:val="center"/>
          </w:tcPr>
          <w:p w14:paraId="047ACF9B" w14:textId="77777777" w:rsidR="0020504F" w:rsidRDefault="00000000">
            <w:pPr>
              <w:spacing w:after="0" w:line="240" w:lineRule="auto"/>
              <w:jc w:val="left"/>
            </w:pPr>
            <w:r>
              <w:rPr>
                <w:rFonts w:eastAsia="Times New Roman"/>
                <w:sz w:val="16"/>
              </w:rPr>
              <w:t>Metal fumes, volatile organic compounds, flux-related emissions and contaminated dust</w:t>
            </w:r>
          </w:p>
        </w:tc>
        <w:tc>
          <w:tcPr>
            <w:tcW w:w="952" w:type="pct"/>
            <w:tcMar>
              <w:top w:w="85" w:type="dxa"/>
              <w:left w:w="90" w:type="dxa"/>
              <w:bottom w:w="85" w:type="dxa"/>
              <w:right w:w="90" w:type="dxa"/>
            </w:tcMar>
            <w:vAlign w:val="center"/>
          </w:tcPr>
          <w:p w14:paraId="767B1D8F" w14:textId="77777777" w:rsidR="0020504F" w:rsidRDefault="00000000">
            <w:pPr>
              <w:spacing w:after="0" w:line="240" w:lineRule="auto"/>
              <w:jc w:val="left"/>
            </w:pPr>
            <w:r>
              <w:rPr>
                <w:rFonts w:eastAsia="Times New Roman"/>
                <w:sz w:val="16"/>
              </w:rPr>
              <w:t>Inhalation and dermal contact, with potential eye irritation</w:t>
            </w:r>
          </w:p>
        </w:tc>
        <w:tc>
          <w:tcPr>
            <w:tcW w:w="1483" w:type="pct"/>
            <w:tcMar>
              <w:top w:w="85" w:type="dxa"/>
              <w:left w:w="90" w:type="dxa"/>
              <w:bottom w:w="85" w:type="dxa"/>
              <w:right w:w="90" w:type="dxa"/>
            </w:tcMar>
            <w:vAlign w:val="center"/>
          </w:tcPr>
          <w:p w14:paraId="6C29F640" w14:textId="77777777" w:rsidR="0020504F" w:rsidRDefault="00000000">
            <w:pPr>
              <w:spacing w:after="0" w:line="240" w:lineRule="auto"/>
              <w:jc w:val="left"/>
            </w:pPr>
            <w:r>
              <w:rPr>
                <w:rFonts w:eastAsia="Times New Roman"/>
                <w:sz w:val="16"/>
              </w:rPr>
              <w:t>Small indoor work areas can concentrate emissions. Enclosure, local exhaust ventilation and lower-emission separation methods should precede reliance on masks.</w:t>
            </w:r>
          </w:p>
        </w:tc>
        <w:tc>
          <w:tcPr>
            <w:tcW w:w="793" w:type="pct"/>
            <w:tcMar>
              <w:top w:w="85" w:type="dxa"/>
              <w:left w:w="90" w:type="dxa"/>
              <w:bottom w:w="85" w:type="dxa"/>
              <w:right w:w="90" w:type="dxa"/>
            </w:tcMar>
            <w:vAlign w:val="center"/>
          </w:tcPr>
          <w:p w14:paraId="20D8E678" w14:textId="77777777" w:rsidR="0020504F" w:rsidRDefault="00000000">
            <w:pPr>
              <w:spacing w:after="0" w:line="240" w:lineRule="auto"/>
              <w:jc w:val="left"/>
            </w:pPr>
            <w:r>
              <w:rPr>
                <w:rFonts w:eastAsia="Times New Roman"/>
                <w:sz w:val="16"/>
              </w:rPr>
              <w:t>(Lau et al., 2014; Lin et al., 2021)</w:t>
            </w:r>
          </w:p>
        </w:tc>
      </w:tr>
      <w:tr w:rsidR="0020504F" w14:paraId="2450C375" w14:textId="77777777" w:rsidTr="0058340A">
        <w:trPr>
          <w:cantSplit/>
          <w:jc w:val="center"/>
        </w:trPr>
        <w:tc>
          <w:tcPr>
            <w:tcW w:w="793" w:type="pct"/>
            <w:tcMar>
              <w:top w:w="85" w:type="dxa"/>
              <w:left w:w="90" w:type="dxa"/>
              <w:bottom w:w="85" w:type="dxa"/>
              <w:right w:w="90" w:type="dxa"/>
            </w:tcMar>
            <w:vAlign w:val="center"/>
          </w:tcPr>
          <w:p w14:paraId="0BF00EB2" w14:textId="77777777" w:rsidR="0020504F" w:rsidRDefault="00000000">
            <w:pPr>
              <w:spacing w:after="0" w:line="240" w:lineRule="auto"/>
              <w:jc w:val="left"/>
            </w:pPr>
            <w:r>
              <w:rPr>
                <w:rFonts w:eastAsia="Times New Roman"/>
                <w:sz w:val="16"/>
              </w:rPr>
              <w:t>Open burning of wires and mixed residues</w:t>
            </w:r>
          </w:p>
        </w:tc>
        <w:tc>
          <w:tcPr>
            <w:tcW w:w="979" w:type="pct"/>
            <w:tcMar>
              <w:top w:w="85" w:type="dxa"/>
              <w:left w:w="90" w:type="dxa"/>
              <w:bottom w:w="85" w:type="dxa"/>
              <w:right w:w="90" w:type="dxa"/>
            </w:tcMar>
            <w:vAlign w:val="center"/>
          </w:tcPr>
          <w:p w14:paraId="13706835" w14:textId="77777777" w:rsidR="0020504F" w:rsidRDefault="00000000">
            <w:pPr>
              <w:spacing w:after="0" w:line="240" w:lineRule="auto"/>
              <w:jc w:val="left"/>
            </w:pPr>
            <w:r>
              <w:rPr>
                <w:rFonts w:eastAsia="Times New Roman"/>
                <w:sz w:val="16"/>
              </w:rPr>
              <w:t>Fine and coarse PM, PAHs, PCBs and mixed combustion products</w:t>
            </w:r>
          </w:p>
        </w:tc>
        <w:tc>
          <w:tcPr>
            <w:tcW w:w="952" w:type="pct"/>
            <w:tcMar>
              <w:top w:w="85" w:type="dxa"/>
              <w:left w:w="90" w:type="dxa"/>
              <w:bottom w:w="85" w:type="dxa"/>
              <w:right w:w="90" w:type="dxa"/>
            </w:tcMar>
            <w:vAlign w:val="center"/>
          </w:tcPr>
          <w:p w14:paraId="5A5A6CCE" w14:textId="77777777" w:rsidR="0020504F" w:rsidRDefault="00000000">
            <w:pPr>
              <w:spacing w:after="0" w:line="240" w:lineRule="auto"/>
              <w:jc w:val="left"/>
            </w:pPr>
            <w:r>
              <w:rPr>
                <w:rFonts w:eastAsia="Times New Roman"/>
                <w:sz w:val="16"/>
              </w:rPr>
              <w:t>High-intensity inhalation; deposition to skin and clothing; secondary contamination of work and residential areas</w:t>
            </w:r>
          </w:p>
        </w:tc>
        <w:tc>
          <w:tcPr>
            <w:tcW w:w="1483" w:type="pct"/>
            <w:tcMar>
              <w:top w:w="85" w:type="dxa"/>
              <w:left w:w="90" w:type="dxa"/>
              <w:bottom w:w="85" w:type="dxa"/>
              <w:right w:w="90" w:type="dxa"/>
            </w:tcMar>
            <w:vAlign w:val="center"/>
          </w:tcPr>
          <w:p w14:paraId="5A0CF37A" w14:textId="77777777" w:rsidR="0020504F" w:rsidRDefault="00000000">
            <w:pPr>
              <w:spacing w:after="0" w:line="240" w:lineRule="auto"/>
              <w:jc w:val="left"/>
            </w:pPr>
            <w:r>
              <w:rPr>
                <w:rFonts w:eastAsia="Times New Roman"/>
                <w:sz w:val="16"/>
              </w:rPr>
              <w:t>The evidence for exposure is strongest for this task. Elimination of open burning and provision of contained cable-processing alternatives are high-priority controls.</w:t>
            </w:r>
          </w:p>
        </w:tc>
        <w:tc>
          <w:tcPr>
            <w:tcW w:w="793" w:type="pct"/>
            <w:tcMar>
              <w:top w:w="85" w:type="dxa"/>
              <w:left w:w="90" w:type="dxa"/>
              <w:bottom w:w="85" w:type="dxa"/>
              <w:right w:w="90" w:type="dxa"/>
            </w:tcMar>
            <w:vAlign w:val="center"/>
          </w:tcPr>
          <w:p w14:paraId="3DE56497" w14:textId="77777777" w:rsidR="0020504F" w:rsidRDefault="00000000">
            <w:pPr>
              <w:spacing w:after="0" w:line="240" w:lineRule="auto"/>
              <w:jc w:val="left"/>
            </w:pPr>
            <w:r>
              <w:rPr>
                <w:rFonts w:eastAsia="Times New Roman"/>
                <w:sz w:val="16"/>
              </w:rPr>
              <w:t>(Feldt et al., 2014; Kaifie et al., 2020; Kwarteng et al., 2020, 2022; Laskaris et al., 2021)</w:t>
            </w:r>
          </w:p>
        </w:tc>
      </w:tr>
      <w:tr w:rsidR="0020504F" w14:paraId="7BFC2054" w14:textId="77777777" w:rsidTr="0058340A">
        <w:trPr>
          <w:cantSplit/>
          <w:jc w:val="center"/>
        </w:trPr>
        <w:tc>
          <w:tcPr>
            <w:tcW w:w="793" w:type="pct"/>
            <w:shd w:val="clear" w:color="auto" w:fill="EAF2F8"/>
            <w:tcMar>
              <w:top w:w="85" w:type="dxa"/>
              <w:left w:w="90" w:type="dxa"/>
              <w:bottom w:w="85" w:type="dxa"/>
              <w:right w:w="90" w:type="dxa"/>
            </w:tcMar>
            <w:vAlign w:val="center"/>
          </w:tcPr>
          <w:p w14:paraId="496727BC" w14:textId="77777777" w:rsidR="0020504F" w:rsidRDefault="00000000">
            <w:pPr>
              <w:spacing w:after="0" w:line="240" w:lineRule="auto"/>
              <w:jc w:val="left"/>
            </w:pPr>
            <w:r>
              <w:rPr>
                <w:rFonts w:eastAsia="Times New Roman"/>
                <w:sz w:val="16"/>
              </w:rPr>
              <w:t>Sorting, trading and residue handling</w:t>
            </w:r>
          </w:p>
        </w:tc>
        <w:tc>
          <w:tcPr>
            <w:tcW w:w="979" w:type="pct"/>
            <w:tcMar>
              <w:top w:w="85" w:type="dxa"/>
              <w:left w:w="90" w:type="dxa"/>
              <w:bottom w:w="85" w:type="dxa"/>
              <w:right w:w="90" w:type="dxa"/>
            </w:tcMar>
            <w:vAlign w:val="center"/>
          </w:tcPr>
          <w:p w14:paraId="156C3509" w14:textId="77777777" w:rsidR="0020504F" w:rsidRDefault="00000000">
            <w:pPr>
              <w:spacing w:after="0" w:line="240" w:lineRule="auto"/>
              <w:jc w:val="left"/>
            </w:pPr>
            <w:r>
              <w:rPr>
                <w:rFonts w:eastAsia="Times New Roman"/>
                <w:sz w:val="16"/>
              </w:rPr>
              <w:t>Mixed dust, metals and contaminated surfaces, often superimposed on background urban pollution</w:t>
            </w:r>
          </w:p>
        </w:tc>
        <w:tc>
          <w:tcPr>
            <w:tcW w:w="952" w:type="pct"/>
            <w:tcMar>
              <w:top w:w="85" w:type="dxa"/>
              <w:left w:w="90" w:type="dxa"/>
              <w:bottom w:w="85" w:type="dxa"/>
              <w:right w:w="90" w:type="dxa"/>
            </w:tcMar>
            <w:vAlign w:val="center"/>
          </w:tcPr>
          <w:p w14:paraId="733B56A9" w14:textId="77777777" w:rsidR="0020504F" w:rsidRDefault="00000000">
            <w:pPr>
              <w:spacing w:after="0" w:line="240" w:lineRule="auto"/>
              <w:jc w:val="left"/>
            </w:pPr>
            <w:r>
              <w:rPr>
                <w:rFonts w:eastAsia="Times New Roman"/>
                <w:sz w:val="16"/>
              </w:rPr>
              <w:t>Inhalation, ingestion and dermal contact; cross-contamination of food and clothing</w:t>
            </w:r>
          </w:p>
        </w:tc>
        <w:tc>
          <w:tcPr>
            <w:tcW w:w="1483" w:type="pct"/>
            <w:tcMar>
              <w:top w:w="85" w:type="dxa"/>
              <w:left w:w="90" w:type="dxa"/>
              <w:bottom w:w="85" w:type="dxa"/>
              <w:right w:w="90" w:type="dxa"/>
            </w:tcMar>
            <w:vAlign w:val="center"/>
          </w:tcPr>
          <w:p w14:paraId="46787AAB" w14:textId="77777777" w:rsidR="0020504F" w:rsidRDefault="00000000">
            <w:pPr>
              <w:spacing w:after="0" w:line="240" w:lineRule="auto"/>
              <w:jc w:val="left"/>
            </w:pPr>
            <w:r>
              <w:rPr>
                <w:rFonts w:eastAsia="Times New Roman"/>
                <w:sz w:val="16"/>
              </w:rPr>
              <w:t>Workers can accumulate exposure without a single high-emission task. Clean eating areas, reliable washing facilities, task zoning and repeated exposure assessment are needed.</w:t>
            </w:r>
          </w:p>
        </w:tc>
        <w:tc>
          <w:tcPr>
            <w:tcW w:w="793" w:type="pct"/>
            <w:tcMar>
              <w:top w:w="85" w:type="dxa"/>
              <w:left w:w="90" w:type="dxa"/>
              <w:bottom w:w="85" w:type="dxa"/>
              <w:right w:w="90" w:type="dxa"/>
            </w:tcMar>
            <w:vAlign w:val="center"/>
          </w:tcPr>
          <w:p w14:paraId="1706D3E8" w14:textId="77777777" w:rsidR="0020504F" w:rsidRDefault="00000000">
            <w:pPr>
              <w:spacing w:after="0" w:line="240" w:lineRule="auto"/>
              <w:jc w:val="left"/>
            </w:pPr>
            <w:r>
              <w:rPr>
                <w:rFonts w:eastAsia="Times New Roman"/>
                <w:sz w:val="16"/>
              </w:rPr>
              <w:t>(Srigboh et al., 2016; Takyi et al., 2021)</w:t>
            </w:r>
          </w:p>
        </w:tc>
      </w:tr>
    </w:tbl>
    <w:p w14:paraId="12712770" w14:textId="77777777" w:rsidR="0020504F" w:rsidRDefault="00000000">
      <w:pPr>
        <w:keepLines/>
        <w:spacing w:before="60" w:after="140"/>
      </w:pPr>
      <w:r>
        <w:rPr>
          <w:rFonts w:eastAsia="Times New Roman"/>
          <w:i/>
          <w:sz w:val="17"/>
        </w:rPr>
        <w:t>Note. PM = particulate matter; PAH = polycyclic aromatic hydrocarbon; PCB = polychlorinated biphenyl.</w:t>
      </w:r>
    </w:p>
    <w:p w14:paraId="1A029CFA" w14:textId="77777777" w:rsidR="0020504F" w:rsidRDefault="00000000">
      <w:pPr>
        <w:pStyle w:val="Heading1"/>
      </w:pPr>
      <w:r>
        <w:t>4. Biomonitoring and Internal Dose</w:t>
      </w:r>
    </w:p>
    <w:p w14:paraId="714CD984" w14:textId="77777777" w:rsidR="0020504F" w:rsidRDefault="00000000">
      <w:pPr>
        <w:pStyle w:val="Heading2"/>
      </w:pPr>
      <w:r>
        <w:t>4.1 Metals and Technology-Related Elements</w:t>
      </w:r>
    </w:p>
    <w:p w14:paraId="2C418DB9" w14:textId="77777777" w:rsidR="0020504F" w:rsidRDefault="00000000">
      <w:pPr>
        <w:ind w:firstLine="259"/>
      </w:pPr>
      <w:r>
        <w:rPr>
          <w:rFonts w:eastAsia="Times New Roman"/>
        </w:rPr>
        <w:t>Worker biomonitoring provides some of the strongest evidence in this field because it confirms that hazardous substances cross the boundary between workplace and body. The earliest Ghanaian studies demonstrated elevated urinary trace elements and helped establish the feasibility of occupational biomonitoring at informal sites. Asante et al. (2012) found higher urinary iron, antimony and lead among e-waste workers than reference populations after accounting for age interactions, while also showing that total arsenic could be strongly influenced by dietary arsenic species. This distinction matters: a non-specific biomarker can overstate occupational exposure if it captures a substantial benign or non-work source.</w:t>
      </w:r>
    </w:p>
    <w:p w14:paraId="69E6B3EB" w14:textId="77777777" w:rsidR="0020504F" w:rsidRDefault="00000000">
      <w:pPr>
        <w:ind w:firstLine="259"/>
      </w:pPr>
      <w:r>
        <w:rPr>
          <w:rFonts w:eastAsia="Times New Roman"/>
        </w:rPr>
        <w:t>Srigboh et al. (2016) expanded the elemental panel in blood and urine and found elevated blood cadmium and lead and elevated urinary arsenic relative to external reference populations, with burners tending towards higher biomarker levels. The study also documented the high degree of task overlap, which made it difficult to assign individual metals to a single process. Amankwaa et al. (2017), in contrast, reported similar mean blood lead levels in e-waste and non-e-waste workers within the same enclave. The apparent contradiction is informative rather than problematic. The studies used different sampling frames, reference strategies and timing, and background contamination within the Agbogbloshie area can raise exposure among nominal controls. This suggests that an external population may maximise exposure contrast but differ socioeconomically, while a local comparison may better control social context but underestimate occupational excess.</w:t>
      </w:r>
    </w:p>
    <w:p w14:paraId="529123AC" w14:textId="77777777" w:rsidR="0020504F" w:rsidRDefault="00000000">
      <w:pPr>
        <w:ind w:firstLine="259"/>
      </w:pPr>
      <w:r>
        <w:rPr>
          <w:rFonts w:eastAsia="Times New Roman"/>
        </w:rPr>
        <w:t>Later Ghanaian studies strengthened the evidence for occupational metal exposure by using broader panels and more clearly defined control groups. Takyi et al. (2021) analysed blood and urine from 100 recyclers and 51 controls and reported higher mean blood lead, strontium and thallium and higher urinary concentrations of several elements among recyclers. Blood lead exceeded the study's cited reference level in a large proportion of recyclers, while some metals were also high in controls. The finding reinforces two conclusions: work contributes to exposure, and occupational risk sits within a polluted environmental background rather than replacing it.</w:t>
      </w:r>
    </w:p>
    <w:p w14:paraId="25126D81" w14:textId="77777777" w:rsidR="0020504F" w:rsidRDefault="00000000">
      <w:pPr>
        <w:ind w:firstLine="259"/>
      </w:pPr>
      <w:r>
        <w:rPr>
          <w:rFonts w:eastAsia="Times New Roman"/>
        </w:rPr>
        <w:t xml:space="preserve">Lead remains the most consistently investigated metal, but its measured burden varies across studies. Püschel et al. (2024) reported a high prevalence of blood lead concentrations classified as pathological in a large </w:t>
      </w:r>
      <w:r>
        <w:rPr>
          <w:rFonts w:eastAsia="Times New Roman"/>
        </w:rPr>
        <w:lastRenderedPageBreak/>
        <w:t>Agbogbloshie sample and described concomitant creatinine abnormalities. The sample size was a strength, but the absence of a clean contemporaneous control group and the interpretation of creatinine as a renal consequence limit causal attribution. The study is therefore important for surveillance and hazard recognition but should not be treated as a stand-alone estimate of e-waste-attributable renal disease. More recent Nigerian evidence also supports occupational lead and cadmium exposure: Akinosun et al. (2026) found higher blood concentrations of both metals among e-waste workers than non-e-waste workers, although the sample was modest and work included device repair as well as crude recycling.</w:t>
      </w:r>
    </w:p>
    <w:p w14:paraId="4EFFB68B" w14:textId="77777777" w:rsidR="0020504F" w:rsidRDefault="00000000">
      <w:pPr>
        <w:ind w:firstLine="259"/>
      </w:pPr>
      <w:r>
        <w:rPr>
          <w:rFonts w:eastAsia="Times New Roman"/>
        </w:rPr>
        <w:t>Cross-country work provides an additional corrective to the Ghana-heavy literature. Shkembi et al. (2021) combined biological lead measurements with video-derived task characteristics among recyclers in Thailand and Chile. The study identified work behaviours and tools that predicted urinary or blood lead levels, illustrating that task observation can improve exposure attribution beyond occupational title. Neitzel et al. (2020) found metal exposure and oxidative-stress patterns among Thai recyclers, with sex, smoking and long working hours contributing to variation. These results support a mixture of occupational and behavioural determinants rather than a simple exposed-versus-unexposed model.</w:t>
      </w:r>
    </w:p>
    <w:p w14:paraId="430AD3AE" w14:textId="77777777" w:rsidR="0020504F" w:rsidRDefault="00000000">
      <w:pPr>
        <w:pStyle w:val="Heading2"/>
      </w:pPr>
      <w:r>
        <w:t>4.2 Organic Contaminants and Combustion-Related Biomarkers</w:t>
      </w:r>
    </w:p>
    <w:p w14:paraId="1167843E" w14:textId="77777777" w:rsidR="0020504F" w:rsidRDefault="00000000">
      <w:pPr>
        <w:ind w:firstLine="259"/>
      </w:pPr>
      <w:r>
        <w:rPr>
          <w:rFonts w:eastAsia="Times New Roman"/>
        </w:rPr>
        <w:t>Metals are only one component of internal dose. Feldt et al. (2014) measured urinary hydroxylated PAH metabolites in workers at Agbogbloshie and found significantly higher concentrations of several metabolites than in controls after accounting for tobacco-related covariates. Because PAHs have multiple urban sources, the study's use of a comparison population and smoking adjustment was important, although a single urine sample still reflects a relatively short exposure window. The later personal-air study by Kwarteng et al. (2022) provided complementary external exposure evidence by detecting multiple PAHs in breathing-zone PM and showing task differences. Together, these studies offer stronger pathway coherence than either biomonitoring or air monitoring alone.</w:t>
      </w:r>
    </w:p>
    <w:p w14:paraId="4B4903AF" w14:textId="77777777" w:rsidR="0020504F" w:rsidRDefault="00000000">
      <w:pPr>
        <w:ind w:firstLine="259"/>
      </w:pPr>
      <w:r>
        <w:rPr>
          <w:rFonts w:eastAsia="Times New Roman"/>
        </w:rPr>
        <w:t>Persistent organic pollutants present a different temporal problem because body burdens can reflect cumulative exposure, past residence and diet as well as current work. Kaifie et al. (2020) found higher plasma concentrations of lower-chlorinated non-dioxin-like PCB congeners among e-waste workers than controls, with dismantlers and burners showing the highest levels for selected congeners. Lower-chlorinated congeners can be informative for occupational sources, yet the cross-sectional design cannot fully reconstruct historical exposure. Zheng et al. (2017), studying workers exposed to organohalogen compounds, reported associations between selected polybrominated diphenyl ethers (PBDEs), PCBs and thyroid-related gene expression, with less consistent associations for circulating thyroid hormones. This difference is critical: a molecular response may be more sensitive than a clinical endocrine endpoint, but sensitivity does not make it equivalent to disease.</w:t>
      </w:r>
    </w:p>
    <w:p w14:paraId="4B1F1D27" w14:textId="77777777" w:rsidR="0020504F" w:rsidRDefault="00000000">
      <w:pPr>
        <w:ind w:firstLine="259"/>
      </w:pPr>
      <w:r>
        <w:rPr>
          <w:rFonts w:eastAsia="Times New Roman"/>
        </w:rPr>
        <w:t>The exposure literature also illustrates the danger of relying on a single biological matrix. Blood is useful for some metals and persistent chemicals, urine for recent excretion of metals or PAH metabolites, and hair may reflect longer-term incorporation but is vulnerable to external contamination. Singhal et al. (2021) used hair lead as an exploratory measure among Delhi recyclers while primarily assessing knowledge and practices. Such data can indicate a need for improved exposure assessment but should not be interpreted as directly comparable with venous blood lead. Biomarker choice needs to match toxicokinetics, exposure timing and the causal question.</w:t>
      </w:r>
    </w:p>
    <w:p w14:paraId="03AE2D13" w14:textId="77777777" w:rsidR="0020504F" w:rsidRDefault="00000000">
      <w:pPr>
        <w:pStyle w:val="Heading2"/>
      </w:pPr>
      <w:r>
        <w:t>4.3 Interpreting Biomarker Heterogeneity</w:t>
      </w:r>
    </w:p>
    <w:p w14:paraId="4C03E574" w14:textId="77777777" w:rsidR="0020504F" w:rsidRDefault="00000000">
      <w:pPr>
        <w:ind w:firstLine="259"/>
      </w:pPr>
      <w:r>
        <w:rPr>
          <w:rFonts w:eastAsia="Times New Roman"/>
        </w:rPr>
        <w:t>Heterogeneity in biomonitoring results should not be reduced to a binary question of whether informal recycling "causes high metals". Differences can arise from device mix, combustion frequency, ventilation, task rotation, use of tools, time since last shift, nutrition, smoking, seafood intake, local soil contamination and laboratory matrix. They can also arise from policy change. Sites may relocate, burning practices may change, and formal or donor-supported programmes may alter available equipment. Cross-sectional biomonitoring is therefore a snapshot of a moving system.</w:t>
      </w:r>
    </w:p>
    <w:p w14:paraId="4C866BC8" w14:textId="77777777" w:rsidR="0020504F" w:rsidRDefault="00000000">
      <w:pPr>
        <w:ind w:firstLine="259"/>
      </w:pPr>
      <w:r>
        <w:rPr>
          <w:rFonts w:eastAsia="Times New Roman"/>
        </w:rPr>
        <w:lastRenderedPageBreak/>
        <w:t>The most persuasive exposure evidence comes from triangulation. When personal air measurements identify elevated task-related PM or PAHs, biological samples demonstrate related internal dose, and the pattern is stronger in high-emission tasks, confidence in occupational attribution rises. When only a biomarker differs, alternative sources remain more plausible. Conversely, when environmental levels are high but biomarkers are not, this may reflect protective behaviour, toxicokinetics, timing or a poorly chosen matrix rather than absence of exposure. These distinctions are essential before linking biomarkers to clinical outcomes.</w:t>
      </w:r>
    </w:p>
    <w:p w14:paraId="5BE1ACEC" w14:textId="77777777" w:rsidR="0020504F" w:rsidRDefault="00000000">
      <w:pPr>
        <w:ind w:firstLine="259"/>
      </w:pPr>
      <w:r>
        <w:rPr>
          <w:rFonts w:eastAsia="Times New Roman"/>
        </w:rPr>
        <w:t>Table 2 presents representative worker exposure studies to show how the evidence has evolved from single-time-point elemental screening towards broader panels, task observation and personal exposure monitoring. The studies are not exhaustive; they were selected because they illustrate both strong findings and interpretive limitations that recur across the literature.</w:t>
      </w:r>
    </w:p>
    <w:p w14:paraId="7BB3CEB2" w14:textId="77777777" w:rsidR="0020504F" w:rsidRDefault="00000000">
      <w:pPr>
        <w:keepNext/>
        <w:spacing w:before="120" w:after="80"/>
      </w:pPr>
      <w:r>
        <w:rPr>
          <w:rFonts w:eastAsia="Times New Roman"/>
          <w:b/>
          <w:sz w:val="20"/>
        </w:rPr>
        <w:t>Table 2. Representative biomonitoring evidence in informal or small-scale e-waste workers</w:t>
      </w:r>
    </w:p>
    <w:tbl>
      <w:tblPr>
        <w:tblStyle w:val="TableGrid"/>
        <w:tblW w:w="5000" w:type="pct"/>
        <w:jc w:val="center"/>
        <w:tblLook w:val="04A0" w:firstRow="1" w:lastRow="0" w:firstColumn="1" w:lastColumn="0" w:noHBand="0" w:noVBand="1"/>
      </w:tblPr>
      <w:tblGrid>
        <w:gridCol w:w="1827"/>
        <w:gridCol w:w="2177"/>
        <w:gridCol w:w="2809"/>
        <w:gridCol w:w="2177"/>
        <w:gridCol w:w="1194"/>
      </w:tblGrid>
      <w:tr w:rsidR="0020504F" w14:paraId="3CFDB984" w14:textId="77777777" w:rsidTr="0058340A">
        <w:trPr>
          <w:cantSplit/>
          <w:tblHeader/>
          <w:jc w:val="center"/>
        </w:trPr>
        <w:tc>
          <w:tcPr>
            <w:tcW w:w="897" w:type="pct"/>
            <w:shd w:val="clear" w:color="auto" w:fill="1F4E79"/>
            <w:tcMar>
              <w:top w:w="95" w:type="dxa"/>
              <w:left w:w="95" w:type="dxa"/>
              <w:bottom w:w="95" w:type="dxa"/>
              <w:right w:w="95" w:type="dxa"/>
            </w:tcMar>
            <w:vAlign w:val="center"/>
          </w:tcPr>
          <w:p w14:paraId="3C0D7142" w14:textId="77777777" w:rsidR="0020504F" w:rsidRDefault="00000000">
            <w:pPr>
              <w:spacing w:after="0" w:line="240" w:lineRule="auto"/>
              <w:jc w:val="center"/>
            </w:pPr>
            <w:r>
              <w:rPr>
                <w:rFonts w:eastAsia="Times New Roman"/>
                <w:b/>
                <w:color w:val="FFFFFF"/>
                <w:sz w:val="16"/>
              </w:rPr>
              <w:t>Study setting</w:t>
            </w:r>
          </w:p>
        </w:tc>
        <w:tc>
          <w:tcPr>
            <w:tcW w:w="1069" w:type="pct"/>
            <w:shd w:val="clear" w:color="auto" w:fill="1F4E79"/>
            <w:tcMar>
              <w:top w:w="95" w:type="dxa"/>
              <w:left w:w="95" w:type="dxa"/>
              <w:bottom w:w="95" w:type="dxa"/>
              <w:right w:w="95" w:type="dxa"/>
            </w:tcMar>
            <w:vAlign w:val="center"/>
          </w:tcPr>
          <w:p w14:paraId="6ABECEB6" w14:textId="77777777" w:rsidR="0020504F" w:rsidRDefault="00000000">
            <w:pPr>
              <w:spacing w:after="0" w:line="240" w:lineRule="auto"/>
              <w:jc w:val="center"/>
            </w:pPr>
            <w:r>
              <w:rPr>
                <w:rFonts w:eastAsia="Times New Roman"/>
                <w:b/>
                <w:color w:val="FFFFFF"/>
                <w:sz w:val="16"/>
              </w:rPr>
              <w:t>Exposure or biomarker approach</w:t>
            </w:r>
          </w:p>
        </w:tc>
        <w:tc>
          <w:tcPr>
            <w:tcW w:w="1379" w:type="pct"/>
            <w:shd w:val="clear" w:color="auto" w:fill="1F4E79"/>
            <w:tcMar>
              <w:top w:w="95" w:type="dxa"/>
              <w:left w:w="95" w:type="dxa"/>
              <w:bottom w:w="95" w:type="dxa"/>
              <w:right w:w="95" w:type="dxa"/>
            </w:tcMar>
            <w:vAlign w:val="center"/>
          </w:tcPr>
          <w:p w14:paraId="350CFEE0" w14:textId="77777777" w:rsidR="0020504F" w:rsidRDefault="00000000">
            <w:pPr>
              <w:spacing w:after="0" w:line="240" w:lineRule="auto"/>
              <w:jc w:val="center"/>
            </w:pPr>
            <w:r>
              <w:rPr>
                <w:rFonts w:eastAsia="Times New Roman"/>
                <w:b/>
                <w:color w:val="FFFFFF"/>
                <w:sz w:val="16"/>
              </w:rPr>
              <w:t>Key finding for synthesis</w:t>
            </w:r>
          </w:p>
        </w:tc>
        <w:tc>
          <w:tcPr>
            <w:tcW w:w="1069" w:type="pct"/>
            <w:shd w:val="clear" w:color="auto" w:fill="1F4E79"/>
            <w:tcMar>
              <w:top w:w="95" w:type="dxa"/>
              <w:left w:w="95" w:type="dxa"/>
              <w:bottom w:w="95" w:type="dxa"/>
              <w:right w:w="95" w:type="dxa"/>
            </w:tcMar>
            <w:vAlign w:val="center"/>
          </w:tcPr>
          <w:p w14:paraId="4E9A9A49" w14:textId="77777777" w:rsidR="0020504F" w:rsidRDefault="00000000">
            <w:pPr>
              <w:spacing w:after="0" w:line="240" w:lineRule="auto"/>
              <w:jc w:val="center"/>
            </w:pPr>
            <w:r>
              <w:rPr>
                <w:rFonts w:eastAsia="Times New Roman"/>
                <w:b/>
                <w:color w:val="FFFFFF"/>
                <w:sz w:val="16"/>
              </w:rPr>
              <w:t>Main interpretive limitation</w:t>
            </w:r>
          </w:p>
        </w:tc>
        <w:tc>
          <w:tcPr>
            <w:tcW w:w="586" w:type="pct"/>
            <w:shd w:val="clear" w:color="auto" w:fill="1F4E79"/>
            <w:tcMar>
              <w:top w:w="95" w:type="dxa"/>
              <w:left w:w="95" w:type="dxa"/>
              <w:bottom w:w="95" w:type="dxa"/>
              <w:right w:w="95" w:type="dxa"/>
            </w:tcMar>
            <w:vAlign w:val="center"/>
          </w:tcPr>
          <w:p w14:paraId="1C1DC43B" w14:textId="77777777" w:rsidR="0020504F" w:rsidRDefault="00000000">
            <w:pPr>
              <w:spacing w:after="0" w:line="240" w:lineRule="auto"/>
              <w:jc w:val="center"/>
            </w:pPr>
            <w:r>
              <w:rPr>
                <w:rFonts w:eastAsia="Times New Roman"/>
                <w:b/>
                <w:color w:val="FFFFFF"/>
                <w:sz w:val="16"/>
              </w:rPr>
              <w:t>Supporting references</w:t>
            </w:r>
          </w:p>
        </w:tc>
      </w:tr>
      <w:tr w:rsidR="0020504F" w14:paraId="0C3B4216" w14:textId="77777777" w:rsidTr="0058340A">
        <w:trPr>
          <w:cantSplit/>
          <w:jc w:val="center"/>
        </w:trPr>
        <w:tc>
          <w:tcPr>
            <w:tcW w:w="897" w:type="pct"/>
            <w:shd w:val="clear" w:color="auto" w:fill="EAF2F8"/>
            <w:tcMar>
              <w:top w:w="85" w:type="dxa"/>
              <w:left w:w="90" w:type="dxa"/>
              <w:bottom w:w="85" w:type="dxa"/>
              <w:right w:w="90" w:type="dxa"/>
            </w:tcMar>
            <w:vAlign w:val="center"/>
          </w:tcPr>
          <w:p w14:paraId="6CC2CBA0"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080AAEB1" w14:textId="77777777" w:rsidR="0020504F" w:rsidRDefault="00000000">
            <w:pPr>
              <w:spacing w:after="0" w:line="240" w:lineRule="auto"/>
              <w:jc w:val="left"/>
            </w:pPr>
            <w:r>
              <w:rPr>
                <w:rFonts w:eastAsia="Times New Roman"/>
                <w:sz w:val="16"/>
              </w:rPr>
              <w:t>Urinary multi-element analysis with arsenic speciation</w:t>
            </w:r>
          </w:p>
        </w:tc>
        <w:tc>
          <w:tcPr>
            <w:tcW w:w="1379" w:type="pct"/>
            <w:tcMar>
              <w:top w:w="85" w:type="dxa"/>
              <w:left w:w="90" w:type="dxa"/>
              <w:bottom w:w="85" w:type="dxa"/>
              <w:right w:w="90" w:type="dxa"/>
            </w:tcMar>
            <w:vAlign w:val="center"/>
          </w:tcPr>
          <w:p w14:paraId="1CDC6FA1" w14:textId="77777777" w:rsidR="0020504F" w:rsidRDefault="00000000">
            <w:pPr>
              <w:spacing w:after="0" w:line="240" w:lineRule="auto"/>
              <w:jc w:val="left"/>
            </w:pPr>
            <w:r>
              <w:rPr>
                <w:rFonts w:eastAsia="Times New Roman"/>
                <w:sz w:val="16"/>
              </w:rPr>
              <w:t>Workers showed higher urinary concentrations of several trace elements, while arsenic interpretation depended strongly on chemical species and non-occupational sources.</w:t>
            </w:r>
          </w:p>
        </w:tc>
        <w:tc>
          <w:tcPr>
            <w:tcW w:w="1069" w:type="pct"/>
            <w:tcMar>
              <w:top w:w="85" w:type="dxa"/>
              <w:left w:w="90" w:type="dxa"/>
              <w:bottom w:w="85" w:type="dxa"/>
              <w:right w:w="90" w:type="dxa"/>
            </w:tcMar>
            <w:vAlign w:val="center"/>
          </w:tcPr>
          <w:p w14:paraId="4FB33739" w14:textId="77777777" w:rsidR="0020504F" w:rsidRDefault="00000000">
            <w:pPr>
              <w:spacing w:after="0" w:line="240" w:lineRule="auto"/>
              <w:jc w:val="left"/>
            </w:pPr>
            <w:r>
              <w:rPr>
                <w:rFonts w:eastAsia="Times New Roman"/>
                <w:sz w:val="16"/>
              </w:rPr>
              <w:t>Cross-sectional sampling; total arsenic is vulnerable to dietary confounding.</w:t>
            </w:r>
          </w:p>
        </w:tc>
        <w:tc>
          <w:tcPr>
            <w:tcW w:w="586" w:type="pct"/>
            <w:tcMar>
              <w:top w:w="85" w:type="dxa"/>
              <w:left w:w="90" w:type="dxa"/>
              <w:bottom w:w="85" w:type="dxa"/>
              <w:right w:w="90" w:type="dxa"/>
            </w:tcMar>
            <w:vAlign w:val="center"/>
          </w:tcPr>
          <w:p w14:paraId="295A6757" w14:textId="77777777" w:rsidR="0020504F" w:rsidRDefault="00000000">
            <w:pPr>
              <w:spacing w:after="0" w:line="240" w:lineRule="auto"/>
              <w:jc w:val="left"/>
            </w:pPr>
            <w:r>
              <w:rPr>
                <w:rFonts w:eastAsia="Times New Roman"/>
                <w:sz w:val="16"/>
              </w:rPr>
              <w:t>(Asante et al., 2012)</w:t>
            </w:r>
          </w:p>
        </w:tc>
      </w:tr>
      <w:tr w:rsidR="0020504F" w14:paraId="523477F8" w14:textId="77777777" w:rsidTr="0058340A">
        <w:trPr>
          <w:cantSplit/>
          <w:jc w:val="center"/>
        </w:trPr>
        <w:tc>
          <w:tcPr>
            <w:tcW w:w="897" w:type="pct"/>
            <w:tcMar>
              <w:top w:w="85" w:type="dxa"/>
              <w:left w:w="90" w:type="dxa"/>
              <w:bottom w:w="85" w:type="dxa"/>
              <w:right w:w="90" w:type="dxa"/>
            </w:tcMar>
            <w:vAlign w:val="center"/>
          </w:tcPr>
          <w:p w14:paraId="5862F26C"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66FB0E6C" w14:textId="77777777" w:rsidR="0020504F" w:rsidRDefault="00000000">
            <w:pPr>
              <w:spacing w:after="0" w:line="240" w:lineRule="auto"/>
              <w:jc w:val="left"/>
            </w:pPr>
            <w:r>
              <w:rPr>
                <w:rFonts w:eastAsia="Times New Roman"/>
                <w:sz w:val="16"/>
              </w:rPr>
              <w:t>Blood and urine multi-element biomonitoring linked to work characteristics</w:t>
            </w:r>
          </w:p>
        </w:tc>
        <w:tc>
          <w:tcPr>
            <w:tcW w:w="1379" w:type="pct"/>
            <w:tcMar>
              <w:top w:w="85" w:type="dxa"/>
              <w:left w:w="90" w:type="dxa"/>
              <w:bottom w:w="85" w:type="dxa"/>
              <w:right w:w="90" w:type="dxa"/>
            </w:tcMar>
            <w:vAlign w:val="center"/>
          </w:tcPr>
          <w:p w14:paraId="4865225F" w14:textId="77777777" w:rsidR="0020504F" w:rsidRDefault="00000000">
            <w:pPr>
              <w:spacing w:after="0" w:line="240" w:lineRule="auto"/>
              <w:jc w:val="left"/>
            </w:pPr>
            <w:r>
              <w:rPr>
                <w:rFonts w:eastAsia="Times New Roman"/>
                <w:sz w:val="16"/>
              </w:rPr>
              <w:t>Elemental burdens confirmed multi-metal exposure and indicated higher values for some high-emission tasks, but workers commonly performed several jobs.</w:t>
            </w:r>
          </w:p>
        </w:tc>
        <w:tc>
          <w:tcPr>
            <w:tcW w:w="1069" w:type="pct"/>
            <w:tcMar>
              <w:top w:w="85" w:type="dxa"/>
              <w:left w:w="90" w:type="dxa"/>
              <w:bottom w:w="85" w:type="dxa"/>
              <w:right w:w="90" w:type="dxa"/>
            </w:tcMar>
            <w:vAlign w:val="center"/>
          </w:tcPr>
          <w:p w14:paraId="6AE467E2" w14:textId="77777777" w:rsidR="0020504F" w:rsidRDefault="00000000">
            <w:pPr>
              <w:spacing w:after="0" w:line="240" w:lineRule="auto"/>
              <w:jc w:val="left"/>
            </w:pPr>
            <w:r>
              <w:rPr>
                <w:rFonts w:eastAsia="Times New Roman"/>
                <w:sz w:val="16"/>
              </w:rPr>
              <w:t>Small and heterogeneous task groups; external reference populations may differ from workers in other respects.</w:t>
            </w:r>
          </w:p>
        </w:tc>
        <w:tc>
          <w:tcPr>
            <w:tcW w:w="586" w:type="pct"/>
            <w:tcMar>
              <w:top w:w="85" w:type="dxa"/>
              <w:left w:w="90" w:type="dxa"/>
              <w:bottom w:w="85" w:type="dxa"/>
              <w:right w:w="90" w:type="dxa"/>
            </w:tcMar>
            <w:vAlign w:val="center"/>
          </w:tcPr>
          <w:p w14:paraId="57722CFB" w14:textId="77777777" w:rsidR="0020504F" w:rsidRDefault="00000000">
            <w:pPr>
              <w:spacing w:after="0" w:line="240" w:lineRule="auto"/>
              <w:jc w:val="left"/>
            </w:pPr>
            <w:r>
              <w:rPr>
                <w:rFonts w:eastAsia="Times New Roman"/>
                <w:sz w:val="16"/>
              </w:rPr>
              <w:t>(Srigboh et al., 2016)</w:t>
            </w:r>
          </w:p>
        </w:tc>
      </w:tr>
      <w:tr w:rsidR="0020504F" w14:paraId="726B81CE" w14:textId="77777777" w:rsidTr="0058340A">
        <w:trPr>
          <w:cantSplit/>
          <w:jc w:val="center"/>
        </w:trPr>
        <w:tc>
          <w:tcPr>
            <w:tcW w:w="897" w:type="pct"/>
            <w:shd w:val="clear" w:color="auto" w:fill="EAF2F8"/>
            <w:tcMar>
              <w:top w:w="85" w:type="dxa"/>
              <w:left w:w="90" w:type="dxa"/>
              <w:bottom w:w="85" w:type="dxa"/>
              <w:right w:w="90" w:type="dxa"/>
            </w:tcMar>
            <w:vAlign w:val="center"/>
          </w:tcPr>
          <w:p w14:paraId="41EB3651"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778F975E" w14:textId="77777777" w:rsidR="0020504F" w:rsidRDefault="00000000">
            <w:pPr>
              <w:spacing w:after="0" w:line="240" w:lineRule="auto"/>
              <w:jc w:val="left"/>
            </w:pPr>
            <w:r>
              <w:rPr>
                <w:rFonts w:eastAsia="Times New Roman"/>
                <w:sz w:val="16"/>
              </w:rPr>
              <w:t>Blood lead comparison between e-waste and nearby non-e-waste workers</w:t>
            </w:r>
          </w:p>
        </w:tc>
        <w:tc>
          <w:tcPr>
            <w:tcW w:w="1379" w:type="pct"/>
            <w:tcMar>
              <w:top w:w="85" w:type="dxa"/>
              <w:left w:w="90" w:type="dxa"/>
              <w:bottom w:w="85" w:type="dxa"/>
              <w:right w:w="90" w:type="dxa"/>
            </w:tcMar>
            <w:vAlign w:val="center"/>
          </w:tcPr>
          <w:p w14:paraId="5AAED819" w14:textId="77777777" w:rsidR="0020504F" w:rsidRDefault="00000000">
            <w:pPr>
              <w:spacing w:after="0" w:line="240" w:lineRule="auto"/>
              <w:jc w:val="left"/>
            </w:pPr>
            <w:r>
              <w:rPr>
                <w:rFonts w:eastAsia="Times New Roman"/>
                <w:sz w:val="16"/>
              </w:rPr>
              <w:t>Mean blood lead differed little between groups, while the worker distribution was wider and burners tended to have higher levels, illustrating comparator contamination.</w:t>
            </w:r>
          </w:p>
        </w:tc>
        <w:tc>
          <w:tcPr>
            <w:tcW w:w="1069" w:type="pct"/>
            <w:tcMar>
              <w:top w:w="85" w:type="dxa"/>
              <w:left w:w="90" w:type="dxa"/>
              <w:bottom w:w="85" w:type="dxa"/>
              <w:right w:w="90" w:type="dxa"/>
            </w:tcMar>
            <w:vAlign w:val="center"/>
          </w:tcPr>
          <w:p w14:paraId="00A5271B" w14:textId="77777777" w:rsidR="0020504F" w:rsidRDefault="00000000">
            <w:pPr>
              <w:spacing w:after="0" w:line="240" w:lineRule="auto"/>
              <w:jc w:val="left"/>
            </w:pPr>
            <w:r>
              <w:rPr>
                <w:rFonts w:eastAsia="Times New Roman"/>
                <w:sz w:val="16"/>
              </w:rPr>
              <w:t>Nearby comparison workers shared the contaminated enclave, reducing exposure contrast.</w:t>
            </w:r>
          </w:p>
        </w:tc>
        <w:tc>
          <w:tcPr>
            <w:tcW w:w="586" w:type="pct"/>
            <w:tcMar>
              <w:top w:w="85" w:type="dxa"/>
              <w:left w:w="90" w:type="dxa"/>
              <w:bottom w:w="85" w:type="dxa"/>
              <w:right w:w="90" w:type="dxa"/>
            </w:tcMar>
            <w:vAlign w:val="center"/>
          </w:tcPr>
          <w:p w14:paraId="5AD9D920" w14:textId="77777777" w:rsidR="0020504F" w:rsidRDefault="00000000">
            <w:pPr>
              <w:spacing w:after="0" w:line="240" w:lineRule="auto"/>
              <w:jc w:val="left"/>
            </w:pPr>
            <w:r>
              <w:rPr>
                <w:rFonts w:eastAsia="Times New Roman"/>
                <w:sz w:val="16"/>
              </w:rPr>
              <w:t>(Amankwaa et al., 2017)</w:t>
            </w:r>
          </w:p>
        </w:tc>
      </w:tr>
      <w:tr w:rsidR="0020504F" w14:paraId="09561136" w14:textId="77777777" w:rsidTr="0058340A">
        <w:trPr>
          <w:cantSplit/>
          <w:jc w:val="center"/>
        </w:trPr>
        <w:tc>
          <w:tcPr>
            <w:tcW w:w="897" w:type="pct"/>
            <w:tcMar>
              <w:top w:w="85" w:type="dxa"/>
              <w:left w:w="90" w:type="dxa"/>
              <w:bottom w:w="85" w:type="dxa"/>
              <w:right w:w="90" w:type="dxa"/>
            </w:tcMar>
            <w:vAlign w:val="center"/>
          </w:tcPr>
          <w:p w14:paraId="215FB7B2"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7016E4E1" w14:textId="77777777" w:rsidR="0020504F" w:rsidRDefault="00000000">
            <w:pPr>
              <w:spacing w:after="0" w:line="240" w:lineRule="auto"/>
              <w:jc w:val="left"/>
            </w:pPr>
            <w:r>
              <w:rPr>
                <w:rFonts w:eastAsia="Times New Roman"/>
                <w:sz w:val="16"/>
              </w:rPr>
              <w:t>Species-specific urinary inorganic arsenic</w:t>
            </w:r>
          </w:p>
        </w:tc>
        <w:tc>
          <w:tcPr>
            <w:tcW w:w="1379" w:type="pct"/>
            <w:tcMar>
              <w:top w:w="85" w:type="dxa"/>
              <w:left w:w="90" w:type="dxa"/>
              <w:bottom w:w="85" w:type="dxa"/>
              <w:right w:w="90" w:type="dxa"/>
            </w:tcMar>
            <w:vAlign w:val="center"/>
          </w:tcPr>
          <w:p w14:paraId="395774F0" w14:textId="77777777" w:rsidR="0020504F" w:rsidRDefault="00000000">
            <w:pPr>
              <w:spacing w:after="0" w:line="240" w:lineRule="auto"/>
              <w:jc w:val="left"/>
            </w:pPr>
            <w:r>
              <w:rPr>
                <w:rFonts w:eastAsia="Times New Roman"/>
                <w:sz w:val="16"/>
              </w:rPr>
              <w:t>Species-specific analysis strengthened evidence that e-waste work contributes to inorganic arsenic exposure beyond non-specific total arsenic measurements.</w:t>
            </w:r>
          </w:p>
        </w:tc>
        <w:tc>
          <w:tcPr>
            <w:tcW w:w="1069" w:type="pct"/>
            <w:tcMar>
              <w:top w:w="85" w:type="dxa"/>
              <w:left w:w="90" w:type="dxa"/>
              <w:bottom w:w="85" w:type="dxa"/>
              <w:right w:w="90" w:type="dxa"/>
            </w:tcMar>
            <w:vAlign w:val="center"/>
          </w:tcPr>
          <w:p w14:paraId="6B2DF5EC" w14:textId="77777777" w:rsidR="0020504F" w:rsidRDefault="00000000">
            <w:pPr>
              <w:spacing w:after="0" w:line="240" w:lineRule="auto"/>
              <w:jc w:val="left"/>
            </w:pPr>
            <w:r>
              <w:rPr>
                <w:rFonts w:eastAsia="Times New Roman"/>
                <w:sz w:val="16"/>
              </w:rPr>
              <w:t>Cross-sectional design cannot reconstruct lifetime dose or all dietary and environmental sources.</w:t>
            </w:r>
          </w:p>
        </w:tc>
        <w:tc>
          <w:tcPr>
            <w:tcW w:w="586" w:type="pct"/>
            <w:tcMar>
              <w:top w:w="85" w:type="dxa"/>
              <w:left w:w="90" w:type="dxa"/>
              <w:bottom w:w="85" w:type="dxa"/>
              <w:right w:w="90" w:type="dxa"/>
            </w:tcMar>
            <w:vAlign w:val="center"/>
          </w:tcPr>
          <w:p w14:paraId="5D405DA9" w14:textId="77777777" w:rsidR="0020504F" w:rsidRDefault="00000000">
            <w:pPr>
              <w:spacing w:after="0" w:line="240" w:lineRule="auto"/>
              <w:jc w:val="left"/>
            </w:pPr>
            <w:r>
              <w:rPr>
                <w:rFonts w:eastAsia="Times New Roman"/>
                <w:sz w:val="16"/>
              </w:rPr>
              <w:t>(Yang et al., 2020)</w:t>
            </w:r>
          </w:p>
        </w:tc>
      </w:tr>
      <w:tr w:rsidR="0020504F" w14:paraId="3FA30BB6" w14:textId="77777777" w:rsidTr="0058340A">
        <w:trPr>
          <w:cantSplit/>
          <w:jc w:val="center"/>
        </w:trPr>
        <w:tc>
          <w:tcPr>
            <w:tcW w:w="897" w:type="pct"/>
            <w:shd w:val="clear" w:color="auto" w:fill="EAF2F8"/>
            <w:tcMar>
              <w:top w:w="85" w:type="dxa"/>
              <w:left w:w="90" w:type="dxa"/>
              <w:bottom w:w="85" w:type="dxa"/>
              <w:right w:w="90" w:type="dxa"/>
            </w:tcMar>
            <w:vAlign w:val="center"/>
          </w:tcPr>
          <w:p w14:paraId="45DEFEE9"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16E616A0" w14:textId="77777777" w:rsidR="0020504F" w:rsidRDefault="00000000">
            <w:pPr>
              <w:spacing w:after="0" w:line="240" w:lineRule="auto"/>
              <w:jc w:val="left"/>
            </w:pPr>
            <w:r>
              <w:rPr>
                <w:rFonts w:eastAsia="Times New Roman"/>
                <w:sz w:val="16"/>
              </w:rPr>
              <w:t>Plasma non-dioxin-like PCB congeners</w:t>
            </w:r>
          </w:p>
        </w:tc>
        <w:tc>
          <w:tcPr>
            <w:tcW w:w="1379" w:type="pct"/>
            <w:tcMar>
              <w:top w:w="85" w:type="dxa"/>
              <w:left w:w="90" w:type="dxa"/>
              <w:bottom w:w="85" w:type="dxa"/>
              <w:right w:w="90" w:type="dxa"/>
            </w:tcMar>
            <w:vAlign w:val="center"/>
          </w:tcPr>
          <w:p w14:paraId="13FEB3C5" w14:textId="77777777" w:rsidR="0020504F" w:rsidRDefault="00000000">
            <w:pPr>
              <w:spacing w:after="0" w:line="240" w:lineRule="auto"/>
              <w:jc w:val="left"/>
            </w:pPr>
            <w:r>
              <w:rPr>
                <w:rFonts w:eastAsia="Times New Roman"/>
                <w:sz w:val="16"/>
              </w:rPr>
              <w:t>Lower-chlorinated PCB congeners were higher in workers, with dismantlers and burners showing the greatest burdens for selected congeners.</w:t>
            </w:r>
          </w:p>
        </w:tc>
        <w:tc>
          <w:tcPr>
            <w:tcW w:w="1069" w:type="pct"/>
            <w:tcMar>
              <w:top w:w="85" w:type="dxa"/>
              <w:left w:w="90" w:type="dxa"/>
              <w:bottom w:w="85" w:type="dxa"/>
              <w:right w:w="90" w:type="dxa"/>
            </w:tcMar>
            <w:vAlign w:val="center"/>
          </w:tcPr>
          <w:p w14:paraId="2D435686" w14:textId="77777777" w:rsidR="0020504F" w:rsidRDefault="00000000">
            <w:pPr>
              <w:spacing w:after="0" w:line="240" w:lineRule="auto"/>
              <w:jc w:val="left"/>
            </w:pPr>
            <w:r>
              <w:rPr>
                <w:rFonts w:eastAsia="Times New Roman"/>
                <w:sz w:val="16"/>
              </w:rPr>
              <w:t>Persistent body burdens can reflect prior exposure, residence and diet as well as current work.</w:t>
            </w:r>
          </w:p>
        </w:tc>
        <w:tc>
          <w:tcPr>
            <w:tcW w:w="586" w:type="pct"/>
            <w:tcMar>
              <w:top w:w="85" w:type="dxa"/>
              <w:left w:w="90" w:type="dxa"/>
              <w:bottom w:w="85" w:type="dxa"/>
              <w:right w:w="90" w:type="dxa"/>
            </w:tcMar>
            <w:vAlign w:val="center"/>
          </w:tcPr>
          <w:p w14:paraId="0B5B10E0" w14:textId="77777777" w:rsidR="0020504F" w:rsidRDefault="00000000">
            <w:pPr>
              <w:spacing w:after="0" w:line="240" w:lineRule="auto"/>
              <w:jc w:val="left"/>
            </w:pPr>
            <w:r>
              <w:rPr>
                <w:rFonts w:eastAsia="Times New Roman"/>
                <w:sz w:val="16"/>
              </w:rPr>
              <w:t>(Kaifie et al., 2020)</w:t>
            </w:r>
          </w:p>
        </w:tc>
      </w:tr>
      <w:tr w:rsidR="0020504F" w14:paraId="3AA258C9" w14:textId="77777777" w:rsidTr="0058340A">
        <w:trPr>
          <w:cantSplit/>
          <w:jc w:val="center"/>
        </w:trPr>
        <w:tc>
          <w:tcPr>
            <w:tcW w:w="897" w:type="pct"/>
            <w:tcMar>
              <w:top w:w="85" w:type="dxa"/>
              <w:left w:w="90" w:type="dxa"/>
              <w:bottom w:w="85" w:type="dxa"/>
              <w:right w:w="90" w:type="dxa"/>
            </w:tcMar>
            <w:vAlign w:val="center"/>
          </w:tcPr>
          <w:p w14:paraId="6D0510A4"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765C6760" w14:textId="77777777" w:rsidR="0020504F" w:rsidRDefault="00000000">
            <w:pPr>
              <w:spacing w:after="0" w:line="240" w:lineRule="auto"/>
              <w:jc w:val="left"/>
            </w:pPr>
            <w:r>
              <w:rPr>
                <w:rFonts w:eastAsia="Times New Roman"/>
                <w:sz w:val="16"/>
              </w:rPr>
              <w:t>Broad blood and urine elemental panel including technology-critical elements</w:t>
            </w:r>
          </w:p>
        </w:tc>
        <w:tc>
          <w:tcPr>
            <w:tcW w:w="1379" w:type="pct"/>
            <w:tcMar>
              <w:top w:w="85" w:type="dxa"/>
              <w:left w:w="90" w:type="dxa"/>
              <w:bottom w:w="85" w:type="dxa"/>
              <w:right w:w="90" w:type="dxa"/>
            </w:tcMar>
            <w:vAlign w:val="center"/>
          </w:tcPr>
          <w:p w14:paraId="51F6BB32" w14:textId="77777777" w:rsidR="0020504F" w:rsidRDefault="00000000">
            <w:pPr>
              <w:spacing w:after="0" w:line="240" w:lineRule="auto"/>
              <w:jc w:val="left"/>
            </w:pPr>
            <w:r>
              <w:rPr>
                <w:rFonts w:eastAsia="Times New Roman"/>
                <w:sz w:val="16"/>
              </w:rPr>
              <w:t>Several conventional and less frequently studied elements were higher in recyclers, demonstrating that exposure profiles extend beyond lead and cadmium.</w:t>
            </w:r>
          </w:p>
        </w:tc>
        <w:tc>
          <w:tcPr>
            <w:tcW w:w="1069" w:type="pct"/>
            <w:tcMar>
              <w:top w:w="85" w:type="dxa"/>
              <w:left w:w="90" w:type="dxa"/>
              <w:bottom w:w="85" w:type="dxa"/>
              <w:right w:w="90" w:type="dxa"/>
            </w:tcMar>
            <w:vAlign w:val="center"/>
          </w:tcPr>
          <w:p w14:paraId="0178479B" w14:textId="77777777" w:rsidR="0020504F" w:rsidRDefault="00000000">
            <w:pPr>
              <w:spacing w:after="0" w:line="240" w:lineRule="auto"/>
              <w:jc w:val="left"/>
            </w:pPr>
            <w:r>
              <w:rPr>
                <w:rFonts w:eastAsia="Times New Roman"/>
                <w:sz w:val="16"/>
              </w:rPr>
              <w:t>Reference ranges and toxicokinetic interpretation are limited for some emerging elements.</w:t>
            </w:r>
          </w:p>
        </w:tc>
        <w:tc>
          <w:tcPr>
            <w:tcW w:w="586" w:type="pct"/>
            <w:tcMar>
              <w:top w:w="85" w:type="dxa"/>
              <w:left w:w="90" w:type="dxa"/>
              <w:bottom w:w="85" w:type="dxa"/>
              <w:right w:w="90" w:type="dxa"/>
            </w:tcMar>
            <w:vAlign w:val="center"/>
          </w:tcPr>
          <w:p w14:paraId="7E5FC1FF" w14:textId="77777777" w:rsidR="0020504F" w:rsidRDefault="00000000">
            <w:pPr>
              <w:spacing w:after="0" w:line="240" w:lineRule="auto"/>
              <w:jc w:val="left"/>
            </w:pPr>
            <w:r>
              <w:rPr>
                <w:rFonts w:eastAsia="Times New Roman"/>
                <w:sz w:val="16"/>
              </w:rPr>
              <w:t>(Takyi et al., 2021)</w:t>
            </w:r>
          </w:p>
        </w:tc>
      </w:tr>
      <w:tr w:rsidR="0020504F" w14:paraId="25D83E35" w14:textId="77777777" w:rsidTr="0058340A">
        <w:trPr>
          <w:cantSplit/>
          <w:jc w:val="center"/>
        </w:trPr>
        <w:tc>
          <w:tcPr>
            <w:tcW w:w="897" w:type="pct"/>
            <w:shd w:val="clear" w:color="auto" w:fill="EAF2F8"/>
            <w:tcMar>
              <w:top w:w="85" w:type="dxa"/>
              <w:left w:w="90" w:type="dxa"/>
              <w:bottom w:w="85" w:type="dxa"/>
              <w:right w:w="90" w:type="dxa"/>
            </w:tcMar>
            <w:vAlign w:val="center"/>
          </w:tcPr>
          <w:p w14:paraId="0134F3DC" w14:textId="77777777" w:rsidR="0020504F" w:rsidRDefault="00000000">
            <w:pPr>
              <w:spacing w:after="0" w:line="240" w:lineRule="auto"/>
              <w:jc w:val="left"/>
            </w:pPr>
            <w:r>
              <w:rPr>
                <w:rFonts w:eastAsia="Times New Roman"/>
                <w:sz w:val="16"/>
              </w:rPr>
              <w:t>Thailand and Chile</w:t>
            </w:r>
          </w:p>
        </w:tc>
        <w:tc>
          <w:tcPr>
            <w:tcW w:w="1069" w:type="pct"/>
            <w:tcMar>
              <w:top w:w="85" w:type="dxa"/>
              <w:left w:w="90" w:type="dxa"/>
              <w:bottom w:w="85" w:type="dxa"/>
              <w:right w:w="90" w:type="dxa"/>
            </w:tcMar>
            <w:vAlign w:val="center"/>
          </w:tcPr>
          <w:p w14:paraId="677BF46B" w14:textId="77777777" w:rsidR="0020504F" w:rsidRDefault="00000000">
            <w:pPr>
              <w:spacing w:after="0" w:line="240" w:lineRule="auto"/>
              <w:jc w:val="left"/>
            </w:pPr>
            <w:r>
              <w:rPr>
                <w:rFonts w:eastAsia="Times New Roman"/>
                <w:sz w:val="16"/>
              </w:rPr>
              <w:t>Blood and urine lead with video-derived task and tool characteristics</w:t>
            </w:r>
          </w:p>
        </w:tc>
        <w:tc>
          <w:tcPr>
            <w:tcW w:w="1379" w:type="pct"/>
            <w:tcMar>
              <w:top w:w="85" w:type="dxa"/>
              <w:left w:w="90" w:type="dxa"/>
              <w:bottom w:w="85" w:type="dxa"/>
              <w:right w:w="90" w:type="dxa"/>
            </w:tcMar>
            <w:vAlign w:val="center"/>
          </w:tcPr>
          <w:p w14:paraId="195CA13D" w14:textId="77777777" w:rsidR="0020504F" w:rsidRDefault="00000000">
            <w:pPr>
              <w:spacing w:after="0" w:line="240" w:lineRule="auto"/>
              <w:jc w:val="left"/>
            </w:pPr>
            <w:r>
              <w:rPr>
                <w:rFonts w:eastAsia="Times New Roman"/>
                <w:sz w:val="16"/>
              </w:rPr>
              <w:t>Observed behaviours and tools predicted lead biomarkers, supporting task-resolved exposure classification rather than a single job title.</w:t>
            </w:r>
          </w:p>
        </w:tc>
        <w:tc>
          <w:tcPr>
            <w:tcW w:w="1069" w:type="pct"/>
            <w:tcMar>
              <w:top w:w="85" w:type="dxa"/>
              <w:left w:w="90" w:type="dxa"/>
              <w:bottom w:w="85" w:type="dxa"/>
              <w:right w:w="90" w:type="dxa"/>
            </w:tcMar>
            <w:vAlign w:val="center"/>
          </w:tcPr>
          <w:p w14:paraId="11A2637A" w14:textId="77777777" w:rsidR="0020504F" w:rsidRDefault="00000000">
            <w:pPr>
              <w:spacing w:after="0" w:line="240" w:lineRule="auto"/>
              <w:jc w:val="left"/>
            </w:pPr>
            <w:r>
              <w:rPr>
                <w:rFonts w:eastAsia="Times New Roman"/>
                <w:sz w:val="16"/>
              </w:rPr>
              <w:t>Relatively small worker samples and cross-sectional biomonitoring.</w:t>
            </w:r>
          </w:p>
        </w:tc>
        <w:tc>
          <w:tcPr>
            <w:tcW w:w="586" w:type="pct"/>
            <w:tcMar>
              <w:top w:w="85" w:type="dxa"/>
              <w:left w:w="90" w:type="dxa"/>
              <w:bottom w:w="85" w:type="dxa"/>
              <w:right w:w="90" w:type="dxa"/>
            </w:tcMar>
            <w:vAlign w:val="center"/>
          </w:tcPr>
          <w:p w14:paraId="1DCEE948" w14:textId="77777777" w:rsidR="0020504F" w:rsidRDefault="00000000">
            <w:pPr>
              <w:spacing w:after="0" w:line="240" w:lineRule="auto"/>
              <w:jc w:val="left"/>
            </w:pPr>
            <w:r>
              <w:rPr>
                <w:rFonts w:eastAsia="Times New Roman"/>
                <w:sz w:val="16"/>
              </w:rPr>
              <w:t>(Shkembi et al., 2021)</w:t>
            </w:r>
          </w:p>
        </w:tc>
      </w:tr>
      <w:tr w:rsidR="0020504F" w14:paraId="015C931D" w14:textId="77777777" w:rsidTr="0058340A">
        <w:trPr>
          <w:cantSplit/>
          <w:jc w:val="center"/>
        </w:trPr>
        <w:tc>
          <w:tcPr>
            <w:tcW w:w="897" w:type="pct"/>
            <w:tcMar>
              <w:top w:w="85" w:type="dxa"/>
              <w:left w:w="90" w:type="dxa"/>
              <w:bottom w:w="85" w:type="dxa"/>
              <w:right w:w="90" w:type="dxa"/>
            </w:tcMar>
            <w:vAlign w:val="center"/>
          </w:tcPr>
          <w:p w14:paraId="73D742EE" w14:textId="77777777" w:rsidR="0020504F" w:rsidRDefault="00000000">
            <w:pPr>
              <w:spacing w:after="0" w:line="240" w:lineRule="auto"/>
              <w:jc w:val="left"/>
            </w:pPr>
            <w:r>
              <w:rPr>
                <w:rFonts w:eastAsia="Times New Roman"/>
                <w:sz w:val="16"/>
              </w:rPr>
              <w:t>Dhaka, Bangladesh</w:t>
            </w:r>
          </w:p>
        </w:tc>
        <w:tc>
          <w:tcPr>
            <w:tcW w:w="1069" w:type="pct"/>
            <w:tcMar>
              <w:top w:w="85" w:type="dxa"/>
              <w:left w:w="90" w:type="dxa"/>
              <w:bottom w:w="85" w:type="dxa"/>
              <w:right w:w="90" w:type="dxa"/>
            </w:tcMar>
            <w:vAlign w:val="center"/>
          </w:tcPr>
          <w:p w14:paraId="242F8FD6" w14:textId="77777777" w:rsidR="0020504F" w:rsidRDefault="00000000">
            <w:pPr>
              <w:spacing w:after="0" w:line="240" w:lineRule="auto"/>
              <w:jc w:val="left"/>
            </w:pPr>
            <w:r>
              <w:rPr>
                <w:rFonts w:eastAsia="Times New Roman"/>
                <w:sz w:val="16"/>
              </w:rPr>
              <w:t>Blood lead and cadmium, hair mercury, plus clinical laboratory markers</w:t>
            </w:r>
          </w:p>
        </w:tc>
        <w:tc>
          <w:tcPr>
            <w:tcW w:w="1379" w:type="pct"/>
            <w:tcMar>
              <w:top w:w="85" w:type="dxa"/>
              <w:left w:w="90" w:type="dxa"/>
              <w:bottom w:w="85" w:type="dxa"/>
              <w:right w:w="90" w:type="dxa"/>
            </w:tcMar>
            <w:vAlign w:val="center"/>
          </w:tcPr>
          <w:p w14:paraId="4FADC375" w14:textId="77777777" w:rsidR="0020504F" w:rsidRDefault="00000000">
            <w:pPr>
              <w:spacing w:after="0" w:line="240" w:lineRule="auto"/>
              <w:jc w:val="left"/>
            </w:pPr>
            <w:r>
              <w:rPr>
                <w:rFonts w:eastAsia="Times New Roman"/>
                <w:sz w:val="16"/>
              </w:rPr>
              <w:t>Workers had higher blood lead than non-e-waste workers, whereas other contaminants did not move uniformly in the same direction.</w:t>
            </w:r>
          </w:p>
        </w:tc>
        <w:tc>
          <w:tcPr>
            <w:tcW w:w="1069" w:type="pct"/>
            <w:tcMar>
              <w:top w:w="85" w:type="dxa"/>
              <w:left w:w="90" w:type="dxa"/>
              <w:bottom w:w="85" w:type="dxa"/>
              <w:right w:w="90" w:type="dxa"/>
            </w:tcMar>
            <w:vAlign w:val="center"/>
          </w:tcPr>
          <w:p w14:paraId="58303A9E" w14:textId="77777777" w:rsidR="0020504F" w:rsidRDefault="00000000">
            <w:pPr>
              <w:spacing w:after="0" w:line="240" w:lineRule="auto"/>
              <w:jc w:val="left"/>
            </w:pPr>
            <w:r>
              <w:rPr>
                <w:rFonts w:eastAsia="Times New Roman"/>
                <w:sz w:val="16"/>
              </w:rPr>
              <w:t>Cross-sectional comparison and matrix-specific toxicokinetics limit causal interpretation.</w:t>
            </w:r>
          </w:p>
        </w:tc>
        <w:tc>
          <w:tcPr>
            <w:tcW w:w="586" w:type="pct"/>
            <w:tcMar>
              <w:top w:w="85" w:type="dxa"/>
              <w:left w:w="90" w:type="dxa"/>
              <w:bottom w:w="85" w:type="dxa"/>
              <w:right w:w="90" w:type="dxa"/>
            </w:tcMar>
            <w:vAlign w:val="center"/>
          </w:tcPr>
          <w:p w14:paraId="4D459471" w14:textId="77777777" w:rsidR="0020504F" w:rsidRDefault="00000000">
            <w:pPr>
              <w:spacing w:after="0" w:line="240" w:lineRule="auto"/>
              <w:jc w:val="left"/>
            </w:pPr>
            <w:r>
              <w:rPr>
                <w:rFonts w:eastAsia="Times New Roman"/>
                <w:sz w:val="16"/>
              </w:rPr>
              <w:t>(Parvez et al., 2024)</w:t>
            </w:r>
          </w:p>
        </w:tc>
      </w:tr>
      <w:tr w:rsidR="0020504F" w14:paraId="4320465B" w14:textId="77777777" w:rsidTr="0058340A">
        <w:trPr>
          <w:cantSplit/>
          <w:jc w:val="center"/>
        </w:trPr>
        <w:tc>
          <w:tcPr>
            <w:tcW w:w="897" w:type="pct"/>
            <w:shd w:val="clear" w:color="auto" w:fill="EAF2F8"/>
            <w:tcMar>
              <w:top w:w="85" w:type="dxa"/>
              <w:left w:w="90" w:type="dxa"/>
              <w:bottom w:w="85" w:type="dxa"/>
              <w:right w:w="90" w:type="dxa"/>
            </w:tcMar>
            <w:vAlign w:val="center"/>
          </w:tcPr>
          <w:p w14:paraId="57846DC4"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0E73D4D2" w14:textId="77777777" w:rsidR="0020504F" w:rsidRDefault="00000000">
            <w:pPr>
              <w:spacing w:after="0" w:line="240" w:lineRule="auto"/>
              <w:jc w:val="left"/>
            </w:pPr>
            <w:r>
              <w:rPr>
                <w:rFonts w:eastAsia="Times New Roman"/>
                <w:sz w:val="16"/>
              </w:rPr>
              <w:t>Blood lead and creatinine assessment in site volunteers</w:t>
            </w:r>
          </w:p>
        </w:tc>
        <w:tc>
          <w:tcPr>
            <w:tcW w:w="1379" w:type="pct"/>
            <w:tcMar>
              <w:top w:w="85" w:type="dxa"/>
              <w:left w:w="90" w:type="dxa"/>
              <w:bottom w:w="85" w:type="dxa"/>
              <w:right w:w="90" w:type="dxa"/>
            </w:tcMar>
            <w:vAlign w:val="center"/>
          </w:tcPr>
          <w:p w14:paraId="0CB8285A" w14:textId="77777777" w:rsidR="0020504F" w:rsidRDefault="00000000">
            <w:pPr>
              <w:spacing w:after="0" w:line="240" w:lineRule="auto"/>
              <w:jc w:val="left"/>
            </w:pPr>
            <w:r>
              <w:rPr>
                <w:rFonts w:eastAsia="Times New Roman"/>
                <w:sz w:val="16"/>
              </w:rPr>
              <w:t>A high lead burden was documented in a large volunteer sample and accompanied by frequent creatinine abnormalities.</w:t>
            </w:r>
          </w:p>
        </w:tc>
        <w:tc>
          <w:tcPr>
            <w:tcW w:w="1069" w:type="pct"/>
            <w:tcMar>
              <w:top w:w="85" w:type="dxa"/>
              <w:left w:w="90" w:type="dxa"/>
              <w:bottom w:w="85" w:type="dxa"/>
              <w:right w:w="90" w:type="dxa"/>
            </w:tcMar>
            <w:vAlign w:val="center"/>
          </w:tcPr>
          <w:p w14:paraId="0FF0B0AE" w14:textId="77777777" w:rsidR="0020504F" w:rsidRDefault="00000000">
            <w:pPr>
              <w:spacing w:after="0" w:line="240" w:lineRule="auto"/>
              <w:jc w:val="left"/>
            </w:pPr>
            <w:r>
              <w:rPr>
                <w:rFonts w:eastAsia="Times New Roman"/>
                <w:sz w:val="16"/>
              </w:rPr>
              <w:t>No clean contemporaneous control group; renal abnormalities cannot be attributed to lead from this design alone.</w:t>
            </w:r>
          </w:p>
        </w:tc>
        <w:tc>
          <w:tcPr>
            <w:tcW w:w="586" w:type="pct"/>
            <w:tcMar>
              <w:top w:w="85" w:type="dxa"/>
              <w:left w:w="90" w:type="dxa"/>
              <w:bottom w:w="85" w:type="dxa"/>
              <w:right w:w="90" w:type="dxa"/>
            </w:tcMar>
            <w:vAlign w:val="center"/>
          </w:tcPr>
          <w:p w14:paraId="1FB6CE97" w14:textId="77777777" w:rsidR="0020504F" w:rsidRDefault="00000000">
            <w:pPr>
              <w:spacing w:after="0" w:line="240" w:lineRule="auto"/>
              <w:jc w:val="left"/>
            </w:pPr>
            <w:r>
              <w:rPr>
                <w:rFonts w:eastAsia="Times New Roman"/>
                <w:sz w:val="16"/>
              </w:rPr>
              <w:t>(Püschel et al., 2024)</w:t>
            </w:r>
          </w:p>
        </w:tc>
      </w:tr>
      <w:tr w:rsidR="0020504F" w14:paraId="66D8D442" w14:textId="77777777" w:rsidTr="0058340A">
        <w:trPr>
          <w:cantSplit/>
          <w:jc w:val="center"/>
        </w:trPr>
        <w:tc>
          <w:tcPr>
            <w:tcW w:w="897" w:type="pct"/>
            <w:tcMar>
              <w:top w:w="85" w:type="dxa"/>
              <w:left w:w="90" w:type="dxa"/>
              <w:bottom w:w="85" w:type="dxa"/>
              <w:right w:w="90" w:type="dxa"/>
            </w:tcMar>
            <w:vAlign w:val="center"/>
          </w:tcPr>
          <w:p w14:paraId="4837E02F" w14:textId="77777777" w:rsidR="0020504F" w:rsidRDefault="00000000">
            <w:pPr>
              <w:spacing w:after="0" w:line="240" w:lineRule="auto"/>
              <w:jc w:val="left"/>
            </w:pPr>
            <w:r>
              <w:rPr>
                <w:rFonts w:eastAsia="Times New Roman"/>
                <w:sz w:val="16"/>
              </w:rPr>
              <w:lastRenderedPageBreak/>
              <w:t>Nigeria</w:t>
            </w:r>
          </w:p>
        </w:tc>
        <w:tc>
          <w:tcPr>
            <w:tcW w:w="1069" w:type="pct"/>
            <w:tcMar>
              <w:top w:w="85" w:type="dxa"/>
              <w:left w:w="90" w:type="dxa"/>
              <w:bottom w:w="85" w:type="dxa"/>
              <w:right w:w="90" w:type="dxa"/>
            </w:tcMar>
            <w:vAlign w:val="center"/>
          </w:tcPr>
          <w:p w14:paraId="22A03DB9" w14:textId="77777777" w:rsidR="0020504F" w:rsidRDefault="00000000">
            <w:pPr>
              <w:spacing w:after="0" w:line="240" w:lineRule="auto"/>
              <w:jc w:val="left"/>
            </w:pPr>
            <w:r>
              <w:rPr>
                <w:rFonts w:eastAsia="Times New Roman"/>
                <w:sz w:val="16"/>
              </w:rPr>
              <w:t>Blood lead and cadmium in e-waste workers and non-e-waste workers</w:t>
            </w:r>
          </w:p>
        </w:tc>
        <w:tc>
          <w:tcPr>
            <w:tcW w:w="1379" w:type="pct"/>
            <w:tcMar>
              <w:top w:w="85" w:type="dxa"/>
              <w:left w:w="90" w:type="dxa"/>
              <w:bottom w:w="85" w:type="dxa"/>
              <w:right w:w="90" w:type="dxa"/>
            </w:tcMar>
            <w:vAlign w:val="center"/>
          </w:tcPr>
          <w:p w14:paraId="786CA318" w14:textId="77777777" w:rsidR="0020504F" w:rsidRDefault="00000000">
            <w:pPr>
              <w:spacing w:after="0" w:line="240" w:lineRule="auto"/>
              <w:jc w:val="left"/>
            </w:pPr>
            <w:r>
              <w:rPr>
                <w:rFonts w:eastAsia="Times New Roman"/>
                <w:sz w:val="16"/>
              </w:rPr>
              <w:t>Both metals were higher among workers, extending biomonitoring evidence beyond the best-studied Ghanaian site.</w:t>
            </w:r>
          </w:p>
        </w:tc>
        <w:tc>
          <w:tcPr>
            <w:tcW w:w="1069" w:type="pct"/>
            <w:tcMar>
              <w:top w:w="85" w:type="dxa"/>
              <w:left w:w="90" w:type="dxa"/>
              <w:bottom w:w="85" w:type="dxa"/>
              <w:right w:w="90" w:type="dxa"/>
            </w:tcMar>
            <w:vAlign w:val="center"/>
          </w:tcPr>
          <w:p w14:paraId="7AB9B518" w14:textId="77777777" w:rsidR="0020504F" w:rsidRDefault="00000000">
            <w:pPr>
              <w:spacing w:after="0" w:line="240" w:lineRule="auto"/>
              <w:jc w:val="left"/>
            </w:pPr>
            <w:r>
              <w:rPr>
                <w:rFonts w:eastAsia="Times New Roman"/>
                <w:sz w:val="16"/>
              </w:rPr>
              <w:t>Modest sample and mixed repair/recycling activities.</w:t>
            </w:r>
          </w:p>
        </w:tc>
        <w:tc>
          <w:tcPr>
            <w:tcW w:w="586" w:type="pct"/>
            <w:tcMar>
              <w:top w:w="85" w:type="dxa"/>
              <w:left w:w="90" w:type="dxa"/>
              <w:bottom w:w="85" w:type="dxa"/>
              <w:right w:w="90" w:type="dxa"/>
            </w:tcMar>
            <w:vAlign w:val="center"/>
          </w:tcPr>
          <w:p w14:paraId="416550C8" w14:textId="77777777" w:rsidR="0020504F" w:rsidRDefault="00000000">
            <w:pPr>
              <w:spacing w:after="0" w:line="240" w:lineRule="auto"/>
              <w:jc w:val="left"/>
            </w:pPr>
            <w:r>
              <w:rPr>
                <w:rFonts w:eastAsia="Times New Roman"/>
                <w:sz w:val="16"/>
              </w:rPr>
              <w:t>(Akinosun et al., 2026)</w:t>
            </w:r>
          </w:p>
        </w:tc>
      </w:tr>
    </w:tbl>
    <w:p w14:paraId="2753CC62" w14:textId="77777777" w:rsidR="0020504F" w:rsidRDefault="00000000">
      <w:pPr>
        <w:keepLines/>
        <w:spacing w:before="60" w:after="140"/>
      </w:pPr>
      <w:r>
        <w:rPr>
          <w:rFonts w:eastAsia="Times New Roman"/>
          <w:i/>
          <w:sz w:val="17"/>
        </w:rPr>
        <w:t>Note. PCB = polychlorinated biphenyl. The table is representative rather than exhaustive; biomarker elevation demonstrates internal exposure but does not by itself establish clinical disease.</w:t>
      </w:r>
    </w:p>
    <w:p w14:paraId="54D48E5D" w14:textId="77777777" w:rsidR="0020504F" w:rsidRDefault="00000000">
      <w:pPr>
        <w:pStyle w:val="Heading1"/>
      </w:pPr>
      <w:r>
        <w:t>5. Health Effects: From Symptoms to Clinical Function</w:t>
      </w:r>
    </w:p>
    <w:p w14:paraId="7966598D" w14:textId="77777777" w:rsidR="0020504F" w:rsidRDefault="00000000">
      <w:pPr>
        <w:pStyle w:val="Heading2"/>
      </w:pPr>
      <w:r>
        <w:t>5.1 Respiratory Effects</w:t>
      </w:r>
    </w:p>
    <w:p w14:paraId="66867945" w14:textId="77777777" w:rsidR="0020504F" w:rsidRDefault="00000000">
      <w:pPr>
        <w:ind w:firstLine="259"/>
      </w:pPr>
      <w:r>
        <w:rPr>
          <w:rFonts w:eastAsia="Times New Roman"/>
        </w:rPr>
        <w:t>The respiratory system is a plausible and increasingly well-studied target because dismantling and burning generate inhalable and respirable particles alongside vapours and particle-bound organic contaminants. Evidence for exposure is strong: personal measurements at Agbogbloshie have repeatedly documented high PM concentrations and activity-related peaks (Kwarteng et al., 2022; Laskaris et al., 2021). The health evidence is more mixed, reflecting both design limitations and the difficulty of measuring acute effects in workers who may already be chronically exposed before the nominal start of a shift.</w:t>
      </w:r>
    </w:p>
    <w:p w14:paraId="4FE7406E" w14:textId="77777777" w:rsidR="0020504F" w:rsidRDefault="00000000">
      <w:pPr>
        <w:ind w:firstLine="259"/>
      </w:pPr>
      <w:r>
        <w:rPr>
          <w:rFonts w:eastAsia="Times New Roman"/>
        </w:rPr>
        <w:t>Early worker studies frequently relied on self-reported cough, chest discomfort or irritation. Feldt et al. (2014) noted frequent cough among workers with elevated urinary PAH metabolites, while Fischer et al. (2020) documented a broader symptom burden among workers and bystanders at Agbogbloshie. Symptoms have public-health relevance, but they are non-specific and may be influenced by smoking, biomass smoke, respiratory infections and awareness of workplace hazards. Objective spirometry provides a stronger endpoint, but it introduces its own challenges when workers live within the exposure environment or have already performed work before a "pre-shift" test.</w:t>
      </w:r>
    </w:p>
    <w:p w14:paraId="759F992B" w14:textId="77777777" w:rsidR="0020504F" w:rsidRDefault="00000000">
      <w:pPr>
        <w:ind w:firstLine="259"/>
      </w:pPr>
      <w:r>
        <w:rPr>
          <w:rFonts w:eastAsia="Times New Roman"/>
        </w:rPr>
        <w:t>Laskaris et al. (2024) used a cross-shift design with personal PM measurements and spirometry among e-waste workers and a reference population in Ghana. Despite high PM exposures, short-term declines in forced expiratory volume in one second and forced vital capacity were not significantly associated with measured PM across the main analyses. Workers who had worked the previous day showed a larger decline in forced vital capacity, suggesting that cumulative or incompletely cleared exposure may matter. The authors also identified a likely healthy-worker effect and the difficulty of obtaining a genuinely unexposed baseline from workers living at the site. This is a valuable negative or equivocal study because it demonstrates why failure to detect an acute cross-shift association does not invalidate chronic respiratory concern.</w:t>
      </w:r>
    </w:p>
    <w:p w14:paraId="06C40554" w14:textId="77777777" w:rsidR="0020504F" w:rsidRDefault="00000000">
      <w:pPr>
        <w:ind w:firstLine="259"/>
      </w:pPr>
      <w:r>
        <w:rPr>
          <w:rFonts w:eastAsia="Times New Roman"/>
        </w:rPr>
        <w:t>Recent evidence from Bangladesh strengthens the case for respiratory impairment while still falling short of definitive causality. Parvez et al. (2026) compared 199 e-waste recycling workers with 104 non-recycling workers and found more phlegm and wheeze among exposed workers, alongside lower forced expiratory volume in one second, forced expiratory volume to forced vital capacity ratio and peak expiratory flow for selected comparisons. Adjusted analyses showed a strong association with wheeze and lower lung-function indices, and blood lead was associated with lower peak expiratory flow. Because the design remained cross-sectional, reverse selection, unmeasured co-exposures and differences in baseline health cannot be eliminated. Nevertheless, the combination of objective lung function, a comparison group and measured metals makes this study more informative than symptom surveys alone.</w:t>
      </w:r>
    </w:p>
    <w:p w14:paraId="290D20FD" w14:textId="77777777" w:rsidR="0020504F" w:rsidRDefault="00000000">
      <w:pPr>
        <w:ind w:firstLine="259"/>
      </w:pPr>
      <w:r>
        <w:rPr>
          <w:rFonts w:eastAsia="Times New Roman"/>
        </w:rPr>
        <w:t>Taken together, respiratory evidence is best characterised as moderate and strengthening. Hazardous inhalation exposure is well established, and several studies identify symptoms or functional differences, but the temporal sequence between cumulative exposure and persistent disease remains incompletely resolved. Longitudinal spirometry with repeated personal sampling would materially increase confidence.</w:t>
      </w:r>
    </w:p>
    <w:p w14:paraId="77B74999" w14:textId="77777777" w:rsidR="0020504F" w:rsidRDefault="00000000">
      <w:pPr>
        <w:pStyle w:val="Heading2"/>
      </w:pPr>
      <w:r>
        <w:lastRenderedPageBreak/>
        <w:t>5.2 Cardiovascular Effects</w:t>
      </w:r>
    </w:p>
    <w:p w14:paraId="4D8F5B8E" w14:textId="77777777" w:rsidR="0020504F" w:rsidRDefault="00000000">
      <w:pPr>
        <w:ind w:firstLine="259"/>
      </w:pPr>
      <w:r>
        <w:rPr>
          <w:rFonts w:eastAsia="Times New Roman"/>
        </w:rPr>
        <w:t>Cardiovascular evidence is smaller but methodologically interesting because repeated-measures studies can detect short-term physiological responses without waiting for overt disease. Takyi et al. (2020) examined PM exposure, blood pressure and dietary micronutrient intake among e-waste and comparison workers. PM levels were elevated in both groups, and several associations between exposure, heart rate or blood-pressure indices were modified by nutrient intake. The findings support a cardiovascular pathway but also show that nutrition and background exposure can alter effect estimates. Nutrition should therefore be treated as a potential modifier and confounder rather than as a substitute for exposure control.</w:t>
      </w:r>
    </w:p>
    <w:p w14:paraId="0FB842DC" w14:textId="77777777" w:rsidR="0020504F" w:rsidRDefault="00000000">
      <w:pPr>
        <w:ind w:firstLine="259"/>
      </w:pPr>
      <w:r>
        <w:rPr>
          <w:rFonts w:eastAsia="Times New Roman"/>
        </w:rPr>
        <w:t>Amoabeng Nti et al. (2021) used repeated personal PM measurements and heart-rate variability (HRV) over an extended study period. Several HRV indices varied with PM fractions, although not all estimates were statistically precise or directionally uniform. HRV is an accepted intermediate marker of autonomic cardiac regulation, but it is not equivalent to clinical cardiovascular disease. The study nevertheless represents an advance over one-time cross-sectional comparisons because repeated measurements improve within-person exposure characterisation and reduce some stable individual-level confounding.</w:t>
      </w:r>
    </w:p>
    <w:p w14:paraId="2AE9B775" w14:textId="77777777" w:rsidR="0020504F" w:rsidRDefault="00000000">
      <w:pPr>
        <w:ind w:firstLine="259"/>
      </w:pPr>
      <w:r>
        <w:rPr>
          <w:rFonts w:eastAsia="Times New Roman"/>
        </w:rPr>
        <w:t>The cardiovascular literature therefore supports biological effect more strongly than clinical disease burden. There is insufficient longitudinal evidence on incident hypertension, arrhythmia, ischaemic disease or cardiovascular mortality among informal recyclers. Statements that e-waste work "causes cardiovascular disease" would exceed the current worker-specific evidence. A more defensible conclusion is that PM-rich recycling environments can alter cardiovascular physiology, with the magnitude and long-term clinical relevance still uncertain.</w:t>
      </w:r>
    </w:p>
    <w:p w14:paraId="632FCC8F" w14:textId="77777777" w:rsidR="0020504F" w:rsidRDefault="00000000">
      <w:pPr>
        <w:pStyle w:val="Heading2"/>
      </w:pPr>
      <w:r>
        <w:t>5.3 Renal, Hepatic and Endocrine Effects</w:t>
      </w:r>
    </w:p>
    <w:p w14:paraId="3BC7679C" w14:textId="77777777" w:rsidR="0020504F" w:rsidRDefault="00000000">
      <w:pPr>
        <w:ind w:firstLine="259"/>
      </w:pPr>
      <w:r>
        <w:rPr>
          <w:rFonts w:eastAsia="Times New Roman"/>
        </w:rPr>
        <w:t>Metals such as lead and cadmium provide strong toxicological reasons to examine kidney function, while combustion and mixed chemical exposure justify assessment of liver enzymes and endocrine endpoints. Worker studies, however, yield uneven results. Neitzel et al. (2020) measured metal concentrations, oxidative-stress markers and renal indices among Thai e-waste workers. The study found sex and work-hour differences in exposures and oxidative stress, but did not establish a simple pattern of occupationally induced renal disease. Püschel et al. (2024) reported creatinine abnormalities alongside high blood lead in a large Ghanaian sample, yet interpretation is constrained by comparator limitations and by the inability of a cross-sectional design to determine whether renal dysfunction preceded, followed or altered lead kinetics.</w:t>
      </w:r>
    </w:p>
    <w:p w14:paraId="6BDEA775" w14:textId="77777777" w:rsidR="0020504F" w:rsidRDefault="00000000">
      <w:pPr>
        <w:ind w:firstLine="259"/>
      </w:pPr>
      <w:r>
        <w:rPr>
          <w:rFonts w:eastAsia="Times New Roman"/>
        </w:rPr>
        <w:t>The Bangladesh study by Parvez et al. (2024) adds a stronger comparative dataset. E-waste workers had higher blood lead and differences in several liver and renal measures, including alanine aminotransferase, urinary albumin and albumin-to-creatinine ratio. Lead was associated with selected hepatic and renal markers, whereas cadmium and mercury were not consistently associated with the measured outcomes. Sex hormones were not substantially different between groups. These findings argue against treating all contaminants as equally explanatory and illustrate why a mixture-aware interpretation remains necessary. They also show the importance of separating group differences from exposure-response associations: an exposed group can differ on an outcome even when a particular measured toxicant does not explain that difference.</w:t>
      </w:r>
    </w:p>
    <w:p w14:paraId="57CB20E6" w14:textId="77777777" w:rsidR="0020504F" w:rsidRDefault="00000000">
      <w:pPr>
        <w:ind w:firstLine="259"/>
      </w:pPr>
      <w:r>
        <w:rPr>
          <w:rFonts w:eastAsia="Times New Roman"/>
        </w:rPr>
        <w:t>Endocrine evidence is similarly suggestive rather than definitive. Zheng et al. (2017) found associations between organohalogen exposures and thyroid-hormone-regulated gene expression among e-waste workers, while relationships with circulating thyroid hormones were less consistent. Molecular changes may precede clinically measurable dysfunction, but the health significance of altered gene expression cannot be assumed. Broad population reviews have also reported inconsistent thyroid findings (Grant et al., 2013; Parvez et al., 2021), reinforcing the need for repeated hormone measurements, exposure timing and clinically interpretable thresholds.</w:t>
      </w:r>
    </w:p>
    <w:p w14:paraId="26B9F8E3" w14:textId="77777777" w:rsidR="0020504F" w:rsidRDefault="00000000">
      <w:pPr>
        <w:pStyle w:val="Heading2"/>
      </w:pPr>
      <w:r>
        <w:lastRenderedPageBreak/>
        <w:t>5.4 Neurobehavioural, Oxidative and Epigenetic Outcomes</w:t>
      </w:r>
    </w:p>
    <w:p w14:paraId="478DF46E" w14:textId="77777777" w:rsidR="0020504F" w:rsidRDefault="00000000">
      <w:pPr>
        <w:ind w:firstLine="259"/>
      </w:pPr>
      <w:r>
        <w:rPr>
          <w:rFonts w:eastAsia="Times New Roman"/>
        </w:rPr>
        <w:t>Neurotoxicity is plausible because informal recyclers can encounter lead, solvents, organohalogen compounds and other neuroactive substances. Yet direct worker evidence has historically been sparse. Liao et al. (2024) assessed Hong Kong e-waste workers using neurobehavioural symptom questionnaires together with objective sleep and circadian metrics. Dismantlers or repairers and workers in less-supported facilities had higher odds of neurotoxic symptoms in selected analyses. The study broadens the literature beyond the dominant African sites and links risk to occupational organisation, but it remains cross-sectional and relies partly on subjective symptom instruments. The direction of association is concerning, although prospective neuropsychological testing is needed before inferring chronic neurological impairment.</w:t>
      </w:r>
    </w:p>
    <w:p w14:paraId="2BE7033E" w14:textId="77777777" w:rsidR="0020504F" w:rsidRDefault="00000000">
      <w:pPr>
        <w:ind w:firstLine="259"/>
      </w:pPr>
      <w:r>
        <w:rPr>
          <w:rFonts w:eastAsia="Times New Roman"/>
        </w:rPr>
        <w:t>Oxidative-stress and epigenetic biomarkers can help identify early biological response but are particularly vulnerable to overinterpretation. Neitzel et al. (2020) found higher urinary 8-hydroxy-2'-deoxyguanosine among some workers with longer working hours, consistent with oxidative stress but not specific to e-waste toxicants. Issah et al. (2022a) examined blood metals and long interspersed nuclear element-1 DNA methylation among Ghanaian recyclers and controls. Lead was higher in workers, but other metals were sometimes higher in controls, and the clearest methylation association involved zinc with potential cadmium-zinc interaction. This is precisely the type of result that challenges a single-toxicant narrative. Epigenetic markers may reflect nutrition, smoking, inflammation and other exposures, and their relationship to future disease in e-waste workers is not established.</w:t>
      </w:r>
    </w:p>
    <w:p w14:paraId="58742ED9" w14:textId="77777777" w:rsidR="0020504F" w:rsidRDefault="00000000">
      <w:pPr>
        <w:ind w:firstLine="259"/>
      </w:pPr>
      <w:r>
        <w:rPr>
          <w:rFonts w:eastAsia="Times New Roman"/>
        </w:rPr>
        <w:t>The appropriate evidentiary position is therefore one of mechanistic concern without clinical equivalence. Molecular changes strengthen biological plausibility and can guide hypotheses, but they should not be counted as cases of neurological, malignant or endocrine disease. Future studies need to connect repeated exposure measurements with validated neurobehavioural testing and longer-term outcomes.</w:t>
      </w:r>
    </w:p>
    <w:p w14:paraId="7C36260D" w14:textId="77777777" w:rsidR="0020504F" w:rsidRDefault="00000000">
      <w:pPr>
        <w:pStyle w:val="Heading2"/>
      </w:pPr>
      <w:r>
        <w:t>5.5 Injuries, Musculoskeletal Disorders, Skin and Eye Symptoms</w:t>
      </w:r>
    </w:p>
    <w:p w14:paraId="445EBE27" w14:textId="77777777" w:rsidR="0020504F" w:rsidRDefault="00000000">
      <w:pPr>
        <w:ind w:firstLine="259"/>
      </w:pPr>
      <w:r>
        <w:rPr>
          <w:rFonts w:eastAsia="Times New Roman"/>
        </w:rPr>
        <w:t>Physical and ergonomic harms provide the clearest link between task and outcome because the causal interval is short and the mechanism is directly observable. Burns et al. (2019) found a high frequency of recent injuries among Ghanaian e-waste workers, predominantly lacerations, with injury counts associated with stress, perceived noise, age, glove use and dismantling. The sample was small, but the consistency between task, mechanism and injury strengthens causal interpretation. Fischer et al. (2020) similarly reported more work-related injuries and back pain among e-waste workers than bystanders.</w:t>
      </w:r>
    </w:p>
    <w:p w14:paraId="01B1BAB5" w14:textId="77777777" w:rsidR="0020504F" w:rsidRDefault="00000000">
      <w:pPr>
        <w:ind w:firstLine="259"/>
      </w:pPr>
      <w:r>
        <w:rPr>
          <w:rFonts w:eastAsia="Times New Roman"/>
        </w:rPr>
        <w:t>Musculoskeletal evidence is also coherent. Acquah et al. (2021) reported a high prevalence of discomfort among collectors, dismantlers and burners, with lower back, shoulder and knee symptoms prominent and substantial variation by task. Because musculoskeletal pain is common in many manual occupations, an exposed-versus-unexposed comparison cannot by itself identify the responsible biomechanical factor. The study's task-stratified pattern is therefore important: collection, lifting, carrying, bending and forceful dismantling provide plausible routes from work organisation to symptoms. The broader lesson is that chemical risk should not eclipse ergonomic prevention.</w:t>
      </w:r>
    </w:p>
    <w:p w14:paraId="1A5471BF" w14:textId="77777777" w:rsidR="0020504F" w:rsidRDefault="00000000">
      <w:pPr>
        <w:ind w:firstLine="259"/>
      </w:pPr>
      <w:r>
        <w:rPr>
          <w:rFonts w:eastAsia="Times New Roman"/>
        </w:rPr>
        <w:t>Skin and eye symptoms are repeatedly reported and are compatible with dust, smoke, chemical contact and poor hygiene. Decharat and Kiddee (2020) found rash or itching associated with several work and hygiene factors among Thai recyclers. Fischer et al. (2020) found red itchy eyes more often among e-waste workers than bystanders. Although dermatological diagnoses are uncommon in the literature and self-report can misclassify conditions, the immediate contact pathway and consistency across settings support preventive action even before precise agent-specific attribution is available.</w:t>
      </w:r>
    </w:p>
    <w:p w14:paraId="349C6483" w14:textId="77777777" w:rsidR="0020504F" w:rsidRDefault="00000000">
      <w:pPr>
        <w:pStyle w:val="Heading2"/>
      </w:pPr>
      <w:r>
        <w:lastRenderedPageBreak/>
        <w:t>5.6 Stress, Safety Behaviour and Social Determinants of Risk</w:t>
      </w:r>
    </w:p>
    <w:p w14:paraId="6EC8C1F0" w14:textId="77777777" w:rsidR="0020504F" w:rsidRDefault="00000000">
      <w:pPr>
        <w:ind w:firstLine="259"/>
      </w:pPr>
      <w:r>
        <w:rPr>
          <w:rFonts w:eastAsia="Times New Roman"/>
        </w:rPr>
        <w:t>Informal e-waste work also involves psychosocial exposures. Income insecurity, long work hours, noise, heat, migration, crowded living conditions and uncertainty about material prices can shape stress and risk-taking. Burns et al. (2019) found perceived stress associated with injury frequency, suggesting that psychosocial conditions can modify physical safety. Occupational-risk awareness is also uneven. Ohajinwa et al. (2017) found lower health-risk knowledge and protective practices among Nigerian e-waste workers than a comparison informal occupation, while Singhal et al. (2021) reported low personal protective equipment use and limited hazard knowledge among Delhi recyclers.</w:t>
      </w:r>
    </w:p>
    <w:p w14:paraId="26C517EA" w14:textId="77777777" w:rsidR="0020504F" w:rsidRDefault="00000000">
      <w:pPr>
        <w:ind w:firstLine="259"/>
      </w:pPr>
      <w:r>
        <w:rPr>
          <w:rFonts w:eastAsia="Times New Roman"/>
        </w:rPr>
        <w:t>These findings should not be interpreted as worker negligence. Risk behaviour is constrained by the work system. A worker paid by recovered material has incentives to maximise speed; a respirator may be unavailable or unsuitable in heat; gloves can reduce dexterity; and washing is impossible without reliable water. Education can improve knowledge, but knowledge alone cannot suppress emissions. Occupational-health interventions therefore need to address capability, infrastructure and economic incentives as well as individual behaviour.</w:t>
      </w:r>
    </w:p>
    <w:p w14:paraId="72332C12" w14:textId="77777777" w:rsidR="0020504F" w:rsidRDefault="00000000">
      <w:pPr>
        <w:ind w:firstLine="259"/>
      </w:pPr>
      <w:r>
        <w:rPr>
          <w:rFonts w:eastAsia="Times New Roman"/>
        </w:rPr>
        <w:t>The health evidence by domain is summarised in Table 3. The strongest conclusions concern hazardous exposure, injuries and musculoskeletal or irritant symptoms. Evidence for respiratory effects is increasingly persuasive, while cardiovascular, renal, hepatic, endocrine and neurobehavioural findings remain heterogeneous and often depend on intermediate biomarkers or cross-sectional comparisons.</w:t>
      </w:r>
    </w:p>
    <w:p w14:paraId="302E93FE" w14:textId="77777777" w:rsidR="0020504F" w:rsidRDefault="00000000">
      <w:pPr>
        <w:keepNext/>
        <w:spacing w:before="120" w:after="80"/>
      </w:pPr>
      <w:r>
        <w:rPr>
          <w:rFonts w:eastAsia="Times New Roman"/>
          <w:b/>
          <w:sz w:val="20"/>
        </w:rPr>
        <w:t>Table 3. Health-outcome evidence among e-waste workers and confidence in causal interpretation</w:t>
      </w:r>
    </w:p>
    <w:tbl>
      <w:tblPr>
        <w:tblStyle w:val="TableGrid"/>
        <w:tblW w:w="5000" w:type="pct"/>
        <w:jc w:val="center"/>
        <w:tblLook w:val="04A0" w:firstRow="1" w:lastRow="0" w:firstColumn="1" w:lastColumn="0" w:noHBand="0" w:noVBand="1"/>
      </w:tblPr>
      <w:tblGrid>
        <w:gridCol w:w="1475"/>
        <w:gridCol w:w="3442"/>
        <w:gridCol w:w="1405"/>
        <w:gridCol w:w="2318"/>
        <w:gridCol w:w="1544"/>
      </w:tblGrid>
      <w:tr w:rsidR="0020504F" w14:paraId="5A38513B" w14:textId="77777777" w:rsidTr="0058340A">
        <w:trPr>
          <w:cantSplit/>
          <w:tblHeader/>
          <w:jc w:val="center"/>
        </w:trPr>
        <w:tc>
          <w:tcPr>
            <w:tcW w:w="724" w:type="pct"/>
            <w:shd w:val="clear" w:color="auto" w:fill="1F4E79"/>
            <w:tcMar>
              <w:top w:w="95" w:type="dxa"/>
              <w:left w:w="95" w:type="dxa"/>
              <w:bottom w:w="95" w:type="dxa"/>
              <w:right w:w="95" w:type="dxa"/>
            </w:tcMar>
            <w:vAlign w:val="center"/>
          </w:tcPr>
          <w:p w14:paraId="05F04F05" w14:textId="77777777" w:rsidR="0020504F" w:rsidRDefault="00000000">
            <w:pPr>
              <w:spacing w:after="0" w:line="240" w:lineRule="auto"/>
              <w:jc w:val="center"/>
            </w:pPr>
            <w:r>
              <w:rPr>
                <w:rFonts w:eastAsia="Times New Roman"/>
                <w:b/>
                <w:color w:val="FFFFFF"/>
                <w:sz w:val="16"/>
              </w:rPr>
              <w:t>Health domain</w:t>
            </w:r>
          </w:p>
        </w:tc>
        <w:tc>
          <w:tcPr>
            <w:tcW w:w="1690" w:type="pct"/>
            <w:shd w:val="clear" w:color="auto" w:fill="1F4E79"/>
            <w:tcMar>
              <w:top w:w="95" w:type="dxa"/>
              <w:left w:w="95" w:type="dxa"/>
              <w:bottom w:w="95" w:type="dxa"/>
              <w:right w:w="95" w:type="dxa"/>
            </w:tcMar>
            <w:vAlign w:val="center"/>
          </w:tcPr>
          <w:p w14:paraId="6F141AD3" w14:textId="77777777" w:rsidR="0020504F" w:rsidRDefault="00000000">
            <w:pPr>
              <w:spacing w:after="0" w:line="240" w:lineRule="auto"/>
              <w:jc w:val="center"/>
            </w:pPr>
            <w:r>
              <w:rPr>
                <w:rFonts w:eastAsia="Times New Roman"/>
                <w:b/>
                <w:color w:val="FFFFFF"/>
                <w:sz w:val="16"/>
              </w:rPr>
              <w:t>Representative worker evidence</w:t>
            </w:r>
          </w:p>
        </w:tc>
        <w:tc>
          <w:tcPr>
            <w:tcW w:w="690" w:type="pct"/>
            <w:shd w:val="clear" w:color="auto" w:fill="1F4E79"/>
            <w:tcMar>
              <w:top w:w="95" w:type="dxa"/>
              <w:left w:w="95" w:type="dxa"/>
              <w:bottom w:w="95" w:type="dxa"/>
              <w:right w:w="95" w:type="dxa"/>
            </w:tcMar>
            <w:vAlign w:val="center"/>
          </w:tcPr>
          <w:p w14:paraId="715610B4" w14:textId="77777777" w:rsidR="0020504F" w:rsidRDefault="00000000">
            <w:pPr>
              <w:spacing w:after="0" w:line="240" w:lineRule="auto"/>
              <w:jc w:val="center"/>
            </w:pPr>
            <w:r>
              <w:rPr>
                <w:rFonts w:eastAsia="Times New Roman"/>
                <w:b/>
                <w:color w:val="FFFFFF"/>
                <w:sz w:val="16"/>
              </w:rPr>
              <w:t>Narrative confidence</w:t>
            </w:r>
          </w:p>
        </w:tc>
        <w:tc>
          <w:tcPr>
            <w:tcW w:w="1138" w:type="pct"/>
            <w:shd w:val="clear" w:color="auto" w:fill="1F4E79"/>
            <w:tcMar>
              <w:top w:w="95" w:type="dxa"/>
              <w:left w:w="95" w:type="dxa"/>
              <w:bottom w:w="95" w:type="dxa"/>
              <w:right w:w="95" w:type="dxa"/>
            </w:tcMar>
            <w:vAlign w:val="center"/>
          </w:tcPr>
          <w:p w14:paraId="0DCBB391" w14:textId="77777777" w:rsidR="0020504F" w:rsidRDefault="00000000">
            <w:pPr>
              <w:spacing w:after="0" w:line="240" w:lineRule="auto"/>
              <w:jc w:val="center"/>
            </w:pPr>
            <w:r>
              <w:rPr>
                <w:rFonts w:eastAsia="Times New Roman"/>
                <w:b/>
                <w:color w:val="FFFFFF"/>
                <w:sz w:val="16"/>
              </w:rPr>
              <w:t>Principal limitations</w:t>
            </w:r>
          </w:p>
        </w:tc>
        <w:tc>
          <w:tcPr>
            <w:tcW w:w="759" w:type="pct"/>
            <w:shd w:val="clear" w:color="auto" w:fill="1F4E79"/>
            <w:tcMar>
              <w:top w:w="95" w:type="dxa"/>
              <w:left w:w="95" w:type="dxa"/>
              <w:bottom w:w="95" w:type="dxa"/>
              <w:right w:w="95" w:type="dxa"/>
            </w:tcMar>
            <w:vAlign w:val="center"/>
          </w:tcPr>
          <w:p w14:paraId="5AB483FC" w14:textId="77777777" w:rsidR="0020504F" w:rsidRDefault="00000000">
            <w:pPr>
              <w:spacing w:after="0" w:line="240" w:lineRule="auto"/>
              <w:jc w:val="center"/>
            </w:pPr>
            <w:r>
              <w:rPr>
                <w:rFonts w:eastAsia="Times New Roman"/>
                <w:b/>
                <w:color w:val="FFFFFF"/>
                <w:sz w:val="16"/>
              </w:rPr>
              <w:t>Supporting references</w:t>
            </w:r>
          </w:p>
        </w:tc>
      </w:tr>
      <w:tr w:rsidR="0020504F" w14:paraId="5B849161" w14:textId="77777777" w:rsidTr="0058340A">
        <w:trPr>
          <w:cantSplit/>
          <w:jc w:val="center"/>
        </w:trPr>
        <w:tc>
          <w:tcPr>
            <w:tcW w:w="724" w:type="pct"/>
            <w:shd w:val="clear" w:color="auto" w:fill="EAF2F8"/>
            <w:tcMar>
              <w:top w:w="85" w:type="dxa"/>
              <w:left w:w="90" w:type="dxa"/>
              <w:bottom w:w="85" w:type="dxa"/>
              <w:right w:w="90" w:type="dxa"/>
            </w:tcMar>
            <w:vAlign w:val="center"/>
          </w:tcPr>
          <w:p w14:paraId="3D9139D9" w14:textId="77777777" w:rsidR="0020504F" w:rsidRDefault="00000000">
            <w:pPr>
              <w:spacing w:after="0" w:line="240" w:lineRule="auto"/>
              <w:jc w:val="left"/>
            </w:pPr>
            <w:r>
              <w:rPr>
                <w:rFonts w:eastAsia="Times New Roman"/>
                <w:sz w:val="16"/>
              </w:rPr>
              <w:t>Respiratory</w:t>
            </w:r>
          </w:p>
        </w:tc>
        <w:tc>
          <w:tcPr>
            <w:tcW w:w="1690" w:type="pct"/>
            <w:tcMar>
              <w:top w:w="85" w:type="dxa"/>
              <w:left w:w="90" w:type="dxa"/>
              <w:bottom w:w="85" w:type="dxa"/>
              <w:right w:w="90" w:type="dxa"/>
            </w:tcMar>
            <w:vAlign w:val="center"/>
          </w:tcPr>
          <w:p w14:paraId="07650583" w14:textId="77777777" w:rsidR="0020504F" w:rsidRDefault="00000000">
            <w:pPr>
              <w:spacing w:after="0" w:line="240" w:lineRule="auto"/>
              <w:jc w:val="left"/>
            </w:pPr>
            <w:r>
              <w:rPr>
                <w:rFonts w:eastAsia="Times New Roman"/>
                <w:sz w:val="16"/>
              </w:rPr>
              <w:t>Personal PM exposure is well established. Cross-shift Ghanaian spirometry found limited acute PM-related change, whereas a recent Bangladesh comparison found more respiratory symptoms and lower selected lung-function indices.</w:t>
            </w:r>
          </w:p>
        </w:tc>
        <w:tc>
          <w:tcPr>
            <w:tcW w:w="690" w:type="pct"/>
            <w:tcMar>
              <w:top w:w="85" w:type="dxa"/>
              <w:left w:w="90" w:type="dxa"/>
              <w:bottom w:w="85" w:type="dxa"/>
              <w:right w:w="90" w:type="dxa"/>
            </w:tcMar>
            <w:vAlign w:val="center"/>
          </w:tcPr>
          <w:p w14:paraId="49913799" w14:textId="77777777" w:rsidR="0020504F" w:rsidRDefault="00000000">
            <w:pPr>
              <w:spacing w:after="0" w:line="240" w:lineRule="auto"/>
              <w:jc w:val="left"/>
            </w:pPr>
            <w:r>
              <w:rPr>
                <w:rFonts w:eastAsia="Times New Roman"/>
                <w:sz w:val="16"/>
              </w:rPr>
              <w:t>Moderate and strengthening</w:t>
            </w:r>
          </w:p>
        </w:tc>
        <w:tc>
          <w:tcPr>
            <w:tcW w:w="1138" w:type="pct"/>
            <w:tcMar>
              <w:top w:w="85" w:type="dxa"/>
              <w:left w:w="90" w:type="dxa"/>
              <w:bottom w:w="85" w:type="dxa"/>
              <w:right w:w="90" w:type="dxa"/>
            </w:tcMar>
            <w:vAlign w:val="center"/>
          </w:tcPr>
          <w:p w14:paraId="630ECD95" w14:textId="77777777" w:rsidR="0020504F" w:rsidRDefault="00000000">
            <w:pPr>
              <w:spacing w:after="0" w:line="240" w:lineRule="auto"/>
              <w:jc w:val="left"/>
            </w:pPr>
            <w:r>
              <w:rPr>
                <w:rFonts w:eastAsia="Times New Roman"/>
                <w:sz w:val="16"/>
              </w:rPr>
              <w:t>Predominantly cross-sectional or short-term designs; background air pollution, smoking and inability to obtain a truly unexposed baseline.</w:t>
            </w:r>
          </w:p>
        </w:tc>
        <w:tc>
          <w:tcPr>
            <w:tcW w:w="759" w:type="pct"/>
            <w:tcMar>
              <w:top w:w="85" w:type="dxa"/>
              <w:left w:w="90" w:type="dxa"/>
              <w:bottom w:w="85" w:type="dxa"/>
              <w:right w:w="90" w:type="dxa"/>
            </w:tcMar>
            <w:vAlign w:val="center"/>
          </w:tcPr>
          <w:p w14:paraId="49F1C7A3" w14:textId="77777777" w:rsidR="0020504F" w:rsidRDefault="00000000">
            <w:pPr>
              <w:spacing w:after="0" w:line="240" w:lineRule="auto"/>
              <w:jc w:val="left"/>
            </w:pPr>
            <w:r>
              <w:rPr>
                <w:rFonts w:eastAsia="Times New Roman"/>
                <w:sz w:val="16"/>
              </w:rPr>
              <w:t>(Kwarteng et al., 2022; Laskaris et al., 2024; Parvez et al., 2026)</w:t>
            </w:r>
          </w:p>
        </w:tc>
      </w:tr>
      <w:tr w:rsidR="0020504F" w14:paraId="7642541C" w14:textId="77777777" w:rsidTr="0058340A">
        <w:trPr>
          <w:cantSplit/>
          <w:jc w:val="center"/>
        </w:trPr>
        <w:tc>
          <w:tcPr>
            <w:tcW w:w="724" w:type="pct"/>
            <w:tcMar>
              <w:top w:w="85" w:type="dxa"/>
              <w:left w:w="90" w:type="dxa"/>
              <w:bottom w:w="85" w:type="dxa"/>
              <w:right w:w="90" w:type="dxa"/>
            </w:tcMar>
            <w:vAlign w:val="center"/>
          </w:tcPr>
          <w:p w14:paraId="07CA15ED" w14:textId="77777777" w:rsidR="0020504F" w:rsidRDefault="00000000">
            <w:pPr>
              <w:spacing w:after="0" w:line="240" w:lineRule="auto"/>
              <w:jc w:val="left"/>
            </w:pPr>
            <w:r>
              <w:rPr>
                <w:rFonts w:eastAsia="Times New Roman"/>
                <w:sz w:val="16"/>
              </w:rPr>
              <w:t>Cardiovascular</w:t>
            </w:r>
          </w:p>
        </w:tc>
        <w:tc>
          <w:tcPr>
            <w:tcW w:w="1690" w:type="pct"/>
            <w:tcMar>
              <w:top w:w="85" w:type="dxa"/>
              <w:left w:w="90" w:type="dxa"/>
              <w:bottom w:w="85" w:type="dxa"/>
              <w:right w:w="90" w:type="dxa"/>
            </w:tcMar>
            <w:vAlign w:val="center"/>
          </w:tcPr>
          <w:p w14:paraId="6EB7D6D9" w14:textId="77777777" w:rsidR="0020504F" w:rsidRDefault="00000000">
            <w:pPr>
              <w:spacing w:after="0" w:line="240" w:lineRule="auto"/>
              <w:jc w:val="left"/>
            </w:pPr>
            <w:r>
              <w:rPr>
                <w:rFonts w:eastAsia="Times New Roman"/>
                <w:sz w:val="16"/>
              </w:rPr>
              <w:t>Repeated PM measurements have been associated with changes in heart rate variability, and blood-pressure relationships appear modified by diet and background exposure.</w:t>
            </w:r>
          </w:p>
        </w:tc>
        <w:tc>
          <w:tcPr>
            <w:tcW w:w="690" w:type="pct"/>
            <w:tcMar>
              <w:top w:w="85" w:type="dxa"/>
              <w:left w:w="90" w:type="dxa"/>
              <w:bottom w:w="85" w:type="dxa"/>
              <w:right w:w="90" w:type="dxa"/>
            </w:tcMar>
            <w:vAlign w:val="center"/>
          </w:tcPr>
          <w:p w14:paraId="1DBA340D" w14:textId="77777777" w:rsidR="0020504F" w:rsidRDefault="00000000">
            <w:pPr>
              <w:spacing w:after="0" w:line="240" w:lineRule="auto"/>
              <w:jc w:val="left"/>
            </w:pPr>
            <w:r>
              <w:rPr>
                <w:rFonts w:eastAsia="Times New Roman"/>
                <w:sz w:val="16"/>
              </w:rPr>
              <w:t>Low to moderate</w:t>
            </w:r>
          </w:p>
        </w:tc>
        <w:tc>
          <w:tcPr>
            <w:tcW w:w="1138" w:type="pct"/>
            <w:tcMar>
              <w:top w:w="85" w:type="dxa"/>
              <w:left w:w="90" w:type="dxa"/>
              <w:bottom w:w="85" w:type="dxa"/>
              <w:right w:w="90" w:type="dxa"/>
            </w:tcMar>
            <w:vAlign w:val="center"/>
          </w:tcPr>
          <w:p w14:paraId="0B6B9BE3" w14:textId="77777777" w:rsidR="0020504F" w:rsidRDefault="00000000">
            <w:pPr>
              <w:spacing w:after="0" w:line="240" w:lineRule="auto"/>
              <w:jc w:val="left"/>
            </w:pPr>
            <w:r>
              <w:rPr>
                <w:rFonts w:eastAsia="Times New Roman"/>
                <w:sz w:val="16"/>
              </w:rPr>
              <w:t>Intermediate rather than clinical endpoints; modest samples; heterogeneous PM fractions and substantial co-exposure.</w:t>
            </w:r>
          </w:p>
        </w:tc>
        <w:tc>
          <w:tcPr>
            <w:tcW w:w="759" w:type="pct"/>
            <w:tcMar>
              <w:top w:w="85" w:type="dxa"/>
              <w:left w:w="90" w:type="dxa"/>
              <w:bottom w:w="85" w:type="dxa"/>
              <w:right w:w="90" w:type="dxa"/>
            </w:tcMar>
            <w:vAlign w:val="center"/>
          </w:tcPr>
          <w:p w14:paraId="3A47F9AE" w14:textId="77777777" w:rsidR="0020504F" w:rsidRDefault="00000000">
            <w:pPr>
              <w:spacing w:after="0" w:line="240" w:lineRule="auto"/>
              <w:jc w:val="left"/>
            </w:pPr>
            <w:r>
              <w:rPr>
                <w:rFonts w:eastAsia="Times New Roman"/>
                <w:sz w:val="16"/>
              </w:rPr>
              <w:t>(Amoabeng Nti et al., 2021; Takyi et al., 2020)</w:t>
            </w:r>
          </w:p>
        </w:tc>
      </w:tr>
      <w:tr w:rsidR="0020504F" w14:paraId="64336291" w14:textId="77777777" w:rsidTr="0058340A">
        <w:trPr>
          <w:cantSplit/>
          <w:jc w:val="center"/>
        </w:trPr>
        <w:tc>
          <w:tcPr>
            <w:tcW w:w="724" w:type="pct"/>
            <w:shd w:val="clear" w:color="auto" w:fill="EAF2F8"/>
            <w:tcMar>
              <w:top w:w="85" w:type="dxa"/>
              <w:left w:w="90" w:type="dxa"/>
              <w:bottom w:w="85" w:type="dxa"/>
              <w:right w:w="90" w:type="dxa"/>
            </w:tcMar>
            <w:vAlign w:val="center"/>
          </w:tcPr>
          <w:p w14:paraId="69A1B672" w14:textId="77777777" w:rsidR="0020504F" w:rsidRDefault="00000000">
            <w:pPr>
              <w:spacing w:after="0" w:line="240" w:lineRule="auto"/>
              <w:jc w:val="left"/>
            </w:pPr>
            <w:r>
              <w:rPr>
                <w:rFonts w:eastAsia="Times New Roman"/>
                <w:sz w:val="16"/>
              </w:rPr>
              <w:t>Renal, hepatic and endocrine</w:t>
            </w:r>
          </w:p>
        </w:tc>
        <w:tc>
          <w:tcPr>
            <w:tcW w:w="1690" w:type="pct"/>
            <w:tcMar>
              <w:top w:w="85" w:type="dxa"/>
              <w:left w:w="90" w:type="dxa"/>
              <w:bottom w:w="85" w:type="dxa"/>
              <w:right w:w="90" w:type="dxa"/>
            </w:tcMar>
            <w:vAlign w:val="center"/>
          </w:tcPr>
          <w:p w14:paraId="7BE1326A" w14:textId="77777777" w:rsidR="0020504F" w:rsidRDefault="00000000">
            <w:pPr>
              <w:spacing w:after="0" w:line="240" w:lineRule="auto"/>
              <w:jc w:val="left"/>
            </w:pPr>
            <w:r>
              <w:rPr>
                <w:rFonts w:eastAsia="Times New Roman"/>
                <w:sz w:val="16"/>
              </w:rPr>
              <w:t>Worker studies report renal and hepatic marker differences and associations between organohalogen exposure and thyroid-related molecular responses; hormone findings are less consistent.</w:t>
            </w:r>
          </w:p>
        </w:tc>
        <w:tc>
          <w:tcPr>
            <w:tcW w:w="690" w:type="pct"/>
            <w:tcMar>
              <w:top w:w="85" w:type="dxa"/>
              <w:left w:w="90" w:type="dxa"/>
              <w:bottom w:w="85" w:type="dxa"/>
              <w:right w:w="90" w:type="dxa"/>
            </w:tcMar>
            <w:vAlign w:val="center"/>
          </w:tcPr>
          <w:p w14:paraId="09580825" w14:textId="77777777" w:rsidR="0020504F" w:rsidRDefault="00000000">
            <w:pPr>
              <w:spacing w:after="0" w:line="240" w:lineRule="auto"/>
              <w:jc w:val="left"/>
            </w:pPr>
            <w:r>
              <w:rPr>
                <w:rFonts w:eastAsia="Times New Roman"/>
                <w:sz w:val="16"/>
              </w:rPr>
              <w:t>Low to moderate</w:t>
            </w:r>
          </w:p>
        </w:tc>
        <w:tc>
          <w:tcPr>
            <w:tcW w:w="1138" w:type="pct"/>
            <w:tcMar>
              <w:top w:w="85" w:type="dxa"/>
              <w:left w:w="90" w:type="dxa"/>
              <w:bottom w:w="85" w:type="dxa"/>
              <w:right w:w="90" w:type="dxa"/>
            </w:tcMar>
            <w:vAlign w:val="center"/>
          </w:tcPr>
          <w:p w14:paraId="113D1BD5" w14:textId="77777777" w:rsidR="0020504F" w:rsidRDefault="00000000">
            <w:pPr>
              <w:spacing w:after="0" w:line="240" w:lineRule="auto"/>
              <w:jc w:val="left"/>
            </w:pPr>
            <w:r>
              <w:rPr>
                <w:rFonts w:eastAsia="Times New Roman"/>
                <w:sz w:val="16"/>
              </w:rPr>
              <w:t>Cross-sectional temporality, multiple testing, biomarker interpretation and incomplete control of metabolic, dietary and environmental confounding.</w:t>
            </w:r>
          </w:p>
        </w:tc>
        <w:tc>
          <w:tcPr>
            <w:tcW w:w="759" w:type="pct"/>
            <w:tcMar>
              <w:top w:w="85" w:type="dxa"/>
              <w:left w:w="90" w:type="dxa"/>
              <w:bottom w:w="85" w:type="dxa"/>
              <w:right w:w="90" w:type="dxa"/>
            </w:tcMar>
            <w:vAlign w:val="center"/>
          </w:tcPr>
          <w:p w14:paraId="70616A2E" w14:textId="77777777" w:rsidR="0020504F" w:rsidRDefault="00000000">
            <w:pPr>
              <w:spacing w:after="0" w:line="240" w:lineRule="auto"/>
              <w:jc w:val="left"/>
            </w:pPr>
            <w:r>
              <w:rPr>
                <w:rFonts w:eastAsia="Times New Roman"/>
                <w:sz w:val="16"/>
              </w:rPr>
              <w:t>(Neitzel et al., 2020; Parvez et al., 2024; Püschel et al., 2024; Zheng et al., 2017)</w:t>
            </w:r>
          </w:p>
        </w:tc>
      </w:tr>
      <w:tr w:rsidR="0020504F" w14:paraId="0DC0AECA" w14:textId="77777777" w:rsidTr="0058340A">
        <w:trPr>
          <w:cantSplit/>
          <w:jc w:val="center"/>
        </w:trPr>
        <w:tc>
          <w:tcPr>
            <w:tcW w:w="724" w:type="pct"/>
            <w:tcMar>
              <w:top w:w="85" w:type="dxa"/>
              <w:left w:w="90" w:type="dxa"/>
              <w:bottom w:w="85" w:type="dxa"/>
              <w:right w:w="90" w:type="dxa"/>
            </w:tcMar>
            <w:vAlign w:val="center"/>
          </w:tcPr>
          <w:p w14:paraId="22593842" w14:textId="77777777" w:rsidR="0020504F" w:rsidRDefault="00000000">
            <w:pPr>
              <w:spacing w:after="0" w:line="240" w:lineRule="auto"/>
              <w:jc w:val="left"/>
            </w:pPr>
            <w:r>
              <w:rPr>
                <w:rFonts w:eastAsia="Times New Roman"/>
                <w:sz w:val="16"/>
              </w:rPr>
              <w:t>Neurobehavioural, oxidative and epigenetic</w:t>
            </w:r>
          </w:p>
        </w:tc>
        <w:tc>
          <w:tcPr>
            <w:tcW w:w="1690" w:type="pct"/>
            <w:tcMar>
              <w:top w:w="85" w:type="dxa"/>
              <w:left w:w="90" w:type="dxa"/>
              <w:bottom w:w="85" w:type="dxa"/>
              <w:right w:w="90" w:type="dxa"/>
            </w:tcMar>
            <w:vAlign w:val="center"/>
          </w:tcPr>
          <w:p w14:paraId="53CFFED0" w14:textId="77777777" w:rsidR="0020504F" w:rsidRDefault="00000000">
            <w:pPr>
              <w:spacing w:after="0" w:line="240" w:lineRule="auto"/>
              <w:jc w:val="left"/>
            </w:pPr>
            <w:r>
              <w:rPr>
                <w:rFonts w:eastAsia="Times New Roman"/>
                <w:sz w:val="16"/>
              </w:rPr>
              <w:t>Neurotoxic symptoms, oxidative-stress markers and altered global DNA methylation have been reported in worker populations.</w:t>
            </w:r>
          </w:p>
        </w:tc>
        <w:tc>
          <w:tcPr>
            <w:tcW w:w="690" w:type="pct"/>
            <w:tcMar>
              <w:top w:w="85" w:type="dxa"/>
              <w:left w:w="90" w:type="dxa"/>
              <w:bottom w:w="85" w:type="dxa"/>
              <w:right w:w="90" w:type="dxa"/>
            </w:tcMar>
            <w:vAlign w:val="center"/>
          </w:tcPr>
          <w:p w14:paraId="6D6F4C4C" w14:textId="77777777" w:rsidR="0020504F" w:rsidRDefault="00000000">
            <w:pPr>
              <w:spacing w:after="0" w:line="240" w:lineRule="auto"/>
              <w:jc w:val="left"/>
            </w:pPr>
            <w:r>
              <w:rPr>
                <w:rFonts w:eastAsia="Times New Roman"/>
                <w:sz w:val="16"/>
              </w:rPr>
              <w:t>Limited</w:t>
            </w:r>
          </w:p>
        </w:tc>
        <w:tc>
          <w:tcPr>
            <w:tcW w:w="1138" w:type="pct"/>
            <w:tcMar>
              <w:top w:w="85" w:type="dxa"/>
              <w:left w:w="90" w:type="dxa"/>
              <w:bottom w:w="85" w:type="dxa"/>
              <w:right w:w="90" w:type="dxa"/>
            </w:tcMar>
            <w:vAlign w:val="center"/>
          </w:tcPr>
          <w:p w14:paraId="61CEFE89" w14:textId="77777777" w:rsidR="0020504F" w:rsidRDefault="00000000">
            <w:pPr>
              <w:spacing w:after="0" w:line="240" w:lineRule="auto"/>
              <w:jc w:val="left"/>
            </w:pPr>
            <w:r>
              <w:rPr>
                <w:rFonts w:eastAsia="Times New Roman"/>
                <w:sz w:val="16"/>
              </w:rPr>
              <w:t>Surrogate or self-reported outcomes, small samples, mixture complexity and uncertain clinical significance of molecular changes.</w:t>
            </w:r>
          </w:p>
        </w:tc>
        <w:tc>
          <w:tcPr>
            <w:tcW w:w="759" w:type="pct"/>
            <w:tcMar>
              <w:top w:w="85" w:type="dxa"/>
              <w:left w:w="90" w:type="dxa"/>
              <w:bottom w:w="85" w:type="dxa"/>
              <w:right w:w="90" w:type="dxa"/>
            </w:tcMar>
            <w:vAlign w:val="center"/>
          </w:tcPr>
          <w:p w14:paraId="5D07C295" w14:textId="77777777" w:rsidR="0020504F" w:rsidRDefault="00000000">
            <w:pPr>
              <w:spacing w:after="0" w:line="240" w:lineRule="auto"/>
              <w:jc w:val="left"/>
            </w:pPr>
            <w:r>
              <w:rPr>
                <w:rFonts w:eastAsia="Times New Roman"/>
                <w:sz w:val="16"/>
              </w:rPr>
              <w:t>(Issah et al., 2022a; Liao et al., 2024; Neitzel et al., 2020)</w:t>
            </w:r>
          </w:p>
        </w:tc>
      </w:tr>
      <w:tr w:rsidR="0020504F" w14:paraId="30553D99" w14:textId="77777777" w:rsidTr="0058340A">
        <w:trPr>
          <w:cantSplit/>
          <w:jc w:val="center"/>
        </w:trPr>
        <w:tc>
          <w:tcPr>
            <w:tcW w:w="724" w:type="pct"/>
            <w:shd w:val="clear" w:color="auto" w:fill="EAF2F8"/>
            <w:tcMar>
              <w:top w:w="85" w:type="dxa"/>
              <w:left w:w="90" w:type="dxa"/>
              <w:bottom w:w="85" w:type="dxa"/>
              <w:right w:w="90" w:type="dxa"/>
            </w:tcMar>
            <w:vAlign w:val="center"/>
          </w:tcPr>
          <w:p w14:paraId="33FE3AFF" w14:textId="77777777" w:rsidR="0020504F" w:rsidRDefault="00000000">
            <w:pPr>
              <w:spacing w:after="0" w:line="240" w:lineRule="auto"/>
              <w:jc w:val="left"/>
            </w:pPr>
            <w:r>
              <w:rPr>
                <w:rFonts w:eastAsia="Times New Roman"/>
                <w:sz w:val="16"/>
              </w:rPr>
              <w:t>Injury, musculoskeletal, skin and eye</w:t>
            </w:r>
          </w:p>
        </w:tc>
        <w:tc>
          <w:tcPr>
            <w:tcW w:w="1690" w:type="pct"/>
            <w:tcMar>
              <w:top w:w="85" w:type="dxa"/>
              <w:left w:w="90" w:type="dxa"/>
              <w:bottom w:w="85" w:type="dxa"/>
              <w:right w:w="90" w:type="dxa"/>
            </w:tcMar>
            <w:vAlign w:val="center"/>
          </w:tcPr>
          <w:p w14:paraId="3B2A2AA5" w14:textId="77777777" w:rsidR="0020504F" w:rsidRDefault="00000000">
            <w:pPr>
              <w:spacing w:after="0" w:line="240" w:lineRule="auto"/>
              <w:jc w:val="left"/>
            </w:pPr>
            <w:r>
              <w:rPr>
                <w:rFonts w:eastAsia="Times New Roman"/>
                <w:sz w:val="16"/>
              </w:rPr>
              <w:t>High injury counts, task-related musculoskeletal discomfort, red or itchy eyes and skin symptoms are recurrent and closely aligned with observed work processes.</w:t>
            </w:r>
          </w:p>
        </w:tc>
        <w:tc>
          <w:tcPr>
            <w:tcW w:w="690" w:type="pct"/>
            <w:tcMar>
              <w:top w:w="85" w:type="dxa"/>
              <w:left w:w="90" w:type="dxa"/>
              <w:bottom w:w="85" w:type="dxa"/>
              <w:right w:w="90" w:type="dxa"/>
            </w:tcMar>
            <w:vAlign w:val="center"/>
          </w:tcPr>
          <w:p w14:paraId="5BB2C5E5" w14:textId="77777777" w:rsidR="0020504F" w:rsidRDefault="00000000">
            <w:pPr>
              <w:spacing w:after="0" w:line="240" w:lineRule="auto"/>
              <w:jc w:val="left"/>
            </w:pPr>
            <w:r>
              <w:rPr>
                <w:rFonts w:eastAsia="Times New Roman"/>
                <w:sz w:val="16"/>
              </w:rPr>
              <w:t>Moderate to comparatively strong</w:t>
            </w:r>
          </w:p>
        </w:tc>
        <w:tc>
          <w:tcPr>
            <w:tcW w:w="1138" w:type="pct"/>
            <w:tcMar>
              <w:top w:w="85" w:type="dxa"/>
              <w:left w:w="90" w:type="dxa"/>
              <w:bottom w:w="85" w:type="dxa"/>
              <w:right w:w="90" w:type="dxa"/>
            </w:tcMar>
            <w:vAlign w:val="center"/>
          </w:tcPr>
          <w:p w14:paraId="745EC6BE" w14:textId="77777777" w:rsidR="0020504F" w:rsidRDefault="00000000">
            <w:pPr>
              <w:spacing w:after="0" w:line="240" w:lineRule="auto"/>
              <w:jc w:val="left"/>
            </w:pPr>
            <w:r>
              <w:rPr>
                <w:rFonts w:eastAsia="Times New Roman"/>
                <w:sz w:val="16"/>
              </w:rPr>
              <w:t>Many outcomes are self-reported and prevalence estimates may vary with task mix, reporting culture and reference group.</w:t>
            </w:r>
          </w:p>
        </w:tc>
        <w:tc>
          <w:tcPr>
            <w:tcW w:w="759" w:type="pct"/>
            <w:tcMar>
              <w:top w:w="85" w:type="dxa"/>
              <w:left w:w="90" w:type="dxa"/>
              <w:bottom w:w="85" w:type="dxa"/>
              <w:right w:w="90" w:type="dxa"/>
            </w:tcMar>
            <w:vAlign w:val="center"/>
          </w:tcPr>
          <w:p w14:paraId="72FB5E15" w14:textId="77777777" w:rsidR="0020504F" w:rsidRDefault="00000000">
            <w:pPr>
              <w:spacing w:after="0" w:line="240" w:lineRule="auto"/>
              <w:jc w:val="left"/>
            </w:pPr>
            <w:r>
              <w:rPr>
                <w:rFonts w:eastAsia="Times New Roman"/>
                <w:sz w:val="16"/>
              </w:rPr>
              <w:t>(Acquah et al., 2021; Burns et al., 2019; Decharat &amp; Kiddee, 2020; Fischer et al., 2020)</w:t>
            </w:r>
          </w:p>
        </w:tc>
      </w:tr>
      <w:tr w:rsidR="0020504F" w14:paraId="426D259B" w14:textId="77777777" w:rsidTr="0058340A">
        <w:trPr>
          <w:cantSplit/>
          <w:jc w:val="center"/>
        </w:trPr>
        <w:tc>
          <w:tcPr>
            <w:tcW w:w="724" w:type="pct"/>
            <w:tcMar>
              <w:top w:w="85" w:type="dxa"/>
              <w:left w:w="90" w:type="dxa"/>
              <w:bottom w:w="85" w:type="dxa"/>
              <w:right w:w="90" w:type="dxa"/>
            </w:tcMar>
            <w:vAlign w:val="center"/>
          </w:tcPr>
          <w:p w14:paraId="5128D4B2" w14:textId="77777777" w:rsidR="0020504F" w:rsidRDefault="00000000">
            <w:pPr>
              <w:spacing w:after="0" w:line="240" w:lineRule="auto"/>
              <w:jc w:val="left"/>
            </w:pPr>
            <w:r>
              <w:rPr>
                <w:rFonts w:eastAsia="Times New Roman"/>
                <w:sz w:val="16"/>
              </w:rPr>
              <w:t>Stress, safety behaviour and social determinants</w:t>
            </w:r>
          </w:p>
        </w:tc>
        <w:tc>
          <w:tcPr>
            <w:tcW w:w="1690" w:type="pct"/>
            <w:tcMar>
              <w:top w:w="85" w:type="dxa"/>
              <w:left w:w="90" w:type="dxa"/>
              <w:bottom w:w="85" w:type="dxa"/>
              <w:right w:w="90" w:type="dxa"/>
            </w:tcMar>
            <w:vAlign w:val="center"/>
          </w:tcPr>
          <w:p w14:paraId="2674A0C2" w14:textId="77777777" w:rsidR="0020504F" w:rsidRDefault="00000000">
            <w:pPr>
              <w:spacing w:after="0" w:line="240" w:lineRule="auto"/>
              <w:jc w:val="left"/>
            </w:pPr>
            <w:r>
              <w:rPr>
                <w:rFonts w:eastAsia="Times New Roman"/>
                <w:sz w:val="16"/>
              </w:rPr>
              <w:t>Perceived stress has been associated with injury frequency, while studies in Nigeria and India document limited hazard knowledge and low protective-equipment use.</w:t>
            </w:r>
          </w:p>
        </w:tc>
        <w:tc>
          <w:tcPr>
            <w:tcW w:w="690" w:type="pct"/>
            <w:tcMar>
              <w:top w:w="85" w:type="dxa"/>
              <w:left w:w="90" w:type="dxa"/>
              <w:bottom w:w="85" w:type="dxa"/>
              <w:right w:w="90" w:type="dxa"/>
            </w:tcMar>
            <w:vAlign w:val="center"/>
          </w:tcPr>
          <w:p w14:paraId="63480220" w14:textId="77777777" w:rsidR="0020504F" w:rsidRDefault="00000000">
            <w:pPr>
              <w:spacing w:after="0" w:line="240" w:lineRule="auto"/>
              <w:jc w:val="left"/>
            </w:pPr>
            <w:r>
              <w:rPr>
                <w:rFonts w:eastAsia="Times New Roman"/>
                <w:sz w:val="16"/>
              </w:rPr>
              <w:t>Moderate for association; limited for causation</w:t>
            </w:r>
          </w:p>
        </w:tc>
        <w:tc>
          <w:tcPr>
            <w:tcW w:w="1138" w:type="pct"/>
            <w:tcMar>
              <w:top w:w="85" w:type="dxa"/>
              <w:left w:w="90" w:type="dxa"/>
              <w:bottom w:w="85" w:type="dxa"/>
              <w:right w:w="90" w:type="dxa"/>
            </w:tcMar>
            <w:vAlign w:val="center"/>
          </w:tcPr>
          <w:p w14:paraId="5C8662AF" w14:textId="77777777" w:rsidR="0020504F" w:rsidRDefault="00000000">
            <w:pPr>
              <w:spacing w:after="0" w:line="240" w:lineRule="auto"/>
              <w:jc w:val="left"/>
            </w:pPr>
            <w:r>
              <w:rPr>
                <w:rFonts w:eastAsia="Times New Roman"/>
                <w:sz w:val="16"/>
              </w:rPr>
              <w:t>Self-report, cross-sectional designs and strong influence of income, infrastructure, heat and availability of protective resources.</w:t>
            </w:r>
          </w:p>
        </w:tc>
        <w:tc>
          <w:tcPr>
            <w:tcW w:w="759" w:type="pct"/>
            <w:tcMar>
              <w:top w:w="85" w:type="dxa"/>
              <w:left w:w="90" w:type="dxa"/>
              <w:bottom w:w="85" w:type="dxa"/>
              <w:right w:w="90" w:type="dxa"/>
            </w:tcMar>
            <w:vAlign w:val="center"/>
          </w:tcPr>
          <w:p w14:paraId="2A84C458" w14:textId="77777777" w:rsidR="0020504F" w:rsidRDefault="00000000">
            <w:pPr>
              <w:spacing w:after="0" w:line="240" w:lineRule="auto"/>
              <w:jc w:val="left"/>
            </w:pPr>
            <w:r>
              <w:rPr>
                <w:rFonts w:eastAsia="Times New Roman"/>
                <w:sz w:val="16"/>
              </w:rPr>
              <w:t>(Burns et al., 2019; Ohajinwa et al., 2017; Singhal et al., 2021)</w:t>
            </w:r>
          </w:p>
        </w:tc>
      </w:tr>
    </w:tbl>
    <w:p w14:paraId="704889A4" w14:textId="77777777" w:rsidR="0020504F" w:rsidRDefault="00000000">
      <w:pPr>
        <w:keepLines/>
        <w:spacing w:before="60" w:after="140"/>
      </w:pPr>
      <w:r>
        <w:rPr>
          <w:rFonts w:eastAsia="Times New Roman"/>
          <w:i/>
          <w:sz w:val="17"/>
        </w:rPr>
        <w:t>Note. PM = particulate matter. Confidence categories are qualitative judgements from this critical narrative synthesis and are not formal GRADE ratings.</w:t>
      </w:r>
    </w:p>
    <w:p w14:paraId="29D54CB8" w14:textId="77777777" w:rsidR="0020504F" w:rsidRDefault="00000000">
      <w:pPr>
        <w:pStyle w:val="Heading1"/>
      </w:pPr>
      <w:r>
        <w:lastRenderedPageBreak/>
        <w:t>6. Why the Evidence Conflicts: Methodological and Causal Challenges</w:t>
      </w:r>
    </w:p>
    <w:p w14:paraId="76ECF74C" w14:textId="77777777" w:rsidR="0020504F" w:rsidRDefault="00000000">
      <w:pPr>
        <w:pStyle w:val="Heading2"/>
      </w:pPr>
      <w:r>
        <w:t>6.1 Cross-Sectional Dominance and Temporal Ambiguity</w:t>
      </w:r>
    </w:p>
    <w:p w14:paraId="7BD8113F" w14:textId="77777777" w:rsidR="0020504F" w:rsidRDefault="00000000">
      <w:pPr>
        <w:ind w:firstLine="259"/>
      </w:pPr>
      <w:r>
        <w:rPr>
          <w:rFonts w:eastAsia="Times New Roman"/>
        </w:rPr>
        <w:t>The principal limitation of the worker literature is not lack of statistical significance but lack of temporal architecture. Most studies measure exposure and outcome at the same time. Such designs can identify burden and generate exposure-response hypotheses, but they cannot reliably establish whether exposure preceded disease. Workers with severe illness may leave the sector, producing a healthy-worker survivor effect, while younger or healthier people may be overrepresented among active recyclers. Cross-sectional studies may therefore underestimate chronic effects even when current workers have high exposure.</w:t>
      </w:r>
    </w:p>
    <w:p w14:paraId="2B1A9ACB" w14:textId="77777777" w:rsidR="0020504F" w:rsidRDefault="00000000">
      <w:pPr>
        <w:ind w:firstLine="259"/>
      </w:pPr>
      <w:r>
        <w:rPr>
          <w:rFonts w:eastAsia="Times New Roman"/>
        </w:rPr>
        <w:t>Longitudinal and repeated-measures studies are beginning to address this problem. Laskaris et al. (2021) used repeated personal monitoring to characterise activity-specific PM exposure, and Amoabeng Nti et al. (2021) linked repeated PM measurements with cardiac autonomic indices. Cross-shift spirometry by Laskaris et al. (2024) captured short-term physiological change but also demonstrated why informal settings challenge conventional occupational designs: workers may live at the worksite, so a pre-shift measurement is not necessarily an unexposed baseline. Future designs need off-work recovery periods, repeated seasonal measurements or natural experiments around site or process changes.</w:t>
      </w:r>
    </w:p>
    <w:p w14:paraId="36B12FCB" w14:textId="77777777" w:rsidR="0020504F" w:rsidRDefault="00000000">
      <w:pPr>
        <w:pStyle w:val="Heading2"/>
      </w:pPr>
      <w:r>
        <w:t>6.2 Exposure Misclassification and Mixed Tasks</w:t>
      </w:r>
    </w:p>
    <w:p w14:paraId="4683549D" w14:textId="77777777" w:rsidR="0020504F" w:rsidRDefault="00000000">
      <w:pPr>
        <w:ind w:firstLine="259"/>
      </w:pPr>
      <w:r>
        <w:rPr>
          <w:rFonts w:eastAsia="Times New Roman"/>
        </w:rPr>
        <w:t>Job title is a weak proxy for dose when workers perform several activities. Srigboh et al. (2016) and Takyi et al. (2021) documented substantial task overlap, while Shkembi et al. (2021) showed that observed tools and behaviours could predict lead biomarkers. This suggests that studies should classify exposure using time-activity patterns, task intensity, material type and personal monitoring rather than a single job category. Misclassification is likely to be non-differential in many studies, biasing associations towards the null, but it can also be differential if symptomatic workers change tasks.</w:t>
      </w:r>
    </w:p>
    <w:p w14:paraId="3751EB05" w14:textId="77777777" w:rsidR="0020504F" w:rsidRDefault="00000000">
      <w:pPr>
        <w:pStyle w:val="Heading2"/>
      </w:pPr>
      <w:r>
        <w:t>6.3 Comparator Contamination and Background Exposure</w:t>
      </w:r>
    </w:p>
    <w:p w14:paraId="5CB1EC71" w14:textId="77777777" w:rsidR="0020504F" w:rsidRDefault="00000000">
      <w:pPr>
        <w:ind w:firstLine="259"/>
      </w:pPr>
      <w:r>
        <w:rPr>
          <w:rFonts w:eastAsia="Times New Roman"/>
        </w:rPr>
        <w:t>Choosing a reference population is unusually difficult. Local controls may share contaminated air, soil, food and water, reducing exposure contrast, whereas distant controls may differ in income, diet, smoking, occupation and healthcare access. Amankwaa et al. (2017) illustrates the first problem, while the high PM levels observed in reference communities in Ghana illustrate that background urban pollution can be substantial (Kwarteng et al., 2020; Takyi et al., 2020). The best solution is not simply to choose a more distant control; it is to measure relevant background exposures in both groups and model continuous personal dose.</w:t>
      </w:r>
    </w:p>
    <w:p w14:paraId="30C88BC9" w14:textId="77777777" w:rsidR="0020504F" w:rsidRDefault="00000000">
      <w:pPr>
        <w:pStyle w:val="Heading2"/>
      </w:pPr>
      <w:r>
        <w:t>6.4 Surrogate Endpoints and Multiple Comparisons</w:t>
      </w:r>
    </w:p>
    <w:p w14:paraId="18A7649B" w14:textId="77777777" w:rsidR="0020504F" w:rsidRDefault="00000000">
      <w:pPr>
        <w:ind w:firstLine="259"/>
      </w:pPr>
      <w:r>
        <w:rPr>
          <w:rFonts w:eastAsia="Times New Roman"/>
        </w:rPr>
        <w:t>A second source of apparent conflict is endpoint hierarchy. Blood lead, urinary PAH metabolites, HRV, DNA methylation, liver enzymes and diagnosed disease are not interchangeable. An exposure biomarker confirms absorption; a molecular biomarker suggests biological response; a functional test can identify physiological impairment; and clinical disease requires a different level of evidence. Studies with large biomarker panels also test many associations, increasing the chance of isolated statistically significant findings. Issah et al. (2022a) found complex and sometimes counterintuitive relationships between metals and DNA methylation, while Zheng et al. (2017) found clearer associations with thyroid-regulated gene expression than with hormone concentrations. These findings are valuable but should generate mechanistic hypotheses rather than be translated directly into disease prevalence.</w:t>
      </w:r>
    </w:p>
    <w:p w14:paraId="68CB45D4" w14:textId="77777777" w:rsidR="0020504F" w:rsidRDefault="00000000">
      <w:pPr>
        <w:pStyle w:val="Heading2"/>
      </w:pPr>
      <w:r>
        <w:t>6.5 Confounding, Co-Exposure and Effect Modification</w:t>
      </w:r>
    </w:p>
    <w:p w14:paraId="5942C6B5" w14:textId="77777777" w:rsidR="0020504F" w:rsidRDefault="00000000">
      <w:pPr>
        <w:ind w:firstLine="259"/>
      </w:pPr>
      <w:r>
        <w:rPr>
          <w:rFonts w:eastAsia="Times New Roman"/>
        </w:rPr>
        <w:t xml:space="preserve">Smoking, nutrition, age, sex, prior occupations, alcohol use, infectious disease, biomass smoke, traffic pollution and socioeconomic adversity can influence both exposure and health. Some studies adjust for several of these factors, but residual confounding is difficult to eliminate in modest samples. Asante et al. (2012) showed </w:t>
      </w:r>
      <w:r>
        <w:rPr>
          <w:rFonts w:eastAsia="Times New Roman"/>
        </w:rPr>
        <w:lastRenderedPageBreak/>
        <w:t>how diet can dominate total urinary arsenic, and Takyi et al. (2020) showed that dietary micronutrients can modify cardiovascular associations with PM. Co-exposure is not merely a nuisance variable: it may produce interaction. Yet most worker studies remain powered for single-pollutant models rather than mixtures.</w:t>
      </w:r>
    </w:p>
    <w:p w14:paraId="71CDEEC9" w14:textId="77777777" w:rsidR="0020504F" w:rsidRDefault="00000000">
      <w:pPr>
        <w:pStyle w:val="Heading2"/>
      </w:pPr>
      <w:r>
        <w:t>6.6 Geographic Concentration and Limited External Validity</w:t>
      </w:r>
    </w:p>
    <w:p w14:paraId="044E777B" w14:textId="77777777" w:rsidR="0020504F" w:rsidRDefault="00000000">
      <w:pPr>
        <w:ind w:firstLine="259"/>
      </w:pPr>
      <w:r>
        <w:rPr>
          <w:rFonts w:eastAsia="Times New Roman"/>
        </w:rPr>
        <w:t>A disproportionate share of detailed occupational studies comes from Agbogbloshie, Ghana. This concentration has generated unusually rich repeated evidence, but it also creates a risk of mistaking one site's material flows, labour organisation and urban background for the global informal recycling sector. Recent studies from Bangladesh, Nigeria, Thailand, Chile and Hong Kong broaden external validity (Akinosun et al., 2026; Decharat &amp; Kiddee, 2020; Liao et al., 2024; Parvez et al., 2024, 2026; Yohannessen et al., 2019), yet many regions remain poorly represented. Women are also underrepresented in worker cohorts even though they may participate in sorting, trading, repair, component recovery or adjacent informal work.</w:t>
      </w:r>
    </w:p>
    <w:p w14:paraId="514A50DF" w14:textId="77777777" w:rsidR="0020504F" w:rsidRDefault="00000000">
      <w:pPr>
        <w:ind w:firstLine="259"/>
      </w:pPr>
      <w:r>
        <w:rPr>
          <w:rFonts w:eastAsia="Times New Roman"/>
        </w:rPr>
        <w:t>Table 4 sets out the main methodological threats and their likely direction of bias. The central point is that inconsistency in observed health effects can coexist with consistent evidence of hazardous exposure. Better causal inference depends on improving study architecture rather than simply increasing the number of cross-sectional studies.</w:t>
      </w:r>
    </w:p>
    <w:p w14:paraId="2B0D54C7" w14:textId="77777777" w:rsidR="0020504F" w:rsidRDefault="00000000">
      <w:pPr>
        <w:keepNext/>
        <w:spacing w:before="120" w:after="80"/>
      </w:pPr>
      <w:r>
        <w:rPr>
          <w:rFonts w:eastAsia="Times New Roman"/>
          <w:b/>
          <w:sz w:val="20"/>
        </w:rPr>
        <w:t>Table 4. Methodological challenges that can distort estimates of e-waste worker health risk</w:t>
      </w:r>
    </w:p>
    <w:tbl>
      <w:tblPr>
        <w:tblStyle w:val="TableGrid"/>
        <w:tblW w:w="5000" w:type="pct"/>
        <w:jc w:val="center"/>
        <w:tblLook w:val="04A0" w:firstRow="1" w:lastRow="0" w:firstColumn="1" w:lastColumn="0" w:noHBand="0" w:noVBand="1"/>
      </w:tblPr>
      <w:tblGrid>
        <w:gridCol w:w="1714"/>
        <w:gridCol w:w="2458"/>
        <w:gridCol w:w="2177"/>
        <w:gridCol w:w="2458"/>
        <w:gridCol w:w="1377"/>
      </w:tblGrid>
      <w:tr w:rsidR="0020504F" w14:paraId="073EB162" w14:textId="77777777" w:rsidTr="0058340A">
        <w:trPr>
          <w:cantSplit/>
          <w:tblHeader/>
          <w:jc w:val="center"/>
        </w:trPr>
        <w:tc>
          <w:tcPr>
            <w:tcW w:w="841" w:type="pct"/>
            <w:shd w:val="clear" w:color="auto" w:fill="1F4E79"/>
            <w:tcMar>
              <w:top w:w="95" w:type="dxa"/>
              <w:left w:w="95" w:type="dxa"/>
              <w:bottom w:w="95" w:type="dxa"/>
              <w:right w:w="95" w:type="dxa"/>
            </w:tcMar>
            <w:vAlign w:val="center"/>
          </w:tcPr>
          <w:p w14:paraId="397A20FF" w14:textId="77777777" w:rsidR="0020504F" w:rsidRDefault="00000000">
            <w:pPr>
              <w:spacing w:after="0" w:line="240" w:lineRule="auto"/>
              <w:jc w:val="center"/>
            </w:pPr>
            <w:r>
              <w:rPr>
                <w:rFonts w:eastAsia="Times New Roman"/>
                <w:b/>
                <w:color w:val="FFFFFF"/>
                <w:sz w:val="16"/>
              </w:rPr>
              <w:t>Methodological challenge</w:t>
            </w:r>
          </w:p>
        </w:tc>
        <w:tc>
          <w:tcPr>
            <w:tcW w:w="1207" w:type="pct"/>
            <w:shd w:val="clear" w:color="auto" w:fill="1F4E79"/>
            <w:tcMar>
              <w:top w:w="95" w:type="dxa"/>
              <w:left w:w="95" w:type="dxa"/>
              <w:bottom w:w="95" w:type="dxa"/>
              <w:right w:w="95" w:type="dxa"/>
            </w:tcMar>
            <w:vAlign w:val="center"/>
          </w:tcPr>
          <w:p w14:paraId="1D50B426" w14:textId="77777777" w:rsidR="0020504F" w:rsidRDefault="00000000">
            <w:pPr>
              <w:spacing w:after="0" w:line="240" w:lineRule="auto"/>
              <w:jc w:val="center"/>
            </w:pPr>
            <w:r>
              <w:rPr>
                <w:rFonts w:eastAsia="Times New Roman"/>
                <w:b/>
                <w:color w:val="FFFFFF"/>
                <w:sz w:val="16"/>
              </w:rPr>
              <w:t>How it arises</w:t>
            </w:r>
          </w:p>
        </w:tc>
        <w:tc>
          <w:tcPr>
            <w:tcW w:w="1069" w:type="pct"/>
            <w:shd w:val="clear" w:color="auto" w:fill="1F4E79"/>
            <w:tcMar>
              <w:top w:w="95" w:type="dxa"/>
              <w:left w:w="95" w:type="dxa"/>
              <w:bottom w:w="95" w:type="dxa"/>
              <w:right w:w="95" w:type="dxa"/>
            </w:tcMar>
            <w:vAlign w:val="center"/>
          </w:tcPr>
          <w:p w14:paraId="3C1BE3A8" w14:textId="77777777" w:rsidR="0020504F" w:rsidRDefault="00000000">
            <w:pPr>
              <w:spacing w:after="0" w:line="240" w:lineRule="auto"/>
              <w:jc w:val="center"/>
            </w:pPr>
            <w:r>
              <w:rPr>
                <w:rFonts w:eastAsia="Times New Roman"/>
                <w:b/>
                <w:color w:val="FFFFFF"/>
                <w:sz w:val="16"/>
              </w:rPr>
              <w:t>Likely consequence</w:t>
            </w:r>
          </w:p>
        </w:tc>
        <w:tc>
          <w:tcPr>
            <w:tcW w:w="1207" w:type="pct"/>
            <w:shd w:val="clear" w:color="auto" w:fill="1F4E79"/>
            <w:tcMar>
              <w:top w:w="95" w:type="dxa"/>
              <w:left w:w="95" w:type="dxa"/>
              <w:bottom w:w="95" w:type="dxa"/>
              <w:right w:w="95" w:type="dxa"/>
            </w:tcMar>
            <w:vAlign w:val="center"/>
          </w:tcPr>
          <w:p w14:paraId="14F9734F" w14:textId="77777777" w:rsidR="0020504F" w:rsidRDefault="00000000">
            <w:pPr>
              <w:spacing w:after="0" w:line="240" w:lineRule="auto"/>
              <w:jc w:val="center"/>
            </w:pPr>
            <w:r>
              <w:rPr>
                <w:rFonts w:eastAsia="Times New Roman"/>
                <w:b/>
                <w:color w:val="FFFFFF"/>
                <w:sz w:val="16"/>
              </w:rPr>
              <w:t>Design improvement</w:t>
            </w:r>
          </w:p>
        </w:tc>
        <w:tc>
          <w:tcPr>
            <w:tcW w:w="676" w:type="pct"/>
            <w:shd w:val="clear" w:color="auto" w:fill="1F4E79"/>
            <w:tcMar>
              <w:top w:w="95" w:type="dxa"/>
              <w:left w:w="95" w:type="dxa"/>
              <w:bottom w:w="95" w:type="dxa"/>
              <w:right w:w="95" w:type="dxa"/>
            </w:tcMar>
            <w:vAlign w:val="center"/>
          </w:tcPr>
          <w:p w14:paraId="40C957EB" w14:textId="77777777" w:rsidR="0020504F" w:rsidRDefault="00000000">
            <w:pPr>
              <w:spacing w:after="0" w:line="240" w:lineRule="auto"/>
              <w:jc w:val="center"/>
            </w:pPr>
            <w:r>
              <w:rPr>
                <w:rFonts w:eastAsia="Times New Roman"/>
                <w:b/>
                <w:color w:val="FFFFFF"/>
                <w:sz w:val="16"/>
              </w:rPr>
              <w:t>Supporting references</w:t>
            </w:r>
          </w:p>
        </w:tc>
      </w:tr>
      <w:tr w:rsidR="0020504F" w14:paraId="7983842C" w14:textId="77777777" w:rsidTr="0058340A">
        <w:trPr>
          <w:cantSplit/>
          <w:jc w:val="center"/>
        </w:trPr>
        <w:tc>
          <w:tcPr>
            <w:tcW w:w="841" w:type="pct"/>
            <w:shd w:val="clear" w:color="auto" w:fill="EAF2F8"/>
            <w:tcMar>
              <w:top w:w="85" w:type="dxa"/>
              <w:left w:w="90" w:type="dxa"/>
              <w:bottom w:w="85" w:type="dxa"/>
              <w:right w:w="90" w:type="dxa"/>
            </w:tcMar>
            <w:vAlign w:val="center"/>
          </w:tcPr>
          <w:p w14:paraId="0B27BC5E" w14:textId="77777777" w:rsidR="0020504F" w:rsidRDefault="00000000">
            <w:pPr>
              <w:spacing w:after="0" w:line="240" w:lineRule="auto"/>
              <w:jc w:val="left"/>
            </w:pPr>
            <w:r>
              <w:rPr>
                <w:rFonts w:eastAsia="Times New Roman"/>
                <w:sz w:val="16"/>
              </w:rPr>
              <w:t>Cross-sectional temporality</w:t>
            </w:r>
          </w:p>
        </w:tc>
        <w:tc>
          <w:tcPr>
            <w:tcW w:w="1207" w:type="pct"/>
            <w:tcMar>
              <w:top w:w="85" w:type="dxa"/>
              <w:left w:w="90" w:type="dxa"/>
              <w:bottom w:w="85" w:type="dxa"/>
              <w:right w:w="90" w:type="dxa"/>
            </w:tcMar>
            <w:vAlign w:val="center"/>
          </w:tcPr>
          <w:p w14:paraId="0E722BBB" w14:textId="77777777" w:rsidR="0020504F" w:rsidRDefault="00000000">
            <w:pPr>
              <w:spacing w:after="0" w:line="240" w:lineRule="auto"/>
              <w:jc w:val="left"/>
            </w:pPr>
            <w:r>
              <w:rPr>
                <w:rFonts w:eastAsia="Times New Roman"/>
                <w:sz w:val="16"/>
              </w:rPr>
              <w:t>Exposure and outcome are measured concurrently, often after workers have self-selected into or out of hazardous tasks.</w:t>
            </w:r>
          </w:p>
        </w:tc>
        <w:tc>
          <w:tcPr>
            <w:tcW w:w="1069" w:type="pct"/>
            <w:tcMar>
              <w:top w:w="85" w:type="dxa"/>
              <w:left w:w="90" w:type="dxa"/>
              <w:bottom w:w="85" w:type="dxa"/>
              <w:right w:w="90" w:type="dxa"/>
            </w:tcMar>
            <w:vAlign w:val="center"/>
          </w:tcPr>
          <w:p w14:paraId="4D0466A5" w14:textId="77777777" w:rsidR="0020504F" w:rsidRDefault="00000000">
            <w:pPr>
              <w:spacing w:after="0" w:line="240" w:lineRule="auto"/>
              <w:jc w:val="left"/>
            </w:pPr>
            <w:r>
              <w:rPr>
                <w:rFonts w:eastAsia="Times New Roman"/>
                <w:sz w:val="16"/>
              </w:rPr>
              <w:t>Reverse causation and healthy-worker selection can attenuate or misdirect associations.</w:t>
            </w:r>
          </w:p>
        </w:tc>
        <w:tc>
          <w:tcPr>
            <w:tcW w:w="1207" w:type="pct"/>
            <w:tcMar>
              <w:top w:w="85" w:type="dxa"/>
              <w:left w:w="90" w:type="dxa"/>
              <w:bottom w:w="85" w:type="dxa"/>
              <w:right w:w="90" w:type="dxa"/>
            </w:tcMar>
            <w:vAlign w:val="center"/>
          </w:tcPr>
          <w:p w14:paraId="3CE2AD3F" w14:textId="77777777" w:rsidR="0020504F" w:rsidRDefault="00000000">
            <w:pPr>
              <w:spacing w:after="0" w:line="240" w:lineRule="auto"/>
              <w:jc w:val="left"/>
            </w:pPr>
            <w:r>
              <w:rPr>
                <w:rFonts w:eastAsia="Times New Roman"/>
                <w:sz w:val="16"/>
              </w:rPr>
              <w:t>Prospective cohorts, repeated measures, pre/post recovery assessment and natural experiments around process change.</w:t>
            </w:r>
          </w:p>
        </w:tc>
        <w:tc>
          <w:tcPr>
            <w:tcW w:w="676" w:type="pct"/>
            <w:tcMar>
              <w:top w:w="85" w:type="dxa"/>
              <w:left w:w="90" w:type="dxa"/>
              <w:bottom w:w="85" w:type="dxa"/>
              <w:right w:w="90" w:type="dxa"/>
            </w:tcMar>
            <w:vAlign w:val="center"/>
          </w:tcPr>
          <w:p w14:paraId="5F1D138A" w14:textId="77777777" w:rsidR="0020504F" w:rsidRDefault="00000000">
            <w:pPr>
              <w:spacing w:after="0" w:line="240" w:lineRule="auto"/>
              <w:jc w:val="left"/>
            </w:pPr>
            <w:r>
              <w:rPr>
                <w:rFonts w:eastAsia="Times New Roman"/>
                <w:sz w:val="16"/>
              </w:rPr>
              <w:t>(Laskaris et al., 2024; Parvez et al., 2024)</w:t>
            </w:r>
          </w:p>
        </w:tc>
      </w:tr>
      <w:tr w:rsidR="0020504F" w14:paraId="7DC171A4" w14:textId="77777777" w:rsidTr="0058340A">
        <w:trPr>
          <w:cantSplit/>
          <w:jc w:val="center"/>
        </w:trPr>
        <w:tc>
          <w:tcPr>
            <w:tcW w:w="841" w:type="pct"/>
            <w:tcMar>
              <w:top w:w="85" w:type="dxa"/>
              <w:left w:w="90" w:type="dxa"/>
              <w:bottom w:w="85" w:type="dxa"/>
              <w:right w:w="90" w:type="dxa"/>
            </w:tcMar>
            <w:vAlign w:val="center"/>
          </w:tcPr>
          <w:p w14:paraId="45729388" w14:textId="77777777" w:rsidR="0020504F" w:rsidRDefault="00000000">
            <w:pPr>
              <w:spacing w:after="0" w:line="240" w:lineRule="auto"/>
              <w:jc w:val="left"/>
            </w:pPr>
            <w:r>
              <w:rPr>
                <w:rFonts w:eastAsia="Times New Roman"/>
                <w:sz w:val="16"/>
              </w:rPr>
              <w:t>Task misclassification</w:t>
            </w:r>
          </w:p>
        </w:tc>
        <w:tc>
          <w:tcPr>
            <w:tcW w:w="1207" w:type="pct"/>
            <w:tcMar>
              <w:top w:w="85" w:type="dxa"/>
              <w:left w:w="90" w:type="dxa"/>
              <w:bottom w:w="85" w:type="dxa"/>
              <w:right w:w="90" w:type="dxa"/>
            </w:tcMar>
            <w:vAlign w:val="center"/>
          </w:tcPr>
          <w:p w14:paraId="57929282" w14:textId="77777777" w:rsidR="0020504F" w:rsidRDefault="00000000">
            <w:pPr>
              <w:spacing w:after="0" w:line="240" w:lineRule="auto"/>
              <w:jc w:val="left"/>
            </w:pPr>
            <w:r>
              <w:rPr>
                <w:rFonts w:eastAsia="Times New Roman"/>
                <w:sz w:val="16"/>
              </w:rPr>
              <w:t>Workers rotate among collecting, dismantling, burning, sorting and trading, so a primary job label poorly represents dose.</w:t>
            </w:r>
          </w:p>
        </w:tc>
        <w:tc>
          <w:tcPr>
            <w:tcW w:w="1069" w:type="pct"/>
            <w:tcMar>
              <w:top w:w="85" w:type="dxa"/>
              <w:left w:w="90" w:type="dxa"/>
              <w:bottom w:w="85" w:type="dxa"/>
              <w:right w:w="90" w:type="dxa"/>
            </w:tcMar>
            <w:vAlign w:val="center"/>
          </w:tcPr>
          <w:p w14:paraId="2D0B77B8" w14:textId="77777777" w:rsidR="0020504F" w:rsidRDefault="00000000">
            <w:pPr>
              <w:spacing w:after="0" w:line="240" w:lineRule="auto"/>
              <w:jc w:val="left"/>
            </w:pPr>
            <w:r>
              <w:rPr>
                <w:rFonts w:eastAsia="Times New Roman"/>
                <w:sz w:val="16"/>
              </w:rPr>
              <w:t>Non-differential misclassification can bias estimates towards the null; behaviour change after symptoms can create differential error.</w:t>
            </w:r>
          </w:p>
        </w:tc>
        <w:tc>
          <w:tcPr>
            <w:tcW w:w="1207" w:type="pct"/>
            <w:tcMar>
              <w:top w:w="85" w:type="dxa"/>
              <w:left w:w="90" w:type="dxa"/>
              <w:bottom w:w="85" w:type="dxa"/>
              <w:right w:w="90" w:type="dxa"/>
            </w:tcMar>
            <w:vAlign w:val="center"/>
          </w:tcPr>
          <w:p w14:paraId="2BFC964D" w14:textId="77777777" w:rsidR="0020504F" w:rsidRDefault="00000000">
            <w:pPr>
              <w:spacing w:after="0" w:line="240" w:lineRule="auto"/>
              <w:jc w:val="left"/>
            </w:pPr>
            <w:r>
              <w:rPr>
                <w:rFonts w:eastAsia="Times New Roman"/>
                <w:sz w:val="16"/>
              </w:rPr>
              <w:t>Time-activity observation, wearable monitoring, task intensity and material-specific exposure metrics.</w:t>
            </w:r>
          </w:p>
        </w:tc>
        <w:tc>
          <w:tcPr>
            <w:tcW w:w="676" w:type="pct"/>
            <w:tcMar>
              <w:top w:w="85" w:type="dxa"/>
              <w:left w:w="90" w:type="dxa"/>
              <w:bottom w:w="85" w:type="dxa"/>
              <w:right w:w="90" w:type="dxa"/>
            </w:tcMar>
            <w:vAlign w:val="center"/>
          </w:tcPr>
          <w:p w14:paraId="141ED441" w14:textId="77777777" w:rsidR="0020504F" w:rsidRDefault="00000000">
            <w:pPr>
              <w:spacing w:after="0" w:line="240" w:lineRule="auto"/>
              <w:jc w:val="left"/>
            </w:pPr>
            <w:r>
              <w:rPr>
                <w:rFonts w:eastAsia="Times New Roman"/>
                <w:sz w:val="16"/>
              </w:rPr>
              <w:t>(Shkembi et al., 2021; Srigboh et al., 2016; Takyi et al., 2021)</w:t>
            </w:r>
          </w:p>
        </w:tc>
      </w:tr>
      <w:tr w:rsidR="0020504F" w14:paraId="162DA967" w14:textId="77777777" w:rsidTr="0058340A">
        <w:trPr>
          <w:cantSplit/>
          <w:jc w:val="center"/>
        </w:trPr>
        <w:tc>
          <w:tcPr>
            <w:tcW w:w="841" w:type="pct"/>
            <w:shd w:val="clear" w:color="auto" w:fill="EAF2F8"/>
            <w:tcMar>
              <w:top w:w="85" w:type="dxa"/>
              <w:left w:w="90" w:type="dxa"/>
              <w:bottom w:w="85" w:type="dxa"/>
              <w:right w:w="90" w:type="dxa"/>
            </w:tcMar>
            <w:vAlign w:val="center"/>
          </w:tcPr>
          <w:p w14:paraId="01318AFB" w14:textId="77777777" w:rsidR="0020504F" w:rsidRDefault="00000000">
            <w:pPr>
              <w:spacing w:after="0" w:line="240" w:lineRule="auto"/>
              <w:jc w:val="left"/>
            </w:pPr>
            <w:r>
              <w:rPr>
                <w:rFonts w:eastAsia="Times New Roman"/>
                <w:sz w:val="16"/>
              </w:rPr>
              <w:t>Comparator contamination</w:t>
            </w:r>
          </w:p>
        </w:tc>
        <w:tc>
          <w:tcPr>
            <w:tcW w:w="1207" w:type="pct"/>
            <w:tcMar>
              <w:top w:w="85" w:type="dxa"/>
              <w:left w:w="90" w:type="dxa"/>
              <w:bottom w:w="85" w:type="dxa"/>
              <w:right w:w="90" w:type="dxa"/>
            </w:tcMar>
            <w:vAlign w:val="center"/>
          </w:tcPr>
          <w:p w14:paraId="64AD6FF6" w14:textId="77777777" w:rsidR="0020504F" w:rsidRDefault="00000000">
            <w:pPr>
              <w:spacing w:after="0" w:line="240" w:lineRule="auto"/>
              <w:jc w:val="left"/>
            </w:pPr>
            <w:r>
              <w:rPr>
                <w:rFonts w:eastAsia="Times New Roman"/>
                <w:sz w:val="16"/>
              </w:rPr>
              <w:t>Local controls share polluted air, soil, food, housing or the work-residential enclave.</w:t>
            </w:r>
          </w:p>
        </w:tc>
        <w:tc>
          <w:tcPr>
            <w:tcW w:w="1069" w:type="pct"/>
            <w:tcMar>
              <w:top w:w="85" w:type="dxa"/>
              <w:left w:w="90" w:type="dxa"/>
              <w:bottom w:w="85" w:type="dxa"/>
              <w:right w:w="90" w:type="dxa"/>
            </w:tcMar>
            <w:vAlign w:val="center"/>
          </w:tcPr>
          <w:p w14:paraId="6CAD13B9" w14:textId="77777777" w:rsidR="0020504F" w:rsidRDefault="00000000">
            <w:pPr>
              <w:spacing w:after="0" w:line="240" w:lineRule="auto"/>
              <w:jc w:val="left"/>
            </w:pPr>
            <w:r>
              <w:rPr>
                <w:rFonts w:eastAsia="Times New Roman"/>
                <w:sz w:val="16"/>
              </w:rPr>
              <w:t>Exposure contrast narrows and occupational excess may be underestimated.</w:t>
            </w:r>
          </w:p>
        </w:tc>
        <w:tc>
          <w:tcPr>
            <w:tcW w:w="1207" w:type="pct"/>
            <w:tcMar>
              <w:top w:w="85" w:type="dxa"/>
              <w:left w:w="90" w:type="dxa"/>
              <w:bottom w:w="85" w:type="dxa"/>
              <w:right w:w="90" w:type="dxa"/>
            </w:tcMar>
            <w:vAlign w:val="center"/>
          </w:tcPr>
          <w:p w14:paraId="46DA7FF7" w14:textId="77777777" w:rsidR="0020504F" w:rsidRDefault="00000000">
            <w:pPr>
              <w:spacing w:after="0" w:line="240" w:lineRule="auto"/>
              <w:jc w:val="left"/>
            </w:pPr>
            <w:r>
              <w:rPr>
                <w:rFonts w:eastAsia="Times New Roman"/>
                <w:sz w:val="16"/>
              </w:rPr>
              <w:t>Measure background exposures in all groups and model personal dose continuously rather than treating residence as exposure status.</w:t>
            </w:r>
          </w:p>
        </w:tc>
        <w:tc>
          <w:tcPr>
            <w:tcW w:w="676" w:type="pct"/>
            <w:tcMar>
              <w:top w:w="85" w:type="dxa"/>
              <w:left w:w="90" w:type="dxa"/>
              <w:bottom w:w="85" w:type="dxa"/>
              <w:right w:w="90" w:type="dxa"/>
            </w:tcMar>
            <w:vAlign w:val="center"/>
          </w:tcPr>
          <w:p w14:paraId="476C05F7" w14:textId="77777777" w:rsidR="0020504F" w:rsidRDefault="00000000">
            <w:pPr>
              <w:spacing w:after="0" w:line="240" w:lineRule="auto"/>
              <w:jc w:val="left"/>
            </w:pPr>
            <w:r>
              <w:rPr>
                <w:rFonts w:eastAsia="Times New Roman"/>
                <w:sz w:val="16"/>
              </w:rPr>
              <w:t>(Amankwaa et al., 2017; Kwarteng et al., 2020; Takyi et al., 2020)</w:t>
            </w:r>
          </w:p>
        </w:tc>
      </w:tr>
      <w:tr w:rsidR="0020504F" w14:paraId="5161E9D8" w14:textId="77777777" w:rsidTr="0058340A">
        <w:trPr>
          <w:cantSplit/>
          <w:jc w:val="center"/>
        </w:trPr>
        <w:tc>
          <w:tcPr>
            <w:tcW w:w="841" w:type="pct"/>
            <w:tcMar>
              <w:top w:w="85" w:type="dxa"/>
              <w:left w:w="90" w:type="dxa"/>
              <w:bottom w:w="85" w:type="dxa"/>
              <w:right w:w="90" w:type="dxa"/>
            </w:tcMar>
            <w:vAlign w:val="center"/>
          </w:tcPr>
          <w:p w14:paraId="70C891A2" w14:textId="77777777" w:rsidR="0020504F" w:rsidRDefault="00000000">
            <w:pPr>
              <w:spacing w:after="0" w:line="240" w:lineRule="auto"/>
              <w:jc w:val="left"/>
            </w:pPr>
            <w:r>
              <w:rPr>
                <w:rFonts w:eastAsia="Times New Roman"/>
                <w:sz w:val="16"/>
              </w:rPr>
              <w:t>Endpoint hierarchy</w:t>
            </w:r>
          </w:p>
        </w:tc>
        <w:tc>
          <w:tcPr>
            <w:tcW w:w="1207" w:type="pct"/>
            <w:tcMar>
              <w:top w:w="85" w:type="dxa"/>
              <w:left w:w="90" w:type="dxa"/>
              <w:bottom w:w="85" w:type="dxa"/>
              <w:right w:w="90" w:type="dxa"/>
            </w:tcMar>
            <w:vAlign w:val="center"/>
          </w:tcPr>
          <w:p w14:paraId="5987DD0D" w14:textId="77777777" w:rsidR="0020504F" w:rsidRDefault="00000000">
            <w:pPr>
              <w:spacing w:after="0" w:line="240" w:lineRule="auto"/>
              <w:jc w:val="left"/>
            </w:pPr>
            <w:r>
              <w:rPr>
                <w:rFonts w:eastAsia="Times New Roman"/>
                <w:sz w:val="16"/>
              </w:rPr>
              <w:t>Studies mix exposure biomarkers, molecular responses, physiological functions, symptoms and diagnosed disease.</w:t>
            </w:r>
          </w:p>
        </w:tc>
        <w:tc>
          <w:tcPr>
            <w:tcW w:w="1069" w:type="pct"/>
            <w:tcMar>
              <w:top w:w="85" w:type="dxa"/>
              <w:left w:w="90" w:type="dxa"/>
              <w:bottom w:w="85" w:type="dxa"/>
              <w:right w:w="90" w:type="dxa"/>
            </w:tcMar>
            <w:vAlign w:val="center"/>
          </w:tcPr>
          <w:p w14:paraId="4C381676" w14:textId="77777777" w:rsidR="0020504F" w:rsidRDefault="00000000">
            <w:pPr>
              <w:spacing w:after="0" w:line="240" w:lineRule="auto"/>
              <w:jc w:val="left"/>
            </w:pPr>
            <w:r>
              <w:rPr>
                <w:rFonts w:eastAsia="Times New Roman"/>
                <w:sz w:val="16"/>
              </w:rPr>
              <w:t>A statistically significant biomarker can be over-translated into a clinical claim, while null disease outcomes can be misread as absence of exposure.</w:t>
            </w:r>
          </w:p>
        </w:tc>
        <w:tc>
          <w:tcPr>
            <w:tcW w:w="1207" w:type="pct"/>
            <w:tcMar>
              <w:top w:w="85" w:type="dxa"/>
              <w:left w:w="90" w:type="dxa"/>
              <w:bottom w:w="85" w:type="dxa"/>
              <w:right w:w="90" w:type="dxa"/>
            </w:tcMar>
            <w:vAlign w:val="center"/>
          </w:tcPr>
          <w:p w14:paraId="1EC2856F" w14:textId="77777777" w:rsidR="0020504F" w:rsidRDefault="00000000">
            <w:pPr>
              <w:spacing w:after="0" w:line="240" w:lineRule="auto"/>
              <w:jc w:val="left"/>
            </w:pPr>
            <w:r>
              <w:rPr>
                <w:rFonts w:eastAsia="Times New Roman"/>
                <w:sz w:val="16"/>
              </w:rPr>
              <w:t>Pre-specify causal pathways and pair exposure biomarkers with validated functional and clinical outcomes.</w:t>
            </w:r>
          </w:p>
        </w:tc>
        <w:tc>
          <w:tcPr>
            <w:tcW w:w="676" w:type="pct"/>
            <w:tcMar>
              <w:top w:w="85" w:type="dxa"/>
              <w:left w:w="90" w:type="dxa"/>
              <w:bottom w:w="85" w:type="dxa"/>
              <w:right w:w="90" w:type="dxa"/>
            </w:tcMar>
            <w:vAlign w:val="center"/>
          </w:tcPr>
          <w:p w14:paraId="2785C1A0" w14:textId="77777777" w:rsidR="0020504F" w:rsidRDefault="00000000">
            <w:pPr>
              <w:spacing w:after="0" w:line="240" w:lineRule="auto"/>
              <w:jc w:val="left"/>
            </w:pPr>
            <w:r>
              <w:rPr>
                <w:rFonts w:eastAsia="Times New Roman"/>
                <w:sz w:val="16"/>
              </w:rPr>
              <w:t>(Issah et al., 2022a; Zheng et al., 2017)</w:t>
            </w:r>
          </w:p>
        </w:tc>
      </w:tr>
      <w:tr w:rsidR="0020504F" w14:paraId="09CBF1B2" w14:textId="77777777" w:rsidTr="0058340A">
        <w:trPr>
          <w:cantSplit/>
          <w:jc w:val="center"/>
        </w:trPr>
        <w:tc>
          <w:tcPr>
            <w:tcW w:w="841" w:type="pct"/>
            <w:shd w:val="clear" w:color="auto" w:fill="EAF2F8"/>
            <w:tcMar>
              <w:top w:w="85" w:type="dxa"/>
              <w:left w:w="90" w:type="dxa"/>
              <w:bottom w:w="85" w:type="dxa"/>
              <w:right w:w="90" w:type="dxa"/>
            </w:tcMar>
            <w:vAlign w:val="center"/>
          </w:tcPr>
          <w:p w14:paraId="3454F1B0" w14:textId="77777777" w:rsidR="0020504F" w:rsidRDefault="00000000">
            <w:pPr>
              <w:spacing w:after="0" w:line="240" w:lineRule="auto"/>
              <w:jc w:val="left"/>
            </w:pPr>
            <w:r>
              <w:rPr>
                <w:rFonts w:eastAsia="Times New Roman"/>
                <w:sz w:val="16"/>
              </w:rPr>
              <w:t>Confounding, co-exposure and effect modification</w:t>
            </w:r>
          </w:p>
        </w:tc>
        <w:tc>
          <w:tcPr>
            <w:tcW w:w="1207" w:type="pct"/>
            <w:tcMar>
              <w:top w:w="85" w:type="dxa"/>
              <w:left w:w="90" w:type="dxa"/>
              <w:bottom w:w="85" w:type="dxa"/>
              <w:right w:w="90" w:type="dxa"/>
            </w:tcMar>
            <w:vAlign w:val="center"/>
          </w:tcPr>
          <w:p w14:paraId="39C8CE32" w14:textId="77777777" w:rsidR="0020504F" w:rsidRDefault="00000000">
            <w:pPr>
              <w:spacing w:after="0" w:line="240" w:lineRule="auto"/>
              <w:jc w:val="left"/>
            </w:pPr>
            <w:r>
              <w:rPr>
                <w:rFonts w:eastAsia="Times New Roman"/>
                <w:sz w:val="16"/>
              </w:rPr>
              <w:t>Smoking, diet, traffic pollution, biomass smoke, prior work and socioeconomic adversity influence exposure and health simultaneously.</w:t>
            </w:r>
          </w:p>
        </w:tc>
        <w:tc>
          <w:tcPr>
            <w:tcW w:w="1069" w:type="pct"/>
            <w:tcMar>
              <w:top w:w="85" w:type="dxa"/>
              <w:left w:w="90" w:type="dxa"/>
              <w:bottom w:w="85" w:type="dxa"/>
              <w:right w:w="90" w:type="dxa"/>
            </w:tcMar>
            <w:vAlign w:val="center"/>
          </w:tcPr>
          <w:p w14:paraId="679B2529" w14:textId="77777777" w:rsidR="0020504F" w:rsidRDefault="00000000">
            <w:pPr>
              <w:spacing w:after="0" w:line="240" w:lineRule="auto"/>
              <w:jc w:val="left"/>
            </w:pPr>
            <w:r>
              <w:rPr>
                <w:rFonts w:eastAsia="Times New Roman"/>
                <w:sz w:val="16"/>
              </w:rPr>
              <w:t>Residual confounding or interaction can produce inconsistent direction and magnitude across studies.</w:t>
            </w:r>
          </w:p>
        </w:tc>
        <w:tc>
          <w:tcPr>
            <w:tcW w:w="1207" w:type="pct"/>
            <w:tcMar>
              <w:top w:w="85" w:type="dxa"/>
              <w:left w:w="90" w:type="dxa"/>
              <w:bottom w:w="85" w:type="dxa"/>
              <w:right w:w="90" w:type="dxa"/>
            </w:tcMar>
            <w:vAlign w:val="center"/>
          </w:tcPr>
          <w:p w14:paraId="45ED7D4C" w14:textId="77777777" w:rsidR="0020504F" w:rsidRDefault="00000000">
            <w:pPr>
              <w:spacing w:after="0" w:line="240" w:lineRule="auto"/>
              <w:jc w:val="left"/>
            </w:pPr>
            <w:r>
              <w:rPr>
                <w:rFonts w:eastAsia="Times New Roman"/>
                <w:sz w:val="16"/>
              </w:rPr>
              <w:t>Mixture-aware models, repeated exposure measurement, stronger covariate assessment and explicit effect-modification hypotheses.</w:t>
            </w:r>
          </w:p>
        </w:tc>
        <w:tc>
          <w:tcPr>
            <w:tcW w:w="676" w:type="pct"/>
            <w:tcMar>
              <w:top w:w="85" w:type="dxa"/>
              <w:left w:w="90" w:type="dxa"/>
              <w:bottom w:w="85" w:type="dxa"/>
              <w:right w:w="90" w:type="dxa"/>
            </w:tcMar>
            <w:vAlign w:val="center"/>
          </w:tcPr>
          <w:p w14:paraId="42EC9990" w14:textId="77777777" w:rsidR="0020504F" w:rsidRDefault="00000000">
            <w:pPr>
              <w:spacing w:after="0" w:line="240" w:lineRule="auto"/>
              <w:jc w:val="left"/>
            </w:pPr>
            <w:r>
              <w:rPr>
                <w:rFonts w:eastAsia="Times New Roman"/>
                <w:sz w:val="16"/>
              </w:rPr>
              <w:t>(Asante et al., 2012; Takyi et al., 2020)</w:t>
            </w:r>
          </w:p>
        </w:tc>
      </w:tr>
      <w:tr w:rsidR="0020504F" w14:paraId="14AF2312" w14:textId="77777777" w:rsidTr="0058340A">
        <w:trPr>
          <w:cantSplit/>
          <w:jc w:val="center"/>
        </w:trPr>
        <w:tc>
          <w:tcPr>
            <w:tcW w:w="841" w:type="pct"/>
            <w:tcMar>
              <w:top w:w="85" w:type="dxa"/>
              <w:left w:w="90" w:type="dxa"/>
              <w:bottom w:w="85" w:type="dxa"/>
              <w:right w:w="90" w:type="dxa"/>
            </w:tcMar>
            <w:vAlign w:val="center"/>
          </w:tcPr>
          <w:p w14:paraId="7003FEF8" w14:textId="77777777" w:rsidR="0020504F" w:rsidRDefault="00000000">
            <w:pPr>
              <w:spacing w:after="0" w:line="240" w:lineRule="auto"/>
              <w:jc w:val="left"/>
            </w:pPr>
            <w:r>
              <w:rPr>
                <w:rFonts w:eastAsia="Times New Roman"/>
                <w:sz w:val="16"/>
              </w:rPr>
              <w:t>Geographic and demographic concentration</w:t>
            </w:r>
          </w:p>
        </w:tc>
        <w:tc>
          <w:tcPr>
            <w:tcW w:w="1207" w:type="pct"/>
            <w:tcMar>
              <w:top w:w="85" w:type="dxa"/>
              <w:left w:w="90" w:type="dxa"/>
              <w:bottom w:w="85" w:type="dxa"/>
              <w:right w:w="90" w:type="dxa"/>
            </w:tcMar>
            <w:vAlign w:val="center"/>
          </w:tcPr>
          <w:p w14:paraId="645970F8" w14:textId="77777777" w:rsidR="0020504F" w:rsidRDefault="00000000">
            <w:pPr>
              <w:spacing w:after="0" w:line="240" w:lineRule="auto"/>
              <w:jc w:val="left"/>
            </w:pPr>
            <w:r>
              <w:rPr>
                <w:rFonts w:eastAsia="Times New Roman"/>
                <w:sz w:val="16"/>
              </w:rPr>
              <w:t>Detailed evidence is heavily concentrated in Agbogbloshie and often in male workers.</w:t>
            </w:r>
          </w:p>
        </w:tc>
        <w:tc>
          <w:tcPr>
            <w:tcW w:w="1069" w:type="pct"/>
            <w:tcMar>
              <w:top w:w="85" w:type="dxa"/>
              <w:left w:w="90" w:type="dxa"/>
              <w:bottom w:w="85" w:type="dxa"/>
              <w:right w:w="90" w:type="dxa"/>
            </w:tcMar>
            <w:vAlign w:val="center"/>
          </w:tcPr>
          <w:p w14:paraId="564FC41E" w14:textId="77777777" w:rsidR="0020504F" w:rsidRDefault="00000000">
            <w:pPr>
              <w:spacing w:after="0" w:line="240" w:lineRule="auto"/>
              <w:jc w:val="left"/>
            </w:pPr>
            <w:r>
              <w:rPr>
                <w:rFonts w:eastAsia="Times New Roman"/>
                <w:sz w:val="16"/>
              </w:rPr>
              <w:t>Findings may not generalise to indoor workshops, other waste streams, women, migrants or different regulatory settings.</w:t>
            </w:r>
          </w:p>
        </w:tc>
        <w:tc>
          <w:tcPr>
            <w:tcW w:w="1207" w:type="pct"/>
            <w:tcMar>
              <w:top w:w="85" w:type="dxa"/>
              <w:left w:w="90" w:type="dxa"/>
              <w:bottom w:w="85" w:type="dxa"/>
              <w:right w:w="90" w:type="dxa"/>
            </w:tcMar>
            <w:vAlign w:val="center"/>
          </w:tcPr>
          <w:p w14:paraId="4D238D90" w14:textId="77777777" w:rsidR="0020504F" w:rsidRDefault="00000000">
            <w:pPr>
              <w:spacing w:after="0" w:line="240" w:lineRule="auto"/>
              <w:jc w:val="left"/>
            </w:pPr>
            <w:r>
              <w:rPr>
                <w:rFonts w:eastAsia="Times New Roman"/>
                <w:sz w:val="16"/>
              </w:rPr>
              <w:t>Coordinated multisite protocols with sex-disaggregated reporting and underrepresented worker groups.</w:t>
            </w:r>
          </w:p>
        </w:tc>
        <w:tc>
          <w:tcPr>
            <w:tcW w:w="676" w:type="pct"/>
            <w:tcMar>
              <w:top w:w="85" w:type="dxa"/>
              <w:left w:w="90" w:type="dxa"/>
              <w:bottom w:w="85" w:type="dxa"/>
              <w:right w:w="90" w:type="dxa"/>
            </w:tcMar>
            <w:vAlign w:val="center"/>
          </w:tcPr>
          <w:p w14:paraId="67FA9EE8" w14:textId="77777777" w:rsidR="0020504F" w:rsidRDefault="00000000">
            <w:pPr>
              <w:spacing w:after="0" w:line="240" w:lineRule="auto"/>
              <w:jc w:val="left"/>
            </w:pPr>
            <w:r>
              <w:rPr>
                <w:rFonts w:eastAsia="Times New Roman"/>
                <w:sz w:val="16"/>
              </w:rPr>
              <w:t>(Issah et al., 2022b; Yohannessen et al., 2019)</w:t>
            </w:r>
          </w:p>
        </w:tc>
      </w:tr>
    </w:tbl>
    <w:p w14:paraId="1DE11586" w14:textId="77777777" w:rsidR="0020504F" w:rsidRDefault="00000000">
      <w:pPr>
        <w:keepLines/>
        <w:spacing w:before="60" w:after="140"/>
      </w:pPr>
      <w:r>
        <w:rPr>
          <w:rFonts w:eastAsia="Times New Roman"/>
          <w:i/>
          <w:sz w:val="17"/>
        </w:rPr>
        <w:t>Note. Bias direction is context dependent; the table identifies common mechanisms rather than assigning a formal risk-of-bias score to individual studies.</w:t>
      </w:r>
    </w:p>
    <w:p w14:paraId="5F03810E" w14:textId="77777777" w:rsidR="0020504F" w:rsidRDefault="00000000">
      <w:pPr>
        <w:pStyle w:val="Heading1"/>
      </w:pPr>
      <w:r>
        <w:lastRenderedPageBreak/>
        <w:t>7. Prevention, Formalisation and Public Health Translation</w:t>
      </w:r>
    </w:p>
    <w:p w14:paraId="247AEBF3" w14:textId="77777777" w:rsidR="0020504F" w:rsidRDefault="00000000">
      <w:pPr>
        <w:pStyle w:val="Heading2"/>
      </w:pPr>
      <w:r>
        <w:t>7.1 The Hierarchy of Controls in an Informal Economy</w:t>
      </w:r>
    </w:p>
    <w:p w14:paraId="1ABA9867" w14:textId="77777777" w:rsidR="0020504F" w:rsidRDefault="00000000">
      <w:pPr>
        <w:ind w:firstLine="259"/>
      </w:pPr>
      <w:r>
        <w:rPr>
          <w:rFonts w:eastAsia="Times New Roman"/>
        </w:rPr>
        <w:t>The available evidence supports prevention now even where disease causality remains incomplete. Occupational hygiene does not require proof of clinical disease before controlling a demonstrably hazardous exposure. Personal PM measurements, contaminated dust, elevated biological metals and PAH metabolites, and task-related exposure patterns provide sufficient justification for source reduction. The most important principle is that control should follow a hierarchy: eliminate or substitute hazardous inputs where feasible, reduce emissions through engineering and process change, redesign work, provide hygiene and protective equipment, and use health surveillance to detect remaining risk. Reliance on personal protective equipment alone places responsibility on workers while leaving the emission source unchanged.</w:t>
      </w:r>
    </w:p>
    <w:p w14:paraId="03757A11" w14:textId="77777777" w:rsidR="0020504F" w:rsidRDefault="00000000">
      <w:pPr>
        <w:ind w:firstLine="259"/>
      </w:pPr>
      <w:r>
        <w:rPr>
          <w:rFonts w:eastAsia="Times New Roman"/>
        </w:rPr>
        <w:t>At the product level, safer chemistry and design for disassembly can reduce the hazards presented to recyclers. Ceballos and Dong (2016) argued that even formal electronics recycling can retain significant chemical exposures and identified product redesign as part of the long-term solution. This is particularly important because informal workers cannot control the chemical composition of discarded devices. Extended producer responsibility, restrictions on hazardous substances and design standards can therefore function as upstream occupational-health interventions when they reduce hazardous material entering the waste stream.</w:t>
      </w:r>
    </w:p>
    <w:p w14:paraId="4CD89F10" w14:textId="77777777" w:rsidR="0020504F" w:rsidRDefault="00000000">
      <w:pPr>
        <w:ind w:firstLine="259"/>
      </w:pPr>
      <w:r>
        <w:rPr>
          <w:rFonts w:eastAsia="Times New Roman"/>
        </w:rPr>
        <w:t>At the process level, the priority is to replace open burning, uncontrolled heating and acid-based recovery with contained or mechanised processes that capture emissions. Local exhaust ventilation, enclosed separation, wet methods for dust suppression where technically suitable, guarded tools, stable work surfaces and safer cable-stripping technologies can reduce both chemical and traumatic hazards. The feasibility of such controls depends on electricity, maintenance, throughput, access to replacement parts and whether the recovered value covers operating costs. Research on technology adoption at Agbogbloshie has shown that practical and economic barriers can prevent use of ostensibly safer methods, so technology transfer without attention to worker incentives and maintenance is unlikely to be durable (Adanu et al., 2020).</w:t>
      </w:r>
    </w:p>
    <w:p w14:paraId="2D5B0E31" w14:textId="77777777" w:rsidR="0020504F" w:rsidRDefault="00000000">
      <w:pPr>
        <w:pStyle w:val="Heading2"/>
      </w:pPr>
      <w:r>
        <w:t>7.2 Hygiene, Respiratory Protection and Training</w:t>
      </w:r>
    </w:p>
    <w:p w14:paraId="193C3E6D" w14:textId="77777777" w:rsidR="0020504F" w:rsidRDefault="00000000">
      <w:pPr>
        <w:ind w:firstLine="259"/>
      </w:pPr>
      <w:r>
        <w:rPr>
          <w:rFonts w:eastAsia="Times New Roman"/>
        </w:rPr>
        <w:t>Hygiene and personal protection remain necessary as supplementary controls. Surveys from Nigeria and India show substantial gaps in knowledge and low protective-equipment use (Ohajinwa et al., 2017; Singhal et al., 2021). Yet training should be tied to material support. Hand-washing stations, clean eating areas, changing facilities and secure storage for work clothes can interrupt ingestion and take-home pathways. The Hong Kong study by Liao et al. (2025) found that workers reporting increased respiratory protective equipment use and hand-washing frequency had lower urinary levels of several pollutants. The study is observational and pandemic-era behaviour may have co-varied with other factors, but it provides rare worker-specific evidence that protective practices can be associated with lower internal exposure.</w:t>
      </w:r>
    </w:p>
    <w:p w14:paraId="3733A028" w14:textId="77777777" w:rsidR="0020504F" w:rsidRDefault="00000000">
      <w:pPr>
        <w:ind w:firstLine="259"/>
      </w:pPr>
      <w:r>
        <w:rPr>
          <w:rFonts w:eastAsia="Times New Roman"/>
        </w:rPr>
        <w:t>Respiratory protection must be matched to the hazard. Medical or cloth masks are not equivalent to properly selected particulate respirators and do not protect against many vapours or gases. A protection programme also requires fit, replacement, cleaning and user training. In hot informal settings, sustained use may be difficult; therefore, respirators should not be used to justify continued uncontrolled burning. Gloves likewise need to balance cut resistance, chemical compatibility and dexterity. Poorly selected gloves can create new hazards if they snag in equipment or become heavily contaminated.</w:t>
      </w:r>
    </w:p>
    <w:p w14:paraId="52940016" w14:textId="77777777" w:rsidR="0020504F" w:rsidRDefault="00000000">
      <w:pPr>
        <w:pStyle w:val="Heading2"/>
      </w:pPr>
      <w:r>
        <w:t>7.3 Formalisation Without Risk Displacement</w:t>
      </w:r>
    </w:p>
    <w:p w14:paraId="12D438DE" w14:textId="77777777" w:rsidR="0020504F" w:rsidRDefault="00000000">
      <w:pPr>
        <w:ind w:firstLine="259"/>
      </w:pPr>
      <w:r>
        <w:rPr>
          <w:rFonts w:eastAsia="Times New Roman"/>
        </w:rPr>
        <w:t xml:space="preserve">Formalisation is often presented as the principal policy solution, but the evidence supports a more conditional view. Formal facilities can provide ventilation, mechanisation, training, record keeping and access to occupational health services. They can also create entry barriers that exclude independent workers or shift the dirtiest tasks to subcontractors. Yohannessen et al. (2019), comparing informal and formal e-waste workers in </w:t>
      </w:r>
      <w:r>
        <w:rPr>
          <w:rFonts w:eastAsia="Times New Roman"/>
        </w:rPr>
        <w:lastRenderedPageBreak/>
        <w:t>Chile, found relatively modest differences in many self-reported health indicators, reminding policymakers that a formal label does not guarantee low exposure. Ceballos and Dong (2016) similarly documented persistent chemical exposures in formal recycling.</w:t>
      </w:r>
    </w:p>
    <w:p w14:paraId="72964D33" w14:textId="77777777" w:rsidR="0020504F" w:rsidRDefault="00000000">
      <w:pPr>
        <w:ind w:firstLine="259"/>
      </w:pPr>
      <w:r>
        <w:rPr>
          <w:rFonts w:eastAsia="Times New Roman"/>
        </w:rPr>
        <w:t>A just transition therefore requires more than enforcement against informal sites. Workers need viable routes into safer value chains, recognition of existing repair and material-recovery skills, access to cooperatives or collection contracts, fair purchasing arrangements, and social protection during process change. If open burning is banned without alternative stripping technology or markets, workers may relocate the activity to less visible places, reducing observability without reducing exposure. Policy evaluation should therefore measure exposure displacement, income effects and worker retention alongside compliance.</w:t>
      </w:r>
    </w:p>
    <w:p w14:paraId="0B1C9258" w14:textId="77777777" w:rsidR="0020504F" w:rsidRDefault="00000000">
      <w:pPr>
        <w:pStyle w:val="Heading2"/>
      </w:pPr>
      <w:r>
        <w:t>7.4 Surveillance, Governance and Shared Responsibility</w:t>
      </w:r>
    </w:p>
    <w:p w14:paraId="6226F456" w14:textId="77777777" w:rsidR="0020504F" w:rsidRDefault="00000000">
      <w:pPr>
        <w:ind w:firstLine="259"/>
      </w:pPr>
      <w:r>
        <w:rPr>
          <w:rFonts w:eastAsia="Times New Roman"/>
        </w:rPr>
        <w:t>Occupational health surveillance in informal settings should be proportionate and actionable. Baseline and periodic assessment can include symptom history, blood pressure, respiratory evaluation, injury surveillance and selected biomonitoring where validated interpretation and follow-up are available. Screening without access to clinical care creates an ethical problem, particularly for lead or renal abnormalities. Surveillance programmes therefore need referral pathways and should avoid using individual biomarker results as grounds for punitive exclusion from work.</w:t>
      </w:r>
    </w:p>
    <w:p w14:paraId="0B787431" w14:textId="77777777" w:rsidR="0020504F" w:rsidRDefault="00000000">
      <w:pPr>
        <w:ind w:firstLine="259"/>
      </w:pPr>
      <w:r>
        <w:rPr>
          <w:rFonts w:eastAsia="Times New Roman"/>
        </w:rPr>
        <w:t>International governance matters because e-waste flows and product markets cross borders. The Basel Convention provides a framework for controlling transboundary movements of hazardous wastes and has developed technical guidance specific to electrical and electronic waste (Basel Convention, 2023). WHO guidance frames unsafe recycling as both an occupational and community health concern (World Health Organization, 2024). These frameworks are necessary but operate upstream from the daily conditions of dismantling and recovery. Their occupational-health value depends on national enforcement, collection infrastructure, financing and integration with labour and public-health systems.</w:t>
      </w:r>
    </w:p>
    <w:p w14:paraId="270E3353" w14:textId="77777777" w:rsidR="0020504F" w:rsidRDefault="00000000">
      <w:pPr>
        <w:ind w:firstLine="259"/>
      </w:pPr>
      <w:r>
        <w:rPr>
          <w:rFonts w:eastAsia="Times New Roman"/>
        </w:rPr>
        <w:t>Table 5 translates the evidence into a layered prevention framework. The table deliberately distinguishes controls supported by direct worker evidence from those justified primarily by established occupational-hygiene principles and governance logic. This distinction prevents intervention recommendations from appearing more empirically tested in informal e-waste settings than they are.</w:t>
      </w:r>
    </w:p>
    <w:p w14:paraId="66D3C17B" w14:textId="77777777" w:rsidR="0020504F" w:rsidRDefault="00000000">
      <w:pPr>
        <w:keepNext/>
        <w:spacing w:before="120" w:after="80"/>
      </w:pPr>
      <w:r>
        <w:rPr>
          <w:rFonts w:eastAsia="Times New Roman"/>
          <w:b/>
          <w:sz w:val="20"/>
        </w:rPr>
        <w:t>Table 5. Layered prevention framework for informal e-waste recycling</w:t>
      </w:r>
    </w:p>
    <w:tbl>
      <w:tblPr>
        <w:tblStyle w:val="TableGrid"/>
        <w:tblW w:w="5000" w:type="pct"/>
        <w:jc w:val="center"/>
        <w:tblLook w:val="04A0" w:firstRow="1" w:lastRow="0" w:firstColumn="1" w:lastColumn="0" w:noHBand="0" w:noVBand="1"/>
      </w:tblPr>
      <w:tblGrid>
        <w:gridCol w:w="1547"/>
        <w:gridCol w:w="2949"/>
        <w:gridCol w:w="2177"/>
        <w:gridCol w:w="2177"/>
        <w:gridCol w:w="1334"/>
      </w:tblGrid>
      <w:tr w:rsidR="0020504F" w14:paraId="467F7114" w14:textId="77777777" w:rsidTr="0058340A">
        <w:trPr>
          <w:cantSplit/>
          <w:tblHeader/>
          <w:jc w:val="center"/>
        </w:trPr>
        <w:tc>
          <w:tcPr>
            <w:tcW w:w="759" w:type="pct"/>
            <w:shd w:val="clear" w:color="auto" w:fill="1F4E79"/>
            <w:tcMar>
              <w:top w:w="95" w:type="dxa"/>
              <w:left w:w="95" w:type="dxa"/>
              <w:bottom w:w="95" w:type="dxa"/>
              <w:right w:w="95" w:type="dxa"/>
            </w:tcMar>
            <w:vAlign w:val="center"/>
          </w:tcPr>
          <w:p w14:paraId="64B26CB7" w14:textId="77777777" w:rsidR="0020504F" w:rsidRDefault="00000000">
            <w:pPr>
              <w:spacing w:after="0" w:line="240" w:lineRule="auto"/>
              <w:jc w:val="center"/>
            </w:pPr>
            <w:r>
              <w:rPr>
                <w:rFonts w:eastAsia="Times New Roman"/>
                <w:b/>
                <w:color w:val="FFFFFF"/>
                <w:sz w:val="16"/>
              </w:rPr>
              <w:t>Prevention level</w:t>
            </w:r>
          </w:p>
        </w:tc>
        <w:tc>
          <w:tcPr>
            <w:tcW w:w="1448" w:type="pct"/>
            <w:shd w:val="clear" w:color="auto" w:fill="1F4E79"/>
            <w:tcMar>
              <w:top w:w="95" w:type="dxa"/>
              <w:left w:w="95" w:type="dxa"/>
              <w:bottom w:w="95" w:type="dxa"/>
              <w:right w:w="95" w:type="dxa"/>
            </w:tcMar>
            <w:vAlign w:val="center"/>
          </w:tcPr>
          <w:p w14:paraId="2C018AF0" w14:textId="77777777" w:rsidR="0020504F" w:rsidRDefault="00000000">
            <w:pPr>
              <w:spacing w:after="0" w:line="240" w:lineRule="auto"/>
              <w:jc w:val="center"/>
            </w:pPr>
            <w:r>
              <w:rPr>
                <w:rFonts w:eastAsia="Times New Roman"/>
                <w:b/>
                <w:color w:val="FFFFFF"/>
                <w:sz w:val="16"/>
              </w:rPr>
              <w:t>Example actions</w:t>
            </w:r>
          </w:p>
        </w:tc>
        <w:tc>
          <w:tcPr>
            <w:tcW w:w="1069" w:type="pct"/>
            <w:shd w:val="clear" w:color="auto" w:fill="1F4E79"/>
            <w:tcMar>
              <w:top w:w="95" w:type="dxa"/>
              <w:left w:w="95" w:type="dxa"/>
              <w:bottom w:w="95" w:type="dxa"/>
              <w:right w:w="95" w:type="dxa"/>
            </w:tcMar>
            <w:vAlign w:val="center"/>
          </w:tcPr>
          <w:p w14:paraId="523BE696" w14:textId="77777777" w:rsidR="0020504F" w:rsidRDefault="00000000">
            <w:pPr>
              <w:spacing w:after="0" w:line="240" w:lineRule="auto"/>
              <w:jc w:val="center"/>
            </w:pPr>
            <w:r>
              <w:rPr>
                <w:rFonts w:eastAsia="Times New Roman"/>
                <w:b/>
                <w:color w:val="FFFFFF"/>
                <w:sz w:val="16"/>
              </w:rPr>
              <w:t>Evidence basis</w:t>
            </w:r>
          </w:p>
        </w:tc>
        <w:tc>
          <w:tcPr>
            <w:tcW w:w="1069" w:type="pct"/>
            <w:shd w:val="clear" w:color="auto" w:fill="1F4E79"/>
            <w:tcMar>
              <w:top w:w="95" w:type="dxa"/>
              <w:left w:w="95" w:type="dxa"/>
              <w:bottom w:w="95" w:type="dxa"/>
              <w:right w:w="95" w:type="dxa"/>
            </w:tcMar>
            <w:vAlign w:val="center"/>
          </w:tcPr>
          <w:p w14:paraId="5F09FAAE" w14:textId="77777777" w:rsidR="0020504F" w:rsidRDefault="00000000">
            <w:pPr>
              <w:spacing w:after="0" w:line="240" w:lineRule="auto"/>
              <w:jc w:val="center"/>
            </w:pPr>
            <w:r>
              <w:rPr>
                <w:rFonts w:eastAsia="Times New Roman"/>
                <w:b/>
                <w:color w:val="FFFFFF"/>
                <w:sz w:val="16"/>
              </w:rPr>
              <w:t>Implementation caveat</w:t>
            </w:r>
          </w:p>
        </w:tc>
        <w:tc>
          <w:tcPr>
            <w:tcW w:w="655" w:type="pct"/>
            <w:shd w:val="clear" w:color="auto" w:fill="1F4E79"/>
            <w:tcMar>
              <w:top w:w="95" w:type="dxa"/>
              <w:left w:w="95" w:type="dxa"/>
              <w:bottom w:w="95" w:type="dxa"/>
              <w:right w:w="95" w:type="dxa"/>
            </w:tcMar>
            <w:vAlign w:val="center"/>
          </w:tcPr>
          <w:p w14:paraId="1CE2DE86" w14:textId="77777777" w:rsidR="0020504F" w:rsidRDefault="00000000">
            <w:pPr>
              <w:spacing w:after="0" w:line="240" w:lineRule="auto"/>
              <w:jc w:val="center"/>
            </w:pPr>
            <w:r>
              <w:rPr>
                <w:rFonts w:eastAsia="Times New Roman"/>
                <w:b/>
                <w:color w:val="FFFFFF"/>
                <w:sz w:val="16"/>
              </w:rPr>
              <w:t>Supporting references</w:t>
            </w:r>
          </w:p>
        </w:tc>
      </w:tr>
      <w:tr w:rsidR="0020504F" w14:paraId="72BC4FEA" w14:textId="77777777" w:rsidTr="0058340A">
        <w:trPr>
          <w:cantSplit/>
          <w:jc w:val="center"/>
        </w:trPr>
        <w:tc>
          <w:tcPr>
            <w:tcW w:w="759" w:type="pct"/>
            <w:shd w:val="clear" w:color="auto" w:fill="EAF2F8"/>
            <w:tcMar>
              <w:top w:w="85" w:type="dxa"/>
              <w:left w:w="90" w:type="dxa"/>
              <w:bottom w:w="85" w:type="dxa"/>
              <w:right w:w="90" w:type="dxa"/>
            </w:tcMar>
            <w:vAlign w:val="center"/>
          </w:tcPr>
          <w:p w14:paraId="2221E129" w14:textId="77777777" w:rsidR="0020504F" w:rsidRDefault="00000000">
            <w:pPr>
              <w:spacing w:after="0" w:line="240" w:lineRule="auto"/>
              <w:jc w:val="left"/>
            </w:pPr>
            <w:r>
              <w:rPr>
                <w:rFonts w:eastAsia="Times New Roman"/>
                <w:sz w:val="16"/>
              </w:rPr>
              <w:t>Upstream product and trade controls</w:t>
            </w:r>
          </w:p>
        </w:tc>
        <w:tc>
          <w:tcPr>
            <w:tcW w:w="1448" w:type="pct"/>
            <w:tcMar>
              <w:top w:w="85" w:type="dxa"/>
              <w:left w:w="90" w:type="dxa"/>
              <w:bottom w:w="85" w:type="dxa"/>
              <w:right w:w="90" w:type="dxa"/>
            </w:tcMar>
            <w:vAlign w:val="center"/>
          </w:tcPr>
          <w:p w14:paraId="08C7B405" w14:textId="77777777" w:rsidR="0020504F" w:rsidRDefault="00000000">
            <w:pPr>
              <w:spacing w:after="0" w:line="240" w:lineRule="auto"/>
              <w:jc w:val="left"/>
            </w:pPr>
            <w:r>
              <w:rPr>
                <w:rFonts w:eastAsia="Times New Roman"/>
                <w:sz w:val="16"/>
              </w:rPr>
              <w:t>Reduce hazardous constituents, design for repair and disassembly, finance accountable collection, and enforce controls on transboundary waste movements.</w:t>
            </w:r>
          </w:p>
        </w:tc>
        <w:tc>
          <w:tcPr>
            <w:tcW w:w="1069" w:type="pct"/>
            <w:tcMar>
              <w:top w:w="85" w:type="dxa"/>
              <w:left w:w="90" w:type="dxa"/>
              <w:bottom w:w="85" w:type="dxa"/>
              <w:right w:w="90" w:type="dxa"/>
            </w:tcMar>
            <w:vAlign w:val="center"/>
          </w:tcPr>
          <w:p w14:paraId="7051DA49" w14:textId="77777777" w:rsidR="0020504F" w:rsidRDefault="00000000">
            <w:pPr>
              <w:spacing w:after="0" w:line="240" w:lineRule="auto"/>
              <w:jc w:val="left"/>
            </w:pPr>
            <w:r>
              <w:rPr>
                <w:rFonts w:eastAsia="Times New Roman"/>
                <w:sz w:val="16"/>
              </w:rPr>
              <w:t>Hazards reaching workers are partly determined before end-of-life processing; international guidance places prevention across the product and waste chain.</w:t>
            </w:r>
          </w:p>
        </w:tc>
        <w:tc>
          <w:tcPr>
            <w:tcW w:w="1069" w:type="pct"/>
            <w:tcMar>
              <w:top w:w="85" w:type="dxa"/>
              <w:left w:w="90" w:type="dxa"/>
              <w:bottom w:w="85" w:type="dxa"/>
              <w:right w:w="90" w:type="dxa"/>
            </w:tcMar>
            <w:vAlign w:val="center"/>
          </w:tcPr>
          <w:p w14:paraId="0F3024C0" w14:textId="77777777" w:rsidR="0020504F" w:rsidRDefault="00000000">
            <w:pPr>
              <w:spacing w:after="0" w:line="240" w:lineRule="auto"/>
              <w:jc w:val="left"/>
            </w:pPr>
            <w:r>
              <w:rPr>
                <w:rFonts w:eastAsia="Times New Roman"/>
                <w:sz w:val="16"/>
              </w:rPr>
              <w:t>Governance measures can fail if collection systems are inaccessible or if costs are shifted onto low-income workers.</w:t>
            </w:r>
          </w:p>
        </w:tc>
        <w:tc>
          <w:tcPr>
            <w:tcW w:w="655" w:type="pct"/>
            <w:tcMar>
              <w:top w:w="85" w:type="dxa"/>
              <w:left w:w="90" w:type="dxa"/>
              <w:bottom w:w="85" w:type="dxa"/>
              <w:right w:w="90" w:type="dxa"/>
            </w:tcMar>
            <w:vAlign w:val="center"/>
          </w:tcPr>
          <w:p w14:paraId="44FE8189" w14:textId="77777777" w:rsidR="0020504F" w:rsidRDefault="00000000">
            <w:pPr>
              <w:spacing w:after="0" w:line="240" w:lineRule="auto"/>
              <w:jc w:val="left"/>
            </w:pPr>
            <w:r>
              <w:rPr>
                <w:rFonts w:eastAsia="Times New Roman"/>
                <w:sz w:val="16"/>
              </w:rPr>
              <w:t>(Basel Convention, 2023; Ceballos &amp; Dong, 2016; World Health Organization, 2024)</w:t>
            </w:r>
          </w:p>
        </w:tc>
      </w:tr>
      <w:tr w:rsidR="0020504F" w14:paraId="407A2087" w14:textId="77777777" w:rsidTr="0058340A">
        <w:trPr>
          <w:cantSplit/>
          <w:jc w:val="center"/>
        </w:trPr>
        <w:tc>
          <w:tcPr>
            <w:tcW w:w="759" w:type="pct"/>
            <w:tcMar>
              <w:top w:w="85" w:type="dxa"/>
              <w:left w:w="90" w:type="dxa"/>
              <w:bottom w:w="85" w:type="dxa"/>
              <w:right w:w="90" w:type="dxa"/>
            </w:tcMar>
            <w:vAlign w:val="center"/>
          </w:tcPr>
          <w:p w14:paraId="3D52BA78" w14:textId="77777777" w:rsidR="0020504F" w:rsidRDefault="00000000">
            <w:pPr>
              <w:spacing w:after="0" w:line="240" w:lineRule="auto"/>
              <w:jc w:val="left"/>
            </w:pPr>
            <w:r>
              <w:rPr>
                <w:rFonts w:eastAsia="Times New Roman"/>
                <w:sz w:val="16"/>
              </w:rPr>
              <w:t>Elimination or substitution of high-emission practices</w:t>
            </w:r>
          </w:p>
        </w:tc>
        <w:tc>
          <w:tcPr>
            <w:tcW w:w="1448" w:type="pct"/>
            <w:tcMar>
              <w:top w:w="85" w:type="dxa"/>
              <w:left w:w="90" w:type="dxa"/>
              <w:bottom w:w="85" w:type="dxa"/>
              <w:right w:w="90" w:type="dxa"/>
            </w:tcMar>
            <w:vAlign w:val="center"/>
          </w:tcPr>
          <w:p w14:paraId="29C86E2E" w14:textId="77777777" w:rsidR="0020504F" w:rsidRDefault="00000000">
            <w:pPr>
              <w:spacing w:after="0" w:line="240" w:lineRule="auto"/>
              <w:jc w:val="left"/>
            </w:pPr>
            <w:r>
              <w:rPr>
                <w:rFonts w:eastAsia="Times New Roman"/>
                <w:sz w:val="16"/>
              </w:rPr>
              <w:t>Replace open burning and uncontrolled heating with contained cable stripping, mechanical separation or other lower-emission recovery methods.</w:t>
            </w:r>
          </w:p>
        </w:tc>
        <w:tc>
          <w:tcPr>
            <w:tcW w:w="1069" w:type="pct"/>
            <w:tcMar>
              <w:top w:w="85" w:type="dxa"/>
              <w:left w:w="90" w:type="dxa"/>
              <w:bottom w:w="85" w:type="dxa"/>
              <w:right w:w="90" w:type="dxa"/>
            </w:tcMar>
            <w:vAlign w:val="center"/>
          </w:tcPr>
          <w:p w14:paraId="0937935C" w14:textId="77777777" w:rsidR="0020504F" w:rsidRDefault="00000000">
            <w:pPr>
              <w:spacing w:after="0" w:line="240" w:lineRule="auto"/>
              <w:jc w:val="left"/>
            </w:pPr>
            <w:r>
              <w:rPr>
                <w:rFonts w:eastAsia="Times New Roman"/>
                <w:sz w:val="16"/>
              </w:rPr>
              <w:t>Personal and area monitoring consistently identifies combustion and high-emission recovery as major exposure sources.</w:t>
            </w:r>
          </w:p>
        </w:tc>
        <w:tc>
          <w:tcPr>
            <w:tcW w:w="1069" w:type="pct"/>
            <w:tcMar>
              <w:top w:w="85" w:type="dxa"/>
              <w:left w:w="90" w:type="dxa"/>
              <w:bottom w:w="85" w:type="dxa"/>
              <w:right w:w="90" w:type="dxa"/>
            </w:tcMar>
            <w:vAlign w:val="center"/>
          </w:tcPr>
          <w:p w14:paraId="341CF030" w14:textId="77777777" w:rsidR="0020504F" w:rsidRDefault="00000000">
            <w:pPr>
              <w:spacing w:after="0" w:line="240" w:lineRule="auto"/>
              <w:jc w:val="left"/>
            </w:pPr>
            <w:r>
              <w:rPr>
                <w:rFonts w:eastAsia="Times New Roman"/>
                <w:sz w:val="16"/>
              </w:rPr>
              <w:t>Alternatives must preserve material recovery value and be affordable, maintainable and locally repairable.</w:t>
            </w:r>
          </w:p>
        </w:tc>
        <w:tc>
          <w:tcPr>
            <w:tcW w:w="655" w:type="pct"/>
            <w:tcMar>
              <w:top w:w="85" w:type="dxa"/>
              <w:left w:w="90" w:type="dxa"/>
              <w:bottom w:w="85" w:type="dxa"/>
              <w:right w:w="90" w:type="dxa"/>
            </w:tcMar>
            <w:vAlign w:val="center"/>
          </w:tcPr>
          <w:p w14:paraId="55372B04" w14:textId="77777777" w:rsidR="0020504F" w:rsidRDefault="00000000">
            <w:pPr>
              <w:spacing w:after="0" w:line="240" w:lineRule="auto"/>
              <w:jc w:val="left"/>
            </w:pPr>
            <w:r>
              <w:rPr>
                <w:rFonts w:eastAsia="Times New Roman"/>
                <w:sz w:val="16"/>
              </w:rPr>
              <w:t>(Feldt et al., 2014; Kwarteng et al., 2022; Laskaris et al., 2021)</w:t>
            </w:r>
          </w:p>
        </w:tc>
      </w:tr>
      <w:tr w:rsidR="0020504F" w14:paraId="44F96A61" w14:textId="77777777" w:rsidTr="0058340A">
        <w:trPr>
          <w:cantSplit/>
          <w:jc w:val="center"/>
        </w:trPr>
        <w:tc>
          <w:tcPr>
            <w:tcW w:w="759" w:type="pct"/>
            <w:shd w:val="clear" w:color="auto" w:fill="EAF2F8"/>
            <w:tcMar>
              <w:top w:w="85" w:type="dxa"/>
              <w:left w:w="90" w:type="dxa"/>
              <w:bottom w:w="85" w:type="dxa"/>
              <w:right w:w="90" w:type="dxa"/>
            </w:tcMar>
            <w:vAlign w:val="center"/>
          </w:tcPr>
          <w:p w14:paraId="283EC059" w14:textId="77777777" w:rsidR="0020504F" w:rsidRDefault="00000000">
            <w:pPr>
              <w:spacing w:after="0" w:line="240" w:lineRule="auto"/>
              <w:jc w:val="left"/>
            </w:pPr>
            <w:r>
              <w:rPr>
                <w:rFonts w:eastAsia="Times New Roman"/>
                <w:sz w:val="16"/>
              </w:rPr>
              <w:t>Engineering and process controls</w:t>
            </w:r>
          </w:p>
        </w:tc>
        <w:tc>
          <w:tcPr>
            <w:tcW w:w="1448" w:type="pct"/>
            <w:tcMar>
              <w:top w:w="85" w:type="dxa"/>
              <w:left w:w="90" w:type="dxa"/>
              <w:bottom w:w="85" w:type="dxa"/>
              <w:right w:w="90" w:type="dxa"/>
            </w:tcMar>
            <w:vAlign w:val="center"/>
          </w:tcPr>
          <w:p w14:paraId="0A65DFFD" w14:textId="77777777" w:rsidR="0020504F" w:rsidRDefault="00000000">
            <w:pPr>
              <w:spacing w:after="0" w:line="240" w:lineRule="auto"/>
              <w:jc w:val="left"/>
            </w:pPr>
            <w:r>
              <w:rPr>
                <w:rFonts w:eastAsia="Times New Roman"/>
                <w:sz w:val="16"/>
              </w:rPr>
              <w:t>Local exhaust ventilation, enclosure, dust capture or suppression, safer hand tools, guarded cutting and improved workflow layout.</w:t>
            </w:r>
          </w:p>
        </w:tc>
        <w:tc>
          <w:tcPr>
            <w:tcW w:w="1069" w:type="pct"/>
            <w:tcMar>
              <w:top w:w="85" w:type="dxa"/>
              <w:left w:w="90" w:type="dxa"/>
              <w:bottom w:w="85" w:type="dxa"/>
              <w:right w:w="90" w:type="dxa"/>
            </w:tcMar>
            <w:vAlign w:val="center"/>
          </w:tcPr>
          <w:p w14:paraId="014EB598" w14:textId="77777777" w:rsidR="0020504F" w:rsidRDefault="00000000">
            <w:pPr>
              <w:spacing w:after="0" w:line="240" w:lineRule="auto"/>
              <w:jc w:val="left"/>
            </w:pPr>
            <w:r>
              <w:rPr>
                <w:rFonts w:eastAsia="Times New Roman"/>
                <w:sz w:val="16"/>
              </w:rPr>
              <w:t>Task-resolved exposure and ergonomic evidence indicates that source and tool modification can address chemical and injury pathways together.</w:t>
            </w:r>
          </w:p>
        </w:tc>
        <w:tc>
          <w:tcPr>
            <w:tcW w:w="1069" w:type="pct"/>
            <w:tcMar>
              <w:top w:w="85" w:type="dxa"/>
              <w:left w:w="90" w:type="dxa"/>
              <w:bottom w:w="85" w:type="dxa"/>
              <w:right w:w="90" w:type="dxa"/>
            </w:tcMar>
            <w:vAlign w:val="center"/>
          </w:tcPr>
          <w:p w14:paraId="4399430A" w14:textId="77777777" w:rsidR="0020504F" w:rsidRDefault="00000000">
            <w:pPr>
              <w:spacing w:after="0" w:line="240" w:lineRule="auto"/>
              <w:jc w:val="left"/>
            </w:pPr>
            <w:r>
              <w:rPr>
                <w:rFonts w:eastAsia="Times New Roman"/>
                <w:sz w:val="16"/>
              </w:rPr>
              <w:t>Capital cost, electricity, maintenance and access to replacement parts can limit uptake.</w:t>
            </w:r>
          </w:p>
        </w:tc>
        <w:tc>
          <w:tcPr>
            <w:tcW w:w="655" w:type="pct"/>
            <w:tcMar>
              <w:top w:w="85" w:type="dxa"/>
              <w:left w:w="90" w:type="dxa"/>
              <w:bottom w:w="85" w:type="dxa"/>
              <w:right w:w="90" w:type="dxa"/>
            </w:tcMar>
            <w:vAlign w:val="center"/>
          </w:tcPr>
          <w:p w14:paraId="69ADA0A9" w14:textId="77777777" w:rsidR="0020504F" w:rsidRDefault="00000000">
            <w:pPr>
              <w:spacing w:after="0" w:line="240" w:lineRule="auto"/>
              <w:jc w:val="left"/>
            </w:pPr>
            <w:r>
              <w:rPr>
                <w:rFonts w:eastAsia="Times New Roman"/>
                <w:sz w:val="16"/>
              </w:rPr>
              <w:t>(Acquah et al., 2021; Adanu et al., 2020; Lau et al., 2014)</w:t>
            </w:r>
          </w:p>
        </w:tc>
      </w:tr>
      <w:tr w:rsidR="0020504F" w14:paraId="6DA04F30" w14:textId="77777777" w:rsidTr="0058340A">
        <w:trPr>
          <w:cantSplit/>
          <w:jc w:val="center"/>
        </w:trPr>
        <w:tc>
          <w:tcPr>
            <w:tcW w:w="759" w:type="pct"/>
            <w:tcMar>
              <w:top w:w="85" w:type="dxa"/>
              <w:left w:w="90" w:type="dxa"/>
              <w:bottom w:w="85" w:type="dxa"/>
              <w:right w:w="90" w:type="dxa"/>
            </w:tcMar>
            <w:vAlign w:val="center"/>
          </w:tcPr>
          <w:p w14:paraId="2F72F62A" w14:textId="77777777" w:rsidR="0020504F" w:rsidRDefault="00000000">
            <w:pPr>
              <w:spacing w:after="0" w:line="240" w:lineRule="auto"/>
              <w:jc w:val="left"/>
            </w:pPr>
            <w:r>
              <w:rPr>
                <w:rFonts w:eastAsia="Times New Roman"/>
                <w:sz w:val="16"/>
              </w:rPr>
              <w:lastRenderedPageBreak/>
              <w:t>Work organisation and hygiene</w:t>
            </w:r>
          </w:p>
        </w:tc>
        <w:tc>
          <w:tcPr>
            <w:tcW w:w="1448" w:type="pct"/>
            <w:tcMar>
              <w:top w:w="85" w:type="dxa"/>
              <w:left w:w="90" w:type="dxa"/>
              <w:bottom w:w="85" w:type="dxa"/>
              <w:right w:w="90" w:type="dxa"/>
            </w:tcMar>
            <w:vAlign w:val="center"/>
          </w:tcPr>
          <w:p w14:paraId="685A6473" w14:textId="77777777" w:rsidR="0020504F" w:rsidRDefault="00000000">
            <w:pPr>
              <w:spacing w:after="0" w:line="240" w:lineRule="auto"/>
              <w:jc w:val="left"/>
            </w:pPr>
            <w:r>
              <w:rPr>
                <w:rFonts w:eastAsia="Times New Roman"/>
                <w:sz w:val="16"/>
              </w:rPr>
              <w:t>Separate clean eating areas, provide hand washing and changing facilities, schedule high-emission tasks away from crowded zones, and prevent contaminated clothing transfer.</w:t>
            </w:r>
          </w:p>
        </w:tc>
        <w:tc>
          <w:tcPr>
            <w:tcW w:w="1069" w:type="pct"/>
            <w:tcMar>
              <w:top w:w="85" w:type="dxa"/>
              <w:left w:w="90" w:type="dxa"/>
              <w:bottom w:w="85" w:type="dxa"/>
              <w:right w:w="90" w:type="dxa"/>
            </w:tcMar>
            <w:vAlign w:val="center"/>
          </w:tcPr>
          <w:p w14:paraId="6ECC7CA5" w14:textId="77777777" w:rsidR="0020504F" w:rsidRDefault="00000000">
            <w:pPr>
              <w:spacing w:after="0" w:line="240" w:lineRule="auto"/>
              <w:jc w:val="left"/>
            </w:pPr>
            <w:r>
              <w:rPr>
                <w:rFonts w:eastAsia="Times New Roman"/>
                <w:sz w:val="16"/>
              </w:rPr>
              <w:t>Worker observations and biomonitoring support hand-to-mouth and cross-contamination pathways; increased hand washing has been associated with lower urinary pollutant levels.</w:t>
            </w:r>
          </w:p>
        </w:tc>
        <w:tc>
          <w:tcPr>
            <w:tcW w:w="1069" w:type="pct"/>
            <w:tcMar>
              <w:top w:w="85" w:type="dxa"/>
              <w:left w:w="90" w:type="dxa"/>
              <w:bottom w:w="85" w:type="dxa"/>
              <w:right w:w="90" w:type="dxa"/>
            </w:tcMar>
            <w:vAlign w:val="center"/>
          </w:tcPr>
          <w:p w14:paraId="35D6C339" w14:textId="77777777" w:rsidR="0020504F" w:rsidRDefault="00000000">
            <w:pPr>
              <w:spacing w:after="0" w:line="240" w:lineRule="auto"/>
              <w:jc w:val="left"/>
            </w:pPr>
            <w:r>
              <w:rPr>
                <w:rFonts w:eastAsia="Times New Roman"/>
                <w:sz w:val="16"/>
              </w:rPr>
              <w:t>Water access, space, time pressure and piece-rate incentives can undermine sustained use.</w:t>
            </w:r>
          </w:p>
        </w:tc>
        <w:tc>
          <w:tcPr>
            <w:tcW w:w="655" w:type="pct"/>
            <w:tcMar>
              <w:top w:w="85" w:type="dxa"/>
              <w:left w:w="90" w:type="dxa"/>
              <w:bottom w:w="85" w:type="dxa"/>
              <w:right w:w="90" w:type="dxa"/>
            </w:tcMar>
            <w:vAlign w:val="center"/>
          </w:tcPr>
          <w:p w14:paraId="0B0C3029" w14:textId="77777777" w:rsidR="0020504F" w:rsidRDefault="00000000">
            <w:pPr>
              <w:spacing w:after="0" w:line="240" w:lineRule="auto"/>
              <w:jc w:val="left"/>
            </w:pPr>
            <w:r>
              <w:rPr>
                <w:rFonts w:eastAsia="Times New Roman"/>
                <w:sz w:val="16"/>
              </w:rPr>
              <w:t>(Liao et al., 2025; Singhal et al., 2021)</w:t>
            </w:r>
          </w:p>
        </w:tc>
      </w:tr>
      <w:tr w:rsidR="0020504F" w14:paraId="2FA64ED2" w14:textId="77777777" w:rsidTr="0058340A">
        <w:trPr>
          <w:cantSplit/>
          <w:jc w:val="center"/>
        </w:trPr>
        <w:tc>
          <w:tcPr>
            <w:tcW w:w="759" w:type="pct"/>
            <w:shd w:val="clear" w:color="auto" w:fill="EAF2F8"/>
            <w:tcMar>
              <w:top w:w="85" w:type="dxa"/>
              <w:left w:w="90" w:type="dxa"/>
              <w:bottom w:w="85" w:type="dxa"/>
              <w:right w:w="90" w:type="dxa"/>
            </w:tcMar>
            <w:vAlign w:val="center"/>
          </w:tcPr>
          <w:p w14:paraId="3A0ACA6A" w14:textId="77777777" w:rsidR="0020504F" w:rsidRDefault="00000000">
            <w:pPr>
              <w:spacing w:after="0" w:line="240" w:lineRule="auto"/>
              <w:jc w:val="left"/>
            </w:pPr>
            <w:r>
              <w:rPr>
                <w:rFonts w:eastAsia="Times New Roman"/>
                <w:sz w:val="16"/>
              </w:rPr>
              <w:t>RPE, gloves, eye protection and training</w:t>
            </w:r>
          </w:p>
        </w:tc>
        <w:tc>
          <w:tcPr>
            <w:tcW w:w="1448" w:type="pct"/>
            <w:tcMar>
              <w:top w:w="85" w:type="dxa"/>
              <w:left w:w="90" w:type="dxa"/>
              <w:bottom w:w="85" w:type="dxa"/>
              <w:right w:w="90" w:type="dxa"/>
            </w:tcMar>
            <w:vAlign w:val="center"/>
          </w:tcPr>
          <w:p w14:paraId="4B042697" w14:textId="77777777" w:rsidR="0020504F" w:rsidRDefault="00000000">
            <w:pPr>
              <w:spacing w:after="0" w:line="240" w:lineRule="auto"/>
              <w:jc w:val="left"/>
            </w:pPr>
            <w:r>
              <w:rPr>
                <w:rFonts w:eastAsia="Times New Roman"/>
                <w:sz w:val="16"/>
              </w:rPr>
              <w:t>Select hazard-appropriate RPE, fit and replace it properly, provide cut- and chemical-resistant gloves where compatible with the task, and deliver worker-led hazard training.</w:t>
            </w:r>
          </w:p>
        </w:tc>
        <w:tc>
          <w:tcPr>
            <w:tcW w:w="1069" w:type="pct"/>
            <w:tcMar>
              <w:top w:w="85" w:type="dxa"/>
              <w:left w:w="90" w:type="dxa"/>
              <w:bottom w:w="85" w:type="dxa"/>
              <w:right w:w="90" w:type="dxa"/>
            </w:tcMar>
            <w:vAlign w:val="center"/>
          </w:tcPr>
          <w:p w14:paraId="79493FC6" w14:textId="77777777" w:rsidR="0020504F" w:rsidRDefault="00000000">
            <w:pPr>
              <w:spacing w:after="0" w:line="240" w:lineRule="auto"/>
              <w:jc w:val="left"/>
            </w:pPr>
            <w:r>
              <w:rPr>
                <w:rFonts w:eastAsia="Times New Roman"/>
                <w:sz w:val="16"/>
              </w:rPr>
              <w:t>Protective behaviour can reduce exposure, and awareness studies identify major knowledge and equipment gaps.</w:t>
            </w:r>
          </w:p>
        </w:tc>
        <w:tc>
          <w:tcPr>
            <w:tcW w:w="1069" w:type="pct"/>
            <w:tcMar>
              <w:top w:w="85" w:type="dxa"/>
              <w:left w:w="90" w:type="dxa"/>
              <w:bottom w:w="85" w:type="dxa"/>
              <w:right w:w="90" w:type="dxa"/>
            </w:tcMar>
            <w:vAlign w:val="center"/>
          </w:tcPr>
          <w:p w14:paraId="0A2095BB" w14:textId="77777777" w:rsidR="0020504F" w:rsidRDefault="00000000">
            <w:pPr>
              <w:spacing w:after="0" w:line="240" w:lineRule="auto"/>
              <w:jc w:val="left"/>
            </w:pPr>
            <w:r>
              <w:rPr>
                <w:rFonts w:eastAsia="Times New Roman"/>
                <w:sz w:val="16"/>
              </w:rPr>
              <w:t>PPE is the least reliable layer when source emissions remain uncontrolled; heat and dexterity requirements affect adherence.</w:t>
            </w:r>
          </w:p>
        </w:tc>
        <w:tc>
          <w:tcPr>
            <w:tcW w:w="655" w:type="pct"/>
            <w:tcMar>
              <w:top w:w="85" w:type="dxa"/>
              <w:left w:w="90" w:type="dxa"/>
              <w:bottom w:w="85" w:type="dxa"/>
              <w:right w:w="90" w:type="dxa"/>
            </w:tcMar>
            <w:vAlign w:val="center"/>
          </w:tcPr>
          <w:p w14:paraId="1F1CD1B8" w14:textId="77777777" w:rsidR="0020504F" w:rsidRDefault="00000000">
            <w:pPr>
              <w:spacing w:after="0" w:line="240" w:lineRule="auto"/>
              <w:jc w:val="left"/>
            </w:pPr>
            <w:r>
              <w:rPr>
                <w:rFonts w:eastAsia="Times New Roman"/>
                <w:sz w:val="16"/>
              </w:rPr>
              <w:t>(Liao et al., 2025; Ohajinwa et al., 2017; Singhal et al., 2021)</w:t>
            </w:r>
          </w:p>
        </w:tc>
      </w:tr>
      <w:tr w:rsidR="0020504F" w14:paraId="3F636DB3" w14:textId="77777777" w:rsidTr="0058340A">
        <w:trPr>
          <w:cantSplit/>
          <w:jc w:val="center"/>
        </w:trPr>
        <w:tc>
          <w:tcPr>
            <w:tcW w:w="759" w:type="pct"/>
            <w:tcMar>
              <w:top w:w="85" w:type="dxa"/>
              <w:left w:w="90" w:type="dxa"/>
              <w:bottom w:w="85" w:type="dxa"/>
              <w:right w:w="90" w:type="dxa"/>
            </w:tcMar>
            <w:vAlign w:val="center"/>
          </w:tcPr>
          <w:p w14:paraId="1A2A9300" w14:textId="77777777" w:rsidR="0020504F" w:rsidRDefault="00000000">
            <w:pPr>
              <w:spacing w:after="0" w:line="240" w:lineRule="auto"/>
              <w:jc w:val="left"/>
            </w:pPr>
            <w:r>
              <w:rPr>
                <w:rFonts w:eastAsia="Times New Roman"/>
                <w:sz w:val="16"/>
              </w:rPr>
              <w:t>Surveillance and just formalisation</w:t>
            </w:r>
          </w:p>
        </w:tc>
        <w:tc>
          <w:tcPr>
            <w:tcW w:w="1448" w:type="pct"/>
            <w:tcMar>
              <w:top w:w="85" w:type="dxa"/>
              <w:left w:w="90" w:type="dxa"/>
              <w:bottom w:w="85" w:type="dxa"/>
              <w:right w:w="90" w:type="dxa"/>
            </w:tcMar>
            <w:vAlign w:val="center"/>
          </w:tcPr>
          <w:p w14:paraId="6E563021" w14:textId="77777777" w:rsidR="0020504F" w:rsidRDefault="00000000">
            <w:pPr>
              <w:spacing w:after="0" w:line="240" w:lineRule="auto"/>
              <w:jc w:val="left"/>
            </w:pPr>
            <w:r>
              <w:rPr>
                <w:rFonts w:eastAsia="Times New Roman"/>
                <w:sz w:val="16"/>
              </w:rPr>
              <w:t>Periodic symptom, respiratory, cardiovascular, injury and selected biomonitoring surveillance with referral pathways; integrate workers into safer value chains and social protection.</w:t>
            </w:r>
          </w:p>
        </w:tc>
        <w:tc>
          <w:tcPr>
            <w:tcW w:w="1069" w:type="pct"/>
            <w:tcMar>
              <w:top w:w="85" w:type="dxa"/>
              <w:left w:w="90" w:type="dxa"/>
              <w:bottom w:w="85" w:type="dxa"/>
              <w:right w:w="90" w:type="dxa"/>
            </w:tcMar>
            <w:vAlign w:val="center"/>
          </w:tcPr>
          <w:p w14:paraId="7B81469D" w14:textId="77777777" w:rsidR="0020504F" w:rsidRDefault="00000000">
            <w:pPr>
              <w:spacing w:after="0" w:line="240" w:lineRule="auto"/>
              <w:jc w:val="left"/>
            </w:pPr>
            <w:r>
              <w:rPr>
                <w:rFonts w:eastAsia="Times New Roman"/>
                <w:sz w:val="16"/>
              </w:rPr>
              <w:t>Worker studies identify detectable exposure and preventable morbidity, while formal-sector evidence shows that regulation reduces but does not abolish chemical exposure.</w:t>
            </w:r>
          </w:p>
        </w:tc>
        <w:tc>
          <w:tcPr>
            <w:tcW w:w="1069" w:type="pct"/>
            <w:tcMar>
              <w:top w:w="85" w:type="dxa"/>
              <w:left w:w="90" w:type="dxa"/>
              <w:bottom w:w="85" w:type="dxa"/>
              <w:right w:w="90" w:type="dxa"/>
            </w:tcMar>
            <w:vAlign w:val="center"/>
          </w:tcPr>
          <w:p w14:paraId="297EF324" w14:textId="77777777" w:rsidR="0020504F" w:rsidRDefault="00000000">
            <w:pPr>
              <w:spacing w:after="0" w:line="240" w:lineRule="auto"/>
              <w:jc w:val="left"/>
            </w:pPr>
            <w:r>
              <w:rPr>
                <w:rFonts w:eastAsia="Times New Roman"/>
                <w:sz w:val="16"/>
              </w:rPr>
              <w:t>A formal label is not a health outcome. Programmes should measure exposure reduction, income security, worker retention and displacement of hazardous tasks.</w:t>
            </w:r>
          </w:p>
        </w:tc>
        <w:tc>
          <w:tcPr>
            <w:tcW w:w="655" w:type="pct"/>
            <w:tcMar>
              <w:top w:w="85" w:type="dxa"/>
              <w:left w:w="90" w:type="dxa"/>
              <w:bottom w:w="85" w:type="dxa"/>
              <w:right w:w="90" w:type="dxa"/>
            </w:tcMar>
            <w:vAlign w:val="center"/>
          </w:tcPr>
          <w:p w14:paraId="06427A88" w14:textId="77777777" w:rsidR="0020504F" w:rsidRDefault="00000000">
            <w:pPr>
              <w:spacing w:after="0" w:line="240" w:lineRule="auto"/>
              <w:jc w:val="left"/>
            </w:pPr>
            <w:r>
              <w:rPr>
                <w:rFonts w:eastAsia="Times New Roman"/>
                <w:sz w:val="16"/>
              </w:rPr>
              <w:t>(Ceballos &amp; Dong, 2016; Püschel et al., 2024; Yohannessen et al., 2019)</w:t>
            </w:r>
          </w:p>
        </w:tc>
      </w:tr>
    </w:tbl>
    <w:p w14:paraId="64745201" w14:textId="77777777" w:rsidR="0020504F" w:rsidRDefault="00000000">
      <w:pPr>
        <w:keepLines/>
        <w:spacing w:before="60" w:after="140"/>
      </w:pPr>
      <w:r>
        <w:rPr>
          <w:rFonts w:eastAsia="Times New Roman"/>
          <w:i/>
          <w:sz w:val="17"/>
        </w:rPr>
        <w:t>Note. RPE = respiratory protective equipment; PPE = personal protective equipment. Recommended controls combine direct worker evidence with established occupational-hygiene principles; not every intervention has been trialled in informal e-waste settings.</w:t>
      </w:r>
    </w:p>
    <w:p w14:paraId="5D7AD25E" w14:textId="77777777" w:rsidR="0020504F" w:rsidRDefault="00000000">
      <w:pPr>
        <w:pStyle w:val="Heading1"/>
      </w:pPr>
      <w:r>
        <w:t>8. Future Directions</w:t>
      </w:r>
    </w:p>
    <w:p w14:paraId="4BE55077" w14:textId="77777777" w:rsidR="0020504F" w:rsidRDefault="00000000">
      <w:pPr>
        <w:ind w:firstLine="259"/>
      </w:pPr>
      <w:r>
        <w:rPr>
          <w:rFonts w:eastAsia="Times New Roman"/>
        </w:rPr>
        <w:t>The immediate research priority is to move from cross-sectional worker labels to longitudinal, task-resolved exposure assessment. Cohorts should measure personal PM and selected gases or vapours repeatedly, collect biologically appropriate biomarkers at defined intervals, and record task duration using structured observation, time-activity diaries or wearable methods. Health outcomes should be measured before substantial work begins, after shifts, after recovery periods and over years. Such designs would clarify whether acute physiological changes accumulate, reverse or predict persistent disease. They would also reduce exposure misclassification created by task rotation.</w:t>
      </w:r>
    </w:p>
    <w:p w14:paraId="374CC9C9" w14:textId="77777777" w:rsidR="0020504F" w:rsidRDefault="00000000">
      <w:pPr>
        <w:ind w:firstLine="259"/>
      </w:pPr>
      <w:r>
        <w:rPr>
          <w:rFonts w:eastAsia="Times New Roman"/>
        </w:rPr>
        <w:t>A second priority is mixture-aware analysis. E-waste work rarely involves one toxicant, yet many studies model lead, cadmium, arsenic or PM separately. Future studies should pre-specify mixture hypotheses, combine source knowledge with statistical mixture methods, and retain interpretability at the task level. Repeated measures are especially important because a one-time biomarker may poorly represent chronic exposure for compounds with short biological half-lives. Technology-critical elements measured by Takyi et al. (2021) also require toxicokinetic and reference-range research before detection can be translated into health risk.</w:t>
      </w:r>
    </w:p>
    <w:p w14:paraId="17E5F4B8" w14:textId="77777777" w:rsidR="0020504F" w:rsidRDefault="00000000">
      <w:pPr>
        <w:ind w:firstLine="259"/>
      </w:pPr>
      <w:r>
        <w:rPr>
          <w:rFonts w:eastAsia="Times New Roman"/>
        </w:rPr>
        <w:t>Third, the field needs a core set of clinically meaningful worker outcomes. Exposure biomarkers should be paired with objective respiratory function, standardised blood pressure and electrocardiographic measures, validated renal and hepatic indices, dermatological assessment, audiometry where noise is relevant, structured injury surveillance, ergonomic observation and validated neurobehavioural testing. Molecular markers such as DNA methylation or oxidative stress should be retained when they answer a mechanistic question but should not substitute for clinical follow-up. Harmonised outcome definitions would improve comparison across Ghana, South Asia, Latin America and other emerging settings.</w:t>
      </w:r>
    </w:p>
    <w:p w14:paraId="6BEA025E" w14:textId="77777777" w:rsidR="0020504F" w:rsidRDefault="00000000">
      <w:pPr>
        <w:ind w:firstLine="259"/>
      </w:pPr>
      <w:r>
        <w:rPr>
          <w:rFonts w:eastAsia="Times New Roman"/>
        </w:rPr>
        <w:t>Fourth, intervention evidence should become a central research product rather than an afterthought. Practical trials or stepped implementation studies could evaluate local exhaust ventilation, enclosed cable processing, safer hand tools, washing facilities, clean eating areas, task rotation, respirator programmes and worker-led training. Personal exposure before and after the intervention should be the primary outcome, with productivity, income, acceptability, heat burden and injury risk measured simultaneously. Liao et al. (2025) provides an important observational signal for hygiene and respiratory protection, but controlled or quasi-experimental evaluations are needed to establish effectiveness in informal settings.</w:t>
      </w:r>
    </w:p>
    <w:p w14:paraId="0B69D3F3" w14:textId="77777777" w:rsidR="0020504F" w:rsidRDefault="00000000">
      <w:pPr>
        <w:ind w:firstLine="259"/>
      </w:pPr>
      <w:r>
        <w:rPr>
          <w:rFonts w:eastAsia="Times New Roman"/>
        </w:rPr>
        <w:lastRenderedPageBreak/>
        <w:t>Fifth, formalisation should be studied as a natural experiment. Research should compare workers before and after relocation, cooperative formation, licensing, mechanisation or changes in producer-responsibility systems. Outcomes should include exposure, injury, income, employment continuity, gender effects and displacement of high-risk tasks. Without these measures, a policy can appear successful because a visible site closes while risk migrates elsewhere. Comparative evidence from formal recycling shows that regulation reduces some hazards but does not make exposure negligible (Ceballos &amp; Dong, 2016).</w:t>
      </w:r>
    </w:p>
    <w:p w14:paraId="75F4D83B" w14:textId="77777777" w:rsidR="0020504F" w:rsidRDefault="00000000">
      <w:pPr>
        <w:ind w:firstLine="259"/>
      </w:pPr>
      <w:r>
        <w:rPr>
          <w:rFonts w:eastAsia="Times New Roman"/>
        </w:rPr>
        <w:t>Sixth, geographic and demographic representation needs deliberate correction. The Agbogbloshie research programme has generated valuable longitudinal and multimodal evidence, but replication is needed in West African cities beyond Ghana, South and Southeast Asia, Latin America and other regions with substantial informal recovery. Women, migrants, adolescents who may enter hazardous work, repair workers and workers in small indoor facilities require greater attention. Studies should report sex-disaggregated results and examine how pregnancy, nutrition, housing and social protection modify risk without pathologising poverty as an individual trait.</w:t>
      </w:r>
    </w:p>
    <w:p w14:paraId="4D185029" w14:textId="77777777" w:rsidR="0020504F" w:rsidRDefault="00000000">
      <w:pPr>
        <w:ind w:firstLine="259"/>
      </w:pPr>
      <w:r>
        <w:rPr>
          <w:rFonts w:eastAsia="Times New Roman"/>
        </w:rPr>
        <w:t>Finally, future work should connect occupational research with product and trade policy. Device composition, repairability, battery chemistry, flame-retardant use and cross-border movements determine the hazards reaching workers. The most effective occupational intervention may therefore occur years before disposal, through safer product design and accountable collection systems. Research linking material-flow policy to measured worker exposure would provide a stronger basis for judging whether circular-economy strategies actually reduce health inequity rather than merely increase recycling rates.</w:t>
      </w:r>
    </w:p>
    <w:p w14:paraId="38C81122" w14:textId="77777777" w:rsidR="0020504F" w:rsidRDefault="00000000">
      <w:pPr>
        <w:pStyle w:val="Heading1"/>
      </w:pPr>
      <w:r>
        <w:t>9. Conclusions</w:t>
      </w:r>
    </w:p>
    <w:p w14:paraId="6E460FD4" w14:textId="77777777" w:rsidR="0020504F" w:rsidRDefault="00000000">
      <w:pPr>
        <w:ind w:firstLine="259"/>
      </w:pPr>
      <w:r>
        <w:rPr>
          <w:rFonts w:eastAsia="Times New Roman"/>
        </w:rPr>
        <w:t>Informal electronic waste recycling is an occupational exposure system in which chemical, physical, ergonomic and psychosocial hazards converge. The evidence is strongest that workers experience measurable exposure to metals, particulate matter, PAHs and other contaminants and that dismantling and burning can create particularly high-risk microenvironments. Injuries, musculoskeletal discomfort and irritant skin or eye symptoms have comparatively direct and coherent links to work tasks. Respiratory evidence is strengthening as objective studies from multiple countries accumulate, but long-term disease trajectories remain insufficiently characterised. Cardiovascular autonomic changes, renal and hepatic alterations, endocrine effects, neurobehavioural symptoms and molecular biomarkers warrant concern, yet the present literature does not support uniform causal claims across these domains.</w:t>
      </w:r>
    </w:p>
    <w:p w14:paraId="10DA26FD" w14:textId="77777777" w:rsidR="0020504F" w:rsidRDefault="00000000">
      <w:pPr>
        <w:ind w:firstLine="259"/>
      </w:pPr>
      <w:r>
        <w:rPr>
          <w:rFonts w:eastAsia="Times New Roman"/>
        </w:rPr>
        <w:t>The main scientific weakness is not absence of hazards but weak linkage between dynamic mixtures and clinical outcomes over time. Cross-sectional designs, task overlap, contaminated comparison groups, background urban pollution and reliance on surrogate biomarkers can attenuate, inflate or obscure associations. Future confidence will depend on repeated personal exposure measurement, longitudinal follow-up, task-resolved classification and clinically interpretable outcomes.</w:t>
      </w:r>
    </w:p>
    <w:p w14:paraId="1C166BD7" w14:textId="77777777" w:rsidR="0020504F" w:rsidRDefault="00000000">
      <w:pPr>
        <w:ind w:firstLine="259"/>
      </w:pPr>
      <w:r>
        <w:rPr>
          <w:rFonts w:eastAsia="Times New Roman"/>
        </w:rPr>
        <w:t>Worker protection does not need to wait for perfect causal certainty. Prevention should prioritise elimination of open burning and uncontrolled chemical recovery, engineering controls, safer tools and work organisation, hygiene infrastructure, appropriate protective equipment, occupational health surveillance and product policies that reduce hazardous materials upstream. Formalisation can enable these measures, but it should be evaluated by actual exposure reduction and livelihood security rather than by administrative status alone. Protecting informal recyclers is therefore both an occupational-health obligation and a test of whether circular-economy policy distributes the benefits and risks of material recovery fairly.</w:t>
      </w:r>
    </w:p>
    <w:p w14:paraId="2333C5DD" w14:textId="77777777" w:rsidR="0020504F" w:rsidRDefault="00000000">
      <w:pPr>
        <w:pStyle w:val="Heading1"/>
      </w:pPr>
      <w:r>
        <w:t>10. Limitations</w:t>
      </w:r>
    </w:p>
    <w:p w14:paraId="143A6FF4" w14:textId="77777777" w:rsidR="0020504F" w:rsidRDefault="00000000">
      <w:pPr>
        <w:ind w:firstLine="259"/>
      </w:pPr>
      <w:r>
        <w:rPr>
          <w:rFonts w:eastAsia="Times New Roman"/>
        </w:rPr>
        <w:t xml:space="preserve">As a critical narrative review, this synthesis is intrinsically vulnerable to selection and interpretive bias despite the use of explicit search concepts, source verification and structured appraisal. It was not designed to enumerate </w:t>
      </w:r>
      <w:r>
        <w:rPr>
          <w:rFonts w:eastAsia="Times New Roman"/>
        </w:rPr>
        <w:lastRenderedPageBreak/>
        <w:t>every eligible record or generate pooled effect estimates. Access was limited to scholarly and institutional sources that could be searched and verified during the review, and English-language selection may have reduced representation from some regions. The underlying literature is itself heterogeneous in exposure metrics, biological matrices, task definitions, clinical outcomes and comparator selection, which limits direct comparison across studies.</w:t>
      </w:r>
    </w:p>
    <w:p w14:paraId="20E58DC1" w14:textId="77777777" w:rsidR="0020504F" w:rsidRDefault="00000000">
      <w:pPr>
        <w:ind w:firstLine="259"/>
        <w:rPr>
          <w:rFonts w:eastAsia="Times New Roman"/>
        </w:rPr>
      </w:pPr>
      <w:r>
        <w:rPr>
          <w:rFonts w:eastAsia="Times New Roman"/>
        </w:rPr>
        <w:t>The evidence base is geographically uneven, with a large share of detailed worker studies derived from Ghana, particularly Agbogbloshie. Many health studies are cross-sectional, modest in sample size and vulnerable to healthy-worker selection, residual confounding and shared environmental exposure between workers and controls. Several outcome domains rely on symptoms or intermediate biomarkers rather than incident clinical disease, and long-term follow-up is scarce. Rapid changes in device composition, waste flows, site organisation and regulation also mean that exposure profiles can evolve faster than the published literature. These limitations prevent quantitative attribution of disease burden to informal e-waste work and require cautious generalisation beyond the settings studied.</w:t>
      </w:r>
    </w:p>
    <w:p w14:paraId="3FC53EF1" w14:textId="77777777" w:rsidR="000D1CFF" w:rsidRDefault="000D1CFF">
      <w:pPr>
        <w:ind w:firstLine="259"/>
        <w:rPr>
          <w:rFonts w:eastAsia="Times New Roman"/>
        </w:rPr>
      </w:pPr>
    </w:p>
    <w:p w14:paraId="3EE0053D" w14:textId="77777777" w:rsidR="000D1CFF" w:rsidRPr="000839CE" w:rsidRDefault="000D1CFF" w:rsidP="000D1CFF">
      <w:pPr>
        <w:spacing w:after="0" w:line="240" w:lineRule="auto"/>
        <w:rPr>
          <w:rFonts w:cs="Times New Roman"/>
          <w:b/>
        </w:rPr>
      </w:pPr>
      <w:r w:rsidRPr="000839CE">
        <w:rPr>
          <w:rFonts w:cs="Times New Roman"/>
          <w:b/>
        </w:rPr>
        <w:t>Declaration of AI Use</w:t>
      </w:r>
    </w:p>
    <w:p w14:paraId="3335C33D" w14:textId="77777777" w:rsidR="000D1CFF" w:rsidRPr="000839CE" w:rsidRDefault="000D1CFF" w:rsidP="000D1CFF">
      <w:pPr>
        <w:spacing w:after="0" w:line="240" w:lineRule="auto"/>
        <w:rPr>
          <w:rFonts w:cs="Times New Roman"/>
        </w:rPr>
      </w:pPr>
    </w:p>
    <w:p w14:paraId="308FB8FA" w14:textId="77777777" w:rsidR="000D1CFF" w:rsidRPr="000839CE" w:rsidRDefault="000D1CFF" w:rsidP="000D1CFF">
      <w:pPr>
        <w:spacing w:after="0" w:line="240" w:lineRule="auto"/>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4B8230B" w14:textId="77777777" w:rsidR="000D1CFF" w:rsidRDefault="000D1CFF" w:rsidP="000D1CFF"/>
    <w:p w14:paraId="345869CF" w14:textId="77777777" w:rsidR="000D1CFF" w:rsidRDefault="000D1CFF">
      <w:pPr>
        <w:ind w:firstLine="259"/>
      </w:pPr>
    </w:p>
    <w:p w14:paraId="217BDBBD" w14:textId="77777777" w:rsidR="0020504F" w:rsidRDefault="00000000">
      <w:pPr>
        <w:pStyle w:val="Heading1"/>
        <w:pageBreakBefore/>
      </w:pPr>
      <w:r>
        <w:lastRenderedPageBreak/>
        <w:t>References</w:t>
      </w:r>
    </w:p>
    <w:p w14:paraId="27A9A519" w14:textId="6535E49E" w:rsidR="0020504F" w:rsidRDefault="00000000">
      <w:pPr>
        <w:pStyle w:val="Reference"/>
        <w:keepLines/>
      </w:pPr>
      <w:r>
        <w:rPr>
          <w:rFonts w:eastAsia="Times New Roman"/>
        </w:rPr>
        <w:t xml:space="preserve">Acquah, A. A., D'Souza, C., Martin, B. J., Arko-Mensah, J., Dwomoh, D., Amoabeng Nti, A. A., Kwarteng, L., Takyi, S. A., Basu, N., Quakyi, I. A., Robins, T. G., &amp; Fobil, J. N. (2021). Musculoskeletal disorder symptoms among workers at an informal electronic-waste recycling site in Agbogbloshie, Ghana. </w:t>
      </w:r>
      <w:r>
        <w:rPr>
          <w:rFonts w:eastAsia="Times New Roman"/>
          <w:i/>
        </w:rPr>
        <w:t>International Journal of Environmental Research and Public Health</w:t>
      </w:r>
      <w:r>
        <w:rPr>
          <w:rFonts w:eastAsia="Times New Roman"/>
        </w:rPr>
        <w:t xml:space="preserve">, </w:t>
      </w:r>
      <w:r>
        <w:rPr>
          <w:rFonts w:eastAsia="Times New Roman"/>
          <w:i/>
        </w:rPr>
        <w:t>18</w:t>
      </w:r>
      <w:r>
        <w:rPr>
          <w:rFonts w:eastAsia="Times New Roman"/>
        </w:rPr>
        <w:t>(4), Article 2055.</w:t>
      </w:r>
      <w:r>
        <w:t xml:space="preserve"> </w:t>
      </w:r>
      <w:r>
        <w:rPr>
          <w:color w:val="0563C1"/>
          <w:u w:val="single"/>
        </w:rPr>
        <w:t>https://doi.org/10.3390/ijerph18042055</w:t>
      </w:r>
    </w:p>
    <w:p w14:paraId="322F75D7" w14:textId="218556FB" w:rsidR="0020504F" w:rsidRDefault="00000000">
      <w:pPr>
        <w:pStyle w:val="Reference"/>
        <w:keepLines/>
      </w:pPr>
      <w:r>
        <w:rPr>
          <w:rFonts w:eastAsia="Times New Roman"/>
        </w:rPr>
        <w:t xml:space="preserve">Adanu, S. K., Gbedemah, S. F., &amp; Attah, M. K. (2020). Challenges of adopting sustainable technologies in e-waste management at Agbogbloshie, Ghana. </w:t>
      </w:r>
      <w:r>
        <w:rPr>
          <w:rFonts w:eastAsia="Times New Roman"/>
          <w:i/>
        </w:rPr>
        <w:t>Heliyon</w:t>
      </w:r>
      <w:r>
        <w:rPr>
          <w:rFonts w:eastAsia="Times New Roman"/>
        </w:rPr>
        <w:t xml:space="preserve">, </w:t>
      </w:r>
      <w:r>
        <w:rPr>
          <w:rFonts w:eastAsia="Times New Roman"/>
          <w:i/>
        </w:rPr>
        <w:t>6</w:t>
      </w:r>
      <w:r>
        <w:rPr>
          <w:rFonts w:eastAsia="Times New Roman"/>
        </w:rPr>
        <w:t>(8), Article e04548.</w:t>
      </w:r>
      <w:r>
        <w:t xml:space="preserve"> </w:t>
      </w:r>
      <w:r>
        <w:rPr>
          <w:color w:val="0563C1"/>
          <w:u w:val="single"/>
        </w:rPr>
        <w:t>https://doi.org/10.1016/j.heliyon.2020.e04548</w:t>
      </w:r>
    </w:p>
    <w:p w14:paraId="61C89710" w14:textId="5D81C852" w:rsidR="0020504F" w:rsidRDefault="00000000">
      <w:pPr>
        <w:pStyle w:val="Reference"/>
        <w:keepLines/>
      </w:pPr>
      <w:r>
        <w:rPr>
          <w:rFonts w:eastAsia="Times New Roman"/>
        </w:rPr>
        <w:t xml:space="preserve">Akinosun, O. M., Sonuga, A. A., Ayoola, B. F., &amp; Sonuga, O. O. (2026). Cadmium and lead in occupationally exposed e-waste workers: Health implications. </w:t>
      </w:r>
      <w:r>
        <w:rPr>
          <w:rFonts w:eastAsia="Times New Roman"/>
          <w:i/>
        </w:rPr>
        <w:t>Toxicology and Industrial Health</w:t>
      </w:r>
      <w:r>
        <w:rPr>
          <w:rFonts w:eastAsia="Times New Roman"/>
        </w:rPr>
        <w:t xml:space="preserve">, </w:t>
      </w:r>
      <w:r>
        <w:rPr>
          <w:rFonts w:eastAsia="Times New Roman"/>
          <w:i/>
        </w:rPr>
        <w:t>42</w:t>
      </w:r>
      <w:r>
        <w:rPr>
          <w:rFonts w:eastAsia="Times New Roman"/>
        </w:rPr>
        <w:t>(4), 137-145.</w:t>
      </w:r>
      <w:r>
        <w:t xml:space="preserve"> </w:t>
      </w:r>
      <w:r>
        <w:rPr>
          <w:color w:val="0563C1"/>
          <w:u w:val="single"/>
        </w:rPr>
        <w:t>https://doi.org/10.1177/07482337261428663</w:t>
      </w:r>
    </w:p>
    <w:p w14:paraId="67583879" w14:textId="7608F9AF" w:rsidR="0020504F" w:rsidRDefault="00000000">
      <w:pPr>
        <w:pStyle w:val="Reference"/>
        <w:keepLines/>
      </w:pPr>
      <w:r>
        <w:rPr>
          <w:rFonts w:eastAsia="Times New Roman"/>
        </w:rPr>
        <w:t xml:space="preserve">Amankwaa, E. F., Tsikudo, K. A. A., &amp; Bowman, J. A. (2017). 'Away' is a place: The impact of electronic waste recycling on blood lead levels in Ghana. </w:t>
      </w:r>
      <w:r>
        <w:rPr>
          <w:rFonts w:eastAsia="Times New Roman"/>
          <w:i/>
        </w:rPr>
        <w:t>Science of the Total Environment</w:t>
      </w:r>
      <w:r>
        <w:rPr>
          <w:rFonts w:eastAsia="Times New Roman"/>
        </w:rPr>
        <w:t xml:space="preserve">, </w:t>
      </w:r>
      <w:r>
        <w:rPr>
          <w:rFonts w:eastAsia="Times New Roman"/>
          <w:i/>
        </w:rPr>
        <w:t>601-602</w:t>
      </w:r>
      <w:r>
        <w:rPr>
          <w:rFonts w:eastAsia="Times New Roman"/>
        </w:rPr>
        <w:t>, 1566-1574.</w:t>
      </w:r>
      <w:r>
        <w:t xml:space="preserve"> </w:t>
      </w:r>
      <w:r>
        <w:rPr>
          <w:color w:val="0563C1"/>
          <w:u w:val="single"/>
        </w:rPr>
        <w:t>https://doi.org/10.1016/j.scitotenv.2017.05.283</w:t>
      </w:r>
    </w:p>
    <w:p w14:paraId="3E7B56DE" w14:textId="1B5F8C60" w:rsidR="0020504F" w:rsidRDefault="00000000">
      <w:pPr>
        <w:pStyle w:val="Reference"/>
        <w:keepLines/>
      </w:pPr>
      <w:r>
        <w:rPr>
          <w:rFonts w:eastAsia="Times New Roman"/>
        </w:rPr>
        <w:t xml:space="preserve">Amoabeng Nti, A. A., Robins, T. G., Mensah, J. A., Dwomoh, D., Kwarteng, L., Takyi, S. A., Acquah, A., Basu, N., Batterman, S., &amp; Fobil, J. N. (2021). Personal exposure to particulate matter and heart rate variability among informal electronic waste workers at Agbogbloshie: A longitudinal study. </w:t>
      </w:r>
      <w:r>
        <w:rPr>
          <w:rFonts w:eastAsia="Times New Roman"/>
          <w:i/>
        </w:rPr>
        <w:t>BMC Public Health</w:t>
      </w:r>
      <w:r>
        <w:rPr>
          <w:rFonts w:eastAsia="Times New Roman"/>
        </w:rPr>
        <w:t xml:space="preserve">, </w:t>
      </w:r>
      <w:r>
        <w:rPr>
          <w:rFonts w:eastAsia="Times New Roman"/>
          <w:i/>
        </w:rPr>
        <w:t>21</w:t>
      </w:r>
      <w:r>
        <w:rPr>
          <w:rFonts w:eastAsia="Times New Roman"/>
        </w:rPr>
        <w:t>, Article 2161.</w:t>
      </w:r>
      <w:r>
        <w:t xml:space="preserve"> </w:t>
      </w:r>
      <w:r>
        <w:rPr>
          <w:color w:val="0563C1"/>
          <w:u w:val="single"/>
        </w:rPr>
        <w:t>https://doi.org/10.1186/s12889-021-12241-2</w:t>
      </w:r>
    </w:p>
    <w:p w14:paraId="1CC0657B" w14:textId="0293F34D" w:rsidR="0020504F" w:rsidRDefault="00000000">
      <w:pPr>
        <w:pStyle w:val="Reference"/>
        <w:keepLines/>
      </w:pPr>
      <w:r>
        <w:rPr>
          <w:rFonts w:eastAsia="Times New Roman"/>
        </w:rPr>
        <w:t xml:space="preserve">Asante, K. A., Agusa, T., Biney, C. A., Agyekum, W. A., Bello, M., Otsuka, M., Itai, T., Takahashi, S., &amp; Tanabe, S. (2012). Multi-trace element levels and arsenic speciation in urine of e-waste recycling workers from Agbogbloshie, Accra in Ghana. </w:t>
      </w:r>
      <w:r>
        <w:rPr>
          <w:rFonts w:eastAsia="Times New Roman"/>
          <w:i/>
        </w:rPr>
        <w:t>Science of the Total Environment</w:t>
      </w:r>
      <w:r>
        <w:rPr>
          <w:rFonts w:eastAsia="Times New Roman"/>
        </w:rPr>
        <w:t xml:space="preserve">, </w:t>
      </w:r>
      <w:r>
        <w:rPr>
          <w:rFonts w:eastAsia="Times New Roman"/>
          <w:i/>
        </w:rPr>
        <w:t>424</w:t>
      </w:r>
      <w:r>
        <w:rPr>
          <w:rFonts w:eastAsia="Times New Roman"/>
        </w:rPr>
        <w:t>, 63-73.</w:t>
      </w:r>
      <w:r>
        <w:t xml:space="preserve"> </w:t>
      </w:r>
      <w:r>
        <w:rPr>
          <w:color w:val="0563C1"/>
          <w:u w:val="single"/>
        </w:rPr>
        <w:t>https://doi.org/10.1016/j.scitotenv.2012.02.072</w:t>
      </w:r>
    </w:p>
    <w:p w14:paraId="1C01E991" w14:textId="7930D00C" w:rsidR="0020504F" w:rsidRDefault="00000000">
      <w:pPr>
        <w:pStyle w:val="Reference"/>
        <w:keepLines/>
      </w:pPr>
      <w:r>
        <w:rPr>
          <w:rFonts w:eastAsia="Times New Roman"/>
        </w:rPr>
        <w:t xml:space="preserve">Baethge, C., Goldbeck-Wood, S., &amp; Mertens, S. (2019). SANRA-a scale for the quality assessment of narrative review articles. </w:t>
      </w:r>
      <w:r>
        <w:rPr>
          <w:rFonts w:eastAsia="Times New Roman"/>
          <w:i/>
        </w:rPr>
        <w:t>Research Integrity and Peer Review</w:t>
      </w:r>
      <w:r>
        <w:rPr>
          <w:rFonts w:eastAsia="Times New Roman"/>
        </w:rPr>
        <w:t xml:space="preserve">, </w:t>
      </w:r>
      <w:r>
        <w:rPr>
          <w:rFonts w:eastAsia="Times New Roman"/>
          <w:i/>
        </w:rPr>
        <w:t>4</w:t>
      </w:r>
      <w:r>
        <w:rPr>
          <w:rFonts w:eastAsia="Times New Roman"/>
        </w:rPr>
        <w:t>, Article 5.</w:t>
      </w:r>
      <w:r>
        <w:t xml:space="preserve"> </w:t>
      </w:r>
      <w:r>
        <w:rPr>
          <w:color w:val="0563C1"/>
          <w:u w:val="single"/>
        </w:rPr>
        <w:t>https://doi.org/10.1186/s41073-019-0064-8</w:t>
      </w:r>
    </w:p>
    <w:p w14:paraId="106A16E7" w14:textId="7AE1E9B2" w:rsidR="0020504F" w:rsidRDefault="00000000">
      <w:pPr>
        <w:pStyle w:val="Reference"/>
        <w:keepLines/>
      </w:pPr>
      <w:r>
        <w:rPr>
          <w:rFonts w:eastAsia="Times New Roman"/>
        </w:rPr>
        <w:t xml:space="preserve">Basel Convention. (2023). </w:t>
      </w:r>
      <w:r>
        <w:rPr>
          <w:rFonts w:eastAsia="Times New Roman"/>
          <w:i/>
        </w:rPr>
        <w:t>Technical guidelines on transboundary movements of electrical and electronic waste and used electrical and electronic equipment, in particular regarding the distinction between waste and non-waste under the Basel Convention.</w:t>
      </w:r>
      <w:r>
        <w:t xml:space="preserve"> </w:t>
      </w:r>
      <w:r>
        <w:rPr>
          <w:color w:val="0563C1"/>
          <w:u w:val="single"/>
        </w:rPr>
        <w:t>https://www.basel.int/Implementation/Publications/TechnicalGuidelines/tabid/8025/Default.aspx</w:t>
      </w:r>
    </w:p>
    <w:p w14:paraId="50FD4A5F" w14:textId="3D896023" w:rsidR="0020504F" w:rsidRDefault="00000000">
      <w:pPr>
        <w:pStyle w:val="Reference"/>
        <w:keepLines/>
      </w:pPr>
      <w:r>
        <w:rPr>
          <w:rFonts w:eastAsia="Times New Roman"/>
        </w:rPr>
        <w:t xml:space="preserve">Burns, K. N., Sayler, S. K., &amp; Neitzel, R. L. (2019). Stress, health, noise exposures, and injuries among electronic waste recycling workers in Ghana. </w:t>
      </w:r>
      <w:r>
        <w:rPr>
          <w:rFonts w:eastAsia="Times New Roman"/>
          <w:i/>
        </w:rPr>
        <w:t>Journal of Occupational Medicine and Toxicology</w:t>
      </w:r>
      <w:r>
        <w:rPr>
          <w:rFonts w:eastAsia="Times New Roman"/>
        </w:rPr>
        <w:t xml:space="preserve">, </w:t>
      </w:r>
      <w:r>
        <w:rPr>
          <w:rFonts w:eastAsia="Times New Roman"/>
          <w:i/>
        </w:rPr>
        <w:t>14</w:t>
      </w:r>
      <w:r>
        <w:rPr>
          <w:rFonts w:eastAsia="Times New Roman"/>
        </w:rPr>
        <w:t>, Article 1.</w:t>
      </w:r>
      <w:r>
        <w:t xml:space="preserve"> </w:t>
      </w:r>
      <w:r>
        <w:rPr>
          <w:color w:val="0563C1"/>
          <w:u w:val="single"/>
        </w:rPr>
        <w:t>https://doi.org/10.1186/s12995-018-0222-9</w:t>
      </w:r>
    </w:p>
    <w:p w14:paraId="201B1008" w14:textId="03CED4F8" w:rsidR="0020504F" w:rsidRDefault="00000000">
      <w:pPr>
        <w:pStyle w:val="Reference"/>
        <w:keepLines/>
      </w:pPr>
      <w:r>
        <w:rPr>
          <w:rFonts w:eastAsia="Times New Roman"/>
        </w:rPr>
        <w:t xml:space="preserve">Ceballos, D. M., &amp; Dong, Z. (2016). The formal electronic recycling industry: Challenges and opportunities in occupational and environmental health research. </w:t>
      </w:r>
      <w:r>
        <w:rPr>
          <w:rFonts w:eastAsia="Times New Roman"/>
          <w:i/>
        </w:rPr>
        <w:t>Environment International</w:t>
      </w:r>
      <w:r>
        <w:rPr>
          <w:rFonts w:eastAsia="Times New Roman"/>
        </w:rPr>
        <w:t xml:space="preserve">, </w:t>
      </w:r>
      <w:r>
        <w:rPr>
          <w:rFonts w:eastAsia="Times New Roman"/>
          <w:i/>
        </w:rPr>
        <w:t>95</w:t>
      </w:r>
      <w:r>
        <w:rPr>
          <w:rFonts w:eastAsia="Times New Roman"/>
        </w:rPr>
        <w:t>, 157-166.</w:t>
      </w:r>
      <w:r>
        <w:t xml:space="preserve"> </w:t>
      </w:r>
      <w:r>
        <w:rPr>
          <w:color w:val="0563C1"/>
          <w:u w:val="single"/>
        </w:rPr>
        <w:t>https://doi.org/10.1016/j.envint.2016.07.010</w:t>
      </w:r>
    </w:p>
    <w:p w14:paraId="4942BD80" w14:textId="53FABFCD" w:rsidR="0020504F" w:rsidRDefault="00000000">
      <w:pPr>
        <w:pStyle w:val="Reference"/>
        <w:keepLines/>
      </w:pPr>
      <w:r>
        <w:rPr>
          <w:rFonts w:eastAsia="Times New Roman"/>
        </w:rPr>
        <w:t xml:space="preserve">Decharat, S., &amp; Kiddee, P. (2020). Health problems among workers who recycle electronic waste in southern Thailand. </w:t>
      </w:r>
      <w:r>
        <w:rPr>
          <w:rFonts w:eastAsia="Times New Roman"/>
          <w:i/>
        </w:rPr>
        <w:t>Osong Public Health and Research Perspectives</w:t>
      </w:r>
      <w:r>
        <w:rPr>
          <w:rFonts w:eastAsia="Times New Roman"/>
        </w:rPr>
        <w:t xml:space="preserve">, </w:t>
      </w:r>
      <w:r>
        <w:rPr>
          <w:rFonts w:eastAsia="Times New Roman"/>
          <w:i/>
        </w:rPr>
        <w:t>11</w:t>
      </w:r>
      <w:r>
        <w:rPr>
          <w:rFonts w:eastAsia="Times New Roman"/>
        </w:rPr>
        <w:t>(1), 34-43.</w:t>
      </w:r>
      <w:r>
        <w:t xml:space="preserve"> </w:t>
      </w:r>
      <w:r>
        <w:rPr>
          <w:color w:val="0563C1"/>
          <w:u w:val="single"/>
        </w:rPr>
        <w:t>https://doi.org/10.24171/j.phrp.2020.11.1.06</w:t>
      </w:r>
    </w:p>
    <w:p w14:paraId="206CB2FD" w14:textId="7484B558" w:rsidR="0020504F" w:rsidRDefault="00000000">
      <w:pPr>
        <w:pStyle w:val="Reference"/>
        <w:keepLines/>
      </w:pPr>
      <w:r>
        <w:rPr>
          <w:rFonts w:eastAsia="Times New Roman"/>
        </w:rPr>
        <w:t xml:space="preserve">Eckhardt, B., &amp; Kaifie, A. (2024). Bridging the knowledge gap! Health outcomes in informal e-waste workers. </w:t>
      </w:r>
      <w:r>
        <w:rPr>
          <w:rFonts w:eastAsia="Times New Roman"/>
          <w:i/>
        </w:rPr>
        <w:t>Journal of Occupational Medicine and Toxicology</w:t>
      </w:r>
      <w:r>
        <w:rPr>
          <w:rFonts w:eastAsia="Times New Roman"/>
        </w:rPr>
        <w:t xml:space="preserve">, </w:t>
      </w:r>
      <w:r>
        <w:rPr>
          <w:rFonts w:eastAsia="Times New Roman"/>
          <w:i/>
        </w:rPr>
        <w:t>19</w:t>
      </w:r>
      <w:r>
        <w:rPr>
          <w:rFonts w:eastAsia="Times New Roman"/>
        </w:rPr>
        <w:t>(1), Article 11.</w:t>
      </w:r>
      <w:r>
        <w:t xml:space="preserve"> </w:t>
      </w:r>
      <w:r>
        <w:rPr>
          <w:color w:val="0563C1"/>
          <w:u w:val="single"/>
        </w:rPr>
        <w:t>https://doi.org/10.1186/s12995-024-00410-z</w:t>
      </w:r>
    </w:p>
    <w:p w14:paraId="051B6570" w14:textId="7FB3376F" w:rsidR="0020504F" w:rsidRDefault="00000000">
      <w:pPr>
        <w:pStyle w:val="Reference"/>
        <w:keepLines/>
      </w:pPr>
      <w:r>
        <w:rPr>
          <w:rFonts w:eastAsia="Times New Roman"/>
        </w:rPr>
        <w:t xml:space="preserve">Feldt, T., Fobil, J. N., Wittsiepe, J., Wilhelm, M., Till, H., Zoufaly, A., Burchard, G., &amp; Göen, T. (2014). High levels of PAH-metabolites in urine of e-waste recycling workers from Agbogbloshie, Ghana. </w:t>
      </w:r>
      <w:r>
        <w:rPr>
          <w:rFonts w:eastAsia="Times New Roman"/>
          <w:i/>
        </w:rPr>
        <w:t>Science of the Total Environment</w:t>
      </w:r>
      <w:r>
        <w:rPr>
          <w:rFonts w:eastAsia="Times New Roman"/>
        </w:rPr>
        <w:t xml:space="preserve">, </w:t>
      </w:r>
      <w:r>
        <w:rPr>
          <w:rFonts w:eastAsia="Times New Roman"/>
          <w:i/>
        </w:rPr>
        <w:t>466-467</w:t>
      </w:r>
      <w:r>
        <w:rPr>
          <w:rFonts w:eastAsia="Times New Roman"/>
        </w:rPr>
        <w:t>, 369-376.</w:t>
      </w:r>
      <w:r>
        <w:t xml:space="preserve"> </w:t>
      </w:r>
      <w:r>
        <w:rPr>
          <w:color w:val="0563C1"/>
          <w:u w:val="single"/>
        </w:rPr>
        <w:t>https://doi.org/10.1016/j.scitotenv.2013.06.097</w:t>
      </w:r>
    </w:p>
    <w:p w14:paraId="070F1EC8" w14:textId="26B81509" w:rsidR="0020504F" w:rsidRDefault="00000000">
      <w:pPr>
        <w:pStyle w:val="Reference"/>
        <w:keepLines/>
      </w:pPr>
      <w:r>
        <w:rPr>
          <w:rFonts w:eastAsia="Times New Roman"/>
        </w:rPr>
        <w:t xml:space="preserve">Fischer, D., Seidu, F., Yang, J., Felten, M. K., Garus, C., Kraus, T., Fobil, J. N., &amp; Kaifie, A. (2020). Health consequences for e-waste workers and bystanders: A comparative cross-sectional study. </w:t>
      </w:r>
      <w:r>
        <w:rPr>
          <w:rFonts w:eastAsia="Times New Roman"/>
          <w:i/>
        </w:rPr>
        <w:t>International Journal of Environmental Research and Public Health</w:t>
      </w:r>
      <w:r>
        <w:rPr>
          <w:rFonts w:eastAsia="Times New Roman"/>
        </w:rPr>
        <w:t xml:space="preserve">, </w:t>
      </w:r>
      <w:r>
        <w:rPr>
          <w:rFonts w:eastAsia="Times New Roman"/>
          <w:i/>
        </w:rPr>
        <w:t>17</w:t>
      </w:r>
      <w:r>
        <w:rPr>
          <w:rFonts w:eastAsia="Times New Roman"/>
        </w:rPr>
        <w:t>(5), Article 1534.</w:t>
      </w:r>
      <w:r>
        <w:t xml:space="preserve"> </w:t>
      </w:r>
      <w:r>
        <w:rPr>
          <w:color w:val="0563C1"/>
          <w:u w:val="single"/>
        </w:rPr>
        <w:t>https://doi.org/10.3390/ijerph17051534</w:t>
      </w:r>
    </w:p>
    <w:p w14:paraId="6A1C8EC2" w14:textId="65667400" w:rsidR="0020504F" w:rsidRDefault="00000000">
      <w:pPr>
        <w:pStyle w:val="Reference"/>
        <w:keepLines/>
      </w:pPr>
      <w:r>
        <w:rPr>
          <w:rFonts w:eastAsia="Times New Roman"/>
        </w:rPr>
        <w:t xml:space="preserve">Grant, K., Goldizen, F. C., Sly, P. D., Brune, M.-N., Neira, M., van den Berg, M., &amp; Norman, R. E. (2013). Health consequences of exposure to e-waste: A systematic review. </w:t>
      </w:r>
      <w:r>
        <w:rPr>
          <w:rFonts w:eastAsia="Times New Roman"/>
          <w:i/>
        </w:rPr>
        <w:t>The Lancet Global Health</w:t>
      </w:r>
      <w:r>
        <w:rPr>
          <w:rFonts w:eastAsia="Times New Roman"/>
        </w:rPr>
        <w:t xml:space="preserve">, </w:t>
      </w:r>
      <w:r>
        <w:rPr>
          <w:rFonts w:eastAsia="Times New Roman"/>
          <w:i/>
        </w:rPr>
        <w:t>1</w:t>
      </w:r>
      <w:r>
        <w:rPr>
          <w:rFonts w:eastAsia="Times New Roman"/>
        </w:rPr>
        <w:t>(6), e350-e361.</w:t>
      </w:r>
      <w:r>
        <w:t xml:space="preserve"> </w:t>
      </w:r>
      <w:r>
        <w:rPr>
          <w:color w:val="0563C1"/>
          <w:u w:val="single"/>
        </w:rPr>
        <w:t>https://doi.org/10.1016/S2214-109X(13)70101-3</w:t>
      </w:r>
    </w:p>
    <w:p w14:paraId="649D99D7" w14:textId="63FF7CF0" w:rsidR="0020504F" w:rsidRDefault="00000000">
      <w:pPr>
        <w:pStyle w:val="Reference"/>
        <w:keepLines/>
      </w:pPr>
      <w:r>
        <w:rPr>
          <w:rFonts w:eastAsia="Times New Roman"/>
        </w:rPr>
        <w:lastRenderedPageBreak/>
        <w:t xml:space="preserve">International Telecommunication Union, &amp; United Nations Institute for Training and Research. (2024). </w:t>
      </w:r>
      <w:r>
        <w:rPr>
          <w:rFonts w:eastAsia="Times New Roman"/>
          <w:i/>
        </w:rPr>
        <w:t>The global e-waste monitor 2024.</w:t>
      </w:r>
      <w:r>
        <w:t xml:space="preserve"> </w:t>
      </w:r>
      <w:r>
        <w:rPr>
          <w:color w:val="0563C1"/>
          <w:u w:val="single"/>
        </w:rPr>
        <w:t>https://www.itu.int/en/ITU-D/Environment/Pages/Publications/The-Global-E-waste-Monitor-2024.aspx</w:t>
      </w:r>
    </w:p>
    <w:p w14:paraId="0D23C67E" w14:textId="7F1C2395" w:rsidR="0020504F" w:rsidRDefault="00000000">
      <w:pPr>
        <w:pStyle w:val="Reference"/>
        <w:keepLines/>
      </w:pPr>
      <w:r>
        <w:rPr>
          <w:rFonts w:eastAsia="Times New Roman"/>
        </w:rPr>
        <w:t xml:space="preserve">Issah, I., Arko-Mensah, J., Rozek, L. S., Zarins, K. R., Dwomoh, D., Agyekum, T. P., Basu, N., Batterman, S., Robins, T. G., &amp; Fobil, J. N. (2022a). Association between toxic and essential metals in blood and global DNA methylation among electronic waste workers in Agbogbloshie, Ghana. </w:t>
      </w:r>
      <w:r>
        <w:rPr>
          <w:rFonts w:eastAsia="Times New Roman"/>
          <w:i/>
        </w:rPr>
        <w:t>Environmental Science and Pollution Research</w:t>
      </w:r>
      <w:r>
        <w:rPr>
          <w:rFonts w:eastAsia="Times New Roman"/>
        </w:rPr>
        <w:t xml:space="preserve">, </w:t>
      </w:r>
      <w:r>
        <w:rPr>
          <w:rFonts w:eastAsia="Times New Roman"/>
          <w:i/>
        </w:rPr>
        <w:t>29</w:t>
      </w:r>
      <w:r>
        <w:rPr>
          <w:rFonts w:eastAsia="Times New Roman"/>
        </w:rPr>
        <w:t>(48), 72946-72956.</w:t>
      </w:r>
      <w:r>
        <w:t xml:space="preserve"> </w:t>
      </w:r>
      <w:r>
        <w:rPr>
          <w:color w:val="0563C1"/>
          <w:u w:val="single"/>
        </w:rPr>
        <w:t>https://doi.org/10.1007/s11356-022-20954-z</w:t>
      </w:r>
    </w:p>
    <w:p w14:paraId="30828D24" w14:textId="3841E8A7" w:rsidR="0020504F" w:rsidRDefault="00000000">
      <w:pPr>
        <w:pStyle w:val="Reference"/>
        <w:keepLines/>
      </w:pPr>
      <w:r>
        <w:rPr>
          <w:rFonts w:eastAsia="Times New Roman"/>
        </w:rPr>
        <w:t xml:space="preserve">Issah, I., Arko-Mensah, J., Agyekum, T. P., Dwomoh, D., &amp; Fobil, J. N. (2022b). Health risks associated with informal electronic waste recycling in Africa: A systematic review. </w:t>
      </w:r>
      <w:r>
        <w:rPr>
          <w:rFonts w:eastAsia="Times New Roman"/>
          <w:i/>
        </w:rPr>
        <w:t>International Journal of Environmental Research and Public Health</w:t>
      </w:r>
      <w:r>
        <w:rPr>
          <w:rFonts w:eastAsia="Times New Roman"/>
        </w:rPr>
        <w:t xml:space="preserve">, </w:t>
      </w:r>
      <w:r>
        <w:rPr>
          <w:rFonts w:eastAsia="Times New Roman"/>
          <w:i/>
        </w:rPr>
        <w:t>19</w:t>
      </w:r>
      <w:r>
        <w:rPr>
          <w:rFonts w:eastAsia="Times New Roman"/>
        </w:rPr>
        <w:t>(21), Article 14278.</w:t>
      </w:r>
      <w:r>
        <w:t xml:space="preserve"> </w:t>
      </w:r>
      <w:r>
        <w:rPr>
          <w:color w:val="0563C1"/>
          <w:u w:val="single"/>
        </w:rPr>
        <w:t>https://doi.org/10.3390/ijerph192114278</w:t>
      </w:r>
    </w:p>
    <w:p w14:paraId="1B6D6EDA" w14:textId="73121E0B" w:rsidR="0020504F" w:rsidRDefault="00000000">
      <w:pPr>
        <w:pStyle w:val="Reference"/>
        <w:keepLines/>
      </w:pPr>
      <w:r>
        <w:rPr>
          <w:rFonts w:eastAsia="Times New Roman"/>
        </w:rPr>
        <w:t xml:space="preserve">Kaifie, A., Schettgen, T., Bertram, J., Löhndorf, K., Waldschmidt, S., Felten, M. K., Kraus, T., Fobil, J. N., &amp; Küpper, T. (2020). Informal e-waste recycling and plasma levels of non-dioxin-like polychlorinated biphenyls (NDL-PCBs) - A cross-sectional study at Agbogbloshie, Ghana. </w:t>
      </w:r>
      <w:r>
        <w:rPr>
          <w:rFonts w:eastAsia="Times New Roman"/>
          <w:i/>
        </w:rPr>
        <w:t>Science of the Total Environment</w:t>
      </w:r>
      <w:r>
        <w:rPr>
          <w:rFonts w:eastAsia="Times New Roman"/>
        </w:rPr>
        <w:t xml:space="preserve">, </w:t>
      </w:r>
      <w:r>
        <w:rPr>
          <w:rFonts w:eastAsia="Times New Roman"/>
          <w:i/>
        </w:rPr>
        <w:t>723</w:t>
      </w:r>
      <w:r>
        <w:rPr>
          <w:rFonts w:eastAsia="Times New Roman"/>
        </w:rPr>
        <w:t>, Article 138073.</w:t>
      </w:r>
      <w:r>
        <w:t xml:space="preserve"> </w:t>
      </w:r>
      <w:r>
        <w:rPr>
          <w:color w:val="0563C1"/>
          <w:u w:val="single"/>
        </w:rPr>
        <w:t>https://doi.org/10.1016/j.scitotenv.2020.138073</w:t>
      </w:r>
    </w:p>
    <w:p w14:paraId="504273B1" w14:textId="6FD74605" w:rsidR="0020504F" w:rsidRDefault="00000000">
      <w:pPr>
        <w:pStyle w:val="Reference"/>
        <w:keepLines/>
      </w:pPr>
      <w:r>
        <w:rPr>
          <w:rFonts w:eastAsia="Times New Roman"/>
        </w:rPr>
        <w:t xml:space="preserve">Kwarteng, L., Baiden, E. A., Fobil, J., Arko-Mensah, J., Robins, T., &amp; Batterman, S. (2020). Air quality impacts at an e-waste site in Ghana using flexible, moderate-cost and quality-assured measurements. </w:t>
      </w:r>
      <w:r>
        <w:rPr>
          <w:rFonts w:eastAsia="Times New Roman"/>
          <w:i/>
        </w:rPr>
        <w:t>GeoHealth</w:t>
      </w:r>
      <w:r>
        <w:rPr>
          <w:rFonts w:eastAsia="Times New Roman"/>
        </w:rPr>
        <w:t xml:space="preserve">, </w:t>
      </w:r>
      <w:r>
        <w:rPr>
          <w:rFonts w:eastAsia="Times New Roman"/>
          <w:i/>
        </w:rPr>
        <w:t>4</w:t>
      </w:r>
      <w:r>
        <w:rPr>
          <w:rFonts w:eastAsia="Times New Roman"/>
        </w:rPr>
        <w:t>(8), e2020GH000247.</w:t>
      </w:r>
      <w:r>
        <w:t xml:space="preserve"> </w:t>
      </w:r>
      <w:r>
        <w:rPr>
          <w:color w:val="0563C1"/>
          <w:u w:val="single"/>
        </w:rPr>
        <w:t>https://doi.org/10.1029/2020GH000247</w:t>
      </w:r>
    </w:p>
    <w:p w14:paraId="205D269E" w14:textId="5E7E8843" w:rsidR="0020504F" w:rsidRDefault="00000000">
      <w:pPr>
        <w:pStyle w:val="Reference"/>
        <w:keepLines/>
      </w:pPr>
      <w:r>
        <w:rPr>
          <w:rFonts w:eastAsia="Times New Roman"/>
        </w:rPr>
        <w:t xml:space="preserve">Kwarteng, L., Devasurendra, A. M., Laskaris, Z., Arko-Mensah, J., Amoabeng Nti, A. A., Takyi, S., Acquah, A. A., Dwomoh, D., Basu, N., Robins, T., Fobil, J. N., &amp; Batterman, S. (2022). Occupational exposures to particulate matter and PM2.5-associated polycyclic aromatic hydrocarbons at the Agbogbloshie waste recycling site in Ghana. </w:t>
      </w:r>
      <w:r>
        <w:rPr>
          <w:rFonts w:eastAsia="Times New Roman"/>
          <w:i/>
        </w:rPr>
        <w:t>Environment International</w:t>
      </w:r>
      <w:r>
        <w:rPr>
          <w:rFonts w:eastAsia="Times New Roman"/>
        </w:rPr>
        <w:t xml:space="preserve">, </w:t>
      </w:r>
      <w:r>
        <w:rPr>
          <w:rFonts w:eastAsia="Times New Roman"/>
          <w:i/>
        </w:rPr>
        <w:t>158</w:t>
      </w:r>
      <w:r>
        <w:rPr>
          <w:rFonts w:eastAsia="Times New Roman"/>
        </w:rPr>
        <w:t>, Article 106971.</w:t>
      </w:r>
      <w:r>
        <w:t xml:space="preserve"> </w:t>
      </w:r>
      <w:r>
        <w:rPr>
          <w:color w:val="0563C1"/>
          <w:u w:val="single"/>
        </w:rPr>
        <w:t>https://doi.org/10.1016/j.envint.2021.106971</w:t>
      </w:r>
    </w:p>
    <w:p w14:paraId="309F42A8" w14:textId="747A63EE" w:rsidR="0020504F" w:rsidRDefault="00000000">
      <w:pPr>
        <w:pStyle w:val="Reference"/>
        <w:keepLines/>
      </w:pPr>
      <w:r>
        <w:rPr>
          <w:rFonts w:eastAsia="Times New Roman"/>
        </w:rPr>
        <w:t xml:space="preserve">Laskaris, Z., Batterman, S. A., Arko-Mensah, J., Mukherjee, B., Fobil, J. N., O'Neill, M. S., &amp; Robins, T. G. (2021). Opportunities and challenges in reducing personal inhalation exposure to air pollution among electronic waste recovery workers in Ghana. </w:t>
      </w:r>
      <w:r>
        <w:rPr>
          <w:rFonts w:eastAsia="Times New Roman"/>
          <w:i/>
        </w:rPr>
        <w:t>American Journal of Industrial Medicine</w:t>
      </w:r>
      <w:r>
        <w:rPr>
          <w:rFonts w:eastAsia="Times New Roman"/>
        </w:rPr>
        <w:t xml:space="preserve">, </w:t>
      </w:r>
      <w:r>
        <w:rPr>
          <w:rFonts w:eastAsia="Times New Roman"/>
          <w:i/>
        </w:rPr>
        <w:t>64</w:t>
      </w:r>
      <w:r>
        <w:rPr>
          <w:rFonts w:eastAsia="Times New Roman"/>
        </w:rPr>
        <w:t>(5), 381-397.</w:t>
      </w:r>
      <w:r>
        <w:t xml:space="preserve"> </w:t>
      </w:r>
      <w:r>
        <w:rPr>
          <w:color w:val="0563C1"/>
          <w:u w:val="single"/>
        </w:rPr>
        <w:t>https://doi.org/10.1002/ajim.23229</w:t>
      </w:r>
    </w:p>
    <w:p w14:paraId="68CCF6E7" w14:textId="4C2ABE85" w:rsidR="0020504F" w:rsidRDefault="00000000">
      <w:pPr>
        <w:pStyle w:val="Reference"/>
        <w:keepLines/>
      </w:pPr>
      <w:r>
        <w:rPr>
          <w:rFonts w:eastAsia="Times New Roman"/>
        </w:rPr>
        <w:t xml:space="preserve">Laskaris, Z., O'Neill, M. S., Batterman, S. A., Mukherjee, B., Fobil, J. N., &amp; Robins, T. G. (2024). Cross-shift changes in pulmonary function and occupational exposure to particulate matter among e-waste workers in Ghana. </w:t>
      </w:r>
      <w:r>
        <w:rPr>
          <w:rFonts w:eastAsia="Times New Roman"/>
          <w:i/>
        </w:rPr>
        <w:t>Frontiers in Public Health</w:t>
      </w:r>
      <w:r>
        <w:rPr>
          <w:rFonts w:eastAsia="Times New Roman"/>
        </w:rPr>
        <w:t xml:space="preserve">, </w:t>
      </w:r>
      <w:r>
        <w:rPr>
          <w:rFonts w:eastAsia="Times New Roman"/>
          <w:i/>
        </w:rPr>
        <w:t>12</w:t>
      </w:r>
      <w:r>
        <w:rPr>
          <w:rFonts w:eastAsia="Times New Roman"/>
        </w:rPr>
        <w:t>, Article 1368112.</w:t>
      </w:r>
      <w:r>
        <w:t xml:space="preserve"> </w:t>
      </w:r>
      <w:r>
        <w:rPr>
          <w:color w:val="0563C1"/>
          <w:u w:val="single"/>
        </w:rPr>
        <w:t>https://doi.org/10.3389/fpubh.2024.1368112</w:t>
      </w:r>
    </w:p>
    <w:p w14:paraId="1A28EDE3" w14:textId="3597A8F8" w:rsidR="0020504F" w:rsidRDefault="00000000">
      <w:pPr>
        <w:pStyle w:val="Reference"/>
        <w:keepLines/>
      </w:pPr>
      <w:r>
        <w:rPr>
          <w:rFonts w:eastAsia="Times New Roman"/>
        </w:rPr>
        <w:t xml:space="preserve">Lau, W. K. Y., Liang, P., Man, Y. B., Chung, S. S., &amp; Wong, M. H. (2014). Human health risk assessment based on trace metals in suspended air particulates, surface dust, and floor dust from e-waste recycling workshops in Hong Kong, China. </w:t>
      </w:r>
      <w:r>
        <w:rPr>
          <w:rFonts w:eastAsia="Times New Roman"/>
          <w:i/>
        </w:rPr>
        <w:t>Environmental Science and Pollution Research</w:t>
      </w:r>
      <w:r>
        <w:rPr>
          <w:rFonts w:eastAsia="Times New Roman"/>
        </w:rPr>
        <w:t xml:space="preserve">, </w:t>
      </w:r>
      <w:r>
        <w:rPr>
          <w:rFonts w:eastAsia="Times New Roman"/>
          <w:i/>
        </w:rPr>
        <w:t>21</w:t>
      </w:r>
      <w:r>
        <w:rPr>
          <w:rFonts w:eastAsia="Times New Roman"/>
        </w:rPr>
        <w:t>(5), 3813-3825.</w:t>
      </w:r>
      <w:r>
        <w:t xml:space="preserve"> </w:t>
      </w:r>
      <w:r>
        <w:rPr>
          <w:color w:val="0563C1"/>
          <w:u w:val="single"/>
        </w:rPr>
        <w:t>https://doi.org/10.1007/s11356-013-2372-8</w:t>
      </w:r>
    </w:p>
    <w:p w14:paraId="2F3ADB82" w14:textId="759CD29E" w:rsidR="0020504F" w:rsidRDefault="00000000">
      <w:pPr>
        <w:pStyle w:val="Reference"/>
        <w:keepLines/>
      </w:pPr>
      <w:r>
        <w:rPr>
          <w:rFonts w:eastAsia="Times New Roman"/>
        </w:rPr>
        <w:t xml:space="preserve">Liao, G., Wang, F., Lu, S., Yu, Y. H. K., Arrandale, V. H., Chan, A. H.-S., &amp; Tse, L. A. (2024). Assessing neurobehavioral alterations among e-waste recycling workers in Hong Kong. </w:t>
      </w:r>
      <w:r>
        <w:rPr>
          <w:rFonts w:eastAsia="Times New Roman"/>
          <w:i/>
        </w:rPr>
        <w:t>Safety and Health at Work</w:t>
      </w:r>
      <w:r>
        <w:rPr>
          <w:rFonts w:eastAsia="Times New Roman"/>
        </w:rPr>
        <w:t xml:space="preserve">, </w:t>
      </w:r>
      <w:r>
        <w:rPr>
          <w:rFonts w:eastAsia="Times New Roman"/>
          <w:i/>
        </w:rPr>
        <w:t>15</w:t>
      </w:r>
      <w:r>
        <w:rPr>
          <w:rFonts w:eastAsia="Times New Roman"/>
        </w:rPr>
        <w:t>(1), 9-16.</w:t>
      </w:r>
      <w:r>
        <w:t xml:space="preserve"> </w:t>
      </w:r>
      <w:r>
        <w:rPr>
          <w:color w:val="0563C1"/>
          <w:u w:val="single"/>
        </w:rPr>
        <w:t>https://doi.org/10.1016/j.shaw.2023.12.004</w:t>
      </w:r>
    </w:p>
    <w:p w14:paraId="0003CCFE" w14:textId="5FBE544E" w:rsidR="0020504F" w:rsidRDefault="00000000">
      <w:pPr>
        <w:pStyle w:val="Reference"/>
        <w:keepLines/>
      </w:pPr>
      <w:r>
        <w:rPr>
          <w:rFonts w:eastAsia="Times New Roman"/>
        </w:rPr>
        <w:t xml:space="preserve">Liao, G., Bian, J., Wang, F., Zhao, S., Li, B., Yu, Y. H. K., Wong, S. Y.-S., Arrandale, V. H., Chan, A. H.-S., Liu, L., Lu, S., &amp; Tse, L. A. (2025). Increased RPE-wearing time and hand-washing frequency associated with lower urinary pollutant levels among Hong Kong e-waste workers. </w:t>
      </w:r>
      <w:r>
        <w:rPr>
          <w:rFonts w:eastAsia="Times New Roman"/>
          <w:i/>
        </w:rPr>
        <w:t>Ecotoxicology and Environmental Safety</w:t>
      </w:r>
      <w:r>
        <w:rPr>
          <w:rFonts w:eastAsia="Times New Roman"/>
        </w:rPr>
        <w:t xml:space="preserve">, </w:t>
      </w:r>
      <w:r>
        <w:rPr>
          <w:rFonts w:eastAsia="Times New Roman"/>
          <w:i/>
        </w:rPr>
        <w:t>304</w:t>
      </w:r>
      <w:r>
        <w:rPr>
          <w:rFonts w:eastAsia="Times New Roman"/>
        </w:rPr>
        <w:t>, Article 119149.</w:t>
      </w:r>
      <w:r>
        <w:t xml:space="preserve"> </w:t>
      </w:r>
      <w:r>
        <w:rPr>
          <w:color w:val="0563C1"/>
          <w:u w:val="single"/>
        </w:rPr>
        <w:t>https://doi.org/10.1016/j.ecoenv.2025.119149</w:t>
      </w:r>
    </w:p>
    <w:p w14:paraId="2CDBD9AE" w14:textId="052034DD" w:rsidR="0020504F" w:rsidRDefault="00000000">
      <w:pPr>
        <w:pStyle w:val="Reference"/>
        <w:keepLines/>
      </w:pPr>
      <w:r>
        <w:rPr>
          <w:rFonts w:eastAsia="Times New Roman"/>
        </w:rPr>
        <w:t xml:space="preserve">Lin, N., Kwarteng, L., Godwin, C., Warner, S., Robins, T., Arko-Mensah, J., Fobil, J. N., &amp; Batterman, S. (2021). Airborne volatile organic compounds at an e-waste site in Ghana: Source apportionment, exposure and health risks. </w:t>
      </w:r>
      <w:r>
        <w:rPr>
          <w:rFonts w:eastAsia="Times New Roman"/>
          <w:i/>
        </w:rPr>
        <w:t>Journal of Hazardous Materials</w:t>
      </w:r>
      <w:r>
        <w:rPr>
          <w:rFonts w:eastAsia="Times New Roman"/>
        </w:rPr>
        <w:t xml:space="preserve">, </w:t>
      </w:r>
      <w:r>
        <w:rPr>
          <w:rFonts w:eastAsia="Times New Roman"/>
          <w:i/>
        </w:rPr>
        <w:t>419</w:t>
      </w:r>
      <w:r>
        <w:rPr>
          <w:rFonts w:eastAsia="Times New Roman"/>
        </w:rPr>
        <w:t>, Article 126353.</w:t>
      </w:r>
      <w:r>
        <w:t xml:space="preserve"> </w:t>
      </w:r>
      <w:r>
        <w:rPr>
          <w:color w:val="0563C1"/>
          <w:u w:val="single"/>
        </w:rPr>
        <w:t>https://doi.org/10.1016/j.jhazmat.2021.126353</w:t>
      </w:r>
    </w:p>
    <w:p w14:paraId="093AC4E7" w14:textId="570BC94A" w:rsidR="0020504F" w:rsidRDefault="00000000">
      <w:pPr>
        <w:pStyle w:val="Reference"/>
        <w:keepLines/>
      </w:pPr>
      <w:r>
        <w:rPr>
          <w:rFonts w:eastAsia="Times New Roman"/>
        </w:rPr>
        <w:t xml:space="preserve">Neitzel, R. L., Sayler, S. K., Arain, A. L., &amp; Nambunmee, K. (2020). Metal levels, genetic instability, and renal markers in electronic waste workers in Thailand. </w:t>
      </w:r>
      <w:r>
        <w:rPr>
          <w:rFonts w:eastAsia="Times New Roman"/>
          <w:i/>
        </w:rPr>
        <w:t>International Journal of Occupational and Environmental Medicine</w:t>
      </w:r>
      <w:r>
        <w:rPr>
          <w:rFonts w:eastAsia="Times New Roman"/>
        </w:rPr>
        <w:t xml:space="preserve">, </w:t>
      </w:r>
      <w:r>
        <w:rPr>
          <w:rFonts w:eastAsia="Times New Roman"/>
          <w:i/>
        </w:rPr>
        <w:t>11</w:t>
      </w:r>
      <w:r>
        <w:rPr>
          <w:rFonts w:eastAsia="Times New Roman"/>
        </w:rPr>
        <w:t>(2), 72-84.</w:t>
      </w:r>
      <w:r>
        <w:t xml:space="preserve"> </w:t>
      </w:r>
      <w:r>
        <w:rPr>
          <w:color w:val="0563C1"/>
          <w:u w:val="single"/>
        </w:rPr>
        <w:t>https://doi.org/10.34172/ijoem.2020.1826</w:t>
      </w:r>
    </w:p>
    <w:p w14:paraId="2EA0874E" w14:textId="01ADA41D" w:rsidR="0020504F" w:rsidRDefault="00000000">
      <w:pPr>
        <w:pStyle w:val="Reference"/>
        <w:keepLines/>
      </w:pPr>
      <w:r>
        <w:rPr>
          <w:rFonts w:eastAsia="Times New Roman"/>
        </w:rPr>
        <w:t xml:space="preserve">Ohajinwa, C. M., Van Bodegom, P. M., Vijver, M. G., &amp; Peijnenburg, W. J. G. M. (2017). Health risks awareness of electronic waste workers in the informal sector in Nigeria. </w:t>
      </w:r>
      <w:r>
        <w:rPr>
          <w:rFonts w:eastAsia="Times New Roman"/>
          <w:i/>
        </w:rPr>
        <w:t>International Journal of Environmental Research and Public Health</w:t>
      </w:r>
      <w:r>
        <w:rPr>
          <w:rFonts w:eastAsia="Times New Roman"/>
        </w:rPr>
        <w:t xml:space="preserve">, </w:t>
      </w:r>
      <w:r>
        <w:rPr>
          <w:rFonts w:eastAsia="Times New Roman"/>
          <w:i/>
        </w:rPr>
        <w:t>14</w:t>
      </w:r>
      <w:r>
        <w:rPr>
          <w:rFonts w:eastAsia="Times New Roman"/>
        </w:rPr>
        <w:t>(8), Article 911.</w:t>
      </w:r>
      <w:r>
        <w:t xml:space="preserve"> </w:t>
      </w:r>
      <w:r>
        <w:rPr>
          <w:color w:val="0563C1"/>
          <w:u w:val="single"/>
        </w:rPr>
        <w:t>https://doi.org/10.3390/ijerph14080911</w:t>
      </w:r>
    </w:p>
    <w:p w14:paraId="5F739210" w14:textId="49C99AC8" w:rsidR="0020504F" w:rsidRDefault="00000000">
      <w:pPr>
        <w:pStyle w:val="Reference"/>
        <w:keepLines/>
      </w:pPr>
      <w:r>
        <w:rPr>
          <w:rFonts w:eastAsia="Times New Roman"/>
        </w:rPr>
        <w:t xml:space="preserve">Okeme, J. O., &amp; Arrandale, V. H. (2019). Electronic waste recycling: Occupational exposures and work-related health effects. </w:t>
      </w:r>
      <w:r>
        <w:rPr>
          <w:rFonts w:eastAsia="Times New Roman"/>
          <w:i/>
        </w:rPr>
        <w:t>Current Environmental Health Reports</w:t>
      </w:r>
      <w:r>
        <w:rPr>
          <w:rFonts w:eastAsia="Times New Roman"/>
        </w:rPr>
        <w:t xml:space="preserve">, </w:t>
      </w:r>
      <w:r>
        <w:rPr>
          <w:rFonts w:eastAsia="Times New Roman"/>
          <w:i/>
        </w:rPr>
        <w:t>6</w:t>
      </w:r>
      <w:r>
        <w:rPr>
          <w:rFonts w:eastAsia="Times New Roman"/>
        </w:rPr>
        <w:t>(4), 256-268.</w:t>
      </w:r>
      <w:r>
        <w:t xml:space="preserve"> </w:t>
      </w:r>
      <w:r>
        <w:rPr>
          <w:color w:val="0563C1"/>
          <w:u w:val="single"/>
        </w:rPr>
        <w:t>https://doi.org/10.1007/s40572-019-00255-3</w:t>
      </w:r>
    </w:p>
    <w:p w14:paraId="6FB76662" w14:textId="62A68AE2" w:rsidR="0020504F" w:rsidRDefault="00000000">
      <w:pPr>
        <w:pStyle w:val="Reference"/>
        <w:keepLines/>
      </w:pPr>
      <w:r>
        <w:rPr>
          <w:rFonts w:eastAsia="Times New Roman"/>
        </w:rPr>
        <w:lastRenderedPageBreak/>
        <w:t xml:space="preserve">Parvez, S. M., Jahan, F., Brune, M.-N., Gorman, J. F., Rahman, M. J., Carpenter, D., Islam, Z., Rahman, M., Aich, N., Knibbs, L. D., &amp; Sly, P. D. (2021). Health consequences of exposure to e-waste: An updated systematic review. </w:t>
      </w:r>
      <w:r>
        <w:rPr>
          <w:rFonts w:eastAsia="Times New Roman"/>
          <w:i/>
        </w:rPr>
        <w:t>The Lancet Planetary Health</w:t>
      </w:r>
      <w:r>
        <w:rPr>
          <w:rFonts w:eastAsia="Times New Roman"/>
        </w:rPr>
        <w:t xml:space="preserve">, </w:t>
      </w:r>
      <w:r>
        <w:rPr>
          <w:rFonts w:eastAsia="Times New Roman"/>
          <w:i/>
        </w:rPr>
        <w:t>5</w:t>
      </w:r>
      <w:r>
        <w:rPr>
          <w:rFonts w:eastAsia="Times New Roman"/>
        </w:rPr>
        <w:t>(12), e905-e920.</w:t>
      </w:r>
      <w:r>
        <w:t xml:space="preserve"> </w:t>
      </w:r>
      <w:r>
        <w:rPr>
          <w:color w:val="0563C1"/>
          <w:u w:val="single"/>
        </w:rPr>
        <w:t>https://doi.org/10.1016/S2542-5196(21)00263-1</w:t>
      </w:r>
    </w:p>
    <w:p w14:paraId="69DFBBC7" w14:textId="3848E440" w:rsidR="0020504F" w:rsidRDefault="00000000">
      <w:pPr>
        <w:pStyle w:val="Reference"/>
        <w:keepLines/>
      </w:pPr>
      <w:r>
        <w:rPr>
          <w:rFonts w:eastAsia="Times New Roman"/>
        </w:rPr>
        <w:t xml:space="preserve">Parvez, S. M., Huda, M. M., Rahman, M., Jahan, F., Fujimura, M., Hasan, S. S., Hares, A., Islam, Z., Raqib, R., Knibbs, L. D., &amp; Sly, P. D. (2024). Hormonal, liver, and renal function associated with electronic waste (e-waste) exposure in Dhaka, Bangladesh. </w:t>
      </w:r>
      <w:r>
        <w:rPr>
          <w:rFonts w:eastAsia="Times New Roman"/>
          <w:i/>
        </w:rPr>
        <w:t>Toxicology</w:t>
      </w:r>
      <w:r>
        <w:rPr>
          <w:rFonts w:eastAsia="Times New Roman"/>
        </w:rPr>
        <w:t xml:space="preserve">, </w:t>
      </w:r>
      <w:r>
        <w:rPr>
          <w:rFonts w:eastAsia="Times New Roman"/>
          <w:i/>
        </w:rPr>
        <w:t>505</w:t>
      </w:r>
      <w:r>
        <w:rPr>
          <w:rFonts w:eastAsia="Times New Roman"/>
        </w:rPr>
        <w:t>, Article 153833.</w:t>
      </w:r>
      <w:r>
        <w:t xml:space="preserve"> </w:t>
      </w:r>
      <w:r>
        <w:rPr>
          <w:color w:val="0563C1"/>
          <w:u w:val="single"/>
        </w:rPr>
        <w:t>https://doi.org/10.1016/j.tox.2024.153833</w:t>
      </w:r>
    </w:p>
    <w:p w14:paraId="4733BD00" w14:textId="73D80FE8" w:rsidR="0020504F" w:rsidRDefault="00000000">
      <w:pPr>
        <w:pStyle w:val="Reference"/>
        <w:keepLines/>
      </w:pPr>
      <w:r>
        <w:rPr>
          <w:rFonts w:eastAsia="Times New Roman"/>
        </w:rPr>
        <w:t xml:space="preserve">Parvez, S. M., Hasan, S. S., Huda, M. M., Jahan, F., Rahman, M., Hares, A., Islam, Z., Fujimura, M., Raqib, R., Aich, N., Knibbs, L. D., &amp; Sly, P. D. (2026). Occupational exposure and respiratory health effects among electronic waste (e-waste) recycling workers in Bangladesh. </w:t>
      </w:r>
      <w:r>
        <w:rPr>
          <w:rFonts w:eastAsia="Times New Roman"/>
          <w:i/>
        </w:rPr>
        <w:t>International Journal of Environmental Health Research</w:t>
      </w:r>
      <w:r>
        <w:rPr>
          <w:rFonts w:eastAsia="Times New Roman"/>
        </w:rPr>
        <w:t>, Advance online publication, 1-13.</w:t>
      </w:r>
      <w:r>
        <w:t xml:space="preserve"> </w:t>
      </w:r>
      <w:r>
        <w:rPr>
          <w:color w:val="0563C1"/>
          <w:u w:val="single"/>
        </w:rPr>
        <w:t>https://doi.org/10.1080/09603123.2026.2663953</w:t>
      </w:r>
    </w:p>
    <w:p w14:paraId="26E67E92" w14:textId="6BA76697" w:rsidR="0020504F" w:rsidRDefault="00000000">
      <w:pPr>
        <w:pStyle w:val="Reference"/>
        <w:keepLines/>
      </w:pPr>
      <w:r>
        <w:rPr>
          <w:rFonts w:eastAsia="Times New Roman"/>
        </w:rPr>
        <w:t xml:space="preserve">Püschel, P., Agbeko, K. M., Amoabeng-Nti, A. A., Arko-Mensah, J., Bertram, J., Fobil, J. N., Waldschmidt, S., Löhndorf, K., Schettgen, T., Lakemeyer, M., Morrison, A., &amp; Küpper, T. (2024). Lead exposure by E-waste disposal and recycling in Agbogbloshie, Ghana. </w:t>
      </w:r>
      <w:r>
        <w:rPr>
          <w:rFonts w:eastAsia="Times New Roman"/>
          <w:i/>
        </w:rPr>
        <w:t>International Journal of Hygiene and Environmental Health</w:t>
      </w:r>
      <w:r>
        <w:rPr>
          <w:rFonts w:eastAsia="Times New Roman"/>
        </w:rPr>
        <w:t xml:space="preserve">, </w:t>
      </w:r>
      <w:r>
        <w:rPr>
          <w:rFonts w:eastAsia="Times New Roman"/>
          <w:i/>
        </w:rPr>
        <w:t>259</w:t>
      </w:r>
      <w:r>
        <w:rPr>
          <w:rFonts w:eastAsia="Times New Roman"/>
        </w:rPr>
        <w:t>, Article 114375.</w:t>
      </w:r>
      <w:r>
        <w:t xml:space="preserve"> </w:t>
      </w:r>
      <w:r>
        <w:rPr>
          <w:color w:val="0563C1"/>
          <w:u w:val="single"/>
        </w:rPr>
        <w:t>https://doi.org/10.1016/j.ijheh.2024.114375</w:t>
      </w:r>
    </w:p>
    <w:p w14:paraId="73926B25" w14:textId="66E46872" w:rsidR="0020504F" w:rsidRDefault="00000000">
      <w:pPr>
        <w:pStyle w:val="Reference"/>
        <w:keepLines/>
      </w:pPr>
      <w:r>
        <w:rPr>
          <w:rFonts w:eastAsia="Times New Roman"/>
        </w:rPr>
        <w:t xml:space="preserve">Shkembi, A., Nambunmee, K., Jindaphong, S., Parra-Giordano, D., Yohannessen, K., Ruiz-Rudolph, P., Neitzel, R. L., &amp; Arain, A. (2021). Work task association with lead urine and blood concentrations in informal electronic waste recyclers in Thailand and Chile. </w:t>
      </w:r>
      <w:r>
        <w:rPr>
          <w:rFonts w:eastAsia="Times New Roman"/>
          <w:i/>
        </w:rPr>
        <w:t>International Journal of Environmental Research and Public Health</w:t>
      </w:r>
      <w:r>
        <w:rPr>
          <w:rFonts w:eastAsia="Times New Roman"/>
        </w:rPr>
        <w:t xml:space="preserve">, </w:t>
      </w:r>
      <w:r>
        <w:rPr>
          <w:rFonts w:eastAsia="Times New Roman"/>
          <w:i/>
        </w:rPr>
        <w:t>18</w:t>
      </w:r>
      <w:r>
        <w:rPr>
          <w:rFonts w:eastAsia="Times New Roman"/>
        </w:rPr>
        <w:t>(20), Article 10580.</w:t>
      </w:r>
      <w:r>
        <w:t xml:space="preserve"> </w:t>
      </w:r>
      <w:r>
        <w:rPr>
          <w:color w:val="0563C1"/>
          <w:u w:val="single"/>
        </w:rPr>
        <w:t>https://doi.org/10.3390/ijerph182010580</w:t>
      </w:r>
    </w:p>
    <w:p w14:paraId="53256EEA" w14:textId="09588A13" w:rsidR="0020504F" w:rsidRDefault="00000000">
      <w:pPr>
        <w:pStyle w:val="Reference"/>
        <w:keepLines/>
      </w:pPr>
      <w:r>
        <w:rPr>
          <w:rFonts w:eastAsia="Times New Roman"/>
        </w:rPr>
        <w:t xml:space="preserve">Singhal, D., Lyngdoh, T., &amp; Prabhakaran, P. (2021). Knowledge, attitude and practice study of health risks among e-waste recyclers in Delhi. </w:t>
      </w:r>
      <w:r>
        <w:rPr>
          <w:rFonts w:eastAsia="Times New Roman"/>
          <w:i/>
        </w:rPr>
        <w:t>Journal of Health and Pollution</w:t>
      </w:r>
      <w:r>
        <w:rPr>
          <w:rFonts w:eastAsia="Times New Roman"/>
        </w:rPr>
        <w:t xml:space="preserve">, </w:t>
      </w:r>
      <w:r>
        <w:rPr>
          <w:rFonts w:eastAsia="Times New Roman"/>
          <w:i/>
        </w:rPr>
        <w:t>11</w:t>
      </w:r>
      <w:r>
        <w:rPr>
          <w:rFonts w:eastAsia="Times New Roman"/>
        </w:rPr>
        <w:t>(29), Article 210306.</w:t>
      </w:r>
      <w:r>
        <w:t xml:space="preserve"> </w:t>
      </w:r>
      <w:r>
        <w:rPr>
          <w:color w:val="0563C1"/>
          <w:u w:val="single"/>
        </w:rPr>
        <w:t>https://doi.org/10.5696/2156-9614-11.29.210306</w:t>
      </w:r>
    </w:p>
    <w:p w14:paraId="5E1CE63D" w14:textId="0960D92A" w:rsidR="0020504F" w:rsidRDefault="00000000">
      <w:pPr>
        <w:pStyle w:val="Reference"/>
        <w:keepLines/>
      </w:pPr>
      <w:r>
        <w:rPr>
          <w:rFonts w:eastAsia="Times New Roman"/>
        </w:rPr>
        <w:t xml:space="preserve">Srigboh, R. K., Basu, N., Stephens, J., Asampong, E., Perkins, M., Neitzel, R. L., &amp; Fobil, J. (2016). Multiple elemental exposures amongst workers at the Agbogbloshie electronic waste (e-waste) site in Ghana. </w:t>
      </w:r>
      <w:r>
        <w:rPr>
          <w:rFonts w:eastAsia="Times New Roman"/>
          <w:i/>
        </w:rPr>
        <w:t>Chemosphere</w:t>
      </w:r>
      <w:r>
        <w:rPr>
          <w:rFonts w:eastAsia="Times New Roman"/>
        </w:rPr>
        <w:t xml:space="preserve">, </w:t>
      </w:r>
      <w:r>
        <w:rPr>
          <w:rFonts w:eastAsia="Times New Roman"/>
          <w:i/>
        </w:rPr>
        <w:t>164</w:t>
      </w:r>
      <w:r>
        <w:rPr>
          <w:rFonts w:eastAsia="Times New Roman"/>
        </w:rPr>
        <w:t>, 68-74.</w:t>
      </w:r>
      <w:r>
        <w:t xml:space="preserve"> </w:t>
      </w:r>
      <w:r>
        <w:rPr>
          <w:color w:val="0563C1"/>
          <w:u w:val="single"/>
        </w:rPr>
        <w:t>https://doi.org/10.1016/j.chemosphere.2016.08.089</w:t>
      </w:r>
    </w:p>
    <w:p w14:paraId="15B9AD32" w14:textId="2ED363B3" w:rsidR="0020504F" w:rsidRDefault="00000000">
      <w:pPr>
        <w:pStyle w:val="Reference"/>
        <w:keepLines/>
      </w:pPr>
      <w:r>
        <w:rPr>
          <w:rFonts w:eastAsia="Times New Roman"/>
        </w:rPr>
        <w:t xml:space="preserve">Takyi, S. A., Basu, N., Arko-Mensah, J., Botwe, P., Amoabeng Nti, A. A., Kwarteng, L., Acquah, A., Tettey, P., Dwomoh, D., Batterman, S., Robins, T., &amp; Fobil, J. N. (2020). Micronutrient-rich dietary intake is associated with a reduction in the effects of particulate matter on blood pressure among electronic waste recyclers at Agbogbloshie, Ghana. </w:t>
      </w:r>
      <w:r>
        <w:rPr>
          <w:rFonts w:eastAsia="Times New Roman"/>
          <w:i/>
        </w:rPr>
        <w:t>BMC Public Health</w:t>
      </w:r>
      <w:r>
        <w:rPr>
          <w:rFonts w:eastAsia="Times New Roman"/>
        </w:rPr>
        <w:t xml:space="preserve">, </w:t>
      </w:r>
      <w:r>
        <w:rPr>
          <w:rFonts w:eastAsia="Times New Roman"/>
          <w:i/>
        </w:rPr>
        <w:t>20</w:t>
      </w:r>
      <w:r>
        <w:rPr>
          <w:rFonts w:eastAsia="Times New Roman"/>
        </w:rPr>
        <w:t>(1), Article 1067.</w:t>
      </w:r>
      <w:r>
        <w:t xml:space="preserve"> </w:t>
      </w:r>
      <w:r>
        <w:rPr>
          <w:color w:val="0563C1"/>
          <w:u w:val="single"/>
        </w:rPr>
        <w:t>https://doi.org/10.1186/s12889-020-09173-8</w:t>
      </w:r>
    </w:p>
    <w:p w14:paraId="0F361462" w14:textId="4D5E60BF" w:rsidR="0020504F" w:rsidRDefault="00000000">
      <w:pPr>
        <w:pStyle w:val="Reference"/>
        <w:keepLines/>
      </w:pPr>
      <w:r>
        <w:rPr>
          <w:rFonts w:eastAsia="Times New Roman"/>
        </w:rPr>
        <w:t xml:space="preserve">Takyi, S. A., Basu, N., Arko-Mensah, J., Dwomoh, D., Houessionon, K. G., &amp; Fobil, J. N. (2021). Biomonitoring of metals in blood and urine of electronic waste (E-waste) recyclers at Agbogbloshie, Ghana. </w:t>
      </w:r>
      <w:r>
        <w:rPr>
          <w:rFonts w:eastAsia="Times New Roman"/>
          <w:i/>
        </w:rPr>
        <w:t>Chemosphere</w:t>
      </w:r>
      <w:r>
        <w:rPr>
          <w:rFonts w:eastAsia="Times New Roman"/>
        </w:rPr>
        <w:t xml:space="preserve">, </w:t>
      </w:r>
      <w:r>
        <w:rPr>
          <w:rFonts w:eastAsia="Times New Roman"/>
          <w:i/>
        </w:rPr>
        <w:t>280</w:t>
      </w:r>
      <w:r>
        <w:rPr>
          <w:rFonts w:eastAsia="Times New Roman"/>
        </w:rPr>
        <w:t>, Article 130677.</w:t>
      </w:r>
      <w:r>
        <w:t xml:space="preserve"> </w:t>
      </w:r>
      <w:r>
        <w:rPr>
          <w:color w:val="0563C1"/>
          <w:u w:val="single"/>
        </w:rPr>
        <w:t>https://doi.org/10.1016/j.chemosphere.2021.130677</w:t>
      </w:r>
    </w:p>
    <w:p w14:paraId="28B8B670" w14:textId="75AA0593" w:rsidR="0020504F" w:rsidRDefault="00000000">
      <w:pPr>
        <w:pStyle w:val="Reference"/>
        <w:keepLines/>
      </w:pPr>
      <w:r>
        <w:rPr>
          <w:rFonts w:eastAsia="Times New Roman"/>
        </w:rPr>
        <w:t xml:space="preserve">World Health Organization. (2024, October 1). </w:t>
      </w:r>
      <w:r>
        <w:rPr>
          <w:rFonts w:eastAsia="Times New Roman"/>
          <w:i/>
        </w:rPr>
        <w:t>Electronic waste (e-waste).</w:t>
      </w:r>
      <w:r>
        <w:t xml:space="preserve"> </w:t>
      </w:r>
      <w:r>
        <w:rPr>
          <w:color w:val="0563C1"/>
          <w:u w:val="single"/>
        </w:rPr>
        <w:t>https://www.who.int/news-room/fact-sheets/detail/electronic-waste-(e-waste)</w:t>
      </w:r>
    </w:p>
    <w:p w14:paraId="513BC16D" w14:textId="2B737437" w:rsidR="0020504F" w:rsidRDefault="00000000">
      <w:pPr>
        <w:pStyle w:val="Reference"/>
        <w:keepLines/>
      </w:pPr>
      <w:r>
        <w:rPr>
          <w:rFonts w:eastAsia="Times New Roman"/>
        </w:rPr>
        <w:t xml:space="preserve">Yang, J., Bertram, J., Schettgen, T., Heitland, P., Fischer, D., Seidu, F., Felten, M., Kraus, T., Fobil, J. N., &amp; Kaifie, A. (2020). Arsenic burden in e-waste recycling workers - A cross-sectional study at the Agbogbloshie e-waste recycling site, Ghana. </w:t>
      </w:r>
      <w:r>
        <w:rPr>
          <w:rFonts w:eastAsia="Times New Roman"/>
          <w:i/>
        </w:rPr>
        <w:t>Chemosphere</w:t>
      </w:r>
      <w:r>
        <w:rPr>
          <w:rFonts w:eastAsia="Times New Roman"/>
        </w:rPr>
        <w:t xml:space="preserve">, </w:t>
      </w:r>
      <w:r>
        <w:rPr>
          <w:rFonts w:eastAsia="Times New Roman"/>
          <w:i/>
        </w:rPr>
        <w:t>261</w:t>
      </w:r>
      <w:r>
        <w:rPr>
          <w:rFonts w:eastAsia="Times New Roman"/>
        </w:rPr>
        <w:t>, Article 127712.</w:t>
      </w:r>
      <w:r>
        <w:t xml:space="preserve"> </w:t>
      </w:r>
      <w:r>
        <w:rPr>
          <w:color w:val="0563C1"/>
          <w:u w:val="single"/>
        </w:rPr>
        <w:t>https://doi.org/10.1016/j.chemosphere.2020.127712</w:t>
      </w:r>
    </w:p>
    <w:p w14:paraId="7C784B29" w14:textId="7B528E5D" w:rsidR="0020504F" w:rsidRDefault="00000000">
      <w:pPr>
        <w:pStyle w:val="Reference"/>
        <w:keepLines/>
      </w:pPr>
      <w:r>
        <w:rPr>
          <w:rFonts w:eastAsia="Times New Roman"/>
        </w:rPr>
        <w:t xml:space="preserve">Yohannessen, K., Pinto-Galleguillos, D., Parra-Giordano, D., Agost, A., Valdés, M., Smith, L. M., Galen, K., Arain, A., Rojas, F., Neitzel, R. L., &amp; Ruiz-Rudolph, P. (2019). Health assessment of electronic waste workers in Chile: Participant characterization. </w:t>
      </w:r>
      <w:r>
        <w:rPr>
          <w:rFonts w:eastAsia="Times New Roman"/>
          <w:i/>
        </w:rPr>
        <w:t>International Journal of Environmental Research and Public Health</w:t>
      </w:r>
      <w:r>
        <w:rPr>
          <w:rFonts w:eastAsia="Times New Roman"/>
        </w:rPr>
        <w:t xml:space="preserve">, </w:t>
      </w:r>
      <w:r>
        <w:rPr>
          <w:rFonts w:eastAsia="Times New Roman"/>
          <w:i/>
        </w:rPr>
        <w:t>16</w:t>
      </w:r>
      <w:r>
        <w:rPr>
          <w:rFonts w:eastAsia="Times New Roman"/>
        </w:rPr>
        <w:t>(3), Article 386.</w:t>
      </w:r>
      <w:r>
        <w:t xml:space="preserve"> </w:t>
      </w:r>
      <w:r>
        <w:rPr>
          <w:color w:val="0563C1"/>
          <w:u w:val="single"/>
        </w:rPr>
        <w:t>https://doi.org/10.3390/ijerph16030386</w:t>
      </w:r>
    </w:p>
    <w:p w14:paraId="2DE8588F" w14:textId="7CE5F7F5" w:rsidR="0020504F" w:rsidRDefault="00000000">
      <w:pPr>
        <w:pStyle w:val="Reference"/>
        <w:keepLines/>
      </w:pPr>
      <w:r>
        <w:rPr>
          <w:rFonts w:eastAsia="Times New Roman"/>
        </w:rPr>
        <w:t xml:space="preserve">Zheng, J., He, C.-T., Chen, S.-J., Yan, X., Guo, M.-N., Wang, M.-H., Yu, Y.-J., Yang, Z.-Y., &amp; Mai, B.-X. (2017). Disruption of thyroid hormone (TH) levels and TH-regulated gene expression by polybrominated diphenyl ethers (PBDEs), polychlorinated biphenyls (PCBs), and hydroxylated PCBs in e-waste recycling workers. </w:t>
      </w:r>
      <w:r>
        <w:rPr>
          <w:rFonts w:eastAsia="Times New Roman"/>
          <w:i/>
        </w:rPr>
        <w:t>Environment International</w:t>
      </w:r>
      <w:r>
        <w:rPr>
          <w:rFonts w:eastAsia="Times New Roman"/>
        </w:rPr>
        <w:t xml:space="preserve">, </w:t>
      </w:r>
      <w:r>
        <w:rPr>
          <w:rFonts w:eastAsia="Times New Roman"/>
          <w:i/>
        </w:rPr>
        <w:t>102</w:t>
      </w:r>
      <w:r>
        <w:rPr>
          <w:rFonts w:eastAsia="Times New Roman"/>
        </w:rPr>
        <w:t>, 138-144.</w:t>
      </w:r>
      <w:r>
        <w:t xml:space="preserve"> </w:t>
      </w:r>
      <w:r>
        <w:rPr>
          <w:color w:val="0563C1"/>
          <w:u w:val="single"/>
        </w:rPr>
        <w:t>https://doi.org/10.1016/j.envint.2017.02.009</w:t>
      </w:r>
    </w:p>
    <w:sectPr w:rsidR="0020504F" w:rsidSect="00034616">
      <w:headerReference w:type="even" r:id="rId8"/>
      <w:headerReference w:type="default" r:id="rId9"/>
      <w:footerReference w:type="even" r:id="rId10"/>
      <w:footerReference w:type="default" r:id="rId11"/>
      <w:headerReference w:type="first" r:id="rId12"/>
      <w:footerReference w:type="first" r:id="rId13"/>
      <w:pgSz w:w="12240" w:h="15840"/>
      <w:pgMar w:top="1037" w:right="1123" w:bottom="1008" w:left="1123"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F5FBD" w14:textId="77777777" w:rsidR="001739A6" w:rsidRDefault="001739A6">
      <w:pPr>
        <w:spacing w:after="0" w:line="240" w:lineRule="auto"/>
      </w:pPr>
      <w:r>
        <w:separator/>
      </w:r>
    </w:p>
  </w:endnote>
  <w:endnote w:type="continuationSeparator" w:id="0">
    <w:p w14:paraId="624468A3" w14:textId="77777777" w:rsidR="001739A6" w:rsidRDefault="00173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4D27" w14:textId="77777777" w:rsidR="0031134F" w:rsidRDefault="003113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8559F" w14:textId="77777777" w:rsidR="0020504F" w:rsidRDefault="00000000">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D61E9F">
      <w:rPr>
        <w:rFonts w:eastAsia="Times New Roman"/>
        <w:noProof/>
        <w:sz w:val="18"/>
      </w:rPr>
      <w:t>1</w:t>
    </w:r>
    <w:r>
      <w:rPr>
        <w:rFonts w:eastAsia="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08C3" w14:textId="77777777" w:rsidR="0031134F" w:rsidRDefault="00311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A0C6D" w14:textId="77777777" w:rsidR="001739A6" w:rsidRDefault="001739A6">
      <w:pPr>
        <w:spacing w:after="0" w:line="240" w:lineRule="auto"/>
      </w:pPr>
      <w:r>
        <w:separator/>
      </w:r>
    </w:p>
  </w:footnote>
  <w:footnote w:type="continuationSeparator" w:id="0">
    <w:p w14:paraId="40AC5260" w14:textId="77777777" w:rsidR="001739A6" w:rsidRDefault="00173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52DB" w14:textId="6362FA00" w:rsidR="0031134F" w:rsidRDefault="0031134F">
    <w:pPr>
      <w:pStyle w:val="Header"/>
    </w:pPr>
    <w:r>
      <w:rPr>
        <w:noProof/>
      </w:rPr>
      <w:pict w14:anchorId="788D64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3532" o:spid="_x0000_s1026" type="#_x0000_t136" style="position:absolute;left:0;text-align:left;margin-left:0;margin-top:0;width:634.05pt;height:70.4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DEF9" w14:textId="4C962FE4" w:rsidR="0031134F" w:rsidRDefault="0031134F">
    <w:pPr>
      <w:pStyle w:val="Header"/>
    </w:pPr>
    <w:r>
      <w:rPr>
        <w:noProof/>
      </w:rPr>
      <w:pict w14:anchorId="1174E5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3533" o:spid="_x0000_s1027" type="#_x0000_t136" style="position:absolute;left:0;text-align:left;margin-left:0;margin-top:0;width:634.05pt;height:70.4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A515" w14:textId="4963ACE4" w:rsidR="0031134F" w:rsidRDefault="0031134F">
    <w:pPr>
      <w:pStyle w:val="Header"/>
    </w:pPr>
    <w:r>
      <w:rPr>
        <w:noProof/>
      </w:rPr>
      <w:pict w14:anchorId="7189AA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3531" o:spid="_x0000_s1025" type="#_x0000_t136" style="position:absolute;left:0;text-align:left;margin-left:0;margin-top:0;width:634.05pt;height:70.4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4468993">
    <w:abstractNumId w:val="8"/>
  </w:num>
  <w:num w:numId="2" w16cid:durableId="1131558736">
    <w:abstractNumId w:val="6"/>
  </w:num>
  <w:num w:numId="3" w16cid:durableId="339898185">
    <w:abstractNumId w:val="5"/>
  </w:num>
  <w:num w:numId="4" w16cid:durableId="1326786697">
    <w:abstractNumId w:val="4"/>
  </w:num>
  <w:num w:numId="5" w16cid:durableId="303899904">
    <w:abstractNumId w:val="7"/>
  </w:num>
  <w:num w:numId="6" w16cid:durableId="2113166093">
    <w:abstractNumId w:val="3"/>
  </w:num>
  <w:num w:numId="7" w16cid:durableId="362708502">
    <w:abstractNumId w:val="2"/>
  </w:num>
  <w:num w:numId="8" w16cid:durableId="1043794138">
    <w:abstractNumId w:val="1"/>
  </w:num>
  <w:num w:numId="9" w16cid:durableId="224075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CFF"/>
    <w:rsid w:val="0015074B"/>
    <w:rsid w:val="001739A6"/>
    <w:rsid w:val="0020504F"/>
    <w:rsid w:val="0029639D"/>
    <w:rsid w:val="0031134F"/>
    <w:rsid w:val="00326F90"/>
    <w:rsid w:val="004306F1"/>
    <w:rsid w:val="004B1D0F"/>
    <w:rsid w:val="0058340A"/>
    <w:rsid w:val="006E08BA"/>
    <w:rsid w:val="009D54F1"/>
    <w:rsid w:val="00A7018A"/>
    <w:rsid w:val="00AA1D8D"/>
    <w:rsid w:val="00B47730"/>
    <w:rsid w:val="00B47CCF"/>
    <w:rsid w:val="00CB0664"/>
    <w:rsid w:val="00D61E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777838"/>
  <w14:defaultImageDpi w14:val="300"/>
  <w15:docId w15:val="{57E2AF35-4B34-49F7-AB99-36AB500E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71"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2F547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contextualSpacing/>
      <w:jc w:val="center"/>
    </w:pPr>
    <w:rPr>
      <w:rFonts w:asciiTheme="majorHAnsi" w:eastAsiaTheme="majorEastAsia" w:hAnsiTheme="majorHAnsi" w:cstheme="majorBidi"/>
      <w:b/>
      <w:color w:val="1F4E79"/>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Heading">
    <w:name w:val="Front Heading"/>
    <w:pPr>
      <w:keepNext/>
      <w:spacing w:before="80" w:after="80"/>
    </w:pPr>
    <w:rPr>
      <w:rFonts w:ascii="Times New Roman" w:hAnsi="Times New Roman"/>
      <w:b/>
      <w:color w:val="1F4E79"/>
      <w:sz w:val="24"/>
    </w:rPr>
  </w:style>
  <w:style w:type="paragraph" w:customStyle="1" w:styleId="Reference">
    <w:name w:val="Reference"/>
    <w:pPr>
      <w:spacing w:after="80" w:line="240" w:lineRule="auto"/>
      <w:ind w:left="504" w:hanging="504"/>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14633</Words>
  <Characters>83410</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Waste Exposure and Public Health Risks Among Informal Recycling Workers</dc:title>
  <dc:subject>Critical narrative review</dc:subject>
  <dc:creator/>
  <cp:keywords>electronic waste, informal recycling, occupational health, exposure</cp:keywords>
  <dc:description/>
  <cp:lastModifiedBy>SDI 1084</cp:lastModifiedBy>
  <cp:revision>7</cp:revision>
  <dcterms:created xsi:type="dcterms:W3CDTF">2013-12-23T23:15:00Z</dcterms:created>
  <dcterms:modified xsi:type="dcterms:W3CDTF">2026-08-13T11:44:00Z</dcterms:modified>
  <cp:category/>
</cp:coreProperties>
</file>