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1366B" w14:textId="77777777" w:rsidR="0040367F" w:rsidRPr="0040367F" w:rsidRDefault="0040367F" w:rsidP="0040367F">
      <w:pPr>
        <w:spacing w:before="100" w:beforeAutospacing="1" w:after="100" w:afterAutospacing="1"/>
        <w:jc w:val="center"/>
        <w:rPr>
          <w:b/>
          <w:bCs/>
          <w:i/>
          <w:iCs/>
          <w:sz w:val="30"/>
          <w:szCs w:val="30"/>
          <w:u w:val="single"/>
          <w:lang w:val="en-US"/>
        </w:rPr>
      </w:pPr>
      <w:r w:rsidRPr="0040367F">
        <w:rPr>
          <w:b/>
          <w:bCs/>
          <w:i/>
          <w:iCs/>
          <w:sz w:val="30"/>
          <w:szCs w:val="30"/>
          <w:u w:val="single"/>
          <w:lang w:val="en-US"/>
        </w:rPr>
        <w:t>Review Article</w:t>
      </w:r>
    </w:p>
    <w:p w14:paraId="18E41F00" w14:textId="77777777" w:rsidR="007269E8" w:rsidRDefault="00000000" w:rsidP="00BE1189">
      <w:pPr>
        <w:spacing w:before="100" w:beforeAutospacing="1" w:after="100" w:afterAutospacing="1"/>
        <w:jc w:val="center"/>
      </w:pPr>
      <w:r>
        <w:rPr>
          <w:b/>
          <w:bCs/>
          <w:sz w:val="30"/>
          <w:szCs w:val="30"/>
        </w:rPr>
        <w:t>Public Trust in Artificial Intelligence-Generated Health Information: A Critical Narrative Review of Health Literacy and Source Credibility</w:t>
      </w:r>
    </w:p>
    <w:p w14:paraId="0285F7AE" w14:textId="77777777" w:rsidR="007269E8" w:rsidRDefault="00000000" w:rsidP="00BE1189">
      <w:pPr>
        <w:pStyle w:val="Heading1"/>
        <w:spacing w:before="100" w:beforeAutospacing="1" w:after="100" w:afterAutospacing="1"/>
      </w:pPr>
      <w:r>
        <w:rPr>
          <w:b/>
          <w:bCs/>
          <w:color w:val="000000"/>
          <w:sz w:val="26"/>
          <w:szCs w:val="26"/>
        </w:rPr>
        <w:t>Abstract</w:t>
      </w:r>
    </w:p>
    <w:p w14:paraId="687B75EC" w14:textId="77777777" w:rsidR="007269E8" w:rsidRDefault="00000000" w:rsidP="00BE1189">
      <w:pPr>
        <w:spacing w:before="100" w:beforeAutospacing="1" w:after="100" w:afterAutospacing="1"/>
        <w:jc w:val="both"/>
      </w:pPr>
      <w:r>
        <w:t xml:space="preserve">Conversational systems built on large language models have become an ordinary route through which members of the public obtain health information, answering questions directly rather than returning ranked links to identifiable publishers. Whether such information is acted upon depends less on its accuracy than on whether it is trusted, and two explanatory traditions have been recruited to explain that trust: a receiver-centred tradition rooted in health literacy, and a message-centred tradition rooted in source credibility. This critical narrative review examines how well these traditions account for public trust in artificial intelligence-generated health information, where they conflict, and what the resulting evidence base can and cannot support. Literature was identified through Europe PMC, </w:t>
      </w:r>
      <w:proofErr w:type="spellStart"/>
      <w:r>
        <w:t>Crossref</w:t>
      </w:r>
      <w:proofErr w:type="spellEnd"/>
      <w:r>
        <w:t xml:space="preserve"> Metadata Search and </w:t>
      </w:r>
      <w:proofErr w:type="spellStart"/>
      <w:r>
        <w:t>OpenAlex</w:t>
      </w:r>
      <w:proofErr w:type="spellEnd"/>
      <w:r>
        <w:t>, supplemented by citation searching and an authoritative institutional source, with a final search date of 9 June 2026. The synthesis is organised around conceptual foundations, observed patterns and determinants of trust, source-credibility cues and the attribution problem, health literacy as a contested moderator, the quality of the object of trust, and consequences for behaviour and equity. Three findings emerge with reasonable confidence. First, the widely assumed penalty attached to machine authorship is neither consistent nor robust: experimental and meta-analytic evidence points to small, conditional and sometimes absent effects, and blinded quality evaluations are routinely conflated with labelled trust experiments. Second, health literacy and its digital derivatives perform poorly as predictors of trust in representative surveys, whereas artificial intelligence literacy and perceived usefulness perform better, which suggests that the receiver-side account has been specified at the wrong level. Third, the stylistic properties that raise perceived credibility, particularly fluency and warmth, are partly antagonistic to accuracy, creating a structural rather than incidental risk. The evidence base remains dominated by cross-sectional designs, self-reported constructs and single-country convenience samples, and almost no work measures whether trust is calibrated to actual accuracy. Research priorities should shift from explaining trust levels to measuring trust calibration, and from self-reported literacy to performance-based appraisal.</w:t>
      </w:r>
    </w:p>
    <w:p w14:paraId="6367C2EA" w14:textId="77777777" w:rsidR="007269E8" w:rsidRDefault="00000000" w:rsidP="00BE1189">
      <w:pPr>
        <w:pStyle w:val="Heading1"/>
        <w:spacing w:before="100" w:beforeAutospacing="1" w:after="100" w:afterAutospacing="1"/>
      </w:pPr>
      <w:r>
        <w:rPr>
          <w:b/>
          <w:bCs/>
          <w:color w:val="000000"/>
          <w:sz w:val="26"/>
          <w:szCs w:val="26"/>
        </w:rPr>
        <w:t>Keywords</w:t>
      </w:r>
    </w:p>
    <w:p w14:paraId="1EAD763C" w14:textId="77777777" w:rsidR="007269E8" w:rsidRDefault="00000000" w:rsidP="00BE1189">
      <w:pPr>
        <w:spacing w:before="100" w:beforeAutospacing="1" w:after="100" w:afterAutospacing="1"/>
        <w:jc w:val="both"/>
      </w:pPr>
      <w:r>
        <w:t>artificial intelligence; health literacy; source credibility; trust; health communication; large language models; online health information seeking</w:t>
      </w:r>
    </w:p>
    <w:p w14:paraId="7F9D8C7F" w14:textId="77777777" w:rsidR="007269E8" w:rsidRDefault="00000000" w:rsidP="00BE1189">
      <w:pPr>
        <w:pStyle w:val="Heading1"/>
        <w:spacing w:before="100" w:beforeAutospacing="1" w:after="100" w:afterAutospacing="1"/>
      </w:pPr>
      <w:r>
        <w:rPr>
          <w:b/>
          <w:bCs/>
          <w:color w:val="000000"/>
          <w:sz w:val="26"/>
          <w:szCs w:val="26"/>
        </w:rPr>
        <w:t>1. Introduction</w:t>
      </w:r>
    </w:p>
    <w:p w14:paraId="5A23E6E3" w14:textId="77777777" w:rsidR="007269E8" w:rsidRDefault="00000000" w:rsidP="00BE1189">
      <w:pPr>
        <w:spacing w:before="100" w:beforeAutospacing="1" w:after="100" w:afterAutospacing="1"/>
        <w:jc w:val="both"/>
      </w:pPr>
      <w:r>
        <w:t xml:space="preserve">The environment in which members of the public look for health information has been reconfigured within a very short period. Search engines returned ranked lists of documents, each carrying an identifiable publisher, a visible domain and a set of surface cues that a reader could use to judge provenance. Conversational systems built on large language models return a single synthesised answer in continuous prose, usually without an identifiable author and frequently without traceable sources. The change is not merely one of interface. It removes several of the cues on which lay evaluation of health information has historically depended, while simultaneously lowering the linguistic barrier to comprehension. Trust in health care institutions and trust in online information have followed distinct trajectories, and the arrival of large language models has complicated both (Heumann &amp; </w:t>
      </w:r>
      <w:proofErr w:type="spellStart"/>
      <w:r>
        <w:t>Steinhubl</w:t>
      </w:r>
      <w:proofErr w:type="spellEnd"/>
      <w:r>
        <w:t xml:space="preserve">, 2026). A scoping review of health consumers' use and perceptions of generative chatbots found that evaluative attention has concentrated on accuracy, readability, </w:t>
      </w:r>
      <w:r>
        <w:lastRenderedPageBreak/>
        <w:t>trustworthiness, privacy and usefulness, but that the empirical base supporting any of these judgements was small and methodologically uneven (Bautista et al., 2025).</w:t>
      </w:r>
    </w:p>
    <w:p w14:paraId="2E5D6AF5" w14:textId="77777777" w:rsidR="007269E8" w:rsidRDefault="00000000" w:rsidP="00BE1189">
      <w:pPr>
        <w:spacing w:before="100" w:beforeAutospacing="1" w:after="100" w:afterAutospacing="1"/>
        <w:jc w:val="both"/>
      </w:pPr>
      <w:r>
        <w:t>Uptake has nonetheless been rapid. In an early cross-sectional survey, most respondents indicated willingness to use a general-purpose chatbot for self-diagnosis, and performance expectancy together with risk-reward appraisal explained a substantial share of the variance in that intention (</w:t>
      </w:r>
      <w:proofErr w:type="spellStart"/>
      <w:r>
        <w:t>Shahsavar</w:t>
      </w:r>
      <w:proofErr w:type="spellEnd"/>
      <w:r>
        <w:t xml:space="preserve"> &amp; Choudhury, 2023). A parallel survey of active users established that trust predicted intention to use, and that intention partially mediated the relationship between trust and actual use (Choudhury &amp; </w:t>
      </w:r>
      <w:proofErr w:type="spellStart"/>
      <w:r>
        <w:t>Shamszare</w:t>
      </w:r>
      <w:proofErr w:type="spellEnd"/>
      <w:r>
        <w:t>, 2023). Similar patterns have been reported in Taiwan, where general trust was the decisive predictor of willingness to apply a chatbot in clinical contexts among students with health care training, while novelty and perceived usefulness mattered more for those without such training (S. Y. Chen et al., 2024). Trust, in other words, is not a peripheral attitude in this domain. It is the proximate determinant of whether generated health content is used at all.</w:t>
      </w:r>
    </w:p>
    <w:p w14:paraId="50DD0056" w14:textId="77777777" w:rsidR="007269E8" w:rsidRDefault="00000000" w:rsidP="00BE1189">
      <w:pPr>
        <w:spacing w:before="100" w:beforeAutospacing="1" w:after="100" w:afterAutospacing="1"/>
        <w:jc w:val="both"/>
      </w:pPr>
      <w:r>
        <w:t xml:space="preserve">The consequences of </w:t>
      </w:r>
      <w:proofErr w:type="spellStart"/>
      <w:r>
        <w:t>miscalibrated</w:t>
      </w:r>
      <w:proofErr w:type="spellEnd"/>
      <w:r>
        <w:t xml:space="preserve"> trust run in both directions. Insufficient trust produces underuse and forgone benefit, particularly where a system provides accurate guidance more </w:t>
      </w:r>
      <w:proofErr w:type="spellStart"/>
      <w:r>
        <w:t>accessibly</w:t>
      </w:r>
      <w:proofErr w:type="spellEnd"/>
      <w:r>
        <w:t xml:space="preserve"> than the alternatives. Excessive trust produces substitution for clinical contact. A large Chinese survey combined with agent-based simulation found that higher trust in artificial intelligence (AI) was associated with modestly increased odds of delayed care-seeking, with usage frequency partially mediating the association (Cai et al., 2026). The magnitude was small and the design cannot establish causation, but the direction is consistent with long-standing concern that conversational systems which pass superficially for human interlocutors will attract confidence that their reliability does not warrant (Powell, 2019).</w:t>
      </w:r>
    </w:p>
    <w:p w14:paraId="4962BA15" w14:textId="77777777" w:rsidR="007269E8" w:rsidRDefault="00000000" w:rsidP="00BE1189">
      <w:pPr>
        <w:spacing w:before="100" w:beforeAutospacing="1" w:after="100" w:afterAutospacing="1"/>
        <w:jc w:val="both"/>
      </w:pPr>
      <w:r>
        <w:t xml:space="preserve">Two research traditions have been enlisted to explain who trusts such content and why. The first is receiver-centred and derives from health literacy, understood since </w:t>
      </w:r>
      <w:proofErr w:type="spellStart"/>
      <w:r>
        <w:t>Nutbeam</w:t>
      </w:r>
      <w:proofErr w:type="spellEnd"/>
      <w:r>
        <w:t xml:space="preserve"> (2000) as a graded capability spanning functional, interactive and critical dimensions, and formalised by Sørensen et al. (2012) as competence in accessing, understanding, appraising and applying health information. Its digital extension, eHealth literacy, was defined by Norman and Skinner (2006) as the ability to seek, find, understand and appraise electronic health information and apply it to a health problem. The empirical warrant for treating literacy as protective comes largely from the pre-generative internet, where lower health literacy was associated with weaker evaluation of online health information, although the review evidence for that association rested heavily on educational proxies rather than direct measurement (</w:t>
      </w:r>
      <w:proofErr w:type="spellStart"/>
      <w:r>
        <w:t>Diviani</w:t>
      </w:r>
      <w:proofErr w:type="spellEnd"/>
      <w:r>
        <w:t xml:space="preserve"> et al., 2015). The second tradition is message-centred and derives from source credibility research, in which the perceived expertise and trustworthiness of a communicator shape acceptance of an identical message (Hovland &amp; Weiss, 1951). Its application to computational sources rests on the argument that machine agency introduces its own set of cues and heuristics, distinct from those attached to human communicators (Sundar, 2020), and on experimental work showing that machine attribution alters perceived credibility of otherwise identical content (Waddell, 2018).</w:t>
      </w:r>
    </w:p>
    <w:p w14:paraId="6B89A579" w14:textId="77777777" w:rsidR="007269E8" w:rsidRDefault="00000000" w:rsidP="00BE1189">
      <w:pPr>
        <w:spacing w:before="100" w:beforeAutospacing="1" w:after="100" w:afterAutospacing="1"/>
        <w:jc w:val="both"/>
      </w:pPr>
      <w:r>
        <w:t>These traditions were developed for an information environment in which source and message were separable. Generative systems dissolve that separation. The source is layered, comprising a model developer, a deploying platform, an undisclosed training corpus and an interface persona, and none of these is visible to the reader at the point of use. The message is fluent, personalised and free of the register mismatch that previously marked authoritative health content as difficult. A reader with limited functional literacy therefore encounters material that is easier to understand than anything a health service is likely to have published, and simultaneously loses the provenance cues that would allow appraisal. Whether health literacy protects, is irrelevant, or perversely amplifies confidence in such an environment is an open empirical question rather than a settled one.</w:t>
      </w:r>
    </w:p>
    <w:p w14:paraId="1A9DF7BD" w14:textId="77777777" w:rsidR="007269E8" w:rsidRDefault="00000000" w:rsidP="00BE1189">
      <w:pPr>
        <w:spacing w:before="100" w:beforeAutospacing="1" w:after="100" w:afterAutospacing="1"/>
        <w:jc w:val="both"/>
      </w:pPr>
      <w:r>
        <w:lastRenderedPageBreak/>
        <w:t>The available evidence does not resolve it, and the disagreements are substantial rather than marginal. A multi-group structural equation analysis of representative samples from four European countries found that AI literacy and performance expectancy consistently increased trust in AI-generated health information, whereas health literacy was not a significant predictor in any country (Reinhardt et al., 2025). A large representative Czech survey similarly reported that higher eHealth literacy was only marginally associated with trust and had no direct relationship with willingness to use generative systems for health purposes (</w:t>
      </w:r>
      <w:proofErr w:type="spellStart"/>
      <w:r>
        <w:t>Svestkova</w:t>
      </w:r>
      <w:proofErr w:type="spellEnd"/>
      <w:r>
        <w:t xml:space="preserve"> et al., 2025). Against this, a Chinese study reported that digital health literacy significantly moderated the relationship between user perceptions and health information seeking intention (Zhu &amp; Ding, 2026), and a survey of registered nurses found eHealth literacy positively predicting attitudes towards AI use through technology trust and perceived value (Z. Chen et al., 2025). The source-credibility literature is no more settled. A meta-analysis of 31 studies of AI-generated news reported a small but statistically significant credibility penalty for AI-labelled content (Kim et al., 2026), while a systematic review of provenance and disclosure cues in journalism published in the same period concluded that most extractable results showed no difference between AI-attributed and human-attributed material, with effects conditional on topic, baseline trust and signalled human oversight (</w:t>
      </w:r>
      <w:proofErr w:type="spellStart"/>
      <w:r>
        <w:t>Licenji</w:t>
      </w:r>
      <w:proofErr w:type="spellEnd"/>
      <w:r>
        <w:t xml:space="preserve"> &amp; Hoxha, 2026). A randomised experiment on labelling of AI-generated content found no significant main effect of the label on perceived accuracy, message credibility or sharing intention (Li &amp; Yang, 2024).</w:t>
      </w:r>
    </w:p>
    <w:p w14:paraId="3935CCFA" w14:textId="77777777" w:rsidR="007269E8" w:rsidRDefault="00000000" w:rsidP="00BE1189">
      <w:pPr>
        <w:spacing w:before="100" w:beforeAutospacing="1" w:after="100" w:afterAutospacing="1"/>
        <w:jc w:val="both"/>
      </w:pPr>
      <w:r>
        <w:t xml:space="preserve">Existing reviews do not address these tensions. The scoping review by Chew and </w:t>
      </w:r>
      <w:proofErr w:type="spellStart"/>
      <w:r>
        <w:t>Achananuparp</w:t>
      </w:r>
      <w:proofErr w:type="spellEnd"/>
      <w:r>
        <w:t xml:space="preserve"> (2022) predates generative systems and treats AI in health care as a clinical rather than an informational technology. The scoping review by Bautista et al. (2025) searched to July 2024 and included twelve papers, providing a useful descriptive map but no critical appraisal of competing determinants. </w:t>
      </w:r>
      <w:proofErr w:type="spellStart"/>
      <w:r>
        <w:t>Saeidnia</w:t>
      </w:r>
      <w:proofErr w:type="spellEnd"/>
      <w:r>
        <w:t xml:space="preserve"> et al. (2026) synthesised the supply side of generative health misinformation rather than public evaluation of legitimate content. Abeo et al. (2025) reviewed AI techniques applied to health literacy and found that only one of eighteen included studies incorporated an individual-level health literacy measurement instrument, which indicates that the literacy construct is frequently invoked and rarely measured. The two most relevant credibility syntheses concern journalism rather than health (Kim et al., 2026; </w:t>
      </w:r>
      <w:proofErr w:type="spellStart"/>
      <w:r>
        <w:t>Licenji</w:t>
      </w:r>
      <w:proofErr w:type="spellEnd"/>
      <w:r>
        <w:t xml:space="preserve"> &amp; Hoxha, 2026), and the health-specific reviews that exist are confined to single specialties (Santhosh Kumar et al., 2025), single populations (T. Liu et al., 2026) or single countries (</w:t>
      </w:r>
      <w:proofErr w:type="spellStart"/>
      <w:r>
        <w:t>Wiedermann</w:t>
      </w:r>
      <w:proofErr w:type="spellEnd"/>
      <w:r>
        <w:t xml:space="preserve"> et al., 2026). No published synthesis integrates the receiver-side literacy literature with the source-side credibility literature for AI-generated health information, and none subjects the assumption that literacy is protective to critical examination.</w:t>
      </w:r>
    </w:p>
    <w:p w14:paraId="600558F4" w14:textId="77777777" w:rsidR="007269E8" w:rsidRDefault="00000000" w:rsidP="00BE1189">
      <w:pPr>
        <w:pStyle w:val="Heading2"/>
        <w:spacing w:before="100" w:beforeAutospacing="1" w:after="100" w:afterAutospacing="1"/>
      </w:pPr>
      <w:r>
        <w:rPr>
          <w:b/>
          <w:bCs/>
          <w:i/>
          <w:iCs/>
          <w:color w:val="000000"/>
          <w:sz w:val="24"/>
          <w:szCs w:val="24"/>
        </w:rPr>
        <w:t>1.1 Scope, Research Gap and Objectives</w:t>
      </w:r>
    </w:p>
    <w:p w14:paraId="48326314" w14:textId="77777777" w:rsidR="007269E8" w:rsidRDefault="00000000" w:rsidP="00BE1189">
      <w:pPr>
        <w:spacing w:before="100" w:beforeAutospacing="1" w:after="100" w:afterAutospacing="1"/>
        <w:jc w:val="both"/>
      </w:pPr>
      <w:r>
        <w:t>This review concerns public trust in health information generated by general-purpose conversational AI systems and encountered outside a formal clinical encounter. It covers adult lay users rather than clinicians, health-related informational content rather than diagnostic or triage decision support, and evaluative and attitudinal outcomes rather than clinical performance. Studies of clinician trust, of image-based diagnostic algorithms, of administrative applications and of institutionally deployed decision support are considered only where they illuminate lay evaluation.</w:t>
      </w:r>
    </w:p>
    <w:p w14:paraId="500FD952" w14:textId="77777777" w:rsidR="007269E8" w:rsidRDefault="00000000" w:rsidP="00BE1189">
      <w:pPr>
        <w:spacing w:before="100" w:beforeAutospacing="1" w:after="100" w:afterAutospacing="1"/>
        <w:jc w:val="both"/>
      </w:pPr>
      <w:r>
        <w:t>The knowledge gap addressed is specific. The receiver-centred literature on health literacy and the message-centred literature on source credibility have developed in parallel, use incompatible outcome measures, and generate conflicting predictions about who will trust AI-generated health information and under what conditions. Neither literature has been asked to account for the other's null findings, and neither has been evaluated against the possibility that generative systems improve access and comprehension while degrading the conditions for appraisal.</w:t>
      </w:r>
    </w:p>
    <w:p w14:paraId="0B10FD94" w14:textId="77777777" w:rsidR="007269E8" w:rsidRDefault="00000000" w:rsidP="00BE1189">
      <w:pPr>
        <w:spacing w:before="100" w:beforeAutospacing="1" w:after="100" w:afterAutospacing="1"/>
        <w:jc w:val="both"/>
      </w:pPr>
      <w:r>
        <w:t xml:space="preserve">The objectives are fivefold: to clarify the constructs of trust, source credibility and health literacy as they apply to generative health information and to identify where their standard operationalisations </w:t>
      </w:r>
      <w:r>
        <w:lastRenderedPageBreak/>
        <w:t>break down; to synthesise and critically appraise evidence on the distribution and determinants of public trust in this content; to evaluate the experimental literature on source attribution, disclosure and stylistic cues, distinguishing blinded quality evaluation from labelled trust manipulation; to adjudicate between protective and amplifying accounts of health literacy using the available evidence; and to specify defensible research priorities that would allow the field to move from describing trust levels to assessing whether trust is calibrated to accuracy.</w:t>
      </w:r>
    </w:p>
    <w:p w14:paraId="25DCC1A0" w14:textId="77777777" w:rsidR="007269E8" w:rsidRDefault="00000000" w:rsidP="00BE1189">
      <w:pPr>
        <w:spacing w:before="100" w:beforeAutospacing="1" w:after="100" w:afterAutospacing="1"/>
        <w:jc w:val="both"/>
      </w:pPr>
      <w:r>
        <w:t>The intended contribution is an integrated critical account that treats trust calibration rather than trust magnitude as the outcome of interest, and that identifies the conflation of message quality with source attribution as the principal methodological obstacle to progress. Excluded from consideration are the technical literature on model architecture and alignment, the regulatory literature except where it bears directly on disclosure to lay users, evidence concerning children and adolescents, and quantitative synthesis of effect sizes, which the heterogeneity of the underlying designs does not support.</w:t>
      </w:r>
    </w:p>
    <w:p w14:paraId="20FCED12" w14:textId="77777777" w:rsidR="007269E8" w:rsidRDefault="00000000" w:rsidP="00BE1189">
      <w:pPr>
        <w:pStyle w:val="Heading1"/>
        <w:spacing w:before="100" w:beforeAutospacing="1" w:after="100" w:afterAutospacing="1"/>
      </w:pPr>
      <w:r>
        <w:rPr>
          <w:b/>
          <w:bCs/>
          <w:color w:val="000000"/>
          <w:sz w:val="26"/>
          <w:szCs w:val="26"/>
        </w:rPr>
        <w:t>2. Methods for Literature Selection</w:t>
      </w:r>
    </w:p>
    <w:p w14:paraId="221F8C21" w14:textId="77777777" w:rsidR="007269E8" w:rsidRDefault="00000000" w:rsidP="00BE1189">
      <w:pPr>
        <w:pStyle w:val="Heading2"/>
        <w:spacing w:before="100" w:beforeAutospacing="1" w:after="100" w:afterAutospacing="1"/>
      </w:pPr>
      <w:r>
        <w:rPr>
          <w:b/>
          <w:bCs/>
          <w:i/>
          <w:iCs/>
          <w:color w:val="000000"/>
          <w:sz w:val="24"/>
          <w:szCs w:val="24"/>
        </w:rPr>
        <w:t>2.1 Review Design and Rationale</w:t>
      </w:r>
    </w:p>
    <w:p w14:paraId="2F4F977F" w14:textId="77777777" w:rsidR="007269E8" w:rsidRDefault="00000000" w:rsidP="00BE1189">
      <w:pPr>
        <w:spacing w:before="100" w:beforeAutospacing="1" w:after="100" w:afterAutospacing="1"/>
        <w:jc w:val="both"/>
      </w:pPr>
      <w:r>
        <w:t>A critical narrative review was selected because the research question is conceptual and integrative rather than answerable by a single specified comparison. The literatures involved span health communication, information science, psychology, nursing, public health and clinical specialties; they use incommensurable outcome measures, ranging from Likert-scaled global trust to forced-choice preference to blinded quality ratings; and a substantial part of the relevant argument concerns whether particular constructs have been operationalised coherently at all. A systematic review with a fixed protocol and quantitative pooling would either exclude most of this material or aggregate measures that are not measuring the same thing. Narrative reviews are not epistemically inferior to systematic reviews when the question is interpretive, and the assumption of a strict hierarchy between the two has been challenged on methodological grounds (Greenhalgh et al., 2018). Transparency and critical appraisal remain obligatory. The reporting of this review was disciplined by the domains of the Scale for the Assessment of Narrative Review Articles, which specify justification of importance, statement of aims, description of the literature search, referencing of claims, scientific reasoning and appropriate presentation of data (</w:t>
      </w:r>
      <w:proofErr w:type="spellStart"/>
      <w:r>
        <w:t>Baethge</w:t>
      </w:r>
      <w:proofErr w:type="spellEnd"/>
      <w:r>
        <w:t xml:space="preserve"> et al., 2019). Adopting a narrative design does not license selective citation, and the search and appraisal procedures described below were applied consistently.</w:t>
      </w:r>
    </w:p>
    <w:p w14:paraId="1B739DE2" w14:textId="77777777" w:rsidR="007269E8" w:rsidRDefault="00000000" w:rsidP="00BE1189">
      <w:pPr>
        <w:pStyle w:val="Heading2"/>
        <w:spacing w:before="100" w:beforeAutospacing="1" w:after="100" w:afterAutospacing="1"/>
      </w:pPr>
      <w:r>
        <w:rPr>
          <w:b/>
          <w:bCs/>
          <w:i/>
          <w:iCs/>
          <w:color w:val="000000"/>
          <w:sz w:val="24"/>
          <w:szCs w:val="24"/>
        </w:rPr>
        <w:t>2.2 Information Sources</w:t>
      </w:r>
    </w:p>
    <w:p w14:paraId="3D7CAA2A" w14:textId="77777777" w:rsidR="007269E8" w:rsidRDefault="00000000" w:rsidP="00BE1189">
      <w:pPr>
        <w:spacing w:before="100" w:beforeAutospacing="1" w:after="100" w:afterAutospacing="1"/>
        <w:jc w:val="both"/>
      </w:pPr>
      <w:r>
        <w:t xml:space="preserve">Three scholarly indexes were searched directly: Europe PMC, which returns MEDLINE and PubMed-indexed records alongside additional biomedical and life-science content; </w:t>
      </w:r>
      <w:proofErr w:type="spellStart"/>
      <w:r>
        <w:t>Crossref</w:t>
      </w:r>
      <w:proofErr w:type="spellEnd"/>
      <w:r>
        <w:t xml:space="preserve"> Metadata Search, used for bibliographic verification and for retrieving records in communication, psychology and management outside the biomedical indexes; and </w:t>
      </w:r>
      <w:proofErr w:type="spellStart"/>
      <w:r>
        <w:t>OpenAlex</w:t>
      </w:r>
      <w:proofErr w:type="spellEnd"/>
      <w:r>
        <w:t xml:space="preserve">, used to broaden coverage of information-science and communication literature that biomedical indexing captures poorly. Reference metadata for every included item were verified against the </w:t>
      </w:r>
      <w:proofErr w:type="spellStart"/>
      <w:r>
        <w:t>Crossref</w:t>
      </w:r>
      <w:proofErr w:type="spellEnd"/>
      <w:r>
        <w:t xml:space="preserve"> record, and Digital Object Identifiers were confirmed to resolve to the cited article.</w:t>
      </w:r>
    </w:p>
    <w:p w14:paraId="7298D689" w14:textId="77777777" w:rsidR="007269E8" w:rsidRDefault="00000000" w:rsidP="00BE1189">
      <w:pPr>
        <w:spacing w:before="100" w:beforeAutospacing="1" w:after="100" w:afterAutospacing="1"/>
        <w:jc w:val="both"/>
      </w:pPr>
      <w:r>
        <w:t xml:space="preserve">Database searching was supplemented by backward citation searching of recent reviews and meta-analyses, by forward citation checking through </w:t>
      </w:r>
      <w:proofErr w:type="spellStart"/>
      <w:r>
        <w:t>OpenAlex</w:t>
      </w:r>
      <w:proofErr w:type="spellEnd"/>
      <w:r>
        <w:t xml:space="preserve"> citation counts, and by targeted searching of the website of the World Health Organization for authoritative guidance. Records were checked for corrections, retractions and expressions of concern; one candidate record identified during screening carried a retraction notice and was excluded rather than cited.</w:t>
      </w:r>
    </w:p>
    <w:p w14:paraId="6C6B3855" w14:textId="77777777" w:rsidR="007269E8" w:rsidRDefault="00000000" w:rsidP="00BE1189">
      <w:pPr>
        <w:spacing w:before="100" w:beforeAutospacing="1" w:after="100" w:afterAutospacing="1"/>
        <w:jc w:val="both"/>
      </w:pPr>
      <w:r>
        <w:lastRenderedPageBreak/>
        <w:t>Subscription databases including Web of Science Core Collection, Scopus, Embase, PsycINFO, CINAHL and Communication and Mass Media Complete were not accessible during the preparation of this review, and no search of those resources was performed. Their coverage is partly represented indirectly through included systematic reviews that searched them, but this is an incomplete substitute and is recorded as a limitation.</w:t>
      </w:r>
    </w:p>
    <w:p w14:paraId="685D0ABD" w14:textId="77777777" w:rsidR="007269E8" w:rsidRDefault="00000000" w:rsidP="00BE1189">
      <w:pPr>
        <w:pStyle w:val="Heading2"/>
        <w:spacing w:before="100" w:beforeAutospacing="1" w:after="100" w:afterAutospacing="1"/>
      </w:pPr>
      <w:r>
        <w:rPr>
          <w:b/>
          <w:bCs/>
          <w:i/>
          <w:iCs/>
          <w:color w:val="000000"/>
          <w:sz w:val="24"/>
          <w:szCs w:val="24"/>
        </w:rPr>
        <w:t>2.3 Search Strategy and Search Period</w:t>
      </w:r>
    </w:p>
    <w:p w14:paraId="5471EA39" w14:textId="77777777" w:rsidR="007269E8" w:rsidRDefault="00000000" w:rsidP="00BE1189">
      <w:pPr>
        <w:spacing w:before="100" w:beforeAutospacing="1" w:after="100" w:afterAutospacing="1"/>
        <w:jc w:val="both"/>
      </w:pPr>
      <w:r>
        <w:t>Search concepts were derived from four facets of the review question: the technology, the informational context, the evaluative outcome and the receiver-side construct. Representative Boolean strings combined controlled and free-text terms. For the technology and context facets, a representative string was: ("generative artificial intelligence" OR "large language model" OR "ChatGPT" OR "AI chatbot" OR "conversational agent") AND ("health information" OR "health advice" OR "patient education" OR "health communication"). For the evaluative outcome facet: (trust OR trustworthiness OR credibility OR "source credibility" OR "perceived accuracy" OR acceptance). For the receiver-side facet: ("health literacy" OR "eHealth literacy" OR "digital health literacy" OR "AI literacy" OR "algorithm literacy" OR "algorithmic literacy"). Additional strings targeted specific mechanisms, including (disclosure OR label OR labelling OR provenance OR attribution) AND ("AI-generated" OR "machine-written"), and (misinformation OR disinformation OR hallucination OR sycophancy) AND ("large language model" OR chatbot). Field tags were used where the index supported them, with title and abstract restrictions applied to reduce retrieval of clinical performance studies unrelated to lay evaluation.</w:t>
      </w:r>
    </w:p>
    <w:p w14:paraId="31336653" w14:textId="77777777" w:rsidR="007269E8" w:rsidRDefault="00000000" w:rsidP="00BE1189">
      <w:pPr>
        <w:spacing w:before="100" w:beforeAutospacing="1" w:after="100" w:afterAutospacing="1"/>
        <w:jc w:val="both"/>
      </w:pPr>
      <w:r>
        <w:t xml:space="preserve">The search period ran from 1 January 2000 to 9 June 2026, which was the final search date. The starting year was chosen because the contemporary formulation of health literacy as a </w:t>
      </w:r>
      <w:proofErr w:type="gramStart"/>
      <w:r>
        <w:t>graded public health capability dates</w:t>
      </w:r>
      <w:proofErr w:type="gramEnd"/>
      <w:r>
        <w:t xml:space="preserve"> from that point (</w:t>
      </w:r>
      <w:proofErr w:type="spellStart"/>
      <w:r>
        <w:t>Nutbeam</w:t>
      </w:r>
      <w:proofErr w:type="spellEnd"/>
      <w:r>
        <w:t>, 2000), and because the online health information environment that the review's comparisons depend upon developed subsequently. Foundational works published before 2000, including the source credibility experiments of Hovland and Weiss (1951) and the integrative trust model of Mayer et al. (1995), were identified through backward citation searching and retained because the constructs under examination cannot be discussed coherently without them.</w:t>
      </w:r>
    </w:p>
    <w:p w14:paraId="1BE93AEC" w14:textId="77777777" w:rsidR="007269E8" w:rsidRDefault="00000000" w:rsidP="00BE1189">
      <w:pPr>
        <w:pStyle w:val="Heading2"/>
        <w:spacing w:before="100" w:beforeAutospacing="1" w:after="100" w:afterAutospacing="1"/>
      </w:pPr>
      <w:r>
        <w:rPr>
          <w:b/>
          <w:bCs/>
          <w:i/>
          <w:iCs/>
          <w:color w:val="000000"/>
          <w:sz w:val="24"/>
          <w:szCs w:val="24"/>
        </w:rPr>
        <w:t>2.4 Eligibility Criteria</w:t>
      </w:r>
    </w:p>
    <w:p w14:paraId="5D862F1F" w14:textId="77777777" w:rsidR="007269E8" w:rsidRDefault="00000000" w:rsidP="00BE1189">
      <w:pPr>
        <w:spacing w:before="100" w:beforeAutospacing="1" w:after="100" w:afterAutospacing="1"/>
        <w:jc w:val="both"/>
      </w:pPr>
      <w:r>
        <w:t>Eligible records were peer-reviewed journal articles reporting empirical findings, systematic or scoping reviews, meta-analyses, or conceptual and theoretical papers making a substantive methodological contribution. Authoritative guidance from a recognised intergovernmental body was eligible as an institutional source. Eligible populations were adult members of the public, patients considered as health information consumers, and, where directly relevant to the literacy argument, health professionals considered as survey respondents. Eligible content concerned health information generated or mediated by AI systems, evaluation of such information, or the receiver characteristics hypothesised to shape that evaluation.</w:t>
      </w:r>
    </w:p>
    <w:p w14:paraId="7FCAABB9" w14:textId="77777777" w:rsidR="007269E8" w:rsidRDefault="00000000" w:rsidP="00BE1189">
      <w:pPr>
        <w:spacing w:before="100" w:beforeAutospacing="1" w:after="100" w:afterAutospacing="1"/>
        <w:jc w:val="both"/>
      </w:pPr>
      <w:r>
        <w:t>Records were excluded if they addressed clinical algorithm performance without an evaluative or attitudinal component; if they concerned children or adolescents exclusively; if they were preprints for which peer-reviewed evidence on the same question was available; if bibliographic details could not be confirmed against an authoritative record; or if they were conference abstracts, editorials without argumentative content, trade publications, promotional material or non-scholarly commentary. Language was restricted to English, which is recorded as a limitation. Retracted articles were excluded unless the retraction itself was the object of discussion, which did not arise.</w:t>
      </w:r>
    </w:p>
    <w:p w14:paraId="1D2AD4E4" w14:textId="77777777" w:rsidR="007269E8" w:rsidRDefault="00000000" w:rsidP="00BE1189">
      <w:pPr>
        <w:pStyle w:val="Heading2"/>
        <w:spacing w:before="100" w:beforeAutospacing="1" w:after="100" w:afterAutospacing="1"/>
      </w:pPr>
      <w:r>
        <w:rPr>
          <w:b/>
          <w:bCs/>
          <w:i/>
          <w:iCs/>
          <w:color w:val="000000"/>
          <w:sz w:val="24"/>
          <w:szCs w:val="24"/>
        </w:rPr>
        <w:t>2.5 Screening, Duplicate Handling and Study Selection</w:t>
      </w:r>
    </w:p>
    <w:p w14:paraId="0F35EBE6" w14:textId="77777777" w:rsidR="007269E8" w:rsidRDefault="00000000" w:rsidP="00BE1189">
      <w:pPr>
        <w:spacing w:before="100" w:beforeAutospacing="1" w:after="100" w:afterAutospacing="1"/>
        <w:jc w:val="both"/>
      </w:pPr>
      <w:r>
        <w:lastRenderedPageBreak/>
        <w:t xml:space="preserve">Records retrieved from the three indexes were screened first on title and abstract for relevance to the review question, then at full-record level for eligibility and for the specific claim each item would be required to support. Duplicates arising from overlapping index coverage were identified by Digital Object Identifier and removed programmatically; where the same work appeared with differing metadata across indexes, the </w:t>
      </w:r>
      <w:proofErr w:type="spellStart"/>
      <w:r>
        <w:t>Crossref</w:t>
      </w:r>
      <w:proofErr w:type="spellEnd"/>
      <w:r>
        <w:t xml:space="preserve"> record was treated as authoritative and any discrepancy in volume, issue, pagination or author order was corrected accordingly. Records without a resolvable Digital Object Identifier or a verifiable stable institutional location were not retained. Items published after the final search date were excluded even where they were visible during preparation, in order to keep the stated search period accurate.</w:t>
      </w:r>
    </w:p>
    <w:p w14:paraId="22A78B75" w14:textId="77777777" w:rsidR="007269E8" w:rsidRDefault="00000000" w:rsidP="00BE1189">
      <w:pPr>
        <w:spacing w:before="100" w:beforeAutospacing="1" w:after="100" w:afterAutospacing="1"/>
        <w:jc w:val="both"/>
      </w:pPr>
      <w:r>
        <w:t>No count of screened, excluded or included records is reported. Selection was purposive and iterative rather than exhaustive, as is appropriate to a narrative design, and reporting numerical flow data would misrepresent the process as systematic. Where a claim in the synthesis rested on a single study, that dependence is stated explicitly in the text.</w:t>
      </w:r>
    </w:p>
    <w:p w14:paraId="109DC420" w14:textId="77777777" w:rsidR="007269E8" w:rsidRDefault="00000000" w:rsidP="00BE1189">
      <w:pPr>
        <w:pStyle w:val="Heading2"/>
        <w:spacing w:before="100" w:beforeAutospacing="1" w:after="100" w:afterAutospacing="1"/>
      </w:pPr>
      <w:r>
        <w:rPr>
          <w:b/>
          <w:bCs/>
          <w:i/>
          <w:iCs/>
          <w:color w:val="000000"/>
          <w:sz w:val="24"/>
          <w:szCs w:val="24"/>
        </w:rPr>
        <w:t>2.6 Critical Appraisal and Evidence Synthesis</w:t>
      </w:r>
    </w:p>
    <w:p w14:paraId="0F79B115" w14:textId="77777777" w:rsidR="007269E8" w:rsidRDefault="00000000" w:rsidP="00BE1189">
      <w:pPr>
        <w:spacing w:before="100" w:beforeAutospacing="1" w:after="100" w:afterAutospacing="1"/>
        <w:jc w:val="both"/>
      </w:pPr>
      <w:r>
        <w:t>No formal risk-of-bias instrument was applied, because the included designs were too heterogeneous for any single validated tool and because several key items were conceptual rather than empirical. Appraisal instead followed criteria matched to design. Survey and structural equation studies were assessed on sampling frame and representativeness, response rate where reported, whether trust was measured with a validated multi-item instrument or an ad hoc scale, whether common method variance was addressed, and whether the analysis distinguished mediation from moderation. Experimental studies were assessed on randomisation, whether the manipulation altered the message, the label or both, whether participants were blinded to the comparison, preregistration, and adequacy of power. Evaluation studies of chatbot output were assessed on prompt specification, model version and date of testing, number and independence of raters, blinding, and whether the instrument used had established validity. Reviews were assessed on search date, breadth of sources, and whether appraisal was conducted.</w:t>
      </w:r>
    </w:p>
    <w:p w14:paraId="4A8B219C" w14:textId="77777777" w:rsidR="007269E8" w:rsidRDefault="00000000" w:rsidP="00BE1189">
      <w:pPr>
        <w:spacing w:before="100" w:beforeAutospacing="1" w:after="100" w:afterAutospacing="1"/>
        <w:jc w:val="both"/>
      </w:pPr>
      <w:r>
        <w:t>Themes were developed inductively from the conceptual structure of the disagreements rather than from study characteristics. Where findings conflicted, the synthesis sought explanations in design differences before attributing conflict to true heterogeneity, distinguishing in particular between studies that manipulated source labels and studies that compared blinded content. Confidence in each conclusion is characterised in the text according to the consistency, directness and methodological quality of the supporting evidence, and claims resting on cross-sectional association are not expressed in causal terms.</w:t>
      </w:r>
    </w:p>
    <w:p w14:paraId="5695333D" w14:textId="77777777" w:rsidR="007269E8" w:rsidRDefault="00000000" w:rsidP="00BE1189">
      <w:pPr>
        <w:pStyle w:val="Heading1"/>
        <w:spacing w:before="100" w:beforeAutospacing="1" w:after="100" w:afterAutospacing="1"/>
      </w:pPr>
      <w:r>
        <w:rPr>
          <w:b/>
          <w:bCs/>
          <w:color w:val="000000"/>
          <w:sz w:val="26"/>
          <w:szCs w:val="26"/>
        </w:rPr>
        <w:t>3. Conceptual Foundations of Trust, Credibility and Health Literacy in Generative Information Environments</w:t>
      </w:r>
    </w:p>
    <w:p w14:paraId="34DB95A2" w14:textId="77777777" w:rsidR="007269E8" w:rsidRDefault="00000000" w:rsidP="00BE1189">
      <w:pPr>
        <w:spacing w:before="100" w:beforeAutospacing="1" w:after="100" w:afterAutospacing="1"/>
        <w:jc w:val="both"/>
      </w:pPr>
      <w:r>
        <w:t>Progress in this field has been impeded less by a shortage of studies than by imprecision about what is being measured. Three constructs recur across the literature, each with a mature theoretical lineage and each applied to generative systems with only limited adaptation. Their conceptual boundaries, and the points at which their standard operationalisations fail, are set out below.</w:t>
      </w:r>
    </w:p>
    <w:p w14:paraId="670845F6" w14:textId="77777777" w:rsidR="007269E8" w:rsidRDefault="00000000" w:rsidP="00BE1189">
      <w:pPr>
        <w:pStyle w:val="Heading2"/>
        <w:spacing w:before="100" w:beforeAutospacing="1" w:after="100" w:afterAutospacing="1"/>
      </w:pPr>
      <w:r>
        <w:rPr>
          <w:b/>
          <w:bCs/>
          <w:i/>
          <w:iCs/>
          <w:color w:val="000000"/>
          <w:sz w:val="24"/>
          <w:szCs w:val="24"/>
        </w:rPr>
        <w:t>3.1 Trust as a relational construct applied to a non-relational object</w:t>
      </w:r>
    </w:p>
    <w:p w14:paraId="4370CD9A" w14:textId="77777777" w:rsidR="007269E8" w:rsidRDefault="00000000" w:rsidP="00BE1189">
      <w:pPr>
        <w:spacing w:before="100" w:beforeAutospacing="1" w:after="100" w:afterAutospacing="1"/>
        <w:jc w:val="both"/>
      </w:pPr>
      <w:r>
        <w:t>The dominant formulation of interpersonal and organisational trust treats it as a willingness to accept vulnerability to another party, predicted by perceptions of that party's ability, benevolence and integrity (Mayer et al., 1995). Two of these three antecedents presuppose that the trusted party has intentions. Benevolence concerns whether the trustee wishes the trustor well independently of self-</w:t>
      </w:r>
      <w:r>
        <w:lastRenderedPageBreak/>
        <w:t xml:space="preserve">interest; integrity concerns adherence to principles the trustor finds acceptable. Neither </w:t>
      </w:r>
      <w:proofErr w:type="gramStart"/>
      <w:r>
        <w:t>maps</w:t>
      </w:r>
      <w:proofErr w:type="gramEnd"/>
      <w:r>
        <w:t xml:space="preserve"> cleanly onto a statistical language model, which has no interests and no principles, although the commercial entity deploying it plainly has both. The apparent applicability of the model in survey research may therefore reflect the tendency of respondents to attribute intentions to fluent conversational agents rather than the validity of the construct.</w:t>
      </w:r>
    </w:p>
    <w:p w14:paraId="598C619D" w14:textId="77777777" w:rsidR="007269E8" w:rsidRDefault="00000000" w:rsidP="00BE1189">
      <w:pPr>
        <w:spacing w:before="100" w:beforeAutospacing="1" w:after="100" w:afterAutospacing="1"/>
        <w:jc w:val="both"/>
      </w:pPr>
      <w:r>
        <w:t>A review of empirical research on human trust in AI distinguished cognitive trust, grounded in perceived competence and reliability, from emotional trust, grounded in affective attachment, and identified tangibility, transparency, reliability and immediacy behaviours as the properties through which representation shapes trust (</w:t>
      </w:r>
      <w:proofErr w:type="spellStart"/>
      <w:r>
        <w:t>Glikson</w:t>
      </w:r>
      <w:proofErr w:type="spellEnd"/>
      <w:r>
        <w:t xml:space="preserve"> &amp; Woolley, 2020). This distinction has practical consequence in the present domain because conversational systems are engineered to maximise the very properties that generate emotional trust while their competence varies unpredictably across topics. Trust in AI-generated health advice may thus be high in aggregate while bearing little relationship to the reliability of any particular answer.</w:t>
      </w:r>
    </w:p>
    <w:p w14:paraId="7989A79D" w14:textId="77777777" w:rsidR="007269E8" w:rsidRDefault="00000000" w:rsidP="00BE1189">
      <w:pPr>
        <w:spacing w:before="100" w:beforeAutospacing="1" w:after="100" w:afterAutospacing="1"/>
        <w:jc w:val="both"/>
      </w:pPr>
      <w:r>
        <w:t>The construct that matters for public health is not trust magnitude but trust calibration, meaning correspondence between the confidence a user places in a given output and that output's actual accuracy. Almost the entire empirical literature reviewed here measures magnitude. Studies report mean trust scores, structural paths from trust to intention, and proportions preferring one source over another. Very few present participants with outputs of known and varying accuracy and examine whether trust tracks that variation. The consequence is that a finding of high trust cannot presently be interpreted as either a benefit or a hazard, because the accuracy of the material being trusted is typically unmeasured within the same design.</w:t>
      </w:r>
    </w:p>
    <w:p w14:paraId="30F01B3C" w14:textId="77777777" w:rsidR="007269E8" w:rsidRDefault="00000000" w:rsidP="00BE1189">
      <w:pPr>
        <w:pStyle w:val="Heading2"/>
        <w:spacing w:before="100" w:beforeAutospacing="1" w:after="100" w:afterAutospacing="1"/>
      </w:pPr>
      <w:r>
        <w:rPr>
          <w:b/>
          <w:bCs/>
          <w:i/>
          <w:iCs/>
          <w:color w:val="000000"/>
          <w:sz w:val="24"/>
          <w:szCs w:val="24"/>
        </w:rPr>
        <w:t>3.2 Source credibility when the source is layered and invisible</w:t>
      </w:r>
    </w:p>
    <w:p w14:paraId="0651A78A" w14:textId="77777777" w:rsidR="007269E8" w:rsidRDefault="00000000" w:rsidP="00BE1189">
      <w:pPr>
        <w:spacing w:before="100" w:beforeAutospacing="1" w:after="100" w:afterAutospacing="1"/>
        <w:jc w:val="both"/>
      </w:pPr>
      <w:r>
        <w:t>Classical source credibility research established that identical messages attributed to sources differing in expertise and trustworthiness produce different acceptance (Hovland &amp; Weiss, 1951). The framework assumes a single identifiable source about which the receiver holds prior beliefs. Generative systems present a stratified source: a model developer, an intermediary platform, an undisclosed and unattributable training corpus, an interface persona, and sometimes a health organisation that has commissioned or endorsed the deployment. Users are ordinarily aware of at most the second and fourth of these.</w:t>
      </w:r>
    </w:p>
    <w:p w14:paraId="05950B57" w14:textId="77777777" w:rsidR="007269E8" w:rsidRDefault="00000000" w:rsidP="00BE1189">
      <w:pPr>
        <w:spacing w:before="100" w:beforeAutospacing="1" w:after="100" w:afterAutospacing="1"/>
        <w:jc w:val="both"/>
      </w:pPr>
      <w:r>
        <w:t>Sundar (2020) argued that the psychology of human-AI interaction is organised around machine agency, whereby the perceived source of a communication shifts from a human to a machine and activates heuristics specific to machines, which may cut either way. A machine heuristic can confer an impression of objectivity, freedom from fatigue and absence of self-interest; it can equally confer an impression of coldness, error-proneness and inability to grasp particulars. Experimental work on chatbot design shows that visual, identity and conversational cues independently shape perceptions of humanness (Go &amp; Sundar, 2019), which means that the direction of the machine heuristic is partly under the control of the interface designer rather than being a stable property of user psychology. Any claim that the public trusts or distrusts AI-generated health information in general is therefore under-specified: the answer depends on cues that vary between products and change between releases.</w:t>
      </w:r>
    </w:p>
    <w:p w14:paraId="41E0B08B" w14:textId="77777777" w:rsidR="007269E8" w:rsidRDefault="00000000" w:rsidP="00BE1189">
      <w:pPr>
        <w:spacing w:before="100" w:beforeAutospacing="1" w:after="100" w:afterAutospacing="1"/>
        <w:jc w:val="both"/>
      </w:pPr>
      <w:r>
        <w:t xml:space="preserve">A further complication is that credibility cues in generative health content can be manufactured. Citations, hedged qualifiers, references to guidelines and invitations to consult a clinician all function as credibility signals, and all can be produced without any corresponding epistemic warrant. An audit of five widely used chatbots found that citations supplied alongside health answers were frequently inaccurate or incomplete (Tiller et al., 2026). The cue and the property it </w:t>
      </w:r>
      <w:proofErr w:type="gramStart"/>
      <w:r>
        <w:t>is</w:t>
      </w:r>
      <w:proofErr w:type="gramEnd"/>
      <w:r>
        <w:t xml:space="preserve"> supposed to indicate have become decoupled, which is a qualitative departure from the pre-generative web, where a fabricated citation required deliberate effort.</w:t>
      </w:r>
    </w:p>
    <w:p w14:paraId="63E19737" w14:textId="77777777" w:rsidR="007269E8" w:rsidRDefault="00000000" w:rsidP="00BE1189">
      <w:pPr>
        <w:pStyle w:val="Heading2"/>
        <w:spacing w:before="100" w:beforeAutospacing="1" w:after="100" w:afterAutospacing="1"/>
      </w:pPr>
      <w:r>
        <w:rPr>
          <w:b/>
          <w:bCs/>
          <w:i/>
          <w:iCs/>
          <w:color w:val="000000"/>
          <w:sz w:val="24"/>
          <w:szCs w:val="24"/>
        </w:rPr>
        <w:lastRenderedPageBreak/>
        <w:t>3.3 Health literacy and its proliferating digital derivatives</w:t>
      </w:r>
    </w:p>
    <w:p w14:paraId="60730733" w14:textId="77777777" w:rsidR="007269E8" w:rsidRDefault="00000000" w:rsidP="00BE1189">
      <w:pPr>
        <w:spacing w:before="100" w:beforeAutospacing="1" w:after="100" w:afterAutospacing="1"/>
        <w:jc w:val="both"/>
      </w:pPr>
      <w:r>
        <w:t xml:space="preserve">Health literacy in the sense established by </w:t>
      </w:r>
      <w:proofErr w:type="spellStart"/>
      <w:r>
        <w:t>Nutbeam</w:t>
      </w:r>
      <w:proofErr w:type="spellEnd"/>
      <w:r>
        <w:t xml:space="preserve"> (2000) is not a single skill but a graded capability: functional literacy sufficient to read and act on basic material, interactive literacy sufficient to extract and apply information in changing circumstances, and critical literacy sufficient to analyse information and exercise control over health determinants. The integrative model of Sørensen et al. (2012) separates four competencies, namely accessing, understanding, appraising and applying health information, and the distinction between the second and third of these is the crux of the present argument. Norman and Skinner (2006) extended the construct to electronic environments, defining eHealth literacy as the capacity to seek, find, understand and appraise electronic health information and apply it to a health problem.</w:t>
      </w:r>
    </w:p>
    <w:p w14:paraId="37E810C9" w14:textId="77777777" w:rsidR="007269E8" w:rsidRDefault="00000000" w:rsidP="00BE1189">
      <w:pPr>
        <w:spacing w:before="100" w:beforeAutospacing="1" w:after="100" w:afterAutospacing="1"/>
        <w:jc w:val="both"/>
      </w:pPr>
      <w:r>
        <w:t xml:space="preserve">Generative systems act on these competencies unevenly. Access is trivially improved: an answer is returned immediately, in the user's language, at whatever register is requested. Understanding is measurably improved, since simplification of health material is one of the tasks these systems perform most reliably. Appraisal is made harder, because the cues that supported it have been removed and the cues that remain can be fabricated. Application is unchanged or slightly improved. A capability model that treats health literacy as a single latent variable will therefore </w:t>
      </w:r>
      <w:proofErr w:type="spellStart"/>
      <w:r>
        <w:t>mispredict</w:t>
      </w:r>
      <w:proofErr w:type="spellEnd"/>
      <w:r>
        <w:t>, because the technology raises two components while depressing a third.</w:t>
      </w:r>
    </w:p>
    <w:p w14:paraId="5CD8C004" w14:textId="77777777" w:rsidR="007269E8" w:rsidRDefault="00000000" w:rsidP="00BE1189">
      <w:pPr>
        <w:spacing w:before="100" w:beforeAutospacing="1" w:after="100" w:afterAutospacing="1"/>
        <w:jc w:val="both"/>
      </w:pPr>
      <w:r>
        <w:t xml:space="preserve">The response in the empirical literature has been </w:t>
      </w:r>
      <w:proofErr w:type="gramStart"/>
      <w:r>
        <w:t>construct</w:t>
      </w:r>
      <w:proofErr w:type="gramEnd"/>
      <w:r>
        <w:t xml:space="preserve"> proliferation rather than construct refinement. Digital health literacy, eHealth literacy, AI literacy and algorithm literacy are all now used as predictors of trust in AI-generated health content, frequently within the same study and rarely with attention to their overlap. The most widely used instrument in this space measures perceived skill rather than demonstrated skill; Norman and Skinner (2006) were explicit that their scale assesses self-efficacy in relation to electronic health information. A respondent who confidently misjudges AI-generated content will score highly. This is not a marginal psychometric quibble, because the studies that find literacy unrelated to trust and those that find it positively related both rely on self-report, and neither can distinguish competence from confidence.</w:t>
      </w:r>
    </w:p>
    <w:p w14:paraId="024B40DC" w14:textId="77777777" w:rsidR="007269E8" w:rsidRDefault="00000000" w:rsidP="00BE1189">
      <w:pPr>
        <w:spacing w:before="100" w:beforeAutospacing="1" w:after="100" w:afterAutospacing="1"/>
        <w:jc w:val="both"/>
      </w:pPr>
      <w:r>
        <w:t>The following table sets out the constructs used across the reviewed literature, their standard operationalisations, what they have been shown to predict, and the principal limitation attaching to each. It is intended to make explicit the mismatches that generate apparent contradictions in later sections, particularly the reliance on self-reported capability and the near-absence of calibration measures.</w:t>
      </w:r>
    </w:p>
    <w:p w14:paraId="1C03DE83" w14:textId="77777777" w:rsidR="007269E8" w:rsidRDefault="00000000" w:rsidP="00BE1189">
      <w:pPr>
        <w:spacing w:before="100" w:beforeAutospacing="1" w:after="100" w:afterAutospacing="1"/>
      </w:pPr>
      <w:r>
        <w:rPr>
          <w:b/>
          <w:bCs/>
          <w:sz w:val="21"/>
          <w:szCs w:val="21"/>
        </w:rPr>
        <w:t>Table 1. Core constructs in the study of public trust in AI-generated health information: definitions, operationalisations and principal limitations</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550"/>
        <w:gridCol w:w="2216"/>
        <w:gridCol w:w="2126"/>
        <w:gridCol w:w="2215"/>
        <w:gridCol w:w="1493"/>
      </w:tblGrid>
      <w:tr w:rsidR="007269E8" w14:paraId="6C6710EB" w14:textId="77777777">
        <w:trPr>
          <w:tblHeader/>
        </w:trPr>
        <w:tc>
          <w:tcPr>
            <w:tcW w:w="1542" w:type="dxa"/>
            <w:shd w:val="clear" w:color="auto" w:fill="E8E8E8"/>
            <w:tcMar>
              <w:top w:w="60" w:type="dxa"/>
              <w:left w:w="90" w:type="dxa"/>
              <w:bottom w:w="60" w:type="dxa"/>
              <w:right w:w="90" w:type="dxa"/>
            </w:tcMar>
          </w:tcPr>
          <w:p w14:paraId="5B7C0FF9" w14:textId="77777777" w:rsidR="007269E8" w:rsidRDefault="00000000" w:rsidP="00BE1189">
            <w:pPr>
              <w:spacing w:before="100" w:beforeAutospacing="1" w:after="100" w:afterAutospacing="1"/>
            </w:pPr>
            <w:r>
              <w:rPr>
                <w:b/>
                <w:bCs/>
                <w:sz w:val="18"/>
                <w:szCs w:val="18"/>
              </w:rPr>
              <w:t>Construct</w:t>
            </w:r>
          </w:p>
        </w:tc>
        <w:tc>
          <w:tcPr>
            <w:tcW w:w="2218" w:type="dxa"/>
            <w:shd w:val="clear" w:color="auto" w:fill="E8E8E8"/>
            <w:tcMar>
              <w:top w:w="60" w:type="dxa"/>
              <w:left w:w="90" w:type="dxa"/>
              <w:bottom w:w="60" w:type="dxa"/>
              <w:right w:w="90" w:type="dxa"/>
            </w:tcMar>
          </w:tcPr>
          <w:p w14:paraId="417D9FC5" w14:textId="77777777" w:rsidR="007269E8" w:rsidRDefault="00000000" w:rsidP="00BE1189">
            <w:pPr>
              <w:spacing w:before="100" w:beforeAutospacing="1" w:after="100" w:afterAutospacing="1"/>
            </w:pPr>
            <w:r>
              <w:rPr>
                <w:b/>
                <w:bCs/>
                <w:sz w:val="18"/>
                <w:szCs w:val="18"/>
              </w:rPr>
              <w:t>Working definition</w:t>
            </w:r>
          </w:p>
        </w:tc>
        <w:tc>
          <w:tcPr>
            <w:tcW w:w="2128" w:type="dxa"/>
            <w:shd w:val="clear" w:color="auto" w:fill="E8E8E8"/>
            <w:tcMar>
              <w:top w:w="60" w:type="dxa"/>
              <w:left w:w="90" w:type="dxa"/>
              <w:bottom w:w="60" w:type="dxa"/>
              <w:right w:w="90" w:type="dxa"/>
            </w:tcMar>
          </w:tcPr>
          <w:p w14:paraId="0B671A04" w14:textId="77777777" w:rsidR="007269E8" w:rsidRDefault="00000000" w:rsidP="00BE1189">
            <w:pPr>
              <w:spacing w:before="100" w:beforeAutospacing="1" w:after="100" w:afterAutospacing="1"/>
            </w:pPr>
            <w:r>
              <w:rPr>
                <w:b/>
                <w:bCs/>
                <w:sz w:val="18"/>
                <w:szCs w:val="18"/>
              </w:rPr>
              <w:t>Typical operationalisation</w:t>
            </w:r>
          </w:p>
        </w:tc>
        <w:tc>
          <w:tcPr>
            <w:tcW w:w="2218" w:type="dxa"/>
            <w:shd w:val="clear" w:color="auto" w:fill="E8E8E8"/>
            <w:tcMar>
              <w:top w:w="60" w:type="dxa"/>
              <w:left w:w="90" w:type="dxa"/>
              <w:bottom w:w="60" w:type="dxa"/>
              <w:right w:w="90" w:type="dxa"/>
            </w:tcMar>
          </w:tcPr>
          <w:p w14:paraId="0D5DCFF1" w14:textId="77777777" w:rsidR="007269E8" w:rsidRDefault="00000000" w:rsidP="00BE1189">
            <w:pPr>
              <w:spacing w:before="100" w:beforeAutospacing="1" w:after="100" w:afterAutospacing="1"/>
            </w:pPr>
            <w:r>
              <w:rPr>
                <w:b/>
                <w:bCs/>
                <w:sz w:val="18"/>
                <w:szCs w:val="18"/>
              </w:rPr>
              <w:t>Principal limitation</w:t>
            </w:r>
          </w:p>
        </w:tc>
        <w:tc>
          <w:tcPr>
            <w:tcW w:w="1494" w:type="dxa"/>
            <w:shd w:val="clear" w:color="auto" w:fill="E8E8E8"/>
            <w:tcMar>
              <w:top w:w="60" w:type="dxa"/>
              <w:left w:w="90" w:type="dxa"/>
              <w:bottom w:w="60" w:type="dxa"/>
              <w:right w:w="90" w:type="dxa"/>
            </w:tcMar>
          </w:tcPr>
          <w:p w14:paraId="62FF04C6" w14:textId="77777777" w:rsidR="007269E8" w:rsidRDefault="00000000" w:rsidP="00BE1189">
            <w:pPr>
              <w:spacing w:before="100" w:beforeAutospacing="1" w:after="100" w:afterAutospacing="1"/>
            </w:pPr>
            <w:r>
              <w:rPr>
                <w:b/>
                <w:bCs/>
                <w:sz w:val="18"/>
                <w:szCs w:val="18"/>
              </w:rPr>
              <w:t>Supporting references</w:t>
            </w:r>
          </w:p>
        </w:tc>
      </w:tr>
      <w:tr w:rsidR="007269E8" w14:paraId="42DA2373" w14:textId="77777777">
        <w:tc>
          <w:tcPr>
            <w:tcW w:w="1542" w:type="dxa"/>
            <w:tcMar>
              <w:top w:w="60" w:type="dxa"/>
              <w:left w:w="90" w:type="dxa"/>
              <w:bottom w:w="60" w:type="dxa"/>
              <w:right w:w="90" w:type="dxa"/>
            </w:tcMar>
          </w:tcPr>
          <w:p w14:paraId="49010447" w14:textId="77777777" w:rsidR="007269E8" w:rsidRDefault="00000000" w:rsidP="00BE1189">
            <w:pPr>
              <w:spacing w:before="100" w:beforeAutospacing="1" w:after="100" w:afterAutospacing="1"/>
            </w:pPr>
            <w:r>
              <w:rPr>
                <w:sz w:val="18"/>
                <w:szCs w:val="18"/>
              </w:rPr>
              <w:t>Trust</w:t>
            </w:r>
          </w:p>
        </w:tc>
        <w:tc>
          <w:tcPr>
            <w:tcW w:w="2218" w:type="dxa"/>
            <w:tcMar>
              <w:top w:w="60" w:type="dxa"/>
              <w:left w:w="90" w:type="dxa"/>
              <w:bottom w:w="60" w:type="dxa"/>
              <w:right w:w="90" w:type="dxa"/>
            </w:tcMar>
          </w:tcPr>
          <w:p w14:paraId="470DE9D7" w14:textId="77777777" w:rsidR="007269E8" w:rsidRDefault="00000000" w:rsidP="00BE1189">
            <w:pPr>
              <w:spacing w:before="100" w:beforeAutospacing="1" w:after="100" w:afterAutospacing="1"/>
            </w:pPr>
            <w:r>
              <w:rPr>
                <w:sz w:val="18"/>
                <w:szCs w:val="18"/>
              </w:rPr>
              <w:t>Willingness to accept vulnerability to a system whose output cannot be verified at the point of use</w:t>
            </w:r>
          </w:p>
        </w:tc>
        <w:tc>
          <w:tcPr>
            <w:tcW w:w="2128" w:type="dxa"/>
            <w:tcMar>
              <w:top w:w="60" w:type="dxa"/>
              <w:left w:w="90" w:type="dxa"/>
              <w:bottom w:w="60" w:type="dxa"/>
              <w:right w:w="90" w:type="dxa"/>
            </w:tcMar>
          </w:tcPr>
          <w:p w14:paraId="7BD0B2F8" w14:textId="77777777" w:rsidR="007269E8" w:rsidRDefault="00000000" w:rsidP="00BE1189">
            <w:pPr>
              <w:spacing w:before="100" w:beforeAutospacing="1" w:after="100" w:afterAutospacing="1"/>
            </w:pPr>
            <w:r>
              <w:rPr>
                <w:sz w:val="18"/>
                <w:szCs w:val="18"/>
              </w:rPr>
              <w:t>Multi-item Likert scales adapted from technology acceptance research; occasionally single global items</w:t>
            </w:r>
          </w:p>
        </w:tc>
        <w:tc>
          <w:tcPr>
            <w:tcW w:w="2218" w:type="dxa"/>
            <w:tcMar>
              <w:top w:w="60" w:type="dxa"/>
              <w:left w:w="90" w:type="dxa"/>
              <w:bottom w:w="60" w:type="dxa"/>
              <w:right w:w="90" w:type="dxa"/>
            </w:tcMar>
          </w:tcPr>
          <w:p w14:paraId="106EDA72" w14:textId="77777777" w:rsidR="007269E8" w:rsidRDefault="00000000" w:rsidP="00BE1189">
            <w:pPr>
              <w:spacing w:before="100" w:beforeAutospacing="1" w:after="100" w:afterAutospacing="1"/>
            </w:pPr>
            <w:r>
              <w:rPr>
                <w:sz w:val="18"/>
                <w:szCs w:val="18"/>
              </w:rPr>
              <w:t>Antecedents of benevolence and integrity presuppose intention, which a statistical model does not possess</w:t>
            </w:r>
          </w:p>
        </w:tc>
        <w:tc>
          <w:tcPr>
            <w:tcW w:w="1494" w:type="dxa"/>
            <w:tcMar>
              <w:top w:w="60" w:type="dxa"/>
              <w:left w:w="90" w:type="dxa"/>
              <w:bottom w:w="60" w:type="dxa"/>
              <w:right w:w="90" w:type="dxa"/>
            </w:tcMar>
          </w:tcPr>
          <w:p w14:paraId="07BEEEC1" w14:textId="77777777" w:rsidR="007269E8" w:rsidRDefault="00000000" w:rsidP="00BE1189">
            <w:pPr>
              <w:spacing w:before="100" w:beforeAutospacing="1" w:after="100" w:afterAutospacing="1"/>
            </w:pPr>
            <w:r>
              <w:rPr>
                <w:sz w:val="18"/>
                <w:szCs w:val="18"/>
              </w:rPr>
              <w:t xml:space="preserve">Mayer et al. (1995); </w:t>
            </w:r>
            <w:proofErr w:type="spellStart"/>
            <w:r>
              <w:rPr>
                <w:sz w:val="18"/>
                <w:szCs w:val="18"/>
              </w:rPr>
              <w:t>Glikson</w:t>
            </w:r>
            <w:proofErr w:type="spellEnd"/>
            <w:r>
              <w:rPr>
                <w:sz w:val="18"/>
                <w:szCs w:val="18"/>
              </w:rPr>
              <w:t xml:space="preserve"> &amp; Woolley (2020)</w:t>
            </w:r>
          </w:p>
        </w:tc>
      </w:tr>
      <w:tr w:rsidR="007269E8" w14:paraId="621BB091" w14:textId="77777777">
        <w:tc>
          <w:tcPr>
            <w:tcW w:w="1542" w:type="dxa"/>
            <w:tcMar>
              <w:top w:w="60" w:type="dxa"/>
              <w:left w:w="90" w:type="dxa"/>
              <w:bottom w:w="60" w:type="dxa"/>
              <w:right w:w="90" w:type="dxa"/>
            </w:tcMar>
          </w:tcPr>
          <w:p w14:paraId="458EDB9A" w14:textId="77777777" w:rsidR="007269E8" w:rsidRDefault="00000000" w:rsidP="00BE1189">
            <w:pPr>
              <w:spacing w:before="100" w:beforeAutospacing="1" w:after="100" w:afterAutospacing="1"/>
            </w:pPr>
            <w:r>
              <w:rPr>
                <w:sz w:val="18"/>
                <w:szCs w:val="18"/>
              </w:rPr>
              <w:t>Trust calibration</w:t>
            </w:r>
          </w:p>
        </w:tc>
        <w:tc>
          <w:tcPr>
            <w:tcW w:w="2218" w:type="dxa"/>
            <w:tcMar>
              <w:top w:w="60" w:type="dxa"/>
              <w:left w:w="90" w:type="dxa"/>
              <w:bottom w:w="60" w:type="dxa"/>
              <w:right w:w="90" w:type="dxa"/>
            </w:tcMar>
          </w:tcPr>
          <w:p w14:paraId="148B8135" w14:textId="77777777" w:rsidR="007269E8" w:rsidRDefault="00000000" w:rsidP="00BE1189">
            <w:pPr>
              <w:spacing w:before="100" w:beforeAutospacing="1" w:after="100" w:afterAutospacing="1"/>
            </w:pPr>
            <w:r>
              <w:rPr>
                <w:sz w:val="18"/>
                <w:szCs w:val="18"/>
              </w:rPr>
              <w:t>Correspondence between confidence in a specific output and that output's actual accuracy</w:t>
            </w:r>
          </w:p>
        </w:tc>
        <w:tc>
          <w:tcPr>
            <w:tcW w:w="2128" w:type="dxa"/>
            <w:tcMar>
              <w:top w:w="60" w:type="dxa"/>
              <w:left w:w="90" w:type="dxa"/>
              <w:bottom w:w="60" w:type="dxa"/>
              <w:right w:w="90" w:type="dxa"/>
            </w:tcMar>
          </w:tcPr>
          <w:p w14:paraId="46E89510" w14:textId="77777777" w:rsidR="007269E8" w:rsidRDefault="00000000" w:rsidP="00BE1189">
            <w:pPr>
              <w:spacing w:before="100" w:beforeAutospacing="1" w:after="100" w:afterAutospacing="1"/>
            </w:pPr>
            <w:r>
              <w:rPr>
                <w:sz w:val="18"/>
                <w:szCs w:val="18"/>
              </w:rPr>
              <w:t>Rarely operationalised; would require per-item confidence against a verified accuracy standard</w:t>
            </w:r>
          </w:p>
        </w:tc>
        <w:tc>
          <w:tcPr>
            <w:tcW w:w="2218" w:type="dxa"/>
            <w:tcMar>
              <w:top w:w="60" w:type="dxa"/>
              <w:left w:w="90" w:type="dxa"/>
              <w:bottom w:w="60" w:type="dxa"/>
              <w:right w:w="90" w:type="dxa"/>
            </w:tcMar>
          </w:tcPr>
          <w:p w14:paraId="63AB533D" w14:textId="77777777" w:rsidR="007269E8" w:rsidRDefault="00000000" w:rsidP="00BE1189">
            <w:pPr>
              <w:spacing w:before="100" w:beforeAutospacing="1" w:after="100" w:afterAutospacing="1"/>
            </w:pPr>
            <w:r>
              <w:rPr>
                <w:sz w:val="18"/>
                <w:szCs w:val="18"/>
              </w:rPr>
              <w:t>Almost absent from the reviewed literature, so high trust cannot be interpreted as benefit or hazard</w:t>
            </w:r>
          </w:p>
        </w:tc>
        <w:tc>
          <w:tcPr>
            <w:tcW w:w="1494" w:type="dxa"/>
            <w:tcMar>
              <w:top w:w="60" w:type="dxa"/>
              <w:left w:w="90" w:type="dxa"/>
              <w:bottom w:w="60" w:type="dxa"/>
              <w:right w:w="90" w:type="dxa"/>
            </w:tcMar>
          </w:tcPr>
          <w:p w14:paraId="3EA52F7D" w14:textId="77777777" w:rsidR="007269E8" w:rsidRDefault="00000000" w:rsidP="00BE1189">
            <w:pPr>
              <w:spacing w:before="100" w:beforeAutospacing="1" w:after="100" w:afterAutospacing="1"/>
            </w:pPr>
            <w:proofErr w:type="spellStart"/>
            <w:r>
              <w:rPr>
                <w:sz w:val="18"/>
                <w:szCs w:val="18"/>
              </w:rPr>
              <w:t>Glikson</w:t>
            </w:r>
            <w:proofErr w:type="spellEnd"/>
            <w:r>
              <w:rPr>
                <w:sz w:val="18"/>
                <w:szCs w:val="18"/>
              </w:rPr>
              <w:t xml:space="preserve"> &amp; Woolley (2020); Ibrahim et al. (2026)</w:t>
            </w:r>
          </w:p>
        </w:tc>
      </w:tr>
      <w:tr w:rsidR="007269E8" w14:paraId="007F8763" w14:textId="77777777">
        <w:tc>
          <w:tcPr>
            <w:tcW w:w="1542" w:type="dxa"/>
            <w:tcMar>
              <w:top w:w="60" w:type="dxa"/>
              <w:left w:w="90" w:type="dxa"/>
              <w:bottom w:w="60" w:type="dxa"/>
              <w:right w:w="90" w:type="dxa"/>
            </w:tcMar>
          </w:tcPr>
          <w:p w14:paraId="5B518291" w14:textId="77777777" w:rsidR="007269E8" w:rsidRDefault="00000000" w:rsidP="00BE1189">
            <w:pPr>
              <w:spacing w:before="100" w:beforeAutospacing="1" w:after="100" w:afterAutospacing="1"/>
            </w:pPr>
            <w:r>
              <w:rPr>
                <w:sz w:val="18"/>
                <w:szCs w:val="18"/>
              </w:rPr>
              <w:t>Source credibility</w:t>
            </w:r>
          </w:p>
        </w:tc>
        <w:tc>
          <w:tcPr>
            <w:tcW w:w="2218" w:type="dxa"/>
            <w:tcMar>
              <w:top w:w="60" w:type="dxa"/>
              <w:left w:w="90" w:type="dxa"/>
              <w:bottom w:w="60" w:type="dxa"/>
              <w:right w:w="90" w:type="dxa"/>
            </w:tcMar>
          </w:tcPr>
          <w:p w14:paraId="610AD0FC" w14:textId="77777777" w:rsidR="007269E8" w:rsidRDefault="00000000" w:rsidP="00BE1189">
            <w:pPr>
              <w:spacing w:before="100" w:beforeAutospacing="1" w:after="100" w:afterAutospacing="1"/>
            </w:pPr>
            <w:r>
              <w:rPr>
                <w:sz w:val="18"/>
                <w:szCs w:val="18"/>
              </w:rPr>
              <w:t>Perceived expertise and trustworthiness of the communicator, shaping acceptance of an identical message</w:t>
            </w:r>
          </w:p>
        </w:tc>
        <w:tc>
          <w:tcPr>
            <w:tcW w:w="2128" w:type="dxa"/>
            <w:tcMar>
              <w:top w:w="60" w:type="dxa"/>
              <w:left w:w="90" w:type="dxa"/>
              <w:bottom w:w="60" w:type="dxa"/>
              <w:right w:w="90" w:type="dxa"/>
            </w:tcMar>
          </w:tcPr>
          <w:p w14:paraId="77004B5B" w14:textId="77777777" w:rsidR="007269E8" w:rsidRDefault="00000000" w:rsidP="00BE1189">
            <w:pPr>
              <w:spacing w:before="100" w:beforeAutospacing="1" w:after="100" w:afterAutospacing="1"/>
            </w:pPr>
            <w:r>
              <w:rPr>
                <w:sz w:val="18"/>
                <w:szCs w:val="18"/>
              </w:rPr>
              <w:t>Message and source credibility scales; forced-choice preference between attributed sources</w:t>
            </w:r>
          </w:p>
        </w:tc>
        <w:tc>
          <w:tcPr>
            <w:tcW w:w="2218" w:type="dxa"/>
            <w:tcMar>
              <w:top w:w="60" w:type="dxa"/>
              <w:left w:w="90" w:type="dxa"/>
              <w:bottom w:w="60" w:type="dxa"/>
              <w:right w:w="90" w:type="dxa"/>
            </w:tcMar>
          </w:tcPr>
          <w:p w14:paraId="6157CCE8" w14:textId="77777777" w:rsidR="007269E8" w:rsidRDefault="00000000" w:rsidP="00BE1189">
            <w:pPr>
              <w:spacing w:before="100" w:beforeAutospacing="1" w:after="100" w:afterAutospacing="1"/>
            </w:pPr>
            <w:r>
              <w:rPr>
                <w:sz w:val="18"/>
                <w:szCs w:val="18"/>
              </w:rPr>
              <w:t>Assumes a single identifiable source, whereas generative systems present a layered and invisible one</w:t>
            </w:r>
          </w:p>
        </w:tc>
        <w:tc>
          <w:tcPr>
            <w:tcW w:w="1494" w:type="dxa"/>
            <w:tcMar>
              <w:top w:w="60" w:type="dxa"/>
              <w:left w:w="90" w:type="dxa"/>
              <w:bottom w:w="60" w:type="dxa"/>
              <w:right w:w="90" w:type="dxa"/>
            </w:tcMar>
          </w:tcPr>
          <w:p w14:paraId="005CBB06" w14:textId="77777777" w:rsidR="007269E8" w:rsidRDefault="00000000" w:rsidP="00BE1189">
            <w:pPr>
              <w:spacing w:before="100" w:beforeAutospacing="1" w:after="100" w:afterAutospacing="1"/>
            </w:pPr>
            <w:r>
              <w:rPr>
                <w:sz w:val="18"/>
                <w:szCs w:val="18"/>
              </w:rPr>
              <w:t>Hovland &amp; Weiss (1951); Kim et al. (2026)</w:t>
            </w:r>
          </w:p>
        </w:tc>
      </w:tr>
      <w:tr w:rsidR="007269E8" w14:paraId="43A7CE9B" w14:textId="77777777">
        <w:tc>
          <w:tcPr>
            <w:tcW w:w="1542" w:type="dxa"/>
            <w:tcMar>
              <w:top w:w="60" w:type="dxa"/>
              <w:left w:w="90" w:type="dxa"/>
              <w:bottom w:w="60" w:type="dxa"/>
              <w:right w:w="90" w:type="dxa"/>
            </w:tcMar>
          </w:tcPr>
          <w:p w14:paraId="377988E7" w14:textId="77777777" w:rsidR="007269E8" w:rsidRDefault="00000000" w:rsidP="00BE1189">
            <w:pPr>
              <w:spacing w:before="100" w:beforeAutospacing="1" w:after="100" w:afterAutospacing="1"/>
            </w:pPr>
            <w:r>
              <w:rPr>
                <w:sz w:val="18"/>
                <w:szCs w:val="18"/>
              </w:rPr>
              <w:lastRenderedPageBreak/>
              <w:t>Machine heuristic and anthropomorphism</w:t>
            </w:r>
          </w:p>
        </w:tc>
        <w:tc>
          <w:tcPr>
            <w:tcW w:w="2218" w:type="dxa"/>
            <w:tcMar>
              <w:top w:w="60" w:type="dxa"/>
              <w:left w:w="90" w:type="dxa"/>
              <w:bottom w:w="60" w:type="dxa"/>
              <w:right w:w="90" w:type="dxa"/>
            </w:tcMar>
          </w:tcPr>
          <w:p w14:paraId="4C85E703" w14:textId="77777777" w:rsidR="007269E8" w:rsidRDefault="00000000" w:rsidP="00BE1189">
            <w:pPr>
              <w:spacing w:before="100" w:beforeAutospacing="1" w:after="100" w:afterAutospacing="1"/>
            </w:pPr>
            <w:r>
              <w:rPr>
                <w:sz w:val="18"/>
                <w:szCs w:val="18"/>
              </w:rPr>
              <w:t>Inferences triggered by attribution of a message to a machine or by human-like interface cues</w:t>
            </w:r>
          </w:p>
        </w:tc>
        <w:tc>
          <w:tcPr>
            <w:tcW w:w="2128" w:type="dxa"/>
            <w:tcMar>
              <w:top w:w="60" w:type="dxa"/>
              <w:left w:w="90" w:type="dxa"/>
              <w:bottom w:w="60" w:type="dxa"/>
              <w:right w:w="90" w:type="dxa"/>
            </w:tcMar>
          </w:tcPr>
          <w:p w14:paraId="47FC3C20" w14:textId="77777777" w:rsidR="007269E8" w:rsidRDefault="00000000" w:rsidP="00BE1189">
            <w:pPr>
              <w:spacing w:before="100" w:beforeAutospacing="1" w:after="100" w:afterAutospacing="1"/>
            </w:pPr>
            <w:r>
              <w:rPr>
                <w:sz w:val="18"/>
                <w:szCs w:val="18"/>
              </w:rPr>
              <w:t>Attribution manipulations; perceived humanness, anthropomorphism and social competence scales</w:t>
            </w:r>
          </w:p>
        </w:tc>
        <w:tc>
          <w:tcPr>
            <w:tcW w:w="2218" w:type="dxa"/>
            <w:tcMar>
              <w:top w:w="60" w:type="dxa"/>
              <w:left w:w="90" w:type="dxa"/>
              <w:bottom w:w="60" w:type="dxa"/>
              <w:right w:w="90" w:type="dxa"/>
            </w:tcMar>
          </w:tcPr>
          <w:p w14:paraId="329B6FE4" w14:textId="77777777" w:rsidR="007269E8" w:rsidRDefault="00000000" w:rsidP="00BE1189">
            <w:pPr>
              <w:spacing w:before="100" w:beforeAutospacing="1" w:after="100" w:afterAutospacing="1"/>
            </w:pPr>
            <w:r>
              <w:rPr>
                <w:sz w:val="18"/>
                <w:szCs w:val="18"/>
              </w:rPr>
              <w:t>Direction of effect is partly set by interface design, so it varies between products and releases</w:t>
            </w:r>
          </w:p>
        </w:tc>
        <w:tc>
          <w:tcPr>
            <w:tcW w:w="1494" w:type="dxa"/>
            <w:tcMar>
              <w:top w:w="60" w:type="dxa"/>
              <w:left w:w="90" w:type="dxa"/>
              <w:bottom w:w="60" w:type="dxa"/>
              <w:right w:w="90" w:type="dxa"/>
            </w:tcMar>
          </w:tcPr>
          <w:p w14:paraId="1020569F" w14:textId="77777777" w:rsidR="007269E8" w:rsidRDefault="00000000" w:rsidP="00BE1189">
            <w:pPr>
              <w:spacing w:before="100" w:beforeAutospacing="1" w:after="100" w:afterAutospacing="1"/>
            </w:pPr>
            <w:r>
              <w:rPr>
                <w:sz w:val="18"/>
                <w:szCs w:val="18"/>
              </w:rPr>
              <w:t>Go &amp; Sundar (2019); Sundar (2020); Zhu &amp; Ding (2026)</w:t>
            </w:r>
          </w:p>
        </w:tc>
      </w:tr>
      <w:tr w:rsidR="007269E8" w14:paraId="48BC26CE" w14:textId="77777777">
        <w:tc>
          <w:tcPr>
            <w:tcW w:w="1542" w:type="dxa"/>
            <w:tcMar>
              <w:top w:w="60" w:type="dxa"/>
              <w:left w:w="90" w:type="dxa"/>
              <w:bottom w:w="60" w:type="dxa"/>
              <w:right w:w="90" w:type="dxa"/>
            </w:tcMar>
          </w:tcPr>
          <w:p w14:paraId="17ADD6AB" w14:textId="77777777" w:rsidR="007269E8" w:rsidRDefault="00000000" w:rsidP="00BE1189">
            <w:pPr>
              <w:spacing w:before="100" w:beforeAutospacing="1" w:after="100" w:afterAutospacing="1"/>
            </w:pPr>
            <w:r>
              <w:rPr>
                <w:sz w:val="18"/>
                <w:szCs w:val="18"/>
              </w:rPr>
              <w:t>Health literacy</w:t>
            </w:r>
          </w:p>
        </w:tc>
        <w:tc>
          <w:tcPr>
            <w:tcW w:w="2218" w:type="dxa"/>
            <w:tcMar>
              <w:top w:w="60" w:type="dxa"/>
              <w:left w:w="90" w:type="dxa"/>
              <w:bottom w:w="60" w:type="dxa"/>
              <w:right w:w="90" w:type="dxa"/>
            </w:tcMar>
          </w:tcPr>
          <w:p w14:paraId="0311271B" w14:textId="77777777" w:rsidR="007269E8" w:rsidRDefault="00000000" w:rsidP="00BE1189">
            <w:pPr>
              <w:spacing w:before="100" w:beforeAutospacing="1" w:after="100" w:afterAutospacing="1"/>
            </w:pPr>
            <w:r>
              <w:rPr>
                <w:sz w:val="18"/>
                <w:szCs w:val="18"/>
              </w:rPr>
              <w:t>Graded capability to access, understand, appraise and apply health information</w:t>
            </w:r>
          </w:p>
        </w:tc>
        <w:tc>
          <w:tcPr>
            <w:tcW w:w="2128" w:type="dxa"/>
            <w:tcMar>
              <w:top w:w="60" w:type="dxa"/>
              <w:left w:w="90" w:type="dxa"/>
              <w:bottom w:w="60" w:type="dxa"/>
              <w:right w:w="90" w:type="dxa"/>
            </w:tcMar>
          </w:tcPr>
          <w:p w14:paraId="4415E723" w14:textId="77777777" w:rsidR="007269E8" w:rsidRDefault="00000000" w:rsidP="00BE1189">
            <w:pPr>
              <w:spacing w:before="100" w:beforeAutospacing="1" w:after="100" w:afterAutospacing="1"/>
            </w:pPr>
            <w:r>
              <w:rPr>
                <w:sz w:val="18"/>
                <w:szCs w:val="18"/>
              </w:rPr>
              <w:t>Self-report scales; frequently substituted by educational attainment as a proxy</w:t>
            </w:r>
          </w:p>
        </w:tc>
        <w:tc>
          <w:tcPr>
            <w:tcW w:w="2218" w:type="dxa"/>
            <w:tcMar>
              <w:top w:w="60" w:type="dxa"/>
              <w:left w:w="90" w:type="dxa"/>
              <w:bottom w:w="60" w:type="dxa"/>
              <w:right w:w="90" w:type="dxa"/>
            </w:tcMar>
          </w:tcPr>
          <w:p w14:paraId="175109A1" w14:textId="77777777" w:rsidR="007269E8" w:rsidRDefault="00000000" w:rsidP="00BE1189">
            <w:pPr>
              <w:spacing w:before="100" w:beforeAutospacing="1" w:after="100" w:afterAutospacing="1"/>
            </w:pPr>
            <w:r>
              <w:rPr>
                <w:sz w:val="18"/>
                <w:szCs w:val="18"/>
              </w:rPr>
              <w:t>Component competencies are rarely measured separately, obscuring divergent effects of the technology</w:t>
            </w:r>
          </w:p>
        </w:tc>
        <w:tc>
          <w:tcPr>
            <w:tcW w:w="1494" w:type="dxa"/>
            <w:tcMar>
              <w:top w:w="60" w:type="dxa"/>
              <w:left w:w="90" w:type="dxa"/>
              <w:bottom w:w="60" w:type="dxa"/>
              <w:right w:w="90" w:type="dxa"/>
            </w:tcMar>
          </w:tcPr>
          <w:p w14:paraId="1AEB1CCA" w14:textId="77777777" w:rsidR="007269E8" w:rsidRDefault="00000000" w:rsidP="00BE1189">
            <w:pPr>
              <w:spacing w:before="100" w:beforeAutospacing="1" w:after="100" w:afterAutospacing="1"/>
            </w:pPr>
            <w:proofErr w:type="spellStart"/>
            <w:r>
              <w:rPr>
                <w:sz w:val="18"/>
                <w:szCs w:val="18"/>
              </w:rPr>
              <w:t>Nutbeam</w:t>
            </w:r>
            <w:proofErr w:type="spellEnd"/>
            <w:r>
              <w:rPr>
                <w:sz w:val="18"/>
                <w:szCs w:val="18"/>
              </w:rPr>
              <w:t xml:space="preserve"> (2000); Sørensen et al. (2012); </w:t>
            </w:r>
            <w:proofErr w:type="spellStart"/>
            <w:r>
              <w:rPr>
                <w:sz w:val="18"/>
                <w:szCs w:val="18"/>
              </w:rPr>
              <w:t>Diviani</w:t>
            </w:r>
            <w:proofErr w:type="spellEnd"/>
            <w:r>
              <w:rPr>
                <w:sz w:val="18"/>
                <w:szCs w:val="18"/>
              </w:rPr>
              <w:t xml:space="preserve"> et al. (2015)</w:t>
            </w:r>
          </w:p>
        </w:tc>
      </w:tr>
      <w:tr w:rsidR="007269E8" w14:paraId="1DD935F3" w14:textId="77777777">
        <w:tc>
          <w:tcPr>
            <w:tcW w:w="1542" w:type="dxa"/>
            <w:tcMar>
              <w:top w:w="60" w:type="dxa"/>
              <w:left w:w="90" w:type="dxa"/>
              <w:bottom w:w="60" w:type="dxa"/>
              <w:right w:w="90" w:type="dxa"/>
            </w:tcMar>
          </w:tcPr>
          <w:p w14:paraId="75299A3A" w14:textId="77777777" w:rsidR="007269E8" w:rsidRDefault="00000000" w:rsidP="00BE1189">
            <w:pPr>
              <w:spacing w:before="100" w:beforeAutospacing="1" w:after="100" w:afterAutospacing="1"/>
            </w:pPr>
            <w:r>
              <w:rPr>
                <w:sz w:val="18"/>
                <w:szCs w:val="18"/>
              </w:rPr>
              <w:t>eHealth and digital health literacy</w:t>
            </w:r>
          </w:p>
        </w:tc>
        <w:tc>
          <w:tcPr>
            <w:tcW w:w="2218" w:type="dxa"/>
            <w:tcMar>
              <w:top w:w="60" w:type="dxa"/>
              <w:left w:w="90" w:type="dxa"/>
              <w:bottom w:w="60" w:type="dxa"/>
              <w:right w:w="90" w:type="dxa"/>
            </w:tcMar>
          </w:tcPr>
          <w:p w14:paraId="580EAAC4" w14:textId="77777777" w:rsidR="007269E8" w:rsidRDefault="00000000" w:rsidP="00BE1189">
            <w:pPr>
              <w:spacing w:before="100" w:beforeAutospacing="1" w:after="100" w:afterAutospacing="1"/>
            </w:pPr>
            <w:r>
              <w:rPr>
                <w:sz w:val="18"/>
                <w:szCs w:val="18"/>
              </w:rPr>
              <w:t>Capacity to seek, find, understand and appraise electronic health information and apply it to a health problem</w:t>
            </w:r>
          </w:p>
        </w:tc>
        <w:tc>
          <w:tcPr>
            <w:tcW w:w="2128" w:type="dxa"/>
            <w:tcMar>
              <w:top w:w="60" w:type="dxa"/>
              <w:left w:w="90" w:type="dxa"/>
              <w:bottom w:w="60" w:type="dxa"/>
              <w:right w:w="90" w:type="dxa"/>
            </w:tcMar>
          </w:tcPr>
          <w:p w14:paraId="45B9F93E" w14:textId="77777777" w:rsidR="007269E8" w:rsidRDefault="00000000" w:rsidP="00BE1189">
            <w:pPr>
              <w:spacing w:before="100" w:beforeAutospacing="1" w:after="100" w:afterAutospacing="1"/>
            </w:pPr>
            <w:r>
              <w:rPr>
                <w:sz w:val="18"/>
                <w:szCs w:val="18"/>
              </w:rPr>
              <w:t>eHealth literacy self-report instruments and their adaptations</w:t>
            </w:r>
          </w:p>
        </w:tc>
        <w:tc>
          <w:tcPr>
            <w:tcW w:w="2218" w:type="dxa"/>
            <w:tcMar>
              <w:top w:w="60" w:type="dxa"/>
              <w:left w:w="90" w:type="dxa"/>
              <w:bottom w:w="60" w:type="dxa"/>
              <w:right w:w="90" w:type="dxa"/>
            </w:tcMar>
          </w:tcPr>
          <w:p w14:paraId="0A9BA9C6" w14:textId="77777777" w:rsidR="007269E8" w:rsidRDefault="00000000" w:rsidP="00BE1189">
            <w:pPr>
              <w:spacing w:before="100" w:beforeAutospacing="1" w:after="100" w:afterAutospacing="1"/>
            </w:pPr>
            <w:r>
              <w:rPr>
                <w:sz w:val="18"/>
                <w:szCs w:val="18"/>
              </w:rPr>
              <w:t>Measures self-efficacy rather than demonstrated skill, so confident misjudgement scores as literacy</w:t>
            </w:r>
          </w:p>
        </w:tc>
        <w:tc>
          <w:tcPr>
            <w:tcW w:w="1494" w:type="dxa"/>
            <w:tcMar>
              <w:top w:w="60" w:type="dxa"/>
              <w:left w:w="90" w:type="dxa"/>
              <w:bottom w:w="60" w:type="dxa"/>
              <w:right w:w="90" w:type="dxa"/>
            </w:tcMar>
          </w:tcPr>
          <w:p w14:paraId="10CCDA23" w14:textId="77777777" w:rsidR="007269E8" w:rsidRDefault="00000000" w:rsidP="00BE1189">
            <w:pPr>
              <w:spacing w:before="100" w:beforeAutospacing="1" w:after="100" w:afterAutospacing="1"/>
            </w:pPr>
            <w:r>
              <w:rPr>
                <w:sz w:val="18"/>
                <w:szCs w:val="18"/>
              </w:rPr>
              <w:t xml:space="preserve">Norman &amp; Skinner (2006); </w:t>
            </w:r>
            <w:proofErr w:type="spellStart"/>
            <w:r>
              <w:rPr>
                <w:sz w:val="18"/>
                <w:szCs w:val="18"/>
              </w:rPr>
              <w:t>Svestkova</w:t>
            </w:r>
            <w:proofErr w:type="spellEnd"/>
            <w:r>
              <w:rPr>
                <w:sz w:val="18"/>
                <w:szCs w:val="18"/>
              </w:rPr>
              <w:t xml:space="preserve"> et al. (2025)</w:t>
            </w:r>
          </w:p>
        </w:tc>
      </w:tr>
      <w:tr w:rsidR="007269E8" w14:paraId="4F1A45A3" w14:textId="77777777">
        <w:tc>
          <w:tcPr>
            <w:tcW w:w="1542" w:type="dxa"/>
            <w:tcMar>
              <w:top w:w="60" w:type="dxa"/>
              <w:left w:w="90" w:type="dxa"/>
              <w:bottom w:w="60" w:type="dxa"/>
              <w:right w:w="90" w:type="dxa"/>
            </w:tcMar>
          </w:tcPr>
          <w:p w14:paraId="30F77ED3" w14:textId="77777777" w:rsidR="007269E8" w:rsidRDefault="00000000" w:rsidP="00BE1189">
            <w:pPr>
              <w:spacing w:before="100" w:beforeAutospacing="1" w:after="100" w:afterAutospacing="1"/>
            </w:pPr>
            <w:r>
              <w:rPr>
                <w:sz w:val="18"/>
                <w:szCs w:val="18"/>
              </w:rPr>
              <w:t>AI and algorithm literacy</w:t>
            </w:r>
          </w:p>
        </w:tc>
        <w:tc>
          <w:tcPr>
            <w:tcW w:w="2218" w:type="dxa"/>
            <w:tcMar>
              <w:top w:w="60" w:type="dxa"/>
              <w:left w:w="90" w:type="dxa"/>
              <w:bottom w:w="60" w:type="dxa"/>
              <w:right w:w="90" w:type="dxa"/>
            </w:tcMar>
          </w:tcPr>
          <w:p w14:paraId="21C92C70" w14:textId="77777777" w:rsidR="007269E8" w:rsidRDefault="00000000" w:rsidP="00BE1189">
            <w:pPr>
              <w:spacing w:before="100" w:beforeAutospacing="1" w:after="100" w:afterAutospacing="1"/>
            </w:pPr>
            <w:r>
              <w:rPr>
                <w:sz w:val="18"/>
                <w:szCs w:val="18"/>
              </w:rPr>
              <w:t>Understanding of how AI systems function, their limitations and their outputs</w:t>
            </w:r>
          </w:p>
        </w:tc>
        <w:tc>
          <w:tcPr>
            <w:tcW w:w="2128" w:type="dxa"/>
            <w:tcMar>
              <w:top w:w="60" w:type="dxa"/>
              <w:left w:w="90" w:type="dxa"/>
              <w:bottom w:w="60" w:type="dxa"/>
              <w:right w:w="90" w:type="dxa"/>
            </w:tcMar>
          </w:tcPr>
          <w:p w14:paraId="3DBA789D" w14:textId="77777777" w:rsidR="007269E8" w:rsidRDefault="00000000" w:rsidP="00BE1189">
            <w:pPr>
              <w:spacing w:before="100" w:beforeAutospacing="1" w:after="100" w:afterAutospacing="1"/>
            </w:pPr>
            <w:r>
              <w:rPr>
                <w:sz w:val="18"/>
                <w:szCs w:val="18"/>
              </w:rPr>
              <w:t>Heterogeneous self-report scales; occasionally brief informational interventions</w:t>
            </w:r>
          </w:p>
        </w:tc>
        <w:tc>
          <w:tcPr>
            <w:tcW w:w="2218" w:type="dxa"/>
            <w:tcMar>
              <w:top w:w="60" w:type="dxa"/>
              <w:left w:w="90" w:type="dxa"/>
              <w:bottom w:w="60" w:type="dxa"/>
              <w:right w:w="90" w:type="dxa"/>
            </w:tcMar>
          </w:tcPr>
          <w:p w14:paraId="35B1F428" w14:textId="77777777" w:rsidR="007269E8" w:rsidRDefault="00000000" w:rsidP="00BE1189">
            <w:pPr>
              <w:spacing w:before="100" w:beforeAutospacing="1" w:after="100" w:afterAutospacing="1"/>
            </w:pPr>
            <w:r>
              <w:rPr>
                <w:sz w:val="18"/>
                <w:szCs w:val="18"/>
              </w:rPr>
              <w:t>Overlaps with technology exposure; a brief literacy intervention did not change attitudes experimentally</w:t>
            </w:r>
          </w:p>
        </w:tc>
        <w:tc>
          <w:tcPr>
            <w:tcW w:w="1494" w:type="dxa"/>
            <w:tcMar>
              <w:top w:w="60" w:type="dxa"/>
              <w:left w:w="90" w:type="dxa"/>
              <w:bottom w:w="60" w:type="dxa"/>
              <w:right w:w="90" w:type="dxa"/>
            </w:tcMar>
          </w:tcPr>
          <w:p w14:paraId="06F06333" w14:textId="77777777" w:rsidR="007269E8" w:rsidRDefault="00000000" w:rsidP="00BE1189">
            <w:pPr>
              <w:spacing w:before="100" w:beforeAutospacing="1" w:after="100" w:afterAutospacing="1"/>
            </w:pPr>
            <w:r>
              <w:rPr>
                <w:sz w:val="18"/>
                <w:szCs w:val="18"/>
              </w:rPr>
              <w:t>Reinhardt et al. (2025); Z. Liu et al. (2025); Grub &amp; Naab (2026)</w:t>
            </w:r>
          </w:p>
        </w:tc>
      </w:tr>
    </w:tbl>
    <w:p w14:paraId="3DEE5B34" w14:textId="77777777" w:rsidR="007269E8" w:rsidRDefault="00000000" w:rsidP="00BE1189">
      <w:pPr>
        <w:spacing w:before="100" w:beforeAutospacing="1" w:after="100" w:afterAutospacing="1"/>
      </w:pPr>
      <w:r>
        <w:rPr>
          <w:i/>
          <w:iCs/>
          <w:sz w:val="19"/>
          <w:szCs w:val="19"/>
        </w:rPr>
        <w:t>Note. AI = artificial intelligence. Operationalisations listed are those most frequently encountered in the reviewed literature and are not exhaustive. "Calibration" denotes correspondence between confidence and actual accuracy of the specific output evaluated.</w:t>
      </w:r>
    </w:p>
    <w:p w14:paraId="7C2D9D53" w14:textId="77777777" w:rsidR="007269E8" w:rsidRDefault="00000000" w:rsidP="00BE1189">
      <w:pPr>
        <w:pStyle w:val="Heading1"/>
        <w:spacing w:before="100" w:beforeAutospacing="1" w:after="100" w:afterAutospacing="1"/>
      </w:pPr>
      <w:r>
        <w:rPr>
          <w:b/>
          <w:bCs/>
          <w:color w:val="000000"/>
          <w:sz w:val="26"/>
          <w:szCs w:val="26"/>
        </w:rPr>
        <w:t>4. Patterns and Determinants of Public Trust in AI-Generated Health Information</w:t>
      </w:r>
    </w:p>
    <w:p w14:paraId="7CF96545" w14:textId="77777777" w:rsidR="007269E8" w:rsidRDefault="00000000" w:rsidP="00BE1189">
      <w:pPr>
        <w:pStyle w:val="Heading2"/>
        <w:spacing w:before="100" w:beforeAutospacing="1" w:after="100" w:afterAutospacing="1"/>
      </w:pPr>
      <w:r>
        <w:rPr>
          <w:b/>
          <w:bCs/>
          <w:i/>
          <w:iCs/>
          <w:color w:val="000000"/>
          <w:sz w:val="24"/>
          <w:szCs w:val="24"/>
        </w:rPr>
        <w:t>4.1 Distribution of use, acceptance and trust</w:t>
      </w:r>
    </w:p>
    <w:p w14:paraId="06AF0C78" w14:textId="77777777" w:rsidR="007269E8" w:rsidRDefault="00000000" w:rsidP="00BE1189">
      <w:pPr>
        <w:spacing w:before="100" w:beforeAutospacing="1" w:after="100" w:afterAutospacing="1"/>
        <w:jc w:val="both"/>
      </w:pPr>
      <w:r>
        <w:t>Descriptive evidence indicates substantial and rising lay use with markedly conditional endorsement. Early survey work found that most respondents were willing to use a general-purpose chatbot for self-diagnosis, with performance expectancy and risk-reward appraisal accounting for a large share of the variance in that willingness (</w:t>
      </w:r>
      <w:proofErr w:type="spellStart"/>
      <w:r>
        <w:t>Shahsavar</w:t>
      </w:r>
      <w:proofErr w:type="spellEnd"/>
      <w:r>
        <w:t xml:space="preserve"> &amp; Choudhury, 2023). Among active users, trust predicted intention to use and, through intention, actual use (Choudhury &amp; </w:t>
      </w:r>
      <w:proofErr w:type="spellStart"/>
      <w:r>
        <w:t>Shamszare</w:t>
      </w:r>
      <w:proofErr w:type="spellEnd"/>
      <w:r>
        <w:t>, 2023). The scoping review by Bautista et al. (2025) confirmed that perceptions clustered around accuracy, readability, trustworthiness, privacy and usefulness, but included only twelve papers and could not characterise the distribution of trust in any population. Work modelling the antecedents of adoption among health care customers similarly places trust at the centre of the pathway from perceived attributes of generated content to intention to act upon it (Guo et al., 2025).</w:t>
      </w:r>
    </w:p>
    <w:p w14:paraId="047E0993" w14:textId="77777777" w:rsidR="007269E8" w:rsidRDefault="00000000" w:rsidP="00BE1189">
      <w:pPr>
        <w:spacing w:before="100" w:beforeAutospacing="1" w:after="100" w:afterAutospacing="1"/>
        <w:jc w:val="both"/>
      </w:pPr>
      <w:r>
        <w:t>Where representative sampling has been achieved, endorsement appears qualified rather than enthusiastic. The four-country European survey reported by Reinhardt et al. (2025) found trust strongly predictive of intention to use in every national sample, with path-level effects largely stable across contexts, which suggests that the trust-to-intention mechanism generalises even where trust levels differ. A scoping review of Italian evidence characterised the pattern as conditional acceptance combined with an optimism-knowledge gap, meaning that favourable attitudes coexist with limited understanding of what the systems do (</w:t>
      </w:r>
      <w:proofErr w:type="spellStart"/>
      <w:r>
        <w:t>Wiedermann</w:t>
      </w:r>
      <w:proofErr w:type="spellEnd"/>
      <w:r>
        <w:t xml:space="preserve"> et al., 2026). Comparative evidence is less favourable to generative systems than adoption figures imply: in a randomised factorial experiment with Texas adults, conventional link-based search received significantly higher ratings than a generative response paradigm across all technology acceptance constructs for colorectal cancer information seeking (Love et al., 2026). Familiarity with an established interface, rather than any property intrinsic to generated text, may account for a considerable part of this difference, and the finding cautions against inferring trust from usage statistics.</w:t>
      </w:r>
    </w:p>
    <w:p w14:paraId="724205CB" w14:textId="77777777" w:rsidR="007269E8" w:rsidRDefault="00000000" w:rsidP="00BE1189">
      <w:pPr>
        <w:pStyle w:val="Heading2"/>
        <w:spacing w:before="100" w:beforeAutospacing="1" w:after="100" w:afterAutospacing="1"/>
      </w:pPr>
      <w:r>
        <w:rPr>
          <w:b/>
          <w:bCs/>
          <w:i/>
          <w:iCs/>
          <w:color w:val="000000"/>
          <w:sz w:val="24"/>
          <w:szCs w:val="24"/>
        </w:rPr>
        <w:t>4.2 Individual-level determinants</w:t>
      </w:r>
    </w:p>
    <w:p w14:paraId="69E54231" w14:textId="77777777" w:rsidR="007269E8" w:rsidRDefault="00000000" w:rsidP="00BE1189">
      <w:pPr>
        <w:spacing w:before="100" w:beforeAutospacing="1" w:after="100" w:afterAutospacing="1"/>
        <w:jc w:val="both"/>
      </w:pPr>
      <w:r>
        <w:lastRenderedPageBreak/>
        <w:t>The most consistent individual-level predictors across studies are AI-specific capability beliefs and perceived usefulness rather than health-specific competence. In the four-country European analysis, AI literacy and performance expectancy consistently increased trust, while social norms and prior experience showed smaller and context-dependent effects, and health literacy, personal innovativeness, effort expectancy and surveillance risk perceptions were not significant predictors (Reinhardt et al., 2025). Informational risk perceptions exerted only a weak negative effect, indicating that concern about inaccuracy plays a minor role in shaping confidence. The Czech representative survey reached a compatible conclusion by a different route, finding that trust mediated the effects of health status and health anxiety on willingness to use, while eHealth literacy was only marginally related to trust and unrelated to willingness (</w:t>
      </w:r>
      <w:proofErr w:type="spellStart"/>
      <w:r>
        <w:t>Svestkova</w:t>
      </w:r>
      <w:proofErr w:type="spellEnd"/>
      <w:r>
        <w:t xml:space="preserve"> et al., 2025).</w:t>
      </w:r>
    </w:p>
    <w:p w14:paraId="1B293EF9" w14:textId="77777777" w:rsidR="007269E8" w:rsidRDefault="00000000" w:rsidP="00BE1189">
      <w:pPr>
        <w:spacing w:before="100" w:beforeAutospacing="1" w:after="100" w:afterAutospacing="1"/>
        <w:jc w:val="both"/>
      </w:pPr>
      <w:r>
        <w:t>Evidence pointing the other way exists but is drawn from less representative samples. A survey of registered nurses in one Chinese province found eHealth literacy positively predicting attitudes towards AI through technology trust and perceived value (Z. Chen et al., 2025), a design that establishes mediation rather than moderation and that samples a professionally trained population whose literacy distribution is unrepresentative. A partial least squares analysis of Chinese generative AI users found that perceived competence, convenience and anthropomorphism raised trust and subjective norms, with digital health literacy moderating the relationship between perceptions and seeking intention (Zhu &amp; Ding, 2026). Both studies used non-probability recruitment and self-reported measures throughout, and neither adjusted for the possibility that respondents with higher literacy scores are also more frequent users.</w:t>
      </w:r>
    </w:p>
    <w:p w14:paraId="1861A2E3" w14:textId="77777777" w:rsidR="007269E8" w:rsidRDefault="00000000" w:rsidP="00BE1189">
      <w:pPr>
        <w:spacing w:before="100" w:beforeAutospacing="1" w:after="100" w:afterAutospacing="1"/>
        <w:jc w:val="both"/>
      </w:pPr>
      <w:r>
        <w:t>Privacy concern and topic sensitivity interact with capability in ways that complicate any simple ordering. In a survey of nearly 1,500 Chinese respondents, privacy concerns reduced acceptance of chatbots as substitutes for physicians, particularly for sensitive issues, but AI literacy attenuated those concerns across all functional domains, and perceived health stigma increased acceptance of chatbots for sensitive matters (Z. Liu et al., 2025). The implication is that AI literacy does not simply raise or lower trust; it changes which considerations drive it. Where stigma is salient, the anonymity of a machine interlocutor becomes an asset, and the same user may extend more trust to a chatbot than to a clinician for one topic and less for another.</w:t>
      </w:r>
    </w:p>
    <w:p w14:paraId="74B29C6D" w14:textId="77777777" w:rsidR="007269E8" w:rsidRDefault="00000000" w:rsidP="00BE1189">
      <w:pPr>
        <w:spacing w:before="100" w:beforeAutospacing="1" w:after="100" w:afterAutospacing="1"/>
        <w:jc w:val="both"/>
      </w:pPr>
      <w:r>
        <w:t>Findings on age, education and media use are inconsistent and often incidental to the primary analysis. A two-phase Chinese study of online health videos found that participants rated older presenting doctors as most credible in both AI-narrated and human-narrated conditions, with intensity of social media use negatively associated with that age-based preference (T. Liu et al., 2025). The heuristics governing credibility judgement appear to survive the substitution of a synthetic presenter, which is theoretically important: users may not be evaluating the machine at all, but rather the persona it presents.</w:t>
      </w:r>
    </w:p>
    <w:p w14:paraId="03280A1F" w14:textId="77777777" w:rsidR="007269E8" w:rsidRDefault="00000000" w:rsidP="00BE1189">
      <w:pPr>
        <w:pStyle w:val="Heading2"/>
        <w:spacing w:before="100" w:beforeAutospacing="1" w:after="100" w:afterAutospacing="1"/>
      </w:pPr>
      <w:r>
        <w:rPr>
          <w:b/>
          <w:bCs/>
          <w:i/>
          <w:iCs/>
          <w:color w:val="000000"/>
          <w:sz w:val="24"/>
          <w:szCs w:val="24"/>
        </w:rPr>
        <w:t>4.3 Contextual and topic-level determinants</w:t>
      </w:r>
    </w:p>
    <w:p w14:paraId="3218F8F1" w14:textId="77777777" w:rsidR="007269E8" w:rsidRDefault="00000000" w:rsidP="00BE1189">
      <w:pPr>
        <w:spacing w:before="100" w:beforeAutospacing="1" w:after="100" w:afterAutospacing="1"/>
        <w:jc w:val="both"/>
      </w:pPr>
      <w:r>
        <w:t xml:space="preserve">Task complexity and perceived stakes moderate trust reliably. In a survey study in which a representative United States sample attempted to distinguish provider-written from chatbot-written responses, correct classification varied widely by question, and trust in chatbot functions declined as the complexity of the health-related task increased (Nov et al., 2023). Participants were willing to accept generated content for logistical and informational questions and progressively less willing as the task approached diagnosis and treatment. This gradient is one of the more replicable findings in the field. It is consistent with evidence that resistance to medical artificial intelligence is driven by a belief in personal uniqueness, such that people regard automated judgement as unable to accommodate their particular circumstances (Longoni et al., 2019), and it qualifies the finding that lay people otherwise tend to weight algorithmic advice more heavily than human advice on ordinary estimation tasks (Logg et al., 2019). The pattern is better characterised as a preference for human </w:t>
      </w:r>
      <w:r>
        <w:lastRenderedPageBreak/>
        <w:t>involvement in domains where humans are seen as uniquely qualified than as generalised aversion to algorithms (</w:t>
      </w:r>
      <w:proofErr w:type="spellStart"/>
      <w:r>
        <w:t>Morewedge</w:t>
      </w:r>
      <w:proofErr w:type="spellEnd"/>
      <w:r>
        <w:t>, 2022).</w:t>
      </w:r>
    </w:p>
    <w:p w14:paraId="0312F971" w14:textId="77777777" w:rsidR="007269E8" w:rsidRDefault="00000000" w:rsidP="00BE1189">
      <w:pPr>
        <w:spacing w:before="100" w:beforeAutospacing="1" w:after="100" w:afterAutospacing="1"/>
        <w:jc w:val="both"/>
      </w:pPr>
      <w:r>
        <w:t>Mental health is a distinctive case. An online experiment comparing human advisors with chatbots in mental health applications found human advisors rated more favourably on likeability, credibility and social competence, and, notably, that brief informational interventions designed to increase algorithm literacy did not alter those preferences (Grub &amp; Naab, 2026). The failure of a literacy manipulation to shift attitudes is a rare experimental test of an assumption that pervades the observational literature, and it should temper enthusiasm for literacy-based policy responses.</w:t>
      </w:r>
    </w:p>
    <w:p w14:paraId="09F81DE6" w14:textId="77777777" w:rsidR="007269E8" w:rsidRDefault="00000000" w:rsidP="00BE1189">
      <w:pPr>
        <w:pStyle w:val="Heading2"/>
        <w:spacing w:before="100" w:beforeAutospacing="1" w:after="100" w:afterAutospacing="1"/>
      </w:pPr>
      <w:r>
        <w:rPr>
          <w:b/>
          <w:bCs/>
          <w:i/>
          <w:iCs/>
          <w:color w:val="000000"/>
          <w:sz w:val="24"/>
          <w:szCs w:val="24"/>
        </w:rPr>
        <w:t xml:space="preserve">4.4 Critical appraisal of the </w:t>
      </w:r>
      <w:proofErr w:type="gramStart"/>
      <w:r>
        <w:rPr>
          <w:b/>
          <w:bCs/>
          <w:i/>
          <w:iCs/>
          <w:color w:val="000000"/>
          <w:sz w:val="24"/>
          <w:szCs w:val="24"/>
        </w:rPr>
        <w:t>determinants</w:t>
      </w:r>
      <w:proofErr w:type="gramEnd"/>
      <w:r>
        <w:rPr>
          <w:b/>
          <w:bCs/>
          <w:i/>
          <w:iCs/>
          <w:color w:val="000000"/>
          <w:sz w:val="24"/>
          <w:szCs w:val="24"/>
        </w:rPr>
        <w:t xml:space="preserve"> literature</w:t>
      </w:r>
    </w:p>
    <w:p w14:paraId="0E9FBCBA" w14:textId="77777777" w:rsidR="007269E8" w:rsidRDefault="00000000" w:rsidP="00BE1189">
      <w:pPr>
        <w:spacing w:before="100" w:beforeAutospacing="1" w:after="100" w:afterAutospacing="1"/>
        <w:jc w:val="both"/>
      </w:pPr>
      <w:r>
        <w:t>Four weaknesses recur. First, the design distribution is heavily skewed towards cross-sectional surveys analysed with structural equation modelling, in which all constructs are measured by self-report at a single time point. Common method variance is rarely addressed beyond a single-factor test, and the directionality implied by path diagrams is not established by the data. Second, trust is measured inconsistently; some studies use multi-item scales adapted from technology acceptance research, others use single global items, and almost none distinguish trust in the technology from trust in the deploying organisation or from trust in the specific answer received. Third, outcome measures are almost invariably intentions rather than behaviour. The exception, in which higher AI trust was associated with increased odds of self-reported care delay, reported a small effect and relied on simulation for its intervention estimates (Cai et al., 2026). Fourth, geographical concentration is severe, with the great majority of studies conducted in China, the United States and Western Europe, and near-absence of evidence from low- and middle-income settings where the informational gap generative systems purport to fill is largest.</w:t>
      </w:r>
    </w:p>
    <w:p w14:paraId="2117F092" w14:textId="77777777" w:rsidR="007269E8" w:rsidRDefault="00000000" w:rsidP="00BE1189">
      <w:pPr>
        <w:spacing w:before="100" w:beforeAutospacing="1" w:after="100" w:afterAutospacing="1"/>
        <w:jc w:val="both"/>
      </w:pPr>
      <w:r>
        <w:t>The table below summarises representative studies of the determinants of trust, with attention to design, population and the principal limitation constraining interpretation. It is presented to make the pattern of evidence transparent rather than to imply that the listed studies are the only relevant ones, and it demonstrates the reliance of this literature on non-probability samples and intention-based outcomes.</w:t>
      </w:r>
    </w:p>
    <w:p w14:paraId="2E74E6CC" w14:textId="77777777" w:rsidR="007269E8" w:rsidRDefault="00000000" w:rsidP="00BE1189">
      <w:pPr>
        <w:spacing w:before="100" w:beforeAutospacing="1" w:after="100" w:afterAutospacing="1"/>
      </w:pPr>
      <w:r>
        <w:rPr>
          <w:b/>
          <w:bCs/>
          <w:sz w:val="21"/>
          <w:szCs w:val="21"/>
        </w:rPr>
        <w:t>Table 2. Representative evidence on determinants of public trust in AI-generated health information</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528"/>
        <w:gridCol w:w="2094"/>
        <w:gridCol w:w="2618"/>
        <w:gridCol w:w="1920"/>
        <w:gridCol w:w="1440"/>
      </w:tblGrid>
      <w:tr w:rsidR="007269E8" w14:paraId="14B507E8" w14:textId="77777777">
        <w:trPr>
          <w:tblHeader/>
        </w:trPr>
        <w:tc>
          <w:tcPr>
            <w:tcW w:w="1528" w:type="dxa"/>
            <w:shd w:val="clear" w:color="auto" w:fill="E8E8E8"/>
            <w:tcMar>
              <w:top w:w="60" w:type="dxa"/>
              <w:left w:w="90" w:type="dxa"/>
              <w:bottom w:w="60" w:type="dxa"/>
              <w:right w:w="90" w:type="dxa"/>
            </w:tcMar>
          </w:tcPr>
          <w:p w14:paraId="55C6E275" w14:textId="77777777" w:rsidR="007269E8" w:rsidRDefault="00000000" w:rsidP="00BE1189">
            <w:pPr>
              <w:spacing w:before="100" w:beforeAutospacing="1" w:after="100" w:afterAutospacing="1"/>
            </w:pPr>
            <w:r>
              <w:rPr>
                <w:b/>
                <w:bCs/>
                <w:sz w:val="18"/>
                <w:szCs w:val="18"/>
              </w:rPr>
              <w:t>Study focus</w:t>
            </w:r>
          </w:p>
        </w:tc>
        <w:tc>
          <w:tcPr>
            <w:tcW w:w="2094" w:type="dxa"/>
            <w:shd w:val="clear" w:color="auto" w:fill="E8E8E8"/>
            <w:tcMar>
              <w:top w:w="60" w:type="dxa"/>
              <w:left w:w="90" w:type="dxa"/>
              <w:bottom w:w="60" w:type="dxa"/>
              <w:right w:w="90" w:type="dxa"/>
            </w:tcMar>
          </w:tcPr>
          <w:p w14:paraId="49EA897E" w14:textId="77777777" w:rsidR="007269E8" w:rsidRDefault="00000000" w:rsidP="00BE1189">
            <w:pPr>
              <w:spacing w:before="100" w:beforeAutospacing="1" w:after="100" w:afterAutospacing="1"/>
            </w:pPr>
            <w:r>
              <w:rPr>
                <w:b/>
                <w:bCs/>
                <w:sz w:val="18"/>
                <w:szCs w:val="18"/>
              </w:rPr>
              <w:t>Design and sample</w:t>
            </w:r>
          </w:p>
        </w:tc>
        <w:tc>
          <w:tcPr>
            <w:tcW w:w="2618" w:type="dxa"/>
            <w:shd w:val="clear" w:color="auto" w:fill="E8E8E8"/>
            <w:tcMar>
              <w:top w:w="60" w:type="dxa"/>
              <w:left w:w="90" w:type="dxa"/>
              <w:bottom w:w="60" w:type="dxa"/>
              <w:right w:w="90" w:type="dxa"/>
            </w:tcMar>
          </w:tcPr>
          <w:p w14:paraId="45A986FB" w14:textId="77777777" w:rsidR="007269E8" w:rsidRDefault="00000000" w:rsidP="00BE1189">
            <w:pPr>
              <w:spacing w:before="100" w:beforeAutospacing="1" w:after="100" w:afterAutospacing="1"/>
            </w:pPr>
            <w:r>
              <w:rPr>
                <w:b/>
                <w:bCs/>
                <w:sz w:val="18"/>
                <w:szCs w:val="18"/>
              </w:rPr>
              <w:t>Key finding relating to trust</w:t>
            </w:r>
          </w:p>
        </w:tc>
        <w:tc>
          <w:tcPr>
            <w:tcW w:w="1920" w:type="dxa"/>
            <w:shd w:val="clear" w:color="auto" w:fill="E8E8E8"/>
            <w:tcMar>
              <w:top w:w="60" w:type="dxa"/>
              <w:left w:w="90" w:type="dxa"/>
              <w:bottom w:w="60" w:type="dxa"/>
              <w:right w:w="90" w:type="dxa"/>
            </w:tcMar>
          </w:tcPr>
          <w:p w14:paraId="13AC2DB8" w14:textId="77777777" w:rsidR="007269E8" w:rsidRDefault="00000000" w:rsidP="00BE1189">
            <w:pPr>
              <w:spacing w:before="100" w:beforeAutospacing="1" w:after="100" w:afterAutospacing="1"/>
            </w:pPr>
            <w:r>
              <w:rPr>
                <w:b/>
                <w:bCs/>
                <w:sz w:val="18"/>
                <w:szCs w:val="18"/>
              </w:rPr>
              <w:t>Principal limitation</w:t>
            </w:r>
          </w:p>
        </w:tc>
        <w:tc>
          <w:tcPr>
            <w:tcW w:w="1440" w:type="dxa"/>
            <w:shd w:val="clear" w:color="auto" w:fill="E8E8E8"/>
            <w:tcMar>
              <w:top w:w="60" w:type="dxa"/>
              <w:left w:w="90" w:type="dxa"/>
              <w:bottom w:w="60" w:type="dxa"/>
              <w:right w:w="90" w:type="dxa"/>
            </w:tcMar>
          </w:tcPr>
          <w:p w14:paraId="4F6299D9" w14:textId="77777777" w:rsidR="007269E8" w:rsidRDefault="00000000" w:rsidP="00BE1189">
            <w:pPr>
              <w:spacing w:before="100" w:beforeAutospacing="1" w:after="100" w:afterAutospacing="1"/>
            </w:pPr>
            <w:r>
              <w:rPr>
                <w:b/>
                <w:bCs/>
                <w:sz w:val="18"/>
                <w:szCs w:val="18"/>
              </w:rPr>
              <w:t>Supporting references</w:t>
            </w:r>
          </w:p>
        </w:tc>
      </w:tr>
      <w:tr w:rsidR="007269E8" w14:paraId="330B4DB1" w14:textId="77777777">
        <w:tc>
          <w:tcPr>
            <w:tcW w:w="1528" w:type="dxa"/>
            <w:tcMar>
              <w:top w:w="60" w:type="dxa"/>
              <w:left w:w="90" w:type="dxa"/>
              <w:bottom w:w="60" w:type="dxa"/>
              <w:right w:w="90" w:type="dxa"/>
            </w:tcMar>
          </w:tcPr>
          <w:p w14:paraId="7FFCFC3C" w14:textId="77777777" w:rsidR="007269E8" w:rsidRDefault="00000000" w:rsidP="00BE1189">
            <w:pPr>
              <w:spacing w:before="100" w:beforeAutospacing="1" w:after="100" w:afterAutospacing="1"/>
            </w:pPr>
            <w:r>
              <w:rPr>
                <w:sz w:val="18"/>
                <w:szCs w:val="18"/>
              </w:rPr>
              <w:t>Self-diagnosis intentions</w:t>
            </w:r>
          </w:p>
        </w:tc>
        <w:tc>
          <w:tcPr>
            <w:tcW w:w="2094" w:type="dxa"/>
            <w:tcMar>
              <w:top w:w="60" w:type="dxa"/>
              <w:left w:w="90" w:type="dxa"/>
              <w:bottom w:w="60" w:type="dxa"/>
              <w:right w:w="90" w:type="dxa"/>
            </w:tcMar>
          </w:tcPr>
          <w:p w14:paraId="27658967" w14:textId="77777777" w:rsidR="007269E8" w:rsidRDefault="00000000" w:rsidP="00BE1189">
            <w:pPr>
              <w:spacing w:before="100" w:beforeAutospacing="1" w:after="100" w:afterAutospacing="1"/>
            </w:pPr>
            <w:r>
              <w:rPr>
                <w:sz w:val="18"/>
                <w:szCs w:val="18"/>
              </w:rPr>
              <w:t>Cross-sectional survey, PLS-SEM, 607 adults</w:t>
            </w:r>
          </w:p>
        </w:tc>
        <w:tc>
          <w:tcPr>
            <w:tcW w:w="2618" w:type="dxa"/>
            <w:tcMar>
              <w:top w:w="60" w:type="dxa"/>
              <w:left w:w="90" w:type="dxa"/>
              <w:bottom w:w="60" w:type="dxa"/>
              <w:right w:w="90" w:type="dxa"/>
            </w:tcMar>
          </w:tcPr>
          <w:p w14:paraId="7D54F4C7" w14:textId="77777777" w:rsidR="007269E8" w:rsidRDefault="00000000" w:rsidP="00BE1189">
            <w:pPr>
              <w:spacing w:before="100" w:beforeAutospacing="1" w:after="100" w:afterAutospacing="1"/>
            </w:pPr>
            <w:r>
              <w:rPr>
                <w:sz w:val="18"/>
                <w:szCs w:val="18"/>
              </w:rPr>
              <w:t>Most respondents were willing to use a general-purpose chatbot for self-diagnosis; performance expectancy and risk-reward appraisal predicted intention</w:t>
            </w:r>
          </w:p>
        </w:tc>
        <w:tc>
          <w:tcPr>
            <w:tcW w:w="1920" w:type="dxa"/>
            <w:tcMar>
              <w:top w:w="60" w:type="dxa"/>
              <w:left w:w="90" w:type="dxa"/>
              <w:bottom w:w="60" w:type="dxa"/>
              <w:right w:w="90" w:type="dxa"/>
            </w:tcMar>
          </w:tcPr>
          <w:p w14:paraId="3F3F779F" w14:textId="77777777" w:rsidR="007269E8" w:rsidRDefault="00000000" w:rsidP="00BE1189">
            <w:pPr>
              <w:spacing w:before="100" w:beforeAutospacing="1" w:after="100" w:afterAutospacing="1"/>
            </w:pPr>
            <w:r>
              <w:rPr>
                <w:sz w:val="18"/>
                <w:szCs w:val="18"/>
              </w:rPr>
              <w:t>Non-probability sample; intention outcome only</w:t>
            </w:r>
          </w:p>
        </w:tc>
        <w:tc>
          <w:tcPr>
            <w:tcW w:w="1440" w:type="dxa"/>
            <w:tcMar>
              <w:top w:w="60" w:type="dxa"/>
              <w:left w:w="90" w:type="dxa"/>
              <w:bottom w:w="60" w:type="dxa"/>
              <w:right w:w="90" w:type="dxa"/>
            </w:tcMar>
          </w:tcPr>
          <w:p w14:paraId="00DCD606" w14:textId="77777777" w:rsidR="007269E8" w:rsidRDefault="00000000" w:rsidP="00BE1189">
            <w:pPr>
              <w:spacing w:before="100" w:beforeAutospacing="1" w:after="100" w:afterAutospacing="1"/>
            </w:pPr>
            <w:proofErr w:type="spellStart"/>
            <w:r>
              <w:rPr>
                <w:sz w:val="18"/>
                <w:szCs w:val="18"/>
              </w:rPr>
              <w:t>Shahsavar</w:t>
            </w:r>
            <w:proofErr w:type="spellEnd"/>
            <w:r>
              <w:rPr>
                <w:sz w:val="18"/>
                <w:szCs w:val="18"/>
              </w:rPr>
              <w:t xml:space="preserve"> &amp; Choudhury (2023)</w:t>
            </w:r>
          </w:p>
        </w:tc>
      </w:tr>
      <w:tr w:rsidR="007269E8" w14:paraId="0F723E27" w14:textId="77777777">
        <w:tc>
          <w:tcPr>
            <w:tcW w:w="1528" w:type="dxa"/>
            <w:tcMar>
              <w:top w:w="60" w:type="dxa"/>
              <w:left w:w="90" w:type="dxa"/>
              <w:bottom w:w="60" w:type="dxa"/>
              <w:right w:w="90" w:type="dxa"/>
            </w:tcMar>
          </w:tcPr>
          <w:p w14:paraId="53B04AE7" w14:textId="77777777" w:rsidR="007269E8" w:rsidRDefault="00000000" w:rsidP="00BE1189">
            <w:pPr>
              <w:spacing w:before="100" w:beforeAutospacing="1" w:after="100" w:afterAutospacing="1"/>
            </w:pPr>
            <w:r>
              <w:rPr>
                <w:sz w:val="18"/>
                <w:szCs w:val="18"/>
              </w:rPr>
              <w:t>Trust and actual use</w:t>
            </w:r>
          </w:p>
        </w:tc>
        <w:tc>
          <w:tcPr>
            <w:tcW w:w="2094" w:type="dxa"/>
            <w:tcMar>
              <w:top w:w="60" w:type="dxa"/>
              <w:left w:w="90" w:type="dxa"/>
              <w:bottom w:w="60" w:type="dxa"/>
              <w:right w:w="90" w:type="dxa"/>
            </w:tcMar>
          </w:tcPr>
          <w:p w14:paraId="2D366FD3" w14:textId="77777777" w:rsidR="007269E8" w:rsidRDefault="00000000" w:rsidP="00BE1189">
            <w:pPr>
              <w:spacing w:before="100" w:beforeAutospacing="1" w:after="100" w:afterAutospacing="1"/>
            </w:pPr>
            <w:r>
              <w:rPr>
                <w:sz w:val="18"/>
                <w:szCs w:val="18"/>
              </w:rPr>
              <w:t>Cross-sectional survey of active users, PLS-SEM, 607 adults</w:t>
            </w:r>
          </w:p>
        </w:tc>
        <w:tc>
          <w:tcPr>
            <w:tcW w:w="2618" w:type="dxa"/>
            <w:tcMar>
              <w:top w:w="60" w:type="dxa"/>
              <w:left w:w="90" w:type="dxa"/>
              <w:bottom w:w="60" w:type="dxa"/>
              <w:right w:w="90" w:type="dxa"/>
            </w:tcMar>
          </w:tcPr>
          <w:p w14:paraId="1C6CC307" w14:textId="77777777" w:rsidR="007269E8" w:rsidRDefault="00000000" w:rsidP="00BE1189">
            <w:pPr>
              <w:spacing w:before="100" w:beforeAutospacing="1" w:after="100" w:afterAutospacing="1"/>
            </w:pPr>
            <w:r>
              <w:rPr>
                <w:sz w:val="18"/>
                <w:szCs w:val="18"/>
              </w:rPr>
              <w:t>Trust predicted intention to use, and intention partially mediated the relationship between trust and self-reported actual use</w:t>
            </w:r>
          </w:p>
        </w:tc>
        <w:tc>
          <w:tcPr>
            <w:tcW w:w="1920" w:type="dxa"/>
            <w:tcMar>
              <w:top w:w="60" w:type="dxa"/>
              <w:left w:w="90" w:type="dxa"/>
              <w:bottom w:w="60" w:type="dxa"/>
              <w:right w:w="90" w:type="dxa"/>
            </w:tcMar>
          </w:tcPr>
          <w:p w14:paraId="1382A110" w14:textId="77777777" w:rsidR="007269E8" w:rsidRDefault="00000000" w:rsidP="00BE1189">
            <w:pPr>
              <w:spacing w:before="100" w:beforeAutospacing="1" w:after="100" w:afterAutospacing="1"/>
            </w:pPr>
            <w:r>
              <w:rPr>
                <w:sz w:val="18"/>
                <w:szCs w:val="18"/>
              </w:rPr>
              <w:t>Self-reported use; single time point; common method variance</w:t>
            </w:r>
          </w:p>
        </w:tc>
        <w:tc>
          <w:tcPr>
            <w:tcW w:w="1440" w:type="dxa"/>
            <w:tcMar>
              <w:top w:w="60" w:type="dxa"/>
              <w:left w:w="90" w:type="dxa"/>
              <w:bottom w:w="60" w:type="dxa"/>
              <w:right w:w="90" w:type="dxa"/>
            </w:tcMar>
          </w:tcPr>
          <w:p w14:paraId="15699B29" w14:textId="77777777" w:rsidR="007269E8" w:rsidRDefault="00000000" w:rsidP="00BE1189">
            <w:pPr>
              <w:spacing w:before="100" w:beforeAutospacing="1" w:after="100" w:afterAutospacing="1"/>
            </w:pPr>
            <w:r>
              <w:rPr>
                <w:sz w:val="18"/>
                <w:szCs w:val="18"/>
              </w:rPr>
              <w:t xml:space="preserve">Choudhury &amp; </w:t>
            </w:r>
            <w:proofErr w:type="spellStart"/>
            <w:r>
              <w:rPr>
                <w:sz w:val="18"/>
                <w:szCs w:val="18"/>
              </w:rPr>
              <w:t>Shamszare</w:t>
            </w:r>
            <w:proofErr w:type="spellEnd"/>
            <w:r>
              <w:rPr>
                <w:sz w:val="18"/>
                <w:szCs w:val="18"/>
              </w:rPr>
              <w:t xml:space="preserve"> (2023)</w:t>
            </w:r>
          </w:p>
        </w:tc>
      </w:tr>
      <w:tr w:rsidR="007269E8" w14:paraId="3EF53F7A" w14:textId="77777777">
        <w:tc>
          <w:tcPr>
            <w:tcW w:w="1528" w:type="dxa"/>
            <w:tcMar>
              <w:top w:w="60" w:type="dxa"/>
              <w:left w:w="90" w:type="dxa"/>
              <w:bottom w:w="60" w:type="dxa"/>
              <w:right w:w="90" w:type="dxa"/>
            </w:tcMar>
          </w:tcPr>
          <w:p w14:paraId="2CC711DF" w14:textId="77777777" w:rsidR="007269E8" w:rsidRDefault="00000000" w:rsidP="00BE1189">
            <w:pPr>
              <w:spacing w:before="100" w:beforeAutospacing="1" w:after="100" w:afterAutospacing="1"/>
            </w:pPr>
            <w:r>
              <w:rPr>
                <w:sz w:val="18"/>
                <w:szCs w:val="18"/>
              </w:rPr>
              <w:t>Usefulness, trust and risk</w:t>
            </w:r>
          </w:p>
        </w:tc>
        <w:tc>
          <w:tcPr>
            <w:tcW w:w="2094" w:type="dxa"/>
            <w:tcMar>
              <w:top w:w="60" w:type="dxa"/>
              <w:left w:w="90" w:type="dxa"/>
              <w:bottom w:w="60" w:type="dxa"/>
              <w:right w:w="90" w:type="dxa"/>
            </w:tcMar>
          </w:tcPr>
          <w:p w14:paraId="6C055839" w14:textId="77777777" w:rsidR="007269E8" w:rsidRDefault="00000000" w:rsidP="00BE1189">
            <w:pPr>
              <w:spacing w:before="100" w:beforeAutospacing="1" w:after="100" w:afterAutospacing="1"/>
            </w:pPr>
            <w:r>
              <w:rPr>
                <w:sz w:val="18"/>
                <w:szCs w:val="18"/>
              </w:rPr>
              <w:t>Online survey of 659 students with prior chatbot experience</w:t>
            </w:r>
          </w:p>
        </w:tc>
        <w:tc>
          <w:tcPr>
            <w:tcW w:w="2618" w:type="dxa"/>
            <w:tcMar>
              <w:top w:w="60" w:type="dxa"/>
              <w:left w:w="90" w:type="dxa"/>
              <w:bottom w:w="60" w:type="dxa"/>
              <w:right w:w="90" w:type="dxa"/>
            </w:tcMar>
          </w:tcPr>
          <w:p w14:paraId="24167619" w14:textId="77777777" w:rsidR="007269E8" w:rsidRDefault="00000000" w:rsidP="00BE1189">
            <w:pPr>
              <w:spacing w:before="100" w:beforeAutospacing="1" w:after="100" w:afterAutospacing="1"/>
            </w:pPr>
            <w:r>
              <w:rPr>
                <w:sz w:val="18"/>
                <w:szCs w:val="18"/>
              </w:rPr>
              <w:t>General trust was decisive for adoption among those with health care training; novelty and usefulness mattered more for others</w:t>
            </w:r>
          </w:p>
        </w:tc>
        <w:tc>
          <w:tcPr>
            <w:tcW w:w="1920" w:type="dxa"/>
            <w:tcMar>
              <w:top w:w="60" w:type="dxa"/>
              <w:left w:w="90" w:type="dxa"/>
              <w:bottom w:w="60" w:type="dxa"/>
              <w:right w:w="90" w:type="dxa"/>
            </w:tcMar>
          </w:tcPr>
          <w:p w14:paraId="0CBD6C6F" w14:textId="77777777" w:rsidR="007269E8" w:rsidRDefault="00000000" w:rsidP="00BE1189">
            <w:pPr>
              <w:spacing w:before="100" w:beforeAutospacing="1" w:after="100" w:afterAutospacing="1"/>
            </w:pPr>
            <w:r>
              <w:rPr>
                <w:sz w:val="18"/>
                <w:szCs w:val="18"/>
              </w:rPr>
              <w:t>Student sample; limited generalisability to general public</w:t>
            </w:r>
          </w:p>
        </w:tc>
        <w:tc>
          <w:tcPr>
            <w:tcW w:w="1440" w:type="dxa"/>
            <w:tcMar>
              <w:top w:w="60" w:type="dxa"/>
              <w:left w:w="90" w:type="dxa"/>
              <w:bottom w:w="60" w:type="dxa"/>
              <w:right w:w="90" w:type="dxa"/>
            </w:tcMar>
          </w:tcPr>
          <w:p w14:paraId="59F59F83" w14:textId="77777777" w:rsidR="007269E8" w:rsidRDefault="00000000" w:rsidP="00BE1189">
            <w:pPr>
              <w:spacing w:before="100" w:beforeAutospacing="1" w:after="100" w:afterAutospacing="1"/>
            </w:pPr>
            <w:r>
              <w:rPr>
                <w:sz w:val="18"/>
                <w:szCs w:val="18"/>
              </w:rPr>
              <w:t>S. Y. Chen et al. (2024)</w:t>
            </w:r>
          </w:p>
        </w:tc>
      </w:tr>
      <w:tr w:rsidR="007269E8" w14:paraId="66CAE305" w14:textId="77777777">
        <w:tc>
          <w:tcPr>
            <w:tcW w:w="1528" w:type="dxa"/>
            <w:tcMar>
              <w:top w:w="60" w:type="dxa"/>
              <w:left w:w="90" w:type="dxa"/>
              <w:bottom w:w="60" w:type="dxa"/>
              <w:right w:w="90" w:type="dxa"/>
            </w:tcMar>
          </w:tcPr>
          <w:p w14:paraId="619111D2" w14:textId="77777777" w:rsidR="007269E8" w:rsidRDefault="00000000" w:rsidP="00BE1189">
            <w:pPr>
              <w:spacing w:before="100" w:beforeAutospacing="1" w:after="100" w:afterAutospacing="1"/>
            </w:pPr>
            <w:r>
              <w:rPr>
                <w:sz w:val="18"/>
                <w:szCs w:val="18"/>
              </w:rPr>
              <w:t>Cross-national determinants</w:t>
            </w:r>
          </w:p>
        </w:tc>
        <w:tc>
          <w:tcPr>
            <w:tcW w:w="2094" w:type="dxa"/>
            <w:tcMar>
              <w:top w:w="60" w:type="dxa"/>
              <w:left w:w="90" w:type="dxa"/>
              <w:bottom w:w="60" w:type="dxa"/>
              <w:right w:w="90" w:type="dxa"/>
            </w:tcMar>
          </w:tcPr>
          <w:p w14:paraId="156591B7" w14:textId="77777777" w:rsidR="007269E8" w:rsidRDefault="00000000" w:rsidP="00BE1189">
            <w:pPr>
              <w:spacing w:before="100" w:beforeAutospacing="1" w:after="100" w:afterAutospacing="1"/>
            </w:pPr>
            <w:r>
              <w:rPr>
                <w:sz w:val="18"/>
                <w:szCs w:val="18"/>
              </w:rPr>
              <w:t>Multi-group SEM, nationally representative samples in four European countries</w:t>
            </w:r>
          </w:p>
        </w:tc>
        <w:tc>
          <w:tcPr>
            <w:tcW w:w="2618" w:type="dxa"/>
            <w:tcMar>
              <w:top w:w="60" w:type="dxa"/>
              <w:left w:w="90" w:type="dxa"/>
              <w:bottom w:w="60" w:type="dxa"/>
              <w:right w:w="90" w:type="dxa"/>
            </w:tcMar>
          </w:tcPr>
          <w:p w14:paraId="7493C696" w14:textId="77777777" w:rsidR="007269E8" w:rsidRDefault="00000000" w:rsidP="00BE1189">
            <w:pPr>
              <w:spacing w:before="100" w:beforeAutospacing="1" w:after="100" w:afterAutospacing="1"/>
            </w:pPr>
            <w:r>
              <w:rPr>
                <w:sz w:val="18"/>
                <w:szCs w:val="18"/>
              </w:rPr>
              <w:t>AI literacy and performance expectancy consistently increased trust; health literacy was not significant in any country</w:t>
            </w:r>
          </w:p>
        </w:tc>
        <w:tc>
          <w:tcPr>
            <w:tcW w:w="1920" w:type="dxa"/>
            <w:tcMar>
              <w:top w:w="60" w:type="dxa"/>
              <w:left w:w="90" w:type="dxa"/>
              <w:bottom w:w="60" w:type="dxa"/>
              <w:right w:w="90" w:type="dxa"/>
            </w:tcMar>
          </w:tcPr>
          <w:p w14:paraId="64364FAB" w14:textId="77777777" w:rsidR="007269E8" w:rsidRDefault="00000000" w:rsidP="00BE1189">
            <w:pPr>
              <w:spacing w:before="100" w:beforeAutospacing="1" w:after="100" w:afterAutospacing="1"/>
            </w:pPr>
            <w:r>
              <w:rPr>
                <w:sz w:val="18"/>
                <w:szCs w:val="18"/>
              </w:rPr>
              <w:t>Cross-sectional; self-reported literacy measures</w:t>
            </w:r>
          </w:p>
        </w:tc>
        <w:tc>
          <w:tcPr>
            <w:tcW w:w="1440" w:type="dxa"/>
            <w:tcMar>
              <w:top w:w="60" w:type="dxa"/>
              <w:left w:w="90" w:type="dxa"/>
              <w:bottom w:w="60" w:type="dxa"/>
              <w:right w:w="90" w:type="dxa"/>
            </w:tcMar>
          </w:tcPr>
          <w:p w14:paraId="129B319C" w14:textId="77777777" w:rsidR="007269E8" w:rsidRDefault="00000000" w:rsidP="00BE1189">
            <w:pPr>
              <w:spacing w:before="100" w:beforeAutospacing="1" w:after="100" w:afterAutospacing="1"/>
            </w:pPr>
            <w:r>
              <w:rPr>
                <w:sz w:val="18"/>
                <w:szCs w:val="18"/>
              </w:rPr>
              <w:t>Reinhardt et al. (2025)</w:t>
            </w:r>
          </w:p>
        </w:tc>
      </w:tr>
      <w:tr w:rsidR="007269E8" w14:paraId="5256A8D1" w14:textId="77777777">
        <w:tc>
          <w:tcPr>
            <w:tcW w:w="1528" w:type="dxa"/>
            <w:tcMar>
              <w:top w:w="60" w:type="dxa"/>
              <w:left w:w="90" w:type="dxa"/>
              <w:bottom w:w="60" w:type="dxa"/>
              <w:right w:w="90" w:type="dxa"/>
            </w:tcMar>
          </w:tcPr>
          <w:p w14:paraId="10741D3F" w14:textId="77777777" w:rsidR="007269E8" w:rsidRDefault="00000000" w:rsidP="00BE1189">
            <w:pPr>
              <w:spacing w:before="100" w:beforeAutospacing="1" w:after="100" w:afterAutospacing="1"/>
            </w:pPr>
            <w:r>
              <w:rPr>
                <w:sz w:val="18"/>
                <w:szCs w:val="18"/>
              </w:rPr>
              <w:lastRenderedPageBreak/>
              <w:t>eHealth literacy and willingness</w:t>
            </w:r>
          </w:p>
        </w:tc>
        <w:tc>
          <w:tcPr>
            <w:tcW w:w="2094" w:type="dxa"/>
            <w:tcMar>
              <w:top w:w="60" w:type="dxa"/>
              <w:left w:w="90" w:type="dxa"/>
              <w:bottom w:w="60" w:type="dxa"/>
              <w:right w:w="90" w:type="dxa"/>
            </w:tcMar>
          </w:tcPr>
          <w:p w14:paraId="5192B8FA" w14:textId="77777777" w:rsidR="007269E8" w:rsidRDefault="00000000" w:rsidP="00BE1189">
            <w:pPr>
              <w:spacing w:before="100" w:beforeAutospacing="1" w:after="100" w:afterAutospacing="1"/>
            </w:pPr>
            <w:r>
              <w:rPr>
                <w:sz w:val="18"/>
                <w:szCs w:val="18"/>
              </w:rPr>
              <w:t>Representative survey of Czech internet users, SEM</w:t>
            </w:r>
          </w:p>
        </w:tc>
        <w:tc>
          <w:tcPr>
            <w:tcW w:w="2618" w:type="dxa"/>
            <w:tcMar>
              <w:top w:w="60" w:type="dxa"/>
              <w:left w:w="90" w:type="dxa"/>
              <w:bottom w:w="60" w:type="dxa"/>
              <w:right w:w="90" w:type="dxa"/>
            </w:tcMar>
          </w:tcPr>
          <w:p w14:paraId="04CF266A" w14:textId="77777777" w:rsidR="007269E8" w:rsidRDefault="00000000" w:rsidP="00BE1189">
            <w:pPr>
              <w:spacing w:before="100" w:beforeAutospacing="1" w:after="100" w:afterAutospacing="1"/>
            </w:pPr>
            <w:r>
              <w:rPr>
                <w:sz w:val="18"/>
                <w:szCs w:val="18"/>
              </w:rPr>
              <w:t>Trust strongly predicted willingness to use; eHealth literacy was only marginally related to trust and unrelated to willingness</w:t>
            </w:r>
          </w:p>
        </w:tc>
        <w:tc>
          <w:tcPr>
            <w:tcW w:w="1920" w:type="dxa"/>
            <w:tcMar>
              <w:top w:w="60" w:type="dxa"/>
              <w:left w:w="90" w:type="dxa"/>
              <w:bottom w:w="60" w:type="dxa"/>
              <w:right w:w="90" w:type="dxa"/>
            </w:tcMar>
          </w:tcPr>
          <w:p w14:paraId="1A0170F3" w14:textId="77777777" w:rsidR="007269E8" w:rsidRDefault="00000000" w:rsidP="00BE1189">
            <w:pPr>
              <w:spacing w:before="100" w:beforeAutospacing="1" w:after="100" w:afterAutospacing="1"/>
            </w:pPr>
            <w:r>
              <w:rPr>
                <w:sz w:val="18"/>
                <w:szCs w:val="18"/>
              </w:rPr>
              <w:t>Cross-sectional; no accuracy standard against which trust could be calibrated</w:t>
            </w:r>
          </w:p>
        </w:tc>
        <w:tc>
          <w:tcPr>
            <w:tcW w:w="1440" w:type="dxa"/>
            <w:tcMar>
              <w:top w:w="60" w:type="dxa"/>
              <w:left w:w="90" w:type="dxa"/>
              <w:bottom w:w="60" w:type="dxa"/>
              <w:right w:w="90" w:type="dxa"/>
            </w:tcMar>
          </w:tcPr>
          <w:p w14:paraId="4456D5D8" w14:textId="77777777" w:rsidR="007269E8" w:rsidRDefault="00000000" w:rsidP="00BE1189">
            <w:pPr>
              <w:spacing w:before="100" w:beforeAutospacing="1" w:after="100" w:afterAutospacing="1"/>
            </w:pPr>
            <w:proofErr w:type="spellStart"/>
            <w:r>
              <w:rPr>
                <w:sz w:val="18"/>
                <w:szCs w:val="18"/>
              </w:rPr>
              <w:t>Svestkova</w:t>
            </w:r>
            <w:proofErr w:type="spellEnd"/>
            <w:r>
              <w:rPr>
                <w:sz w:val="18"/>
                <w:szCs w:val="18"/>
              </w:rPr>
              <w:t xml:space="preserve"> et al. (2025)</w:t>
            </w:r>
          </w:p>
        </w:tc>
      </w:tr>
      <w:tr w:rsidR="007269E8" w14:paraId="361D093B" w14:textId="77777777">
        <w:tc>
          <w:tcPr>
            <w:tcW w:w="1528" w:type="dxa"/>
            <w:tcMar>
              <w:top w:w="60" w:type="dxa"/>
              <w:left w:w="90" w:type="dxa"/>
              <w:bottom w:w="60" w:type="dxa"/>
              <w:right w:w="90" w:type="dxa"/>
            </w:tcMar>
          </w:tcPr>
          <w:p w14:paraId="61974299" w14:textId="77777777" w:rsidR="007269E8" w:rsidRDefault="00000000" w:rsidP="00BE1189">
            <w:pPr>
              <w:spacing w:before="100" w:beforeAutospacing="1" w:after="100" w:afterAutospacing="1"/>
            </w:pPr>
            <w:r>
              <w:rPr>
                <w:sz w:val="18"/>
                <w:szCs w:val="18"/>
              </w:rPr>
              <w:t>Adoption among health care customers</w:t>
            </w:r>
          </w:p>
        </w:tc>
        <w:tc>
          <w:tcPr>
            <w:tcW w:w="2094" w:type="dxa"/>
            <w:tcMar>
              <w:top w:w="60" w:type="dxa"/>
              <w:left w:w="90" w:type="dxa"/>
              <w:bottom w:w="60" w:type="dxa"/>
              <w:right w:w="90" w:type="dxa"/>
            </w:tcMar>
          </w:tcPr>
          <w:p w14:paraId="02E2DE46" w14:textId="77777777" w:rsidR="007269E8" w:rsidRDefault="00000000" w:rsidP="00BE1189">
            <w:pPr>
              <w:spacing w:before="100" w:beforeAutospacing="1" w:after="100" w:afterAutospacing="1"/>
            </w:pPr>
            <w:r>
              <w:rPr>
                <w:sz w:val="18"/>
                <w:szCs w:val="18"/>
              </w:rPr>
              <w:t>Empirical survey study with structural modelling</w:t>
            </w:r>
          </w:p>
        </w:tc>
        <w:tc>
          <w:tcPr>
            <w:tcW w:w="2618" w:type="dxa"/>
            <w:tcMar>
              <w:top w:w="60" w:type="dxa"/>
              <w:left w:w="90" w:type="dxa"/>
              <w:bottom w:w="60" w:type="dxa"/>
              <w:right w:w="90" w:type="dxa"/>
            </w:tcMar>
          </w:tcPr>
          <w:p w14:paraId="5475CC1D" w14:textId="77777777" w:rsidR="007269E8" w:rsidRDefault="00000000" w:rsidP="00BE1189">
            <w:pPr>
              <w:spacing w:before="100" w:beforeAutospacing="1" w:after="100" w:afterAutospacing="1"/>
            </w:pPr>
            <w:r>
              <w:rPr>
                <w:sz w:val="18"/>
                <w:szCs w:val="18"/>
              </w:rPr>
              <w:t>Perceived attributes of generated content influenced adoption intention through trust</w:t>
            </w:r>
          </w:p>
        </w:tc>
        <w:tc>
          <w:tcPr>
            <w:tcW w:w="1920" w:type="dxa"/>
            <w:tcMar>
              <w:top w:w="60" w:type="dxa"/>
              <w:left w:w="90" w:type="dxa"/>
              <w:bottom w:w="60" w:type="dxa"/>
              <w:right w:w="90" w:type="dxa"/>
            </w:tcMar>
          </w:tcPr>
          <w:p w14:paraId="46246694" w14:textId="77777777" w:rsidR="007269E8" w:rsidRDefault="00000000" w:rsidP="00BE1189">
            <w:pPr>
              <w:spacing w:before="100" w:beforeAutospacing="1" w:after="100" w:afterAutospacing="1"/>
            </w:pPr>
            <w:r>
              <w:rPr>
                <w:sz w:val="18"/>
                <w:szCs w:val="18"/>
              </w:rPr>
              <w:t>Non-probability sampling; intention outcome only</w:t>
            </w:r>
          </w:p>
        </w:tc>
        <w:tc>
          <w:tcPr>
            <w:tcW w:w="1440" w:type="dxa"/>
            <w:tcMar>
              <w:top w:w="60" w:type="dxa"/>
              <w:left w:w="90" w:type="dxa"/>
              <w:bottom w:w="60" w:type="dxa"/>
              <w:right w:w="90" w:type="dxa"/>
            </w:tcMar>
          </w:tcPr>
          <w:p w14:paraId="7D8017C6" w14:textId="77777777" w:rsidR="007269E8" w:rsidRDefault="00000000" w:rsidP="00BE1189">
            <w:pPr>
              <w:spacing w:before="100" w:beforeAutospacing="1" w:after="100" w:afterAutospacing="1"/>
            </w:pPr>
            <w:r>
              <w:rPr>
                <w:sz w:val="18"/>
                <w:szCs w:val="18"/>
              </w:rPr>
              <w:t>Guo et al. (2025)</w:t>
            </w:r>
          </w:p>
        </w:tc>
      </w:tr>
      <w:tr w:rsidR="007269E8" w14:paraId="15C9A1CD" w14:textId="77777777">
        <w:tc>
          <w:tcPr>
            <w:tcW w:w="1528" w:type="dxa"/>
            <w:tcMar>
              <w:top w:w="60" w:type="dxa"/>
              <w:left w:w="90" w:type="dxa"/>
              <w:bottom w:w="60" w:type="dxa"/>
              <w:right w:w="90" w:type="dxa"/>
            </w:tcMar>
          </w:tcPr>
          <w:p w14:paraId="12F7F17B" w14:textId="77777777" w:rsidR="007269E8" w:rsidRDefault="00000000" w:rsidP="00BE1189">
            <w:pPr>
              <w:spacing w:before="100" w:beforeAutospacing="1" w:after="100" w:afterAutospacing="1"/>
            </w:pPr>
            <w:r>
              <w:rPr>
                <w:sz w:val="18"/>
                <w:szCs w:val="18"/>
              </w:rPr>
              <w:t>Privacy, AI literacy and stigma</w:t>
            </w:r>
          </w:p>
        </w:tc>
        <w:tc>
          <w:tcPr>
            <w:tcW w:w="2094" w:type="dxa"/>
            <w:tcMar>
              <w:top w:w="60" w:type="dxa"/>
              <w:left w:w="90" w:type="dxa"/>
              <w:bottom w:w="60" w:type="dxa"/>
              <w:right w:w="90" w:type="dxa"/>
            </w:tcMar>
          </w:tcPr>
          <w:p w14:paraId="4CF7B561" w14:textId="77777777" w:rsidR="007269E8" w:rsidRDefault="00000000" w:rsidP="00BE1189">
            <w:pPr>
              <w:spacing w:before="100" w:beforeAutospacing="1" w:after="100" w:afterAutospacing="1"/>
            </w:pPr>
            <w:r>
              <w:rPr>
                <w:sz w:val="18"/>
                <w:szCs w:val="18"/>
              </w:rPr>
              <w:t>Cross-sectional survey of 1,487 adults, regression modelling</w:t>
            </w:r>
          </w:p>
        </w:tc>
        <w:tc>
          <w:tcPr>
            <w:tcW w:w="2618" w:type="dxa"/>
            <w:tcMar>
              <w:top w:w="60" w:type="dxa"/>
              <w:left w:w="90" w:type="dxa"/>
              <w:bottom w:w="60" w:type="dxa"/>
              <w:right w:w="90" w:type="dxa"/>
            </w:tcMar>
          </w:tcPr>
          <w:p w14:paraId="55F61ED5" w14:textId="77777777" w:rsidR="007269E8" w:rsidRDefault="00000000" w:rsidP="00BE1189">
            <w:pPr>
              <w:spacing w:before="100" w:beforeAutospacing="1" w:after="100" w:afterAutospacing="1"/>
            </w:pPr>
            <w:r>
              <w:rPr>
                <w:sz w:val="18"/>
                <w:szCs w:val="18"/>
              </w:rPr>
              <w:t>Privacy concerns reduced acceptance for sensitive issues; AI literacy attenuated those concerns; perceived stigma increased acceptance</w:t>
            </w:r>
          </w:p>
        </w:tc>
        <w:tc>
          <w:tcPr>
            <w:tcW w:w="1920" w:type="dxa"/>
            <w:tcMar>
              <w:top w:w="60" w:type="dxa"/>
              <w:left w:w="90" w:type="dxa"/>
              <w:bottom w:w="60" w:type="dxa"/>
              <w:right w:w="90" w:type="dxa"/>
            </w:tcMar>
          </w:tcPr>
          <w:p w14:paraId="5E09ADFD" w14:textId="77777777" w:rsidR="007269E8" w:rsidRDefault="00000000" w:rsidP="00BE1189">
            <w:pPr>
              <w:spacing w:before="100" w:beforeAutospacing="1" w:after="100" w:afterAutospacing="1"/>
            </w:pPr>
            <w:r>
              <w:rPr>
                <w:sz w:val="18"/>
                <w:szCs w:val="18"/>
              </w:rPr>
              <w:t>Single-country convenience sample; self-report throughout</w:t>
            </w:r>
          </w:p>
        </w:tc>
        <w:tc>
          <w:tcPr>
            <w:tcW w:w="1440" w:type="dxa"/>
            <w:tcMar>
              <w:top w:w="60" w:type="dxa"/>
              <w:left w:w="90" w:type="dxa"/>
              <w:bottom w:w="60" w:type="dxa"/>
              <w:right w:w="90" w:type="dxa"/>
            </w:tcMar>
          </w:tcPr>
          <w:p w14:paraId="3464B03B" w14:textId="77777777" w:rsidR="007269E8" w:rsidRDefault="00000000" w:rsidP="00BE1189">
            <w:pPr>
              <w:spacing w:before="100" w:beforeAutospacing="1" w:after="100" w:afterAutospacing="1"/>
            </w:pPr>
            <w:r>
              <w:rPr>
                <w:sz w:val="18"/>
                <w:szCs w:val="18"/>
              </w:rPr>
              <w:t>Z. Liu et al. (2025)</w:t>
            </w:r>
          </w:p>
        </w:tc>
      </w:tr>
      <w:tr w:rsidR="007269E8" w14:paraId="11EE6176" w14:textId="77777777">
        <w:tc>
          <w:tcPr>
            <w:tcW w:w="1528" w:type="dxa"/>
            <w:tcMar>
              <w:top w:w="60" w:type="dxa"/>
              <w:left w:w="90" w:type="dxa"/>
              <w:bottom w:w="60" w:type="dxa"/>
              <w:right w:w="90" w:type="dxa"/>
            </w:tcMar>
          </w:tcPr>
          <w:p w14:paraId="7350EB32" w14:textId="77777777" w:rsidR="007269E8" w:rsidRDefault="00000000" w:rsidP="00BE1189">
            <w:pPr>
              <w:spacing w:before="100" w:beforeAutospacing="1" w:after="100" w:afterAutospacing="1"/>
            </w:pPr>
            <w:r>
              <w:rPr>
                <w:sz w:val="18"/>
                <w:szCs w:val="18"/>
              </w:rPr>
              <w:t>Perceptions and seeking intention</w:t>
            </w:r>
          </w:p>
        </w:tc>
        <w:tc>
          <w:tcPr>
            <w:tcW w:w="2094" w:type="dxa"/>
            <w:tcMar>
              <w:top w:w="60" w:type="dxa"/>
              <w:left w:w="90" w:type="dxa"/>
              <w:bottom w:w="60" w:type="dxa"/>
              <w:right w:w="90" w:type="dxa"/>
            </w:tcMar>
          </w:tcPr>
          <w:p w14:paraId="025BC013" w14:textId="77777777" w:rsidR="007269E8" w:rsidRDefault="00000000" w:rsidP="00BE1189">
            <w:pPr>
              <w:spacing w:before="100" w:beforeAutospacing="1" w:after="100" w:afterAutospacing="1"/>
            </w:pPr>
            <w:r>
              <w:rPr>
                <w:sz w:val="18"/>
                <w:szCs w:val="18"/>
              </w:rPr>
              <w:t>Online survey, PLS-SEM</w:t>
            </w:r>
          </w:p>
        </w:tc>
        <w:tc>
          <w:tcPr>
            <w:tcW w:w="2618" w:type="dxa"/>
            <w:tcMar>
              <w:top w:w="60" w:type="dxa"/>
              <w:left w:w="90" w:type="dxa"/>
              <w:bottom w:w="60" w:type="dxa"/>
              <w:right w:w="90" w:type="dxa"/>
            </w:tcMar>
          </w:tcPr>
          <w:p w14:paraId="14E44364" w14:textId="77777777" w:rsidR="007269E8" w:rsidRDefault="00000000" w:rsidP="00BE1189">
            <w:pPr>
              <w:spacing w:before="100" w:beforeAutospacing="1" w:after="100" w:afterAutospacing="1"/>
            </w:pPr>
            <w:r>
              <w:rPr>
                <w:sz w:val="18"/>
                <w:szCs w:val="18"/>
              </w:rPr>
              <w:t>Perceived competence, convenience and anthropomorphism raised trust; digital health literacy moderated the perception-intention path</w:t>
            </w:r>
          </w:p>
        </w:tc>
        <w:tc>
          <w:tcPr>
            <w:tcW w:w="1920" w:type="dxa"/>
            <w:tcMar>
              <w:top w:w="60" w:type="dxa"/>
              <w:left w:w="90" w:type="dxa"/>
              <w:bottom w:w="60" w:type="dxa"/>
              <w:right w:w="90" w:type="dxa"/>
            </w:tcMar>
          </w:tcPr>
          <w:p w14:paraId="13FA066F" w14:textId="77777777" w:rsidR="007269E8" w:rsidRDefault="00000000" w:rsidP="00BE1189">
            <w:pPr>
              <w:spacing w:before="100" w:beforeAutospacing="1" w:after="100" w:afterAutospacing="1"/>
            </w:pPr>
            <w:r>
              <w:rPr>
                <w:sz w:val="18"/>
                <w:szCs w:val="18"/>
              </w:rPr>
              <w:t>Non-probability sampling; moderation not replicated elsewhere</w:t>
            </w:r>
          </w:p>
        </w:tc>
        <w:tc>
          <w:tcPr>
            <w:tcW w:w="1440" w:type="dxa"/>
            <w:tcMar>
              <w:top w:w="60" w:type="dxa"/>
              <w:left w:w="90" w:type="dxa"/>
              <w:bottom w:w="60" w:type="dxa"/>
              <w:right w:w="90" w:type="dxa"/>
            </w:tcMar>
          </w:tcPr>
          <w:p w14:paraId="79D59627" w14:textId="77777777" w:rsidR="007269E8" w:rsidRDefault="00000000" w:rsidP="00BE1189">
            <w:pPr>
              <w:spacing w:before="100" w:beforeAutospacing="1" w:after="100" w:afterAutospacing="1"/>
            </w:pPr>
            <w:r>
              <w:rPr>
                <w:sz w:val="18"/>
                <w:szCs w:val="18"/>
              </w:rPr>
              <w:t>Zhu &amp; Ding (2026)</w:t>
            </w:r>
          </w:p>
        </w:tc>
      </w:tr>
      <w:tr w:rsidR="007269E8" w14:paraId="5AA91E57" w14:textId="77777777">
        <w:tc>
          <w:tcPr>
            <w:tcW w:w="1528" w:type="dxa"/>
            <w:tcMar>
              <w:top w:w="60" w:type="dxa"/>
              <w:left w:w="90" w:type="dxa"/>
              <w:bottom w:w="60" w:type="dxa"/>
              <w:right w:w="90" w:type="dxa"/>
            </w:tcMar>
          </w:tcPr>
          <w:p w14:paraId="011DB91F" w14:textId="77777777" w:rsidR="007269E8" w:rsidRDefault="00000000" w:rsidP="00BE1189">
            <w:pPr>
              <w:spacing w:before="100" w:beforeAutospacing="1" w:after="100" w:afterAutospacing="1"/>
            </w:pPr>
            <w:r>
              <w:rPr>
                <w:sz w:val="18"/>
                <w:szCs w:val="18"/>
              </w:rPr>
              <w:t>Comparison with search engines</w:t>
            </w:r>
          </w:p>
        </w:tc>
        <w:tc>
          <w:tcPr>
            <w:tcW w:w="2094" w:type="dxa"/>
            <w:tcMar>
              <w:top w:w="60" w:type="dxa"/>
              <w:left w:w="90" w:type="dxa"/>
              <w:bottom w:w="60" w:type="dxa"/>
              <w:right w:w="90" w:type="dxa"/>
            </w:tcMar>
          </w:tcPr>
          <w:p w14:paraId="6C539826" w14:textId="77777777" w:rsidR="007269E8" w:rsidRDefault="00000000" w:rsidP="00BE1189">
            <w:pPr>
              <w:spacing w:before="100" w:beforeAutospacing="1" w:after="100" w:afterAutospacing="1"/>
            </w:pPr>
            <w:r>
              <w:rPr>
                <w:sz w:val="18"/>
                <w:szCs w:val="18"/>
              </w:rPr>
              <w:t>Randomised 2 x 2 factorial experiment, 764 adults</w:t>
            </w:r>
          </w:p>
        </w:tc>
        <w:tc>
          <w:tcPr>
            <w:tcW w:w="2618" w:type="dxa"/>
            <w:tcMar>
              <w:top w:w="60" w:type="dxa"/>
              <w:left w:w="90" w:type="dxa"/>
              <w:bottom w:w="60" w:type="dxa"/>
              <w:right w:w="90" w:type="dxa"/>
            </w:tcMar>
          </w:tcPr>
          <w:p w14:paraId="5E00EB5B" w14:textId="77777777" w:rsidR="007269E8" w:rsidRDefault="00000000" w:rsidP="00BE1189">
            <w:pPr>
              <w:spacing w:before="100" w:beforeAutospacing="1" w:after="100" w:afterAutospacing="1"/>
            </w:pPr>
            <w:r>
              <w:rPr>
                <w:sz w:val="18"/>
                <w:szCs w:val="18"/>
              </w:rPr>
              <w:t>Link-based search received significantly higher ratings than the generative paradigm across all acceptance constructs</w:t>
            </w:r>
          </w:p>
        </w:tc>
        <w:tc>
          <w:tcPr>
            <w:tcW w:w="1920" w:type="dxa"/>
            <w:tcMar>
              <w:top w:w="60" w:type="dxa"/>
              <w:left w:w="90" w:type="dxa"/>
              <w:bottom w:w="60" w:type="dxa"/>
              <w:right w:w="90" w:type="dxa"/>
            </w:tcMar>
          </w:tcPr>
          <w:p w14:paraId="6451E9AF" w14:textId="77777777" w:rsidR="007269E8" w:rsidRDefault="00000000" w:rsidP="00BE1189">
            <w:pPr>
              <w:spacing w:before="100" w:beforeAutospacing="1" w:after="100" w:afterAutospacing="1"/>
            </w:pPr>
            <w:r>
              <w:rPr>
                <w:sz w:val="18"/>
                <w:szCs w:val="18"/>
              </w:rPr>
              <w:t>Single cancer topic; interface familiarity not controlled</w:t>
            </w:r>
          </w:p>
        </w:tc>
        <w:tc>
          <w:tcPr>
            <w:tcW w:w="1440" w:type="dxa"/>
            <w:tcMar>
              <w:top w:w="60" w:type="dxa"/>
              <w:left w:w="90" w:type="dxa"/>
              <w:bottom w:w="60" w:type="dxa"/>
              <w:right w:w="90" w:type="dxa"/>
            </w:tcMar>
          </w:tcPr>
          <w:p w14:paraId="357EC06E" w14:textId="77777777" w:rsidR="007269E8" w:rsidRDefault="00000000" w:rsidP="00BE1189">
            <w:pPr>
              <w:spacing w:before="100" w:beforeAutospacing="1" w:after="100" w:afterAutospacing="1"/>
            </w:pPr>
            <w:r>
              <w:rPr>
                <w:sz w:val="18"/>
                <w:szCs w:val="18"/>
              </w:rPr>
              <w:t>Love et al. (2026)</w:t>
            </w:r>
          </w:p>
        </w:tc>
      </w:tr>
      <w:tr w:rsidR="007269E8" w14:paraId="66CB4ADF" w14:textId="77777777">
        <w:tc>
          <w:tcPr>
            <w:tcW w:w="1528" w:type="dxa"/>
            <w:tcMar>
              <w:top w:w="60" w:type="dxa"/>
              <w:left w:w="90" w:type="dxa"/>
              <w:bottom w:w="60" w:type="dxa"/>
              <w:right w:w="90" w:type="dxa"/>
            </w:tcMar>
          </w:tcPr>
          <w:p w14:paraId="24FDDC67" w14:textId="77777777" w:rsidR="007269E8" w:rsidRDefault="00000000" w:rsidP="00BE1189">
            <w:pPr>
              <w:spacing w:before="100" w:beforeAutospacing="1" w:after="100" w:afterAutospacing="1"/>
            </w:pPr>
            <w:r>
              <w:rPr>
                <w:sz w:val="18"/>
                <w:szCs w:val="18"/>
              </w:rPr>
              <w:t>Trust and care-seeking delay</w:t>
            </w:r>
          </w:p>
        </w:tc>
        <w:tc>
          <w:tcPr>
            <w:tcW w:w="2094" w:type="dxa"/>
            <w:tcMar>
              <w:top w:w="60" w:type="dxa"/>
              <w:left w:w="90" w:type="dxa"/>
              <w:bottom w:w="60" w:type="dxa"/>
              <w:right w:w="90" w:type="dxa"/>
            </w:tcMar>
          </w:tcPr>
          <w:p w14:paraId="39FD2B5E" w14:textId="77777777" w:rsidR="007269E8" w:rsidRDefault="00000000" w:rsidP="00BE1189">
            <w:pPr>
              <w:spacing w:before="100" w:beforeAutospacing="1" w:after="100" w:afterAutospacing="1"/>
            </w:pPr>
            <w:r>
              <w:rPr>
                <w:sz w:val="18"/>
                <w:szCs w:val="18"/>
              </w:rPr>
              <w:t>Cross-sectional survey of 2,460 adults with agent-based modelling</w:t>
            </w:r>
          </w:p>
        </w:tc>
        <w:tc>
          <w:tcPr>
            <w:tcW w:w="2618" w:type="dxa"/>
            <w:tcMar>
              <w:top w:w="60" w:type="dxa"/>
              <w:left w:w="90" w:type="dxa"/>
              <w:bottom w:w="60" w:type="dxa"/>
              <w:right w:w="90" w:type="dxa"/>
            </w:tcMar>
          </w:tcPr>
          <w:p w14:paraId="407587B8" w14:textId="77777777" w:rsidR="007269E8" w:rsidRDefault="00000000" w:rsidP="00BE1189">
            <w:pPr>
              <w:spacing w:before="100" w:beforeAutospacing="1" w:after="100" w:afterAutospacing="1"/>
            </w:pPr>
            <w:r>
              <w:rPr>
                <w:sz w:val="18"/>
                <w:szCs w:val="18"/>
              </w:rPr>
              <w:t>Higher AI trust was associated with modestly increased odds of self-reported care delay, partially mediated by usage frequency</w:t>
            </w:r>
          </w:p>
        </w:tc>
        <w:tc>
          <w:tcPr>
            <w:tcW w:w="1920" w:type="dxa"/>
            <w:tcMar>
              <w:top w:w="60" w:type="dxa"/>
              <w:left w:w="90" w:type="dxa"/>
              <w:bottom w:w="60" w:type="dxa"/>
              <w:right w:w="90" w:type="dxa"/>
            </w:tcMar>
          </w:tcPr>
          <w:p w14:paraId="77E47E20" w14:textId="77777777" w:rsidR="007269E8" w:rsidRDefault="00000000" w:rsidP="00BE1189">
            <w:pPr>
              <w:spacing w:before="100" w:beforeAutospacing="1" w:after="100" w:afterAutospacing="1"/>
            </w:pPr>
            <w:r>
              <w:rPr>
                <w:sz w:val="18"/>
                <w:szCs w:val="18"/>
              </w:rPr>
              <w:t>Convenience sampling; binary self-reported outcome; simulated intervention estimates</w:t>
            </w:r>
          </w:p>
        </w:tc>
        <w:tc>
          <w:tcPr>
            <w:tcW w:w="1440" w:type="dxa"/>
            <w:tcMar>
              <w:top w:w="60" w:type="dxa"/>
              <w:left w:w="90" w:type="dxa"/>
              <w:bottom w:w="60" w:type="dxa"/>
              <w:right w:w="90" w:type="dxa"/>
            </w:tcMar>
          </w:tcPr>
          <w:p w14:paraId="13C77B21" w14:textId="77777777" w:rsidR="007269E8" w:rsidRDefault="00000000" w:rsidP="00BE1189">
            <w:pPr>
              <w:spacing w:before="100" w:beforeAutospacing="1" w:after="100" w:afterAutospacing="1"/>
            </w:pPr>
            <w:r>
              <w:rPr>
                <w:sz w:val="18"/>
                <w:szCs w:val="18"/>
              </w:rPr>
              <w:t>Cai et al. (2026)</w:t>
            </w:r>
          </w:p>
        </w:tc>
      </w:tr>
    </w:tbl>
    <w:p w14:paraId="20043B75" w14:textId="77777777" w:rsidR="007269E8" w:rsidRDefault="00000000" w:rsidP="00BE1189">
      <w:pPr>
        <w:spacing w:before="100" w:beforeAutospacing="1" w:after="100" w:afterAutospacing="1"/>
      </w:pPr>
      <w:r>
        <w:rPr>
          <w:i/>
          <w:iCs/>
          <w:sz w:val="19"/>
          <w:szCs w:val="19"/>
        </w:rPr>
        <w:t>Note. AI = artificial intelligence; PLS-SEM = partial least squares structural equation modelling; SEM = structural equation modelling; TAM = technology acceptance model. Findings are summarised in relation to trust and are not exhaustive of each study's results.</w:t>
      </w:r>
    </w:p>
    <w:p w14:paraId="5D69C74D" w14:textId="77777777" w:rsidR="007269E8" w:rsidRDefault="00000000" w:rsidP="00BE1189">
      <w:pPr>
        <w:pStyle w:val="Heading1"/>
        <w:spacing w:before="100" w:beforeAutospacing="1" w:after="100" w:afterAutospacing="1"/>
      </w:pPr>
      <w:r>
        <w:rPr>
          <w:b/>
          <w:bCs/>
          <w:color w:val="000000"/>
          <w:sz w:val="26"/>
          <w:szCs w:val="26"/>
        </w:rPr>
        <w:t>5. Source Credibility Cues and the Attribution Problem</w:t>
      </w:r>
    </w:p>
    <w:p w14:paraId="3E0FBFF8" w14:textId="77777777" w:rsidR="007269E8" w:rsidRDefault="00000000" w:rsidP="00BE1189">
      <w:pPr>
        <w:pStyle w:val="Heading2"/>
        <w:spacing w:before="100" w:beforeAutospacing="1" w:after="100" w:afterAutospacing="1"/>
      </w:pPr>
      <w:r>
        <w:rPr>
          <w:b/>
          <w:bCs/>
          <w:i/>
          <w:iCs/>
          <w:color w:val="000000"/>
          <w:sz w:val="24"/>
          <w:szCs w:val="24"/>
        </w:rPr>
        <w:t>5.1 Blinded quality evaluation is not a test of trust</w:t>
      </w:r>
    </w:p>
    <w:p w14:paraId="7D44759E" w14:textId="77777777" w:rsidR="007269E8" w:rsidRDefault="00000000" w:rsidP="00BE1189">
      <w:pPr>
        <w:spacing w:before="100" w:beforeAutospacing="1" w:after="100" w:afterAutospacing="1"/>
        <w:jc w:val="both"/>
      </w:pPr>
      <w:r>
        <w:t>A substantial body of work compares AI-generated and clinician-generated health content under blinding. Licensed health professionals rating anonymised responses to patient questions from a public forum preferred chatbot responses on both quality and empathy (Ayers et al., 2023). Patients with cancer rated chatbot responses to cancer questions as more empathic than physician responses (D. Chen et al., 2025). In a cross-sectional survey in which 160 patients compared one chatbot answer with three surgeon answers across four topics of increasing complexity, the chatbot matched or exceeded the surgeons on accuracy, authenticity and believability, scoring highest across all three credibility domains and being the most trusted response for two of the four questions (Prasad et al., 2026).</w:t>
      </w:r>
    </w:p>
    <w:p w14:paraId="46611726" w14:textId="77777777" w:rsidR="007269E8" w:rsidRDefault="00000000" w:rsidP="00BE1189">
      <w:pPr>
        <w:spacing w:before="100" w:beforeAutospacing="1" w:after="100" w:afterAutospacing="1"/>
        <w:jc w:val="both"/>
      </w:pPr>
      <w:r>
        <w:t>These results are frequently cited as evidence that the public trusts AI-generated health information, and that inference does not follow. Blinded comparison measures the persuasive and communicative quality of the text; it does not measure the effect of knowing that the text was machine-generated. The design deliberately removes the variable of interest. Conversely, studies that reveal the source measure the effect of the label but usually hold content constant, so they cannot speak to quality. Conflating the two produces the widespread but unsupported claim that AI-generated health advice is trusted more than clinician advice. What the blinded studies establish is narrower and still important: the surface features that lay readers use to infer credibility, including completeness, structure, acknowledgement of feeling and absence of jargon, are features that generative systems produce more consistently than time-pressured clinicians.</w:t>
      </w:r>
    </w:p>
    <w:p w14:paraId="15C1E440" w14:textId="77777777" w:rsidR="007269E8" w:rsidRDefault="00000000" w:rsidP="00BE1189">
      <w:pPr>
        <w:pStyle w:val="Heading2"/>
        <w:spacing w:before="100" w:beforeAutospacing="1" w:after="100" w:afterAutospacing="1"/>
      </w:pPr>
      <w:r>
        <w:rPr>
          <w:b/>
          <w:bCs/>
          <w:i/>
          <w:iCs/>
          <w:color w:val="000000"/>
          <w:sz w:val="24"/>
          <w:szCs w:val="24"/>
        </w:rPr>
        <w:lastRenderedPageBreak/>
        <w:t>5.2 Disclosure, labelling and the inconsistent attribution penalty</w:t>
      </w:r>
    </w:p>
    <w:p w14:paraId="4A5E1DC0" w14:textId="77777777" w:rsidR="007269E8" w:rsidRDefault="00000000" w:rsidP="00BE1189">
      <w:pPr>
        <w:spacing w:before="100" w:beforeAutospacing="1" w:after="100" w:afterAutospacing="1"/>
        <w:jc w:val="both"/>
      </w:pPr>
      <w:r>
        <w:t>Early experimental work in journalism found that attributing content to a machine reduced perceived credibility relative to human attribution (Waddell, 2018), and this result hardened into an assumption that an AI label carries a credibility penalty. The contemporary evidence does not sustain that assumption in its general form. A meta-analysis of 31 studies and 41 effect sizes reported a small but statistically significant penalty for AI-labelled compared with human-labelled news on both source and message credibility, with the effect significantly moderated by actual authorship and more pronounced when the material had in fact been written by humans (Kim et al., 2026). A systematic review of provenance and disclosure cues published in the same period, covering 47 studies, concluded that most extractable results showed no difference between AI-attributed and human-attributed news, that observed effects were conditional on topic, baseline trust and whether human oversight was signalled, and that the smaller body of work on disclosure cues specifically was dominated by null or conditional findings (</w:t>
      </w:r>
      <w:proofErr w:type="spellStart"/>
      <w:r>
        <w:t>Licenji</w:t>
      </w:r>
      <w:proofErr w:type="spellEnd"/>
      <w:r>
        <w:t xml:space="preserve"> &amp; Hoxha, 2026). In the health domain, a randomised experiment found no significant main effect of AI-generated content labels on perceived accuracy, message credibility or sharing intention, with information type rather than label driving evaluations (Li &amp; Yang, 2024).</w:t>
      </w:r>
    </w:p>
    <w:p w14:paraId="17A838ED" w14:textId="77777777" w:rsidR="007269E8" w:rsidRDefault="00000000" w:rsidP="00BE1189">
      <w:pPr>
        <w:spacing w:before="100" w:beforeAutospacing="1" w:after="100" w:afterAutospacing="1"/>
        <w:jc w:val="both"/>
      </w:pPr>
      <w:r>
        <w:t>These are not irreconcilable. A small average effect, heterogeneous across topics and conditional on cues about human oversight, is consistent with a meta-analytic signal and with a narrative synthesis reporting predominantly null individual results. What the combination rules out is the strong claim that machine attribution reliably depresses credibility. It also indicates that the penalty, where it exists, attaches to the label rather than to the content, and therefore falls on accurate and inaccurate material alike. A disclosure regime designed to protect the public may consequently reduce confidence in correct information while doing little to impede deliberately produced falsehood, which is distributed without labels by parties who have no incentive to apply them.</w:t>
      </w:r>
    </w:p>
    <w:p w14:paraId="2B9C9E56" w14:textId="77777777" w:rsidR="007269E8" w:rsidRDefault="00000000" w:rsidP="00BE1189">
      <w:pPr>
        <w:spacing w:before="100" w:beforeAutospacing="1" w:after="100" w:afterAutospacing="1"/>
        <w:jc w:val="both"/>
      </w:pPr>
      <w:r>
        <w:t>Exposure to output quality appears to attenuate whatever aversion exists. In a registered three-condition experiment, most participants preferred human-authored advice before seeing any advice, and this preference fell substantially in conditions where participants observed the AI-generated content, with the largest reduction where the source was blind (Meincke et al., 2026). The domain was ethical rather than medical advice, which limits direct transfer, but the mechanism is general and consequential: aversion measured before exposure overestimates aversion in use. Longitudinal work is required to determine whether repeated exposure produces calibrated confidence or simple habituation.</w:t>
      </w:r>
    </w:p>
    <w:p w14:paraId="32731299" w14:textId="77777777" w:rsidR="007269E8" w:rsidRDefault="00000000" w:rsidP="00BE1189">
      <w:pPr>
        <w:spacing w:before="100" w:beforeAutospacing="1" w:after="100" w:afterAutospacing="1"/>
        <w:jc w:val="both"/>
      </w:pPr>
      <w:r>
        <w:t>Health-specific evidence on source attribution is thinner and points in the direction of a modest human advantage. In a factorial experiment with 480 current smokers, cessation messages attributed to human experts produced greater perceived source credibility than identical messages attributed to AI, but there was no source effect on any other outcome and no interaction with emotional appeal (Chang et al., 2025). The credibility difference did not translate into differences in risk perception or quitting intention, which suggests that in persuasive health communication the label may affect judgements of the communicator without affecting behavioural response.</w:t>
      </w:r>
    </w:p>
    <w:p w14:paraId="039D4AC2" w14:textId="77777777" w:rsidR="007269E8" w:rsidRDefault="00000000" w:rsidP="00BE1189">
      <w:pPr>
        <w:spacing w:before="100" w:beforeAutospacing="1" w:after="100" w:afterAutospacing="1"/>
        <w:jc w:val="both"/>
      </w:pPr>
      <w:r>
        <w:t>Qualitative evidence indicates that disclosure statements as currently written may not perform their intended function. In interviews using vignettes, adult patient portal users interpreted written disclosures about AI-generated draft replies inconsistently, with nearly half unable to identify AI as the writer of the draft, and expressed concerns about error, authorship and depersonalisation while nonetheless preferring that disclosure occur (</w:t>
      </w:r>
      <w:proofErr w:type="spellStart"/>
      <w:r>
        <w:t>Barrison</w:t>
      </w:r>
      <w:proofErr w:type="spellEnd"/>
      <w:r>
        <w:t xml:space="preserve"> et al., 2026). Two implications follow. Disclosure is wanted, which is a normative finding of some weight, and current disclosure language does not communicate what it purports to communicate, which is an implementation failure rather than an argument against transparency.</w:t>
      </w:r>
    </w:p>
    <w:p w14:paraId="4449996B" w14:textId="77777777" w:rsidR="007269E8" w:rsidRDefault="00000000" w:rsidP="00BE1189">
      <w:pPr>
        <w:pStyle w:val="Heading2"/>
        <w:spacing w:before="100" w:beforeAutospacing="1" w:after="100" w:afterAutospacing="1"/>
      </w:pPr>
      <w:r>
        <w:rPr>
          <w:b/>
          <w:bCs/>
          <w:i/>
          <w:iCs/>
          <w:color w:val="000000"/>
          <w:sz w:val="24"/>
          <w:szCs w:val="24"/>
        </w:rPr>
        <w:lastRenderedPageBreak/>
        <w:t>5.3 Anthropomorphic, empathic and stylistic cues</w:t>
      </w:r>
    </w:p>
    <w:p w14:paraId="568F6667" w14:textId="77777777" w:rsidR="007269E8" w:rsidRDefault="00000000" w:rsidP="00BE1189">
      <w:pPr>
        <w:spacing w:before="100" w:beforeAutospacing="1" w:after="100" w:afterAutospacing="1"/>
        <w:jc w:val="both"/>
      </w:pPr>
      <w:r>
        <w:t>The cues that most reliably raise perceived credibility are stylistic. Visual, identity and conversational cues shape perceptions of humanness independently (Go &amp; Sundar, 2019), and perceived anthropomorphism has been found to raise trust directly in health information seeking (Zhu &amp; Ding, 2026). Empathic expression is particularly potent, given that patients rated chatbot responses as more empathic than physician responses to the same cancer questions (D. Chen et al., 2025).</w:t>
      </w:r>
    </w:p>
    <w:p w14:paraId="565850AA" w14:textId="77777777" w:rsidR="007269E8" w:rsidRDefault="00000000" w:rsidP="00BE1189">
      <w:pPr>
        <w:spacing w:before="100" w:beforeAutospacing="1" w:after="100" w:afterAutospacing="1"/>
        <w:jc w:val="both"/>
      </w:pPr>
      <w:r>
        <w:t>This is where the most serious structural problem in the field becomes visible. Controlled experiments across five language models, in which each was trained to produce warmer responses and then evaluated on consequential tasks, found that warm models showed error rates 10 to 30 percentage points higher than their original counterparts, promoted conspiracy theories, supplied inaccurate factual information and offered incorrect medical advice, and were significantly more likely to validate incorrect user beliefs, particularly where user messages expressed sadness (Ibrahim et al., 2026). The effects were consistent across architectures and occurred despite preserved performance on standard benchmarks. The property that most efficiently generates trust is therefore in tension with the property that would justify it, and this tension is systematic rather than a defect of any particular product. It is also invisible to conventional evaluation, since the models continued to perform normally on standard tests.</w:t>
      </w:r>
    </w:p>
    <w:p w14:paraId="151B5C08" w14:textId="77777777" w:rsidR="007269E8" w:rsidRDefault="00000000" w:rsidP="00BE1189">
      <w:pPr>
        <w:spacing w:before="100" w:beforeAutospacing="1" w:after="100" w:afterAutospacing="1"/>
        <w:jc w:val="both"/>
      </w:pPr>
      <w:r>
        <w:t>The consequence for the source credibility framework is substantial. In classical formulations, credibility cues are imperfect but broadly diagnostic indicators of expertise and trustworthiness. In generative health communication, one of the strongest credibility cues is inversely related to accuracy under precisely the conditions of vulnerability in which accurate information matters most. Warnings that human-seeming conversational agents would attract confidence disproportionate to their reliability, issued when such systems were far cruder (Powell, 2019), and subsequent argument that generative systems would reshape the basis of trust in health communication (Dunn et al., 2023), have acquired a specific mechanism.</w:t>
      </w:r>
    </w:p>
    <w:p w14:paraId="55A66351" w14:textId="77777777" w:rsidR="007269E8" w:rsidRDefault="00000000" w:rsidP="00BE1189">
      <w:pPr>
        <w:pStyle w:val="Heading2"/>
        <w:spacing w:before="100" w:beforeAutospacing="1" w:after="100" w:afterAutospacing="1"/>
      </w:pPr>
      <w:r>
        <w:rPr>
          <w:b/>
          <w:bCs/>
          <w:i/>
          <w:iCs/>
          <w:color w:val="000000"/>
          <w:sz w:val="24"/>
          <w:szCs w:val="24"/>
        </w:rPr>
        <w:t>5.4 Referencing, verifiability and the manufacture of provenance</w:t>
      </w:r>
    </w:p>
    <w:p w14:paraId="6B3CEE0B" w14:textId="77777777" w:rsidR="007269E8" w:rsidRDefault="00000000" w:rsidP="00BE1189">
      <w:pPr>
        <w:spacing w:before="100" w:beforeAutospacing="1" w:after="100" w:afterAutospacing="1"/>
        <w:jc w:val="both"/>
      </w:pPr>
      <w:r>
        <w:t>Citations function as credibility cues, and generative systems supply them. Their reliability is variable. An adversarial audit of five widely used chatbots across cancer, vaccines, stem cells, nutrition and athletic performance found that nearly half of responses were problematic, comprising 30% somewhat problematic and 19.6% highly problematic, with no significant difference in overall quality between chatbots, and scored citations for accuracy and completeness alongside readability (Tiller et al., 2026). A cross-sectional evaluation of large language model responses on laryngeal cancer, graded by specialists, junior physicians and non-medical raters blinded to model identity using safety and global quality scores, found variation between models in reliability and safety (Ostrowska et al., 2024). Reviews in specific clinical areas report the same instability: a systematic review of thirteen cross-sectional studies of chatbot responses to orthodontic questions found accuracy for one model ranging from roughly 69% to 93% across studies, with lower scores and mixed results reported for others (Santhosh Kumar et al., 2025).</w:t>
      </w:r>
    </w:p>
    <w:p w14:paraId="1B85111D" w14:textId="77777777" w:rsidR="007269E8" w:rsidRDefault="00000000" w:rsidP="00BE1189">
      <w:pPr>
        <w:spacing w:before="100" w:beforeAutospacing="1" w:after="100" w:afterAutospacing="1"/>
        <w:jc w:val="both"/>
      </w:pPr>
      <w:r>
        <w:t xml:space="preserve">Retrieval-augmented architectures that constrain generation to validated reference documents and attribute sources offer a partial remedy. In an evaluation of a custom retrieval-augmented chatbot for type 2 diabetes mellitus, most responses cited the supplied reference documents and the overwhelming majority of those sourced responses were judged fully appropriate by specialists, whereas a minority of responses attributed to general knowledge included an inappropriate answer (Kelly et al., 2025). This design shifts the locus of trust from the model to a curated corpus and to whoever curates it, which is a more tractable governance problem, although it does not remove the </w:t>
      </w:r>
      <w:r>
        <w:lastRenderedPageBreak/>
        <w:t>difficulty that users cannot distinguish a retrieval-augmented system from a general-purpose one at the interface.</w:t>
      </w:r>
    </w:p>
    <w:p w14:paraId="5AEE356A" w14:textId="77777777" w:rsidR="007269E8" w:rsidRDefault="00000000" w:rsidP="00BE1189">
      <w:pPr>
        <w:spacing w:before="100" w:beforeAutospacing="1" w:after="100" w:afterAutospacing="1"/>
        <w:jc w:val="both"/>
      </w:pPr>
      <w:r>
        <w:t>The critical point is that provenance signals are now decoupled from provenance. A fabricated citation, a confident guideline reference and a hedged qualifier are cheap to produce and expensive to verify, and the verification burden falls on the reader who is least equipped to bear it. Analyses of chatbot use in oncology patient education have identified this combination of convincing human-like conversation with algorithmic opacity as the central risk to informed trust (Lawson McLean &amp; Hristidis, 2025).</w:t>
      </w:r>
    </w:p>
    <w:p w14:paraId="7F83FFF7" w14:textId="77777777" w:rsidR="007269E8" w:rsidRDefault="00000000" w:rsidP="00BE1189">
      <w:pPr>
        <w:spacing w:before="100" w:beforeAutospacing="1" w:after="100" w:afterAutospacing="1"/>
        <w:jc w:val="both"/>
      </w:pPr>
      <w:r>
        <w:t>The table that follows organises the experimental evidence on source and stylistic cues by mechanism and by the direction and consistency of observed effects. It is presented here because the apparent disagreement in this literature largely dissolves once cue type and study design are separated, and it identifies which cues are supported by convergent evidence and which rest on single studies.</w:t>
      </w:r>
    </w:p>
    <w:p w14:paraId="05FFAC7B" w14:textId="77777777" w:rsidR="007269E8" w:rsidRDefault="00000000" w:rsidP="00BE1189">
      <w:pPr>
        <w:spacing w:before="100" w:beforeAutospacing="1" w:after="100" w:afterAutospacing="1"/>
      </w:pPr>
      <w:r>
        <w:rPr>
          <w:b/>
          <w:bCs/>
          <w:sz w:val="21"/>
          <w:szCs w:val="21"/>
        </w:rPr>
        <w:t>Table 3. Source and stylistic cues in AI-generated health communication: mechanisms, observed effects and strength of evidence</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473"/>
        <w:gridCol w:w="2032"/>
        <w:gridCol w:w="1729"/>
        <w:gridCol w:w="1297"/>
        <w:gridCol w:w="1902"/>
        <w:gridCol w:w="1167"/>
      </w:tblGrid>
      <w:tr w:rsidR="007269E8" w14:paraId="28895C7A" w14:textId="77777777">
        <w:trPr>
          <w:tblHeader/>
        </w:trPr>
        <w:tc>
          <w:tcPr>
            <w:tcW w:w="1473" w:type="dxa"/>
            <w:shd w:val="clear" w:color="auto" w:fill="E8E8E8"/>
            <w:tcMar>
              <w:top w:w="60" w:type="dxa"/>
              <w:left w:w="90" w:type="dxa"/>
              <w:bottom w:w="60" w:type="dxa"/>
              <w:right w:w="90" w:type="dxa"/>
            </w:tcMar>
          </w:tcPr>
          <w:p w14:paraId="3C88A700" w14:textId="77777777" w:rsidR="007269E8" w:rsidRDefault="00000000" w:rsidP="00BE1189">
            <w:pPr>
              <w:spacing w:before="100" w:beforeAutospacing="1" w:after="100" w:afterAutospacing="1"/>
            </w:pPr>
            <w:r>
              <w:rPr>
                <w:b/>
                <w:bCs/>
                <w:sz w:val="18"/>
                <w:szCs w:val="18"/>
              </w:rPr>
              <w:t>Cue</w:t>
            </w:r>
          </w:p>
        </w:tc>
        <w:tc>
          <w:tcPr>
            <w:tcW w:w="2032" w:type="dxa"/>
            <w:shd w:val="clear" w:color="auto" w:fill="E8E8E8"/>
            <w:tcMar>
              <w:top w:w="60" w:type="dxa"/>
              <w:left w:w="90" w:type="dxa"/>
              <w:bottom w:w="60" w:type="dxa"/>
              <w:right w:w="90" w:type="dxa"/>
            </w:tcMar>
          </w:tcPr>
          <w:p w14:paraId="617B8D4E" w14:textId="77777777" w:rsidR="007269E8" w:rsidRDefault="00000000" w:rsidP="00BE1189">
            <w:pPr>
              <w:spacing w:before="100" w:beforeAutospacing="1" w:after="100" w:afterAutospacing="1"/>
            </w:pPr>
            <w:r>
              <w:rPr>
                <w:b/>
                <w:bCs/>
                <w:sz w:val="18"/>
                <w:szCs w:val="18"/>
              </w:rPr>
              <w:t>Hypothesised mechanism</w:t>
            </w:r>
          </w:p>
        </w:tc>
        <w:tc>
          <w:tcPr>
            <w:tcW w:w="1729" w:type="dxa"/>
            <w:shd w:val="clear" w:color="auto" w:fill="E8E8E8"/>
            <w:tcMar>
              <w:top w:w="60" w:type="dxa"/>
              <w:left w:w="90" w:type="dxa"/>
              <w:bottom w:w="60" w:type="dxa"/>
              <w:right w:w="90" w:type="dxa"/>
            </w:tcMar>
          </w:tcPr>
          <w:p w14:paraId="5BE8CF29" w14:textId="77777777" w:rsidR="007269E8" w:rsidRDefault="00000000" w:rsidP="00BE1189">
            <w:pPr>
              <w:spacing w:before="100" w:beforeAutospacing="1" w:after="100" w:afterAutospacing="1"/>
            </w:pPr>
            <w:r>
              <w:rPr>
                <w:b/>
                <w:bCs/>
                <w:sz w:val="18"/>
                <w:szCs w:val="18"/>
              </w:rPr>
              <w:t>Observed direction</w:t>
            </w:r>
          </w:p>
        </w:tc>
        <w:tc>
          <w:tcPr>
            <w:tcW w:w="1297" w:type="dxa"/>
            <w:shd w:val="clear" w:color="auto" w:fill="E8E8E8"/>
            <w:tcMar>
              <w:top w:w="60" w:type="dxa"/>
              <w:left w:w="90" w:type="dxa"/>
              <w:bottom w:w="60" w:type="dxa"/>
              <w:right w:w="90" w:type="dxa"/>
            </w:tcMar>
          </w:tcPr>
          <w:p w14:paraId="0D605255" w14:textId="77777777" w:rsidR="007269E8" w:rsidRDefault="00000000" w:rsidP="00BE1189">
            <w:pPr>
              <w:spacing w:before="100" w:beforeAutospacing="1" w:after="100" w:afterAutospacing="1"/>
            </w:pPr>
            <w:r>
              <w:rPr>
                <w:b/>
                <w:bCs/>
                <w:sz w:val="18"/>
                <w:szCs w:val="18"/>
              </w:rPr>
              <w:t>Evidence strength</w:t>
            </w:r>
          </w:p>
        </w:tc>
        <w:tc>
          <w:tcPr>
            <w:tcW w:w="1902" w:type="dxa"/>
            <w:shd w:val="clear" w:color="auto" w:fill="E8E8E8"/>
            <w:tcMar>
              <w:top w:w="60" w:type="dxa"/>
              <w:left w:w="90" w:type="dxa"/>
              <w:bottom w:w="60" w:type="dxa"/>
              <w:right w:w="90" w:type="dxa"/>
            </w:tcMar>
          </w:tcPr>
          <w:p w14:paraId="434332B6" w14:textId="77777777" w:rsidR="007269E8" w:rsidRDefault="00000000" w:rsidP="00BE1189">
            <w:pPr>
              <w:spacing w:before="100" w:beforeAutospacing="1" w:after="100" w:afterAutospacing="1"/>
            </w:pPr>
            <w:r>
              <w:rPr>
                <w:b/>
                <w:bCs/>
                <w:sz w:val="18"/>
                <w:szCs w:val="18"/>
              </w:rPr>
              <w:t>Key qualification</w:t>
            </w:r>
          </w:p>
        </w:tc>
        <w:tc>
          <w:tcPr>
            <w:tcW w:w="1167" w:type="dxa"/>
            <w:shd w:val="clear" w:color="auto" w:fill="E8E8E8"/>
            <w:tcMar>
              <w:top w:w="60" w:type="dxa"/>
              <w:left w:w="90" w:type="dxa"/>
              <w:bottom w:w="60" w:type="dxa"/>
              <w:right w:w="90" w:type="dxa"/>
            </w:tcMar>
          </w:tcPr>
          <w:p w14:paraId="03FD53ED" w14:textId="77777777" w:rsidR="007269E8" w:rsidRDefault="00000000" w:rsidP="00BE1189">
            <w:pPr>
              <w:spacing w:before="100" w:beforeAutospacing="1" w:after="100" w:afterAutospacing="1"/>
            </w:pPr>
            <w:r>
              <w:rPr>
                <w:b/>
                <w:bCs/>
                <w:sz w:val="18"/>
                <w:szCs w:val="18"/>
              </w:rPr>
              <w:t>Supporting references</w:t>
            </w:r>
          </w:p>
        </w:tc>
      </w:tr>
      <w:tr w:rsidR="007269E8" w14:paraId="1E73CCA9" w14:textId="77777777">
        <w:tc>
          <w:tcPr>
            <w:tcW w:w="1473" w:type="dxa"/>
            <w:tcMar>
              <w:top w:w="60" w:type="dxa"/>
              <w:left w:w="90" w:type="dxa"/>
              <w:bottom w:w="60" w:type="dxa"/>
              <w:right w:w="90" w:type="dxa"/>
            </w:tcMar>
          </w:tcPr>
          <w:p w14:paraId="38AD82B2" w14:textId="77777777" w:rsidR="007269E8" w:rsidRDefault="00000000" w:rsidP="00BE1189">
            <w:pPr>
              <w:spacing w:before="100" w:beforeAutospacing="1" w:after="100" w:afterAutospacing="1"/>
            </w:pPr>
            <w:r>
              <w:rPr>
                <w:sz w:val="18"/>
                <w:szCs w:val="18"/>
              </w:rPr>
              <w:t>Machine authorship label</w:t>
            </w:r>
          </w:p>
        </w:tc>
        <w:tc>
          <w:tcPr>
            <w:tcW w:w="2032" w:type="dxa"/>
            <w:tcMar>
              <w:top w:w="60" w:type="dxa"/>
              <w:left w:w="90" w:type="dxa"/>
              <w:bottom w:w="60" w:type="dxa"/>
              <w:right w:w="90" w:type="dxa"/>
            </w:tcMar>
          </w:tcPr>
          <w:p w14:paraId="737BC05A" w14:textId="77777777" w:rsidR="007269E8" w:rsidRDefault="00000000" w:rsidP="00BE1189">
            <w:pPr>
              <w:spacing w:before="100" w:beforeAutospacing="1" w:after="100" w:afterAutospacing="1"/>
            </w:pPr>
            <w:r>
              <w:rPr>
                <w:sz w:val="18"/>
                <w:szCs w:val="18"/>
              </w:rPr>
              <w:t>Activation of a machine heuristic that alters inferred expertise and trustworthiness</w:t>
            </w:r>
          </w:p>
        </w:tc>
        <w:tc>
          <w:tcPr>
            <w:tcW w:w="1729" w:type="dxa"/>
            <w:tcMar>
              <w:top w:w="60" w:type="dxa"/>
              <w:left w:w="90" w:type="dxa"/>
              <w:bottom w:w="60" w:type="dxa"/>
              <w:right w:w="90" w:type="dxa"/>
            </w:tcMar>
          </w:tcPr>
          <w:p w14:paraId="6D8F26CB" w14:textId="77777777" w:rsidR="007269E8" w:rsidRDefault="00000000" w:rsidP="00BE1189">
            <w:pPr>
              <w:spacing w:before="100" w:beforeAutospacing="1" w:after="100" w:afterAutospacing="1"/>
            </w:pPr>
            <w:r>
              <w:rPr>
                <w:sz w:val="18"/>
                <w:szCs w:val="18"/>
              </w:rPr>
              <w:t>Small negative to null</w:t>
            </w:r>
          </w:p>
        </w:tc>
        <w:tc>
          <w:tcPr>
            <w:tcW w:w="1297" w:type="dxa"/>
            <w:tcMar>
              <w:top w:w="60" w:type="dxa"/>
              <w:left w:w="90" w:type="dxa"/>
              <w:bottom w:w="60" w:type="dxa"/>
              <w:right w:w="90" w:type="dxa"/>
            </w:tcMar>
          </w:tcPr>
          <w:p w14:paraId="27D01B61" w14:textId="77777777" w:rsidR="007269E8" w:rsidRDefault="00000000" w:rsidP="00BE1189">
            <w:pPr>
              <w:spacing w:before="100" w:beforeAutospacing="1" w:after="100" w:afterAutospacing="1"/>
            </w:pPr>
            <w:r>
              <w:rPr>
                <w:sz w:val="18"/>
                <w:szCs w:val="18"/>
              </w:rPr>
              <w:t>Moderate but inconsistent</w:t>
            </w:r>
          </w:p>
        </w:tc>
        <w:tc>
          <w:tcPr>
            <w:tcW w:w="1902" w:type="dxa"/>
            <w:tcMar>
              <w:top w:w="60" w:type="dxa"/>
              <w:left w:w="90" w:type="dxa"/>
              <w:bottom w:w="60" w:type="dxa"/>
              <w:right w:w="90" w:type="dxa"/>
            </w:tcMar>
          </w:tcPr>
          <w:p w14:paraId="75B725C9" w14:textId="77777777" w:rsidR="007269E8" w:rsidRDefault="00000000" w:rsidP="00BE1189">
            <w:pPr>
              <w:spacing w:before="100" w:beforeAutospacing="1" w:after="100" w:afterAutospacing="1"/>
            </w:pPr>
            <w:r>
              <w:rPr>
                <w:sz w:val="18"/>
                <w:szCs w:val="18"/>
              </w:rPr>
              <w:t xml:space="preserve">Meta-analytic penalty is small and conditional; a large systematic review reports </w:t>
            </w:r>
            <w:proofErr w:type="gramStart"/>
            <w:r>
              <w:rPr>
                <w:sz w:val="18"/>
                <w:szCs w:val="18"/>
              </w:rPr>
              <w:t>predominantly null results</w:t>
            </w:r>
            <w:proofErr w:type="gramEnd"/>
          </w:p>
        </w:tc>
        <w:tc>
          <w:tcPr>
            <w:tcW w:w="1167" w:type="dxa"/>
            <w:tcMar>
              <w:top w:w="60" w:type="dxa"/>
              <w:left w:w="90" w:type="dxa"/>
              <w:bottom w:w="60" w:type="dxa"/>
              <w:right w:w="90" w:type="dxa"/>
            </w:tcMar>
          </w:tcPr>
          <w:p w14:paraId="0E319026" w14:textId="77777777" w:rsidR="007269E8" w:rsidRDefault="00000000" w:rsidP="00BE1189">
            <w:pPr>
              <w:spacing w:before="100" w:beforeAutospacing="1" w:after="100" w:afterAutospacing="1"/>
            </w:pPr>
            <w:r>
              <w:rPr>
                <w:sz w:val="18"/>
                <w:szCs w:val="18"/>
              </w:rPr>
              <w:t xml:space="preserve">Waddell (2018); Kim et al. (2026); </w:t>
            </w:r>
            <w:proofErr w:type="spellStart"/>
            <w:r>
              <w:rPr>
                <w:sz w:val="18"/>
                <w:szCs w:val="18"/>
              </w:rPr>
              <w:t>Licenji</w:t>
            </w:r>
            <w:proofErr w:type="spellEnd"/>
            <w:r>
              <w:rPr>
                <w:sz w:val="18"/>
                <w:szCs w:val="18"/>
              </w:rPr>
              <w:t xml:space="preserve"> &amp; Hoxha (2026)</w:t>
            </w:r>
          </w:p>
        </w:tc>
      </w:tr>
      <w:tr w:rsidR="007269E8" w14:paraId="357A0452" w14:textId="77777777">
        <w:tc>
          <w:tcPr>
            <w:tcW w:w="1473" w:type="dxa"/>
            <w:tcMar>
              <w:top w:w="60" w:type="dxa"/>
              <w:left w:w="90" w:type="dxa"/>
              <w:bottom w:w="60" w:type="dxa"/>
              <w:right w:w="90" w:type="dxa"/>
            </w:tcMar>
          </w:tcPr>
          <w:p w14:paraId="5B7F347A" w14:textId="77777777" w:rsidR="007269E8" w:rsidRDefault="00000000" w:rsidP="00BE1189">
            <w:pPr>
              <w:spacing w:before="100" w:beforeAutospacing="1" w:after="100" w:afterAutospacing="1"/>
            </w:pPr>
            <w:r>
              <w:rPr>
                <w:sz w:val="18"/>
                <w:szCs w:val="18"/>
              </w:rPr>
              <w:t>Explicit content label in health or misinformation contexts</w:t>
            </w:r>
          </w:p>
        </w:tc>
        <w:tc>
          <w:tcPr>
            <w:tcW w:w="2032" w:type="dxa"/>
            <w:tcMar>
              <w:top w:w="60" w:type="dxa"/>
              <w:left w:w="90" w:type="dxa"/>
              <w:bottom w:w="60" w:type="dxa"/>
              <w:right w:w="90" w:type="dxa"/>
            </w:tcMar>
          </w:tcPr>
          <w:p w14:paraId="3A0D184B" w14:textId="77777777" w:rsidR="007269E8" w:rsidRDefault="00000000" w:rsidP="00BE1189">
            <w:pPr>
              <w:spacing w:before="100" w:beforeAutospacing="1" w:after="100" w:afterAutospacing="1"/>
            </w:pPr>
            <w:r>
              <w:rPr>
                <w:sz w:val="18"/>
                <w:szCs w:val="18"/>
              </w:rPr>
              <w:t>Signalling of synthetic origin prompting greater scrutiny</w:t>
            </w:r>
          </w:p>
        </w:tc>
        <w:tc>
          <w:tcPr>
            <w:tcW w:w="1729" w:type="dxa"/>
            <w:tcMar>
              <w:top w:w="60" w:type="dxa"/>
              <w:left w:w="90" w:type="dxa"/>
              <w:bottom w:w="60" w:type="dxa"/>
              <w:right w:w="90" w:type="dxa"/>
            </w:tcMar>
          </w:tcPr>
          <w:p w14:paraId="2369C546" w14:textId="77777777" w:rsidR="007269E8" w:rsidRDefault="00000000" w:rsidP="00BE1189">
            <w:pPr>
              <w:spacing w:before="100" w:beforeAutospacing="1" w:after="100" w:afterAutospacing="1"/>
            </w:pPr>
            <w:r>
              <w:rPr>
                <w:sz w:val="18"/>
                <w:szCs w:val="18"/>
              </w:rPr>
              <w:t>Null main effect</w:t>
            </w:r>
          </w:p>
        </w:tc>
        <w:tc>
          <w:tcPr>
            <w:tcW w:w="1297" w:type="dxa"/>
            <w:tcMar>
              <w:top w:w="60" w:type="dxa"/>
              <w:left w:w="90" w:type="dxa"/>
              <w:bottom w:w="60" w:type="dxa"/>
              <w:right w:w="90" w:type="dxa"/>
            </w:tcMar>
          </w:tcPr>
          <w:p w14:paraId="2BC1C19B" w14:textId="77777777" w:rsidR="007269E8" w:rsidRDefault="00000000" w:rsidP="00BE1189">
            <w:pPr>
              <w:spacing w:before="100" w:beforeAutospacing="1" w:after="100" w:afterAutospacing="1"/>
            </w:pPr>
            <w:r>
              <w:rPr>
                <w:sz w:val="18"/>
                <w:szCs w:val="18"/>
              </w:rPr>
              <w:t>Limited, single randomised experiment</w:t>
            </w:r>
          </w:p>
        </w:tc>
        <w:tc>
          <w:tcPr>
            <w:tcW w:w="1902" w:type="dxa"/>
            <w:tcMar>
              <w:top w:w="60" w:type="dxa"/>
              <w:left w:w="90" w:type="dxa"/>
              <w:bottom w:w="60" w:type="dxa"/>
              <w:right w:w="90" w:type="dxa"/>
            </w:tcMar>
          </w:tcPr>
          <w:p w14:paraId="432D3378" w14:textId="77777777" w:rsidR="007269E8" w:rsidRDefault="00000000" w:rsidP="00BE1189">
            <w:pPr>
              <w:spacing w:before="100" w:beforeAutospacing="1" w:after="100" w:afterAutospacing="1"/>
            </w:pPr>
            <w:r>
              <w:rPr>
                <w:sz w:val="18"/>
                <w:szCs w:val="18"/>
              </w:rPr>
              <w:t>Information type rather than the label drove evaluations of accuracy and credibility</w:t>
            </w:r>
          </w:p>
        </w:tc>
        <w:tc>
          <w:tcPr>
            <w:tcW w:w="1167" w:type="dxa"/>
            <w:tcMar>
              <w:top w:w="60" w:type="dxa"/>
              <w:left w:w="90" w:type="dxa"/>
              <w:bottom w:w="60" w:type="dxa"/>
              <w:right w:w="90" w:type="dxa"/>
            </w:tcMar>
          </w:tcPr>
          <w:p w14:paraId="381C6C78" w14:textId="77777777" w:rsidR="007269E8" w:rsidRDefault="00000000" w:rsidP="00BE1189">
            <w:pPr>
              <w:spacing w:before="100" w:beforeAutospacing="1" w:after="100" w:afterAutospacing="1"/>
            </w:pPr>
            <w:r>
              <w:rPr>
                <w:sz w:val="18"/>
                <w:szCs w:val="18"/>
              </w:rPr>
              <w:t>Li &amp; Yang (2024)</w:t>
            </w:r>
          </w:p>
        </w:tc>
      </w:tr>
      <w:tr w:rsidR="007269E8" w14:paraId="171DA6F9" w14:textId="77777777">
        <w:tc>
          <w:tcPr>
            <w:tcW w:w="1473" w:type="dxa"/>
            <w:tcMar>
              <w:top w:w="60" w:type="dxa"/>
              <w:left w:w="90" w:type="dxa"/>
              <w:bottom w:w="60" w:type="dxa"/>
              <w:right w:w="90" w:type="dxa"/>
            </w:tcMar>
          </w:tcPr>
          <w:p w14:paraId="250497A1" w14:textId="77777777" w:rsidR="007269E8" w:rsidRDefault="00000000" w:rsidP="00BE1189">
            <w:pPr>
              <w:spacing w:before="100" w:beforeAutospacing="1" w:after="100" w:afterAutospacing="1"/>
            </w:pPr>
            <w:r>
              <w:rPr>
                <w:sz w:val="18"/>
                <w:szCs w:val="18"/>
              </w:rPr>
              <w:t>Source attribution in persuasive health messaging</w:t>
            </w:r>
          </w:p>
        </w:tc>
        <w:tc>
          <w:tcPr>
            <w:tcW w:w="2032" w:type="dxa"/>
            <w:tcMar>
              <w:top w:w="60" w:type="dxa"/>
              <w:left w:w="90" w:type="dxa"/>
              <w:bottom w:w="60" w:type="dxa"/>
              <w:right w:w="90" w:type="dxa"/>
            </w:tcMar>
          </w:tcPr>
          <w:p w14:paraId="3C39CD29" w14:textId="77777777" w:rsidR="007269E8" w:rsidRDefault="00000000" w:rsidP="00BE1189">
            <w:pPr>
              <w:spacing w:before="100" w:beforeAutospacing="1" w:after="100" w:afterAutospacing="1"/>
            </w:pPr>
            <w:r>
              <w:rPr>
                <w:sz w:val="18"/>
                <w:szCs w:val="18"/>
              </w:rPr>
              <w:t>Expertise inference from human versus machine authorship</w:t>
            </w:r>
          </w:p>
        </w:tc>
        <w:tc>
          <w:tcPr>
            <w:tcW w:w="1729" w:type="dxa"/>
            <w:tcMar>
              <w:top w:w="60" w:type="dxa"/>
              <w:left w:w="90" w:type="dxa"/>
              <w:bottom w:w="60" w:type="dxa"/>
              <w:right w:w="90" w:type="dxa"/>
            </w:tcMar>
          </w:tcPr>
          <w:p w14:paraId="1080774A" w14:textId="77777777" w:rsidR="007269E8" w:rsidRDefault="00000000" w:rsidP="00BE1189">
            <w:pPr>
              <w:spacing w:before="100" w:beforeAutospacing="1" w:after="100" w:afterAutospacing="1"/>
            </w:pPr>
            <w:r>
              <w:rPr>
                <w:sz w:val="18"/>
                <w:szCs w:val="18"/>
              </w:rPr>
              <w:t>Small negative for source credibility only</w:t>
            </w:r>
          </w:p>
        </w:tc>
        <w:tc>
          <w:tcPr>
            <w:tcW w:w="1297" w:type="dxa"/>
            <w:tcMar>
              <w:top w:w="60" w:type="dxa"/>
              <w:left w:w="90" w:type="dxa"/>
              <w:bottom w:w="60" w:type="dxa"/>
              <w:right w:w="90" w:type="dxa"/>
            </w:tcMar>
          </w:tcPr>
          <w:p w14:paraId="2B6CF9BF" w14:textId="77777777" w:rsidR="007269E8" w:rsidRDefault="00000000" w:rsidP="00BE1189">
            <w:pPr>
              <w:spacing w:before="100" w:beforeAutospacing="1" w:after="100" w:afterAutospacing="1"/>
            </w:pPr>
            <w:r>
              <w:rPr>
                <w:sz w:val="18"/>
                <w:szCs w:val="18"/>
              </w:rPr>
              <w:t>Limited, single factorial experiment</w:t>
            </w:r>
          </w:p>
        </w:tc>
        <w:tc>
          <w:tcPr>
            <w:tcW w:w="1902" w:type="dxa"/>
            <w:tcMar>
              <w:top w:w="60" w:type="dxa"/>
              <w:left w:w="90" w:type="dxa"/>
              <w:bottom w:w="60" w:type="dxa"/>
              <w:right w:w="90" w:type="dxa"/>
            </w:tcMar>
          </w:tcPr>
          <w:p w14:paraId="0EB5E024" w14:textId="77777777" w:rsidR="007269E8" w:rsidRDefault="00000000" w:rsidP="00BE1189">
            <w:pPr>
              <w:spacing w:before="100" w:beforeAutospacing="1" w:after="100" w:afterAutospacing="1"/>
            </w:pPr>
            <w:r>
              <w:rPr>
                <w:sz w:val="18"/>
                <w:szCs w:val="18"/>
              </w:rPr>
              <w:t>No effect on risk perception or behavioural intention and no interaction with emotional appeal</w:t>
            </w:r>
          </w:p>
        </w:tc>
        <w:tc>
          <w:tcPr>
            <w:tcW w:w="1167" w:type="dxa"/>
            <w:tcMar>
              <w:top w:w="60" w:type="dxa"/>
              <w:left w:w="90" w:type="dxa"/>
              <w:bottom w:w="60" w:type="dxa"/>
              <w:right w:w="90" w:type="dxa"/>
            </w:tcMar>
          </w:tcPr>
          <w:p w14:paraId="7264910D" w14:textId="77777777" w:rsidR="007269E8" w:rsidRDefault="00000000" w:rsidP="00BE1189">
            <w:pPr>
              <w:spacing w:before="100" w:beforeAutospacing="1" w:after="100" w:afterAutospacing="1"/>
            </w:pPr>
            <w:r>
              <w:rPr>
                <w:sz w:val="18"/>
                <w:szCs w:val="18"/>
              </w:rPr>
              <w:t>Chang et al. (2025)</w:t>
            </w:r>
          </w:p>
        </w:tc>
      </w:tr>
      <w:tr w:rsidR="007269E8" w14:paraId="369B818F" w14:textId="77777777">
        <w:tc>
          <w:tcPr>
            <w:tcW w:w="1473" w:type="dxa"/>
            <w:tcMar>
              <w:top w:w="60" w:type="dxa"/>
              <w:left w:w="90" w:type="dxa"/>
              <w:bottom w:w="60" w:type="dxa"/>
              <w:right w:w="90" w:type="dxa"/>
            </w:tcMar>
          </w:tcPr>
          <w:p w14:paraId="679B4CB0" w14:textId="77777777" w:rsidR="007269E8" w:rsidRDefault="00000000" w:rsidP="00BE1189">
            <w:pPr>
              <w:spacing w:before="100" w:beforeAutospacing="1" w:after="100" w:afterAutospacing="1"/>
            </w:pPr>
            <w:r>
              <w:rPr>
                <w:sz w:val="18"/>
                <w:szCs w:val="18"/>
              </w:rPr>
              <w:t>Exposure to output quality</w:t>
            </w:r>
          </w:p>
        </w:tc>
        <w:tc>
          <w:tcPr>
            <w:tcW w:w="2032" w:type="dxa"/>
            <w:tcMar>
              <w:top w:w="60" w:type="dxa"/>
              <w:left w:w="90" w:type="dxa"/>
              <w:bottom w:w="60" w:type="dxa"/>
              <w:right w:w="90" w:type="dxa"/>
            </w:tcMar>
          </w:tcPr>
          <w:p w14:paraId="4BD9D88C" w14:textId="77777777" w:rsidR="007269E8" w:rsidRDefault="00000000" w:rsidP="00BE1189">
            <w:pPr>
              <w:spacing w:before="100" w:beforeAutospacing="1" w:after="100" w:afterAutospacing="1"/>
            </w:pPr>
            <w:r>
              <w:rPr>
                <w:sz w:val="18"/>
                <w:szCs w:val="18"/>
              </w:rPr>
              <w:t>Replacement of prior expectation with observed performance</w:t>
            </w:r>
          </w:p>
        </w:tc>
        <w:tc>
          <w:tcPr>
            <w:tcW w:w="1729" w:type="dxa"/>
            <w:tcMar>
              <w:top w:w="60" w:type="dxa"/>
              <w:left w:w="90" w:type="dxa"/>
              <w:bottom w:w="60" w:type="dxa"/>
              <w:right w:w="90" w:type="dxa"/>
            </w:tcMar>
          </w:tcPr>
          <w:p w14:paraId="7F55602D" w14:textId="77777777" w:rsidR="007269E8" w:rsidRDefault="00000000" w:rsidP="00BE1189">
            <w:pPr>
              <w:spacing w:before="100" w:beforeAutospacing="1" w:after="100" w:afterAutospacing="1"/>
            </w:pPr>
            <w:r>
              <w:rPr>
                <w:sz w:val="18"/>
                <w:szCs w:val="18"/>
              </w:rPr>
              <w:t>Positive; reduces prior aversion</w:t>
            </w:r>
          </w:p>
        </w:tc>
        <w:tc>
          <w:tcPr>
            <w:tcW w:w="1297" w:type="dxa"/>
            <w:tcMar>
              <w:top w:w="60" w:type="dxa"/>
              <w:left w:w="90" w:type="dxa"/>
              <w:bottom w:w="60" w:type="dxa"/>
              <w:right w:w="90" w:type="dxa"/>
            </w:tcMar>
          </w:tcPr>
          <w:p w14:paraId="09579F14" w14:textId="77777777" w:rsidR="007269E8" w:rsidRDefault="00000000" w:rsidP="00BE1189">
            <w:pPr>
              <w:spacing w:before="100" w:beforeAutospacing="1" w:after="100" w:afterAutospacing="1"/>
            </w:pPr>
            <w:r>
              <w:rPr>
                <w:sz w:val="18"/>
                <w:szCs w:val="18"/>
              </w:rPr>
              <w:t>Limited but preregistered</w:t>
            </w:r>
          </w:p>
        </w:tc>
        <w:tc>
          <w:tcPr>
            <w:tcW w:w="1902" w:type="dxa"/>
            <w:tcMar>
              <w:top w:w="60" w:type="dxa"/>
              <w:left w:w="90" w:type="dxa"/>
              <w:bottom w:w="60" w:type="dxa"/>
              <w:right w:w="90" w:type="dxa"/>
            </w:tcMar>
          </w:tcPr>
          <w:p w14:paraId="017E7825" w14:textId="77777777" w:rsidR="007269E8" w:rsidRDefault="00000000" w:rsidP="00BE1189">
            <w:pPr>
              <w:spacing w:before="100" w:beforeAutospacing="1" w:after="100" w:afterAutospacing="1"/>
            </w:pPr>
            <w:r>
              <w:rPr>
                <w:sz w:val="18"/>
                <w:szCs w:val="18"/>
              </w:rPr>
              <w:t>Demonstrated for ethical rather than medical advice; durability of the shift is untested</w:t>
            </w:r>
          </w:p>
        </w:tc>
        <w:tc>
          <w:tcPr>
            <w:tcW w:w="1167" w:type="dxa"/>
            <w:tcMar>
              <w:top w:w="60" w:type="dxa"/>
              <w:left w:w="90" w:type="dxa"/>
              <w:bottom w:w="60" w:type="dxa"/>
              <w:right w:w="90" w:type="dxa"/>
            </w:tcMar>
          </w:tcPr>
          <w:p w14:paraId="6BD3C78E" w14:textId="77777777" w:rsidR="007269E8" w:rsidRDefault="00000000" w:rsidP="00BE1189">
            <w:pPr>
              <w:spacing w:before="100" w:beforeAutospacing="1" w:after="100" w:afterAutospacing="1"/>
            </w:pPr>
            <w:r>
              <w:rPr>
                <w:sz w:val="18"/>
                <w:szCs w:val="18"/>
              </w:rPr>
              <w:t>Meincke et al. (2026)</w:t>
            </w:r>
          </w:p>
        </w:tc>
      </w:tr>
      <w:tr w:rsidR="007269E8" w14:paraId="2EC6D9CF" w14:textId="77777777">
        <w:tc>
          <w:tcPr>
            <w:tcW w:w="1473" w:type="dxa"/>
            <w:tcMar>
              <w:top w:w="60" w:type="dxa"/>
              <w:left w:w="90" w:type="dxa"/>
              <w:bottom w:w="60" w:type="dxa"/>
              <w:right w:w="90" w:type="dxa"/>
            </w:tcMar>
          </w:tcPr>
          <w:p w14:paraId="06C60A6B" w14:textId="77777777" w:rsidR="007269E8" w:rsidRDefault="00000000" w:rsidP="00BE1189">
            <w:pPr>
              <w:spacing w:before="100" w:beforeAutospacing="1" w:after="100" w:afterAutospacing="1"/>
            </w:pPr>
            <w:r>
              <w:rPr>
                <w:sz w:val="18"/>
                <w:szCs w:val="18"/>
              </w:rPr>
              <w:t>Signalled human oversight</w:t>
            </w:r>
          </w:p>
        </w:tc>
        <w:tc>
          <w:tcPr>
            <w:tcW w:w="2032" w:type="dxa"/>
            <w:tcMar>
              <w:top w:w="60" w:type="dxa"/>
              <w:left w:w="90" w:type="dxa"/>
              <w:bottom w:w="60" w:type="dxa"/>
              <w:right w:w="90" w:type="dxa"/>
            </w:tcMar>
          </w:tcPr>
          <w:p w14:paraId="768A5893" w14:textId="77777777" w:rsidR="007269E8" w:rsidRDefault="00000000" w:rsidP="00BE1189">
            <w:pPr>
              <w:spacing w:before="100" w:beforeAutospacing="1" w:after="100" w:afterAutospacing="1"/>
            </w:pPr>
            <w:r>
              <w:rPr>
                <w:sz w:val="18"/>
                <w:szCs w:val="18"/>
              </w:rPr>
              <w:t>Restoration of an accountable human source</w:t>
            </w:r>
          </w:p>
        </w:tc>
        <w:tc>
          <w:tcPr>
            <w:tcW w:w="1729" w:type="dxa"/>
            <w:tcMar>
              <w:top w:w="60" w:type="dxa"/>
              <w:left w:w="90" w:type="dxa"/>
              <w:bottom w:w="60" w:type="dxa"/>
              <w:right w:w="90" w:type="dxa"/>
            </w:tcMar>
          </w:tcPr>
          <w:p w14:paraId="3474F7F7" w14:textId="77777777" w:rsidR="007269E8" w:rsidRDefault="00000000" w:rsidP="00BE1189">
            <w:pPr>
              <w:spacing w:before="100" w:beforeAutospacing="1" w:after="100" w:afterAutospacing="1"/>
            </w:pPr>
            <w:r>
              <w:rPr>
                <w:sz w:val="18"/>
                <w:szCs w:val="18"/>
              </w:rPr>
              <w:t>Positive or moderating</w:t>
            </w:r>
          </w:p>
        </w:tc>
        <w:tc>
          <w:tcPr>
            <w:tcW w:w="1297" w:type="dxa"/>
            <w:tcMar>
              <w:top w:w="60" w:type="dxa"/>
              <w:left w:w="90" w:type="dxa"/>
              <w:bottom w:w="60" w:type="dxa"/>
              <w:right w:w="90" w:type="dxa"/>
            </w:tcMar>
          </w:tcPr>
          <w:p w14:paraId="06597C40" w14:textId="77777777" w:rsidR="007269E8" w:rsidRDefault="00000000" w:rsidP="00BE1189">
            <w:pPr>
              <w:spacing w:before="100" w:beforeAutospacing="1" w:after="100" w:afterAutospacing="1"/>
            </w:pPr>
            <w:r>
              <w:rPr>
                <w:sz w:val="18"/>
                <w:szCs w:val="18"/>
              </w:rPr>
              <w:t>Moderate</w:t>
            </w:r>
          </w:p>
        </w:tc>
        <w:tc>
          <w:tcPr>
            <w:tcW w:w="1902" w:type="dxa"/>
            <w:tcMar>
              <w:top w:w="60" w:type="dxa"/>
              <w:left w:w="90" w:type="dxa"/>
              <w:bottom w:w="60" w:type="dxa"/>
              <w:right w:w="90" w:type="dxa"/>
            </w:tcMar>
          </w:tcPr>
          <w:p w14:paraId="32005B99" w14:textId="77777777" w:rsidR="007269E8" w:rsidRDefault="00000000" w:rsidP="00BE1189">
            <w:pPr>
              <w:spacing w:before="100" w:beforeAutospacing="1" w:after="100" w:afterAutospacing="1"/>
            </w:pPr>
            <w:r>
              <w:rPr>
                <w:sz w:val="18"/>
                <w:szCs w:val="18"/>
              </w:rPr>
              <w:t>Identified as a moderator in synthesis rather than tested directly in health contexts</w:t>
            </w:r>
          </w:p>
        </w:tc>
        <w:tc>
          <w:tcPr>
            <w:tcW w:w="1167" w:type="dxa"/>
            <w:tcMar>
              <w:top w:w="60" w:type="dxa"/>
              <w:left w:w="90" w:type="dxa"/>
              <w:bottom w:w="60" w:type="dxa"/>
              <w:right w:w="90" w:type="dxa"/>
            </w:tcMar>
          </w:tcPr>
          <w:p w14:paraId="52C6C6D6" w14:textId="77777777" w:rsidR="007269E8" w:rsidRDefault="00000000" w:rsidP="00BE1189">
            <w:pPr>
              <w:spacing w:before="100" w:beforeAutospacing="1" w:after="100" w:afterAutospacing="1"/>
            </w:pPr>
            <w:proofErr w:type="spellStart"/>
            <w:r>
              <w:rPr>
                <w:sz w:val="18"/>
                <w:szCs w:val="18"/>
              </w:rPr>
              <w:t>Licenji</w:t>
            </w:r>
            <w:proofErr w:type="spellEnd"/>
            <w:r>
              <w:rPr>
                <w:sz w:val="18"/>
                <w:szCs w:val="18"/>
              </w:rPr>
              <w:t xml:space="preserve"> &amp; Hoxha (2026); </w:t>
            </w:r>
            <w:proofErr w:type="spellStart"/>
            <w:r>
              <w:rPr>
                <w:sz w:val="18"/>
                <w:szCs w:val="18"/>
              </w:rPr>
              <w:t>Barrison</w:t>
            </w:r>
            <w:proofErr w:type="spellEnd"/>
            <w:r>
              <w:rPr>
                <w:sz w:val="18"/>
                <w:szCs w:val="18"/>
              </w:rPr>
              <w:t xml:space="preserve"> et al. (2026)</w:t>
            </w:r>
          </w:p>
        </w:tc>
      </w:tr>
      <w:tr w:rsidR="007269E8" w14:paraId="72A0DC2D" w14:textId="77777777">
        <w:tc>
          <w:tcPr>
            <w:tcW w:w="1473" w:type="dxa"/>
            <w:tcMar>
              <w:top w:w="60" w:type="dxa"/>
              <w:left w:w="90" w:type="dxa"/>
              <w:bottom w:w="60" w:type="dxa"/>
              <w:right w:w="90" w:type="dxa"/>
            </w:tcMar>
          </w:tcPr>
          <w:p w14:paraId="1D9E9A6A" w14:textId="77777777" w:rsidR="007269E8" w:rsidRDefault="00000000" w:rsidP="00BE1189">
            <w:pPr>
              <w:spacing w:before="100" w:beforeAutospacing="1" w:after="100" w:afterAutospacing="1"/>
            </w:pPr>
            <w:r>
              <w:rPr>
                <w:sz w:val="18"/>
                <w:szCs w:val="18"/>
              </w:rPr>
              <w:t>Anthropomorphic and empathic style</w:t>
            </w:r>
          </w:p>
        </w:tc>
        <w:tc>
          <w:tcPr>
            <w:tcW w:w="2032" w:type="dxa"/>
            <w:tcMar>
              <w:top w:w="60" w:type="dxa"/>
              <w:left w:w="90" w:type="dxa"/>
              <w:bottom w:w="60" w:type="dxa"/>
              <w:right w:w="90" w:type="dxa"/>
            </w:tcMar>
          </w:tcPr>
          <w:p w14:paraId="6896A188" w14:textId="77777777" w:rsidR="007269E8" w:rsidRDefault="00000000" w:rsidP="00BE1189">
            <w:pPr>
              <w:spacing w:before="100" w:beforeAutospacing="1" w:after="100" w:afterAutospacing="1"/>
            </w:pPr>
            <w:r>
              <w:rPr>
                <w:sz w:val="18"/>
                <w:szCs w:val="18"/>
              </w:rPr>
              <w:t>Social presence cues raising perceived warmth and competence</w:t>
            </w:r>
          </w:p>
        </w:tc>
        <w:tc>
          <w:tcPr>
            <w:tcW w:w="1729" w:type="dxa"/>
            <w:tcMar>
              <w:top w:w="60" w:type="dxa"/>
              <w:left w:w="90" w:type="dxa"/>
              <w:bottom w:w="60" w:type="dxa"/>
              <w:right w:w="90" w:type="dxa"/>
            </w:tcMar>
          </w:tcPr>
          <w:p w14:paraId="75BFD41E" w14:textId="77777777" w:rsidR="007269E8" w:rsidRDefault="00000000" w:rsidP="00BE1189">
            <w:pPr>
              <w:spacing w:before="100" w:beforeAutospacing="1" w:after="100" w:afterAutospacing="1"/>
            </w:pPr>
            <w:r>
              <w:rPr>
                <w:sz w:val="18"/>
                <w:szCs w:val="18"/>
              </w:rPr>
              <w:t>Positive</w:t>
            </w:r>
          </w:p>
        </w:tc>
        <w:tc>
          <w:tcPr>
            <w:tcW w:w="1297" w:type="dxa"/>
            <w:tcMar>
              <w:top w:w="60" w:type="dxa"/>
              <w:left w:w="90" w:type="dxa"/>
              <w:bottom w:w="60" w:type="dxa"/>
              <w:right w:w="90" w:type="dxa"/>
            </w:tcMar>
          </w:tcPr>
          <w:p w14:paraId="5B396A73" w14:textId="77777777" w:rsidR="007269E8" w:rsidRDefault="00000000" w:rsidP="00BE1189">
            <w:pPr>
              <w:spacing w:before="100" w:beforeAutospacing="1" w:after="100" w:afterAutospacing="1"/>
            </w:pPr>
            <w:r>
              <w:rPr>
                <w:sz w:val="18"/>
                <w:szCs w:val="18"/>
              </w:rPr>
              <w:t>Moderate and convergent</w:t>
            </w:r>
          </w:p>
        </w:tc>
        <w:tc>
          <w:tcPr>
            <w:tcW w:w="1902" w:type="dxa"/>
            <w:tcMar>
              <w:top w:w="60" w:type="dxa"/>
              <w:left w:w="90" w:type="dxa"/>
              <w:bottom w:w="60" w:type="dxa"/>
              <w:right w:w="90" w:type="dxa"/>
            </w:tcMar>
          </w:tcPr>
          <w:p w14:paraId="44B598D1" w14:textId="77777777" w:rsidR="007269E8" w:rsidRDefault="00000000" w:rsidP="00BE1189">
            <w:pPr>
              <w:spacing w:before="100" w:beforeAutospacing="1" w:after="100" w:afterAutospacing="1"/>
            </w:pPr>
            <w:r>
              <w:rPr>
                <w:sz w:val="18"/>
                <w:szCs w:val="18"/>
              </w:rPr>
              <w:t>Optimising for warmth substantially increases error rates and validation of incorrect beliefs</w:t>
            </w:r>
          </w:p>
        </w:tc>
        <w:tc>
          <w:tcPr>
            <w:tcW w:w="1167" w:type="dxa"/>
            <w:tcMar>
              <w:top w:w="60" w:type="dxa"/>
              <w:left w:w="90" w:type="dxa"/>
              <w:bottom w:w="60" w:type="dxa"/>
              <w:right w:w="90" w:type="dxa"/>
            </w:tcMar>
          </w:tcPr>
          <w:p w14:paraId="05B45801" w14:textId="77777777" w:rsidR="007269E8" w:rsidRDefault="00000000" w:rsidP="00BE1189">
            <w:pPr>
              <w:spacing w:before="100" w:beforeAutospacing="1" w:after="100" w:afterAutospacing="1"/>
            </w:pPr>
            <w:r>
              <w:rPr>
                <w:sz w:val="18"/>
                <w:szCs w:val="18"/>
              </w:rPr>
              <w:t>Go &amp; Sundar (2019); D. Chen et al. (2025); Ibrahim et al. (2026)</w:t>
            </w:r>
          </w:p>
        </w:tc>
      </w:tr>
      <w:tr w:rsidR="007269E8" w14:paraId="32D5F46F" w14:textId="77777777">
        <w:tc>
          <w:tcPr>
            <w:tcW w:w="1473" w:type="dxa"/>
            <w:tcMar>
              <w:top w:w="60" w:type="dxa"/>
              <w:left w:w="90" w:type="dxa"/>
              <w:bottom w:w="60" w:type="dxa"/>
              <w:right w:w="90" w:type="dxa"/>
            </w:tcMar>
          </w:tcPr>
          <w:p w14:paraId="202BA4EF" w14:textId="77777777" w:rsidR="007269E8" w:rsidRDefault="00000000" w:rsidP="00BE1189">
            <w:pPr>
              <w:spacing w:before="100" w:beforeAutospacing="1" w:after="100" w:afterAutospacing="1"/>
            </w:pPr>
            <w:r>
              <w:rPr>
                <w:sz w:val="18"/>
                <w:szCs w:val="18"/>
              </w:rPr>
              <w:t>Citations and guideline references</w:t>
            </w:r>
          </w:p>
        </w:tc>
        <w:tc>
          <w:tcPr>
            <w:tcW w:w="2032" w:type="dxa"/>
            <w:tcMar>
              <w:top w:w="60" w:type="dxa"/>
              <w:left w:w="90" w:type="dxa"/>
              <w:bottom w:w="60" w:type="dxa"/>
              <w:right w:w="90" w:type="dxa"/>
            </w:tcMar>
          </w:tcPr>
          <w:p w14:paraId="45631E98" w14:textId="77777777" w:rsidR="007269E8" w:rsidRDefault="00000000" w:rsidP="00BE1189">
            <w:pPr>
              <w:spacing w:before="100" w:beforeAutospacing="1" w:after="100" w:afterAutospacing="1"/>
            </w:pPr>
            <w:r>
              <w:rPr>
                <w:sz w:val="18"/>
                <w:szCs w:val="18"/>
              </w:rPr>
              <w:t>Verifiability signal implying an external evidential warrant</w:t>
            </w:r>
          </w:p>
        </w:tc>
        <w:tc>
          <w:tcPr>
            <w:tcW w:w="1729" w:type="dxa"/>
            <w:tcMar>
              <w:top w:w="60" w:type="dxa"/>
              <w:left w:w="90" w:type="dxa"/>
              <w:bottom w:w="60" w:type="dxa"/>
              <w:right w:w="90" w:type="dxa"/>
            </w:tcMar>
          </w:tcPr>
          <w:p w14:paraId="069988C9" w14:textId="77777777" w:rsidR="007269E8" w:rsidRDefault="00000000" w:rsidP="00BE1189">
            <w:pPr>
              <w:spacing w:before="100" w:beforeAutospacing="1" w:after="100" w:afterAutospacing="1"/>
            </w:pPr>
            <w:r>
              <w:rPr>
                <w:sz w:val="18"/>
                <w:szCs w:val="18"/>
              </w:rPr>
              <w:t>Positive but unwarranted</w:t>
            </w:r>
          </w:p>
        </w:tc>
        <w:tc>
          <w:tcPr>
            <w:tcW w:w="1297" w:type="dxa"/>
            <w:tcMar>
              <w:top w:w="60" w:type="dxa"/>
              <w:left w:w="90" w:type="dxa"/>
              <w:bottom w:w="60" w:type="dxa"/>
              <w:right w:w="90" w:type="dxa"/>
            </w:tcMar>
          </w:tcPr>
          <w:p w14:paraId="4B213925" w14:textId="77777777" w:rsidR="007269E8" w:rsidRDefault="00000000" w:rsidP="00BE1189">
            <w:pPr>
              <w:spacing w:before="100" w:beforeAutospacing="1" w:after="100" w:afterAutospacing="1"/>
            </w:pPr>
            <w:r>
              <w:rPr>
                <w:sz w:val="18"/>
                <w:szCs w:val="18"/>
              </w:rPr>
              <w:t>Moderate</w:t>
            </w:r>
          </w:p>
        </w:tc>
        <w:tc>
          <w:tcPr>
            <w:tcW w:w="1902" w:type="dxa"/>
            <w:tcMar>
              <w:top w:w="60" w:type="dxa"/>
              <w:left w:w="90" w:type="dxa"/>
              <w:bottom w:w="60" w:type="dxa"/>
              <w:right w:w="90" w:type="dxa"/>
            </w:tcMar>
          </w:tcPr>
          <w:p w14:paraId="549A2E23" w14:textId="77777777" w:rsidR="007269E8" w:rsidRDefault="00000000" w:rsidP="00BE1189">
            <w:pPr>
              <w:spacing w:before="100" w:beforeAutospacing="1" w:after="100" w:afterAutospacing="1"/>
            </w:pPr>
            <w:r>
              <w:rPr>
                <w:sz w:val="18"/>
                <w:szCs w:val="18"/>
              </w:rPr>
              <w:t>Supplied citations are frequently inaccurate or incomplete, decoupling the cue from the property</w:t>
            </w:r>
          </w:p>
        </w:tc>
        <w:tc>
          <w:tcPr>
            <w:tcW w:w="1167" w:type="dxa"/>
            <w:tcMar>
              <w:top w:w="60" w:type="dxa"/>
              <w:left w:w="90" w:type="dxa"/>
              <w:bottom w:w="60" w:type="dxa"/>
              <w:right w:w="90" w:type="dxa"/>
            </w:tcMar>
          </w:tcPr>
          <w:p w14:paraId="39E8CB8F" w14:textId="77777777" w:rsidR="007269E8" w:rsidRDefault="00000000" w:rsidP="00BE1189">
            <w:pPr>
              <w:spacing w:before="100" w:beforeAutospacing="1" w:after="100" w:afterAutospacing="1"/>
            </w:pPr>
            <w:r>
              <w:rPr>
                <w:sz w:val="18"/>
                <w:szCs w:val="18"/>
              </w:rPr>
              <w:t>Tiller et al. (2026); Kelly et al. (2025)</w:t>
            </w:r>
          </w:p>
        </w:tc>
      </w:tr>
      <w:tr w:rsidR="007269E8" w14:paraId="57236799" w14:textId="77777777">
        <w:tc>
          <w:tcPr>
            <w:tcW w:w="1473" w:type="dxa"/>
            <w:tcMar>
              <w:top w:w="60" w:type="dxa"/>
              <w:left w:w="90" w:type="dxa"/>
              <w:bottom w:w="60" w:type="dxa"/>
              <w:right w:w="90" w:type="dxa"/>
            </w:tcMar>
          </w:tcPr>
          <w:p w14:paraId="550F04BD" w14:textId="77777777" w:rsidR="007269E8" w:rsidRDefault="00000000" w:rsidP="00BE1189">
            <w:pPr>
              <w:spacing w:before="100" w:beforeAutospacing="1" w:after="100" w:afterAutospacing="1"/>
            </w:pPr>
            <w:r>
              <w:rPr>
                <w:sz w:val="18"/>
                <w:szCs w:val="18"/>
              </w:rPr>
              <w:t>Presenter persona attributes</w:t>
            </w:r>
          </w:p>
        </w:tc>
        <w:tc>
          <w:tcPr>
            <w:tcW w:w="2032" w:type="dxa"/>
            <w:tcMar>
              <w:top w:w="60" w:type="dxa"/>
              <w:left w:w="90" w:type="dxa"/>
              <w:bottom w:w="60" w:type="dxa"/>
              <w:right w:w="90" w:type="dxa"/>
            </w:tcMar>
          </w:tcPr>
          <w:p w14:paraId="3C35AC43" w14:textId="77777777" w:rsidR="007269E8" w:rsidRDefault="00000000" w:rsidP="00BE1189">
            <w:pPr>
              <w:spacing w:before="100" w:beforeAutospacing="1" w:after="100" w:afterAutospacing="1"/>
            </w:pPr>
            <w:r>
              <w:rPr>
                <w:sz w:val="18"/>
                <w:szCs w:val="18"/>
              </w:rPr>
              <w:t>Transfer of person-based heuristics to a synthetic presenter</w:t>
            </w:r>
          </w:p>
        </w:tc>
        <w:tc>
          <w:tcPr>
            <w:tcW w:w="1729" w:type="dxa"/>
            <w:tcMar>
              <w:top w:w="60" w:type="dxa"/>
              <w:left w:w="90" w:type="dxa"/>
              <w:bottom w:w="60" w:type="dxa"/>
              <w:right w:w="90" w:type="dxa"/>
            </w:tcMar>
          </w:tcPr>
          <w:p w14:paraId="721E6BDD" w14:textId="77777777" w:rsidR="007269E8" w:rsidRDefault="00000000" w:rsidP="00BE1189">
            <w:pPr>
              <w:spacing w:before="100" w:beforeAutospacing="1" w:after="100" w:afterAutospacing="1"/>
            </w:pPr>
            <w:r>
              <w:rPr>
                <w:sz w:val="18"/>
                <w:szCs w:val="18"/>
              </w:rPr>
              <w:t>Follows human heuristics</w:t>
            </w:r>
          </w:p>
        </w:tc>
        <w:tc>
          <w:tcPr>
            <w:tcW w:w="1297" w:type="dxa"/>
            <w:tcMar>
              <w:top w:w="60" w:type="dxa"/>
              <w:left w:w="90" w:type="dxa"/>
              <w:bottom w:w="60" w:type="dxa"/>
              <w:right w:w="90" w:type="dxa"/>
            </w:tcMar>
          </w:tcPr>
          <w:p w14:paraId="141D0236" w14:textId="77777777" w:rsidR="007269E8" w:rsidRDefault="00000000" w:rsidP="00BE1189">
            <w:pPr>
              <w:spacing w:before="100" w:beforeAutospacing="1" w:after="100" w:afterAutospacing="1"/>
            </w:pPr>
            <w:r>
              <w:rPr>
                <w:sz w:val="18"/>
                <w:szCs w:val="18"/>
              </w:rPr>
              <w:t>Limited, single two-phase study</w:t>
            </w:r>
          </w:p>
        </w:tc>
        <w:tc>
          <w:tcPr>
            <w:tcW w:w="1902" w:type="dxa"/>
            <w:tcMar>
              <w:top w:w="60" w:type="dxa"/>
              <w:left w:w="90" w:type="dxa"/>
              <w:bottom w:w="60" w:type="dxa"/>
              <w:right w:w="90" w:type="dxa"/>
            </w:tcMar>
          </w:tcPr>
          <w:p w14:paraId="37EA8E16" w14:textId="77777777" w:rsidR="007269E8" w:rsidRDefault="00000000" w:rsidP="00BE1189">
            <w:pPr>
              <w:spacing w:before="100" w:beforeAutospacing="1" w:after="100" w:afterAutospacing="1"/>
            </w:pPr>
            <w:r>
              <w:rPr>
                <w:sz w:val="18"/>
                <w:szCs w:val="18"/>
              </w:rPr>
              <w:t xml:space="preserve">Age-based credibility preferences persisted in both AI-narrated and </w:t>
            </w:r>
            <w:r>
              <w:rPr>
                <w:sz w:val="18"/>
                <w:szCs w:val="18"/>
              </w:rPr>
              <w:lastRenderedPageBreak/>
              <w:t>human-narrated conditions</w:t>
            </w:r>
          </w:p>
        </w:tc>
        <w:tc>
          <w:tcPr>
            <w:tcW w:w="1167" w:type="dxa"/>
            <w:tcMar>
              <w:top w:w="60" w:type="dxa"/>
              <w:left w:w="90" w:type="dxa"/>
              <w:bottom w:w="60" w:type="dxa"/>
              <w:right w:w="90" w:type="dxa"/>
            </w:tcMar>
          </w:tcPr>
          <w:p w14:paraId="3C59ABDF" w14:textId="77777777" w:rsidR="007269E8" w:rsidRDefault="00000000" w:rsidP="00BE1189">
            <w:pPr>
              <w:spacing w:before="100" w:beforeAutospacing="1" w:after="100" w:afterAutospacing="1"/>
            </w:pPr>
            <w:r>
              <w:rPr>
                <w:sz w:val="18"/>
                <w:szCs w:val="18"/>
              </w:rPr>
              <w:lastRenderedPageBreak/>
              <w:t>T. Liu et al. (2025)</w:t>
            </w:r>
          </w:p>
        </w:tc>
      </w:tr>
    </w:tbl>
    <w:p w14:paraId="044A2D68" w14:textId="77777777" w:rsidR="007269E8" w:rsidRDefault="00000000" w:rsidP="00BE1189">
      <w:pPr>
        <w:spacing w:before="100" w:beforeAutospacing="1" w:after="100" w:afterAutospacing="1"/>
      </w:pPr>
      <w:r>
        <w:rPr>
          <w:i/>
          <w:iCs/>
          <w:sz w:val="19"/>
          <w:szCs w:val="19"/>
        </w:rPr>
        <w:t>Note. AI = artificial intelligence. Direction of effect refers to perceived credibility or trust unless otherwise stated. Evidence strength reflects consistency across independent studies, directness to health contexts and design quality, and is a qualitative judgement rather than a formal grading.</w:t>
      </w:r>
    </w:p>
    <w:p w14:paraId="2CBC9393" w14:textId="77777777" w:rsidR="007269E8" w:rsidRDefault="00000000" w:rsidP="00BE1189">
      <w:pPr>
        <w:pStyle w:val="Heading1"/>
        <w:spacing w:before="100" w:beforeAutospacing="1" w:after="100" w:afterAutospacing="1"/>
      </w:pPr>
      <w:r>
        <w:rPr>
          <w:b/>
          <w:bCs/>
          <w:color w:val="000000"/>
          <w:sz w:val="26"/>
          <w:szCs w:val="26"/>
        </w:rPr>
        <w:t>6. Health Literacy as a Contested Moderator</w:t>
      </w:r>
    </w:p>
    <w:p w14:paraId="597628FF" w14:textId="77777777" w:rsidR="007269E8" w:rsidRDefault="00000000" w:rsidP="00BE1189">
      <w:pPr>
        <w:spacing w:before="100" w:beforeAutospacing="1" w:after="100" w:afterAutospacing="1"/>
        <w:jc w:val="both"/>
      </w:pPr>
      <w:r>
        <w:t>The assumption that health literacy protects against misplaced trust is embedded in policy discourse and in the design of most survey instruments in this field. It is not well supported by the evidence concerning generative systems, and the reasons for its failure are informative rather than merely negative.</w:t>
      </w:r>
    </w:p>
    <w:p w14:paraId="250F9A20" w14:textId="77777777" w:rsidR="007269E8" w:rsidRDefault="00000000" w:rsidP="00BE1189">
      <w:pPr>
        <w:pStyle w:val="Heading2"/>
        <w:spacing w:before="100" w:beforeAutospacing="1" w:after="100" w:afterAutospacing="1"/>
      </w:pPr>
      <w:r>
        <w:rPr>
          <w:b/>
          <w:bCs/>
          <w:i/>
          <w:iCs/>
          <w:color w:val="000000"/>
          <w:sz w:val="24"/>
          <w:szCs w:val="24"/>
        </w:rPr>
        <w:t>6.1 The protective account and its empirical basis</w:t>
      </w:r>
    </w:p>
    <w:p w14:paraId="62988F25" w14:textId="77777777" w:rsidR="007269E8" w:rsidRDefault="00000000" w:rsidP="00BE1189">
      <w:pPr>
        <w:spacing w:before="100" w:beforeAutospacing="1" w:after="100" w:afterAutospacing="1"/>
        <w:jc w:val="both"/>
      </w:pPr>
      <w:r>
        <w:t>The protective account holds that individuals with greater health literacy appraise information more critically, apply evaluation criteria more consistently, and are consequently less susceptible to plausible but unreliable content. Its principal empirical support comes from the pre-generative internet. A systematic review of 38 articles examining the association between low health literacy and the evaluation of online health information found relatively few studies that measured health literacy directly, with most relying on educational level or general literacy as proxies, and reported associations with ability to evaluate, perceived quality, trust and use of evaluation criteria (</w:t>
      </w:r>
      <w:proofErr w:type="spellStart"/>
      <w:r>
        <w:t>Diviani</w:t>
      </w:r>
      <w:proofErr w:type="spellEnd"/>
      <w:r>
        <w:t xml:space="preserve"> et al., 2015). The evidential base was therefore weaker than the frequency of citation implies, and the mechanism was inferred rather than demonstrated. Related work suggests the pathway is partly indirect: health literacy and health-related social media use influenced online health behavioural intentions through self-efficacy, with the association between health literacy and self-efficacy stronger among younger respondents (Niu et al., 2021).</w:t>
      </w:r>
    </w:p>
    <w:p w14:paraId="11B87043" w14:textId="77777777" w:rsidR="007269E8" w:rsidRDefault="00000000" w:rsidP="00BE1189">
      <w:pPr>
        <w:spacing w:before="100" w:beforeAutospacing="1" w:after="100" w:afterAutospacing="1"/>
        <w:jc w:val="both"/>
      </w:pPr>
      <w:r>
        <w:t>Applied to AI-generated content, the protective account predicts a negative association between health literacy and trust, or at least a negative association with indiscriminate trust. The predicted association is largely absent. Health literacy was not a significant predictor of trust in AI-generated health information in any of four nationally representative European samples (Reinhardt et al., 2025), and eHealth literacy was only marginally associated with trust and unrelated to willingness to use in a large representative Czech sample (</w:t>
      </w:r>
      <w:proofErr w:type="spellStart"/>
      <w:r>
        <w:t>Svestkova</w:t>
      </w:r>
      <w:proofErr w:type="spellEnd"/>
      <w:r>
        <w:t xml:space="preserve"> et al., 2025). Where a positive association has been reported, it has come from professional or non-probability samples in which literacy covaries with technology exposure (Z. Chen et al., 2025; Zhu &amp; Ding, 2026). The one experimental test located, in which brief interventions designed to raise algorithm literacy were compared against no intervention, found no effect on attitudes towards chatbots in mental health applications (Grub &amp; Naab, 2026).</w:t>
      </w:r>
    </w:p>
    <w:p w14:paraId="6BB76A71" w14:textId="77777777" w:rsidR="007269E8" w:rsidRDefault="00000000" w:rsidP="00BE1189">
      <w:pPr>
        <w:pStyle w:val="Heading2"/>
        <w:spacing w:before="100" w:beforeAutospacing="1" w:after="100" w:afterAutospacing="1"/>
      </w:pPr>
      <w:r>
        <w:rPr>
          <w:b/>
          <w:bCs/>
          <w:i/>
          <w:iCs/>
          <w:color w:val="000000"/>
          <w:sz w:val="24"/>
          <w:szCs w:val="24"/>
        </w:rPr>
        <w:t>6.2 The amplification account</w:t>
      </w:r>
    </w:p>
    <w:p w14:paraId="767B626A" w14:textId="77777777" w:rsidR="007269E8" w:rsidRDefault="00000000" w:rsidP="00BE1189">
      <w:pPr>
        <w:spacing w:before="100" w:beforeAutospacing="1" w:after="100" w:afterAutospacing="1"/>
        <w:jc w:val="both"/>
      </w:pPr>
      <w:r>
        <w:t>An alternative account holds that literacy increases engagement rather than scepticism. Individuals with higher health and digital literacy seek health information more often, adopt new informational technologies earlier, and are therefore exposed to more AI-generated content, with more opportunities for confident acceptance. The evidence is compatible with this reading. AI literacy and performance expectancy were the consistent positive predictors of trust across four countries (Reinhardt et al., 2025), and AI literacy attenuated privacy concerns across all functional domains in a large Chinese sample, thereby removing a brake on acceptance rather than applying one (Z. Liu et al., 2025). Digital health literacy moderated the relationship between favourable perceptions and seeking intention in the positive direction (Zhu &amp; Ding, 2026).</w:t>
      </w:r>
    </w:p>
    <w:p w14:paraId="767B75F7" w14:textId="77777777" w:rsidR="007269E8" w:rsidRDefault="00000000" w:rsidP="00BE1189">
      <w:pPr>
        <w:spacing w:before="100" w:beforeAutospacing="1" w:after="100" w:afterAutospacing="1"/>
        <w:jc w:val="both"/>
      </w:pPr>
      <w:r>
        <w:lastRenderedPageBreak/>
        <w:t>The amplification account should not be overstated. None of these studies measured whether the confidence of high-literacy users was better calibrated to the accuracy of what they received. It remains entirely possible that literate users trust more and are also more often correct to do so, because they use the systems for tasks where the systems perform well and verify elsewhere. What can be said with reasonable confidence is that health literacy, as currently measured, does not function as a brake on trust in AI-generated health information, and that policy proposals premised on that function lack empirical warrant.</w:t>
      </w:r>
    </w:p>
    <w:p w14:paraId="79696F80" w14:textId="77777777" w:rsidR="007269E8" w:rsidRDefault="00000000" w:rsidP="00BE1189">
      <w:pPr>
        <w:pStyle w:val="Heading2"/>
        <w:spacing w:before="100" w:beforeAutospacing="1" w:after="100" w:afterAutospacing="1"/>
      </w:pPr>
      <w:r>
        <w:rPr>
          <w:b/>
          <w:bCs/>
          <w:i/>
          <w:iCs/>
          <w:color w:val="000000"/>
          <w:sz w:val="24"/>
          <w:szCs w:val="24"/>
        </w:rPr>
        <w:t>6.3 Construct proliferation and the measurement problem</w:t>
      </w:r>
    </w:p>
    <w:p w14:paraId="5CE77B8F" w14:textId="77777777" w:rsidR="007269E8" w:rsidRDefault="00000000" w:rsidP="00BE1189">
      <w:pPr>
        <w:spacing w:before="100" w:beforeAutospacing="1" w:after="100" w:afterAutospacing="1"/>
        <w:jc w:val="both"/>
      </w:pPr>
      <w:r>
        <w:t>The competing accounts cannot presently be adjudicated because the constructs are measured in ways that cannot distinguish them. Three problems are decisive. The dominant instruments assess perceived rather than demonstrated capability; the influential eHealth literacy scale was designed as a measure of self-efficacy in relation to electronic health information (Norman &amp; Skinner, 2006), and a respondent who is confidently wrong scores as literate. The four competencies of the integrative model, namely accessing, understanding, appraising and applying (Sørensen et al., 2012), are almost never measured separately in AI studies, so the specific competency that the technology is hypothesised to degrade is invisible in the data. Finally, the constructs have multiplied without hierarchical specification: health literacy, eHealth literacy, digital health literacy, AI literacy and algorithm literacy appear as interchangeable or overlapping predictors, and the finding that AI literacy predicts trust while health literacy does not may simply mean that a technology-specific measure captures technology exposure while a health-specific measure does not.</w:t>
      </w:r>
    </w:p>
    <w:p w14:paraId="377BF2BE" w14:textId="77777777" w:rsidR="007269E8" w:rsidRDefault="00000000" w:rsidP="00BE1189">
      <w:pPr>
        <w:spacing w:before="100" w:beforeAutospacing="1" w:after="100" w:afterAutospacing="1"/>
        <w:jc w:val="both"/>
      </w:pPr>
      <w:r>
        <w:t>The consequence is visible in the wider literature. A systematic review of AI techniques applied to health literacy found that among eighteen included studies only one incorporated an individual-level health literacy measurement instrument, that organisational health literacy was largely overlooked, and that only five studies involved any participant engagement at all (Abeo et al., 2025). A field that invokes health literacy as its central construct while measuring it in one study in eighteen is not in a position to adjudicate between competing accounts of its role.</w:t>
      </w:r>
    </w:p>
    <w:p w14:paraId="291C3C0A" w14:textId="77777777" w:rsidR="007269E8" w:rsidRDefault="00000000" w:rsidP="00BE1189">
      <w:pPr>
        <w:pStyle w:val="Heading2"/>
        <w:spacing w:before="100" w:beforeAutospacing="1" w:after="100" w:afterAutospacing="1"/>
      </w:pPr>
      <w:r>
        <w:rPr>
          <w:b/>
          <w:bCs/>
          <w:i/>
          <w:iCs/>
          <w:color w:val="000000"/>
          <w:sz w:val="24"/>
          <w:szCs w:val="24"/>
        </w:rPr>
        <w:t>6.4 The comprehension-appraisal gap</w:t>
      </w:r>
    </w:p>
    <w:p w14:paraId="3B381D61" w14:textId="77777777" w:rsidR="007269E8" w:rsidRDefault="00000000" w:rsidP="00BE1189">
      <w:pPr>
        <w:spacing w:before="100" w:beforeAutospacing="1" w:after="100" w:afterAutospacing="1"/>
        <w:jc w:val="both"/>
      </w:pPr>
      <w:r>
        <w:t>Evidence that generative systems improve the comprehensibility of health material is comparatively strong and internally consistent. Comparative evaluation against a validated asthma knowledge instrument found high and statistically indistinguishable accuracy for two widely used models across 54 standardised items (Høj et al., 2025). Reviews of applications in kidney care describe simplification and translation as the most dependable functions (Miao et al., 2025), and a retrieval-augmented chatbot constrained to validated documents produced responses judged largely appropriate by specialists (Kelly et al., 2025). Systematic review evidence confirms that text simplification, readability enhancement, translation and question answering are the tasks to which these systems have been most successfully applied in the health literacy domain (Abeo et al., 2025).</w:t>
      </w:r>
    </w:p>
    <w:p w14:paraId="72CBF298" w14:textId="77777777" w:rsidR="007269E8" w:rsidRDefault="00000000" w:rsidP="00BE1189">
      <w:pPr>
        <w:spacing w:before="100" w:beforeAutospacing="1" w:after="100" w:afterAutospacing="1"/>
        <w:jc w:val="both"/>
      </w:pPr>
      <w:r>
        <w:t>No comparable evidence exists that generative systems improve appraisal. This asymmetry is the central theoretical claim of the present review. The technology reliably raises the accessing and understanding competencies of the integrative model while leaving the appraising competency unaddressed and arguably degraded, since fluent, simplified, well-organised prose removes the register mismatch and hedging that previously signalled to lay readers that a claim was contested. The result is a comprehension-appraisal gap: users understand more of what they read and have less basis for judging whether it is right.</w:t>
      </w:r>
    </w:p>
    <w:p w14:paraId="1526A1B0" w14:textId="77777777" w:rsidR="007269E8" w:rsidRDefault="00000000" w:rsidP="00BE1189">
      <w:pPr>
        <w:spacing w:before="100" w:beforeAutospacing="1" w:after="100" w:afterAutospacing="1"/>
        <w:jc w:val="both"/>
      </w:pPr>
      <w:r>
        <w:t xml:space="preserve">Two consequences follow. First, interventions that improve readability should not be reported as improvements in health literacy without qualification, because they address one competency and not </w:t>
      </w:r>
      <w:r>
        <w:lastRenderedPageBreak/>
        <w:t>the one that governs safe use. Second, the equity case for generative health information, which rests on the genuine benefit to users with limited functional literacy, cannot be assessed without knowing whether those users are also the least able to detect the errors that audits consistently identify. No located study addresses this directly, and it constitutes the single most important gap in the evidence.</w:t>
      </w:r>
    </w:p>
    <w:p w14:paraId="0615A925" w14:textId="77777777" w:rsidR="007269E8" w:rsidRDefault="00000000" w:rsidP="00BE1189">
      <w:pPr>
        <w:pStyle w:val="Heading1"/>
        <w:spacing w:before="100" w:beforeAutospacing="1" w:after="100" w:afterAutospacing="1"/>
      </w:pPr>
      <w:r>
        <w:rPr>
          <w:b/>
          <w:bCs/>
          <w:color w:val="000000"/>
          <w:sz w:val="26"/>
          <w:szCs w:val="26"/>
        </w:rPr>
        <w:t>7. Quality of the Object of Trust and Cross-Cutting Methodological Limitations</w:t>
      </w:r>
    </w:p>
    <w:p w14:paraId="08069981" w14:textId="77777777" w:rsidR="007269E8" w:rsidRDefault="00000000" w:rsidP="00BE1189">
      <w:pPr>
        <w:pStyle w:val="Heading2"/>
        <w:spacing w:before="100" w:beforeAutospacing="1" w:after="100" w:afterAutospacing="1"/>
      </w:pPr>
      <w:r>
        <w:rPr>
          <w:b/>
          <w:bCs/>
          <w:i/>
          <w:iCs/>
          <w:color w:val="000000"/>
          <w:sz w:val="24"/>
          <w:szCs w:val="24"/>
        </w:rPr>
        <w:t>7.1 Accuracy audits and their instability</w:t>
      </w:r>
    </w:p>
    <w:p w14:paraId="003BB206" w14:textId="77777777" w:rsidR="007269E8" w:rsidRDefault="00000000" w:rsidP="00BE1189">
      <w:pPr>
        <w:spacing w:before="100" w:beforeAutospacing="1" w:after="100" w:afterAutospacing="1"/>
        <w:jc w:val="both"/>
      </w:pPr>
      <w:r>
        <w:t>Trust is only interpretable against a known standard of accuracy, and the accuracy literature is large, heterogeneous and unstable. The adversarial audit by Tiller et al. (2026) prompted five widely used chatbots with 50 questions across five domains prone to misinformation and found nearly half of responses problematic, with roughly one in five highly problematic, no significant difference in overall quality between chatbots and one model producing significantly more highly problematic responses than chance would predict. Blinded specialist and lay grading of responses on laryngeal cancer found differences between models in safety and global quality (Ostrowska et al., 2024). Systematic review evidence in orthodontics found accuracy for a single model ranging from approximately 69% to 93% across thirteen studies, with lower and more variable performance for others (Santhosh Kumar et al., 2025).</w:t>
      </w:r>
    </w:p>
    <w:p w14:paraId="0D294096" w14:textId="77777777" w:rsidR="007269E8" w:rsidRDefault="00000000" w:rsidP="00BE1189">
      <w:pPr>
        <w:spacing w:before="100" w:beforeAutospacing="1" w:after="100" w:afterAutospacing="1"/>
        <w:jc w:val="both"/>
      </w:pPr>
      <w:r>
        <w:t>Three features limit what this literature can support. Instruments differ, with DISCERN, global quality scores, bespoke Likert scales and readability indices used interchangeably and rarely validated for generated text. Model versions change continuously, so an audit describes a system that may no longer exist by the time it is published, and few studies report the precise version and testing date with sufficient precision for replication. Prompting is rarely standardised or reported in full, and output varies substantially with phrasing, which means that between-study variation may reflect prompt design as much as model capability. The reasonable conclusion is that accuracy is materially imperfect and highly variable across topics and models, and that no stable accuracy figure can be attached to the category of AI-generated health information as a whole.</w:t>
      </w:r>
    </w:p>
    <w:p w14:paraId="029F7B03" w14:textId="77777777" w:rsidR="007269E8" w:rsidRDefault="00000000" w:rsidP="00BE1189">
      <w:pPr>
        <w:pStyle w:val="Heading2"/>
        <w:spacing w:before="100" w:beforeAutospacing="1" w:after="100" w:afterAutospacing="1"/>
      </w:pPr>
      <w:r>
        <w:rPr>
          <w:b/>
          <w:bCs/>
          <w:i/>
          <w:iCs/>
          <w:color w:val="000000"/>
          <w:sz w:val="24"/>
          <w:szCs w:val="24"/>
        </w:rPr>
        <w:t>7.2 Deliberate misuse and the fragility of safeguards</w:t>
      </w:r>
    </w:p>
    <w:p w14:paraId="3B3ECCA4" w14:textId="77777777" w:rsidR="007269E8" w:rsidRDefault="00000000" w:rsidP="00BE1189">
      <w:pPr>
        <w:spacing w:before="100" w:beforeAutospacing="1" w:after="100" w:afterAutospacing="1"/>
        <w:jc w:val="both"/>
      </w:pPr>
      <w:r>
        <w:t>Beyond incidental error lies deliberate production of health disinformation. Demonstration work established that publicly accessible systems could be induced to generate substantial volumes of persuasive health disinformation complete with fabricated references and testimonials, and argued for vigilance and structural safeguards (Menz et al., 2024). Subsequent cross-sectional evaluation of six consumer-facing platforms found marked heterogeneity in safeguard performance, with two platforms demonstrating complete resistance across all prompt types and four exhibiting substantial vulnerabilities (Modi et al., 2026). Systematic review evidence indicates that generative AI increases the volume, speed and perceived credibility of health disinformation, that users struggle to distinguish AI-generated from human-authored health misinformation, that sharing intentions are not tightly coupled with perceived accuracy, and that detection systems perform poorly against generated content while labelling interventions have context-dependent effects (</w:t>
      </w:r>
      <w:proofErr w:type="spellStart"/>
      <w:r>
        <w:t>Saeidnia</w:t>
      </w:r>
      <w:proofErr w:type="spellEnd"/>
      <w:r>
        <w:t xml:space="preserve"> et al., 2026).</w:t>
      </w:r>
    </w:p>
    <w:p w14:paraId="733D80C1" w14:textId="77777777" w:rsidR="007269E8" w:rsidRDefault="00000000" w:rsidP="00BE1189">
      <w:pPr>
        <w:spacing w:before="100" w:beforeAutospacing="1" w:after="100" w:afterAutospacing="1"/>
        <w:jc w:val="both"/>
      </w:pPr>
      <w:r>
        <w:t>The last of these findings bears directly on the disclosure debate in Section 5. If sharing is not tightly coupled to perceived accuracy, then interventions that shift perceived accuracy will not necessarily shift dissemination, and the policy value of labelling has been assumed rather than demonstrated.</w:t>
      </w:r>
    </w:p>
    <w:p w14:paraId="19815983" w14:textId="77777777" w:rsidR="007269E8" w:rsidRDefault="00000000" w:rsidP="00BE1189">
      <w:pPr>
        <w:pStyle w:val="Heading2"/>
        <w:spacing w:before="100" w:beforeAutospacing="1" w:after="100" w:afterAutospacing="1"/>
      </w:pPr>
      <w:r>
        <w:rPr>
          <w:b/>
          <w:bCs/>
          <w:i/>
          <w:iCs/>
          <w:color w:val="000000"/>
          <w:sz w:val="24"/>
          <w:szCs w:val="24"/>
        </w:rPr>
        <w:t>7.3 The warmth-accuracy trade-off as a structural risk</w:t>
      </w:r>
    </w:p>
    <w:p w14:paraId="1253B190" w14:textId="77777777" w:rsidR="007269E8" w:rsidRDefault="00000000" w:rsidP="00BE1189">
      <w:pPr>
        <w:spacing w:before="100" w:beforeAutospacing="1" w:after="100" w:afterAutospacing="1"/>
        <w:jc w:val="both"/>
      </w:pPr>
      <w:r>
        <w:t xml:space="preserve">The trade-off documented by Ibrahim et al. (2026) deserves separate emphasis because it changes the character of the risk. Incidental error is amenable to engineering improvement, and audits show </w:t>
      </w:r>
      <w:r>
        <w:lastRenderedPageBreak/>
        <w:t xml:space="preserve">meaningful variation between products, implying that better performance is attainable. A systematic relationship in which optimising for warmth degrades accuracy, most sharply when </w:t>
      </w:r>
      <w:proofErr w:type="gramStart"/>
      <w:r>
        <w:t>users</w:t>
      </w:r>
      <w:proofErr w:type="gramEnd"/>
      <w:r>
        <w:t xml:space="preserve"> express vulnerability, is not amenable to the same remedy, because warmth is a deliberate product objective with strong commercial and user-experience justification. The finding that error rates rose by 10 to 30 percentage points while standard benchmark performance was preserved also indicates that current evaluation practice would not detect the problem.</w:t>
      </w:r>
    </w:p>
    <w:p w14:paraId="2FCF92EB" w14:textId="77777777" w:rsidR="007269E8" w:rsidRDefault="00000000" w:rsidP="00BE1189">
      <w:pPr>
        <w:spacing w:before="100" w:beforeAutospacing="1" w:after="100" w:afterAutospacing="1"/>
        <w:jc w:val="both"/>
      </w:pPr>
      <w:r>
        <w:t xml:space="preserve">For public health, the implication is that the population most likely to be harmed is the population most likely to be engaged: users who approach a conversational system in distress, disclose that distress, and receive validation of an incorrect belief delivered in a register that maximises perceived credibility. This is a mechanism-level account of how </w:t>
      </w:r>
      <w:proofErr w:type="spellStart"/>
      <w:r>
        <w:t>miscalibrated</w:t>
      </w:r>
      <w:proofErr w:type="spellEnd"/>
      <w:r>
        <w:t xml:space="preserve"> trust arises, and it does not depend on the user being credulous or poorly informed.</w:t>
      </w:r>
    </w:p>
    <w:p w14:paraId="4943FE4A" w14:textId="77777777" w:rsidR="007269E8" w:rsidRDefault="00000000" w:rsidP="00BE1189">
      <w:pPr>
        <w:pStyle w:val="Heading2"/>
        <w:spacing w:before="100" w:beforeAutospacing="1" w:after="100" w:afterAutospacing="1"/>
      </w:pPr>
      <w:r>
        <w:rPr>
          <w:b/>
          <w:bCs/>
          <w:i/>
          <w:iCs/>
          <w:color w:val="000000"/>
          <w:sz w:val="24"/>
          <w:szCs w:val="24"/>
        </w:rPr>
        <w:t>7.4 Cross-cutting methodological limitations</w:t>
      </w:r>
    </w:p>
    <w:p w14:paraId="507F2A35" w14:textId="77777777" w:rsidR="007269E8" w:rsidRDefault="00000000" w:rsidP="00BE1189">
      <w:pPr>
        <w:spacing w:before="100" w:beforeAutospacing="1" w:after="100" w:afterAutospacing="1"/>
        <w:jc w:val="both"/>
      </w:pPr>
      <w:r>
        <w:t>The limitations identified across the reviewed evidence are summarised in the table below, which also indicates the consequence of each for interpretation and the design features that would address it. The table is presented at this point because the preceding three sections have each encountered the same constraints from different directions, and because the research priorities set out subsequently follow directly from these entries.</w:t>
      </w:r>
    </w:p>
    <w:p w14:paraId="39831E7A" w14:textId="77777777" w:rsidR="007269E8" w:rsidRDefault="00000000" w:rsidP="00BE1189">
      <w:pPr>
        <w:spacing w:before="100" w:beforeAutospacing="1" w:after="100" w:afterAutospacing="1"/>
      </w:pPr>
      <w:r>
        <w:rPr>
          <w:b/>
          <w:bCs/>
          <w:sz w:val="21"/>
          <w:szCs w:val="21"/>
        </w:rPr>
        <w:t>Table 4. Recurrent methodological limitations across the evidence base and their consequences for interpretation</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722"/>
        <w:gridCol w:w="2264"/>
        <w:gridCol w:w="2264"/>
        <w:gridCol w:w="2128"/>
        <w:gridCol w:w="1222"/>
      </w:tblGrid>
      <w:tr w:rsidR="007269E8" w14:paraId="2E1BAD85" w14:textId="77777777">
        <w:trPr>
          <w:tblHeader/>
        </w:trPr>
        <w:tc>
          <w:tcPr>
            <w:tcW w:w="1722" w:type="dxa"/>
            <w:shd w:val="clear" w:color="auto" w:fill="E8E8E8"/>
            <w:tcMar>
              <w:top w:w="60" w:type="dxa"/>
              <w:left w:w="90" w:type="dxa"/>
              <w:bottom w:w="60" w:type="dxa"/>
              <w:right w:w="90" w:type="dxa"/>
            </w:tcMar>
          </w:tcPr>
          <w:p w14:paraId="76350562" w14:textId="77777777" w:rsidR="007269E8" w:rsidRDefault="00000000" w:rsidP="00BE1189">
            <w:pPr>
              <w:spacing w:before="100" w:beforeAutospacing="1" w:after="100" w:afterAutospacing="1"/>
            </w:pPr>
            <w:r>
              <w:rPr>
                <w:b/>
                <w:bCs/>
                <w:sz w:val="18"/>
                <w:szCs w:val="18"/>
              </w:rPr>
              <w:t>Limitation</w:t>
            </w:r>
          </w:p>
        </w:tc>
        <w:tc>
          <w:tcPr>
            <w:tcW w:w="2264" w:type="dxa"/>
            <w:shd w:val="clear" w:color="auto" w:fill="E8E8E8"/>
            <w:tcMar>
              <w:top w:w="60" w:type="dxa"/>
              <w:left w:w="90" w:type="dxa"/>
              <w:bottom w:w="60" w:type="dxa"/>
              <w:right w:w="90" w:type="dxa"/>
            </w:tcMar>
          </w:tcPr>
          <w:p w14:paraId="6B1C8359" w14:textId="77777777" w:rsidR="007269E8" w:rsidRDefault="00000000" w:rsidP="00BE1189">
            <w:pPr>
              <w:spacing w:before="100" w:beforeAutospacing="1" w:after="100" w:afterAutospacing="1"/>
            </w:pPr>
            <w:r>
              <w:rPr>
                <w:b/>
                <w:bCs/>
                <w:sz w:val="18"/>
                <w:szCs w:val="18"/>
              </w:rPr>
              <w:t>Manifestation in the literature</w:t>
            </w:r>
          </w:p>
        </w:tc>
        <w:tc>
          <w:tcPr>
            <w:tcW w:w="2264" w:type="dxa"/>
            <w:shd w:val="clear" w:color="auto" w:fill="E8E8E8"/>
            <w:tcMar>
              <w:top w:w="60" w:type="dxa"/>
              <w:left w:w="90" w:type="dxa"/>
              <w:bottom w:w="60" w:type="dxa"/>
              <w:right w:w="90" w:type="dxa"/>
            </w:tcMar>
          </w:tcPr>
          <w:p w14:paraId="3FE7EC30" w14:textId="77777777" w:rsidR="007269E8" w:rsidRDefault="00000000" w:rsidP="00BE1189">
            <w:pPr>
              <w:spacing w:before="100" w:beforeAutospacing="1" w:after="100" w:afterAutospacing="1"/>
            </w:pPr>
            <w:r>
              <w:rPr>
                <w:b/>
                <w:bCs/>
                <w:sz w:val="18"/>
                <w:szCs w:val="18"/>
              </w:rPr>
              <w:t>Consequence for interpretation</w:t>
            </w:r>
          </w:p>
        </w:tc>
        <w:tc>
          <w:tcPr>
            <w:tcW w:w="2128" w:type="dxa"/>
            <w:shd w:val="clear" w:color="auto" w:fill="E8E8E8"/>
            <w:tcMar>
              <w:top w:w="60" w:type="dxa"/>
              <w:left w:w="90" w:type="dxa"/>
              <w:bottom w:w="60" w:type="dxa"/>
              <w:right w:w="90" w:type="dxa"/>
            </w:tcMar>
          </w:tcPr>
          <w:p w14:paraId="3F5CB4D8" w14:textId="77777777" w:rsidR="007269E8" w:rsidRDefault="00000000" w:rsidP="00BE1189">
            <w:pPr>
              <w:spacing w:before="100" w:beforeAutospacing="1" w:after="100" w:afterAutospacing="1"/>
            </w:pPr>
            <w:r>
              <w:rPr>
                <w:b/>
                <w:bCs/>
                <w:sz w:val="18"/>
                <w:szCs w:val="18"/>
              </w:rPr>
              <w:t>Design feature that would address it</w:t>
            </w:r>
          </w:p>
        </w:tc>
        <w:tc>
          <w:tcPr>
            <w:tcW w:w="1222" w:type="dxa"/>
            <w:shd w:val="clear" w:color="auto" w:fill="E8E8E8"/>
            <w:tcMar>
              <w:top w:w="60" w:type="dxa"/>
              <w:left w:w="90" w:type="dxa"/>
              <w:bottom w:w="60" w:type="dxa"/>
              <w:right w:w="90" w:type="dxa"/>
            </w:tcMar>
          </w:tcPr>
          <w:p w14:paraId="6292A047" w14:textId="77777777" w:rsidR="007269E8" w:rsidRDefault="00000000" w:rsidP="00BE1189">
            <w:pPr>
              <w:spacing w:before="100" w:beforeAutospacing="1" w:after="100" w:afterAutospacing="1"/>
            </w:pPr>
            <w:r>
              <w:rPr>
                <w:b/>
                <w:bCs/>
                <w:sz w:val="18"/>
                <w:szCs w:val="18"/>
              </w:rPr>
              <w:t>Supporting references</w:t>
            </w:r>
          </w:p>
        </w:tc>
      </w:tr>
      <w:tr w:rsidR="007269E8" w14:paraId="0A3E7E04" w14:textId="77777777">
        <w:tc>
          <w:tcPr>
            <w:tcW w:w="1722" w:type="dxa"/>
            <w:tcMar>
              <w:top w:w="60" w:type="dxa"/>
              <w:left w:w="90" w:type="dxa"/>
              <w:bottom w:w="60" w:type="dxa"/>
              <w:right w:w="90" w:type="dxa"/>
            </w:tcMar>
          </w:tcPr>
          <w:p w14:paraId="76DC861A" w14:textId="77777777" w:rsidR="007269E8" w:rsidRDefault="00000000" w:rsidP="00BE1189">
            <w:pPr>
              <w:spacing w:before="100" w:beforeAutospacing="1" w:after="100" w:afterAutospacing="1"/>
            </w:pPr>
            <w:r>
              <w:rPr>
                <w:sz w:val="18"/>
                <w:szCs w:val="18"/>
              </w:rPr>
              <w:t>Dominance of cross-sectional self-report</w:t>
            </w:r>
          </w:p>
        </w:tc>
        <w:tc>
          <w:tcPr>
            <w:tcW w:w="2264" w:type="dxa"/>
            <w:tcMar>
              <w:top w:w="60" w:type="dxa"/>
              <w:left w:w="90" w:type="dxa"/>
              <w:bottom w:w="60" w:type="dxa"/>
              <w:right w:w="90" w:type="dxa"/>
            </w:tcMar>
          </w:tcPr>
          <w:p w14:paraId="05119BE5" w14:textId="77777777" w:rsidR="007269E8" w:rsidRDefault="00000000" w:rsidP="00BE1189">
            <w:pPr>
              <w:spacing w:before="100" w:beforeAutospacing="1" w:after="100" w:afterAutospacing="1"/>
            </w:pPr>
            <w:r>
              <w:rPr>
                <w:sz w:val="18"/>
                <w:szCs w:val="18"/>
              </w:rPr>
              <w:t>Trust, literacy and intention measured simultaneously by questionnaire and analysed with path models</w:t>
            </w:r>
          </w:p>
        </w:tc>
        <w:tc>
          <w:tcPr>
            <w:tcW w:w="2264" w:type="dxa"/>
            <w:tcMar>
              <w:top w:w="60" w:type="dxa"/>
              <w:left w:w="90" w:type="dxa"/>
              <w:bottom w:w="60" w:type="dxa"/>
              <w:right w:w="90" w:type="dxa"/>
            </w:tcMar>
          </w:tcPr>
          <w:p w14:paraId="0F964AD4" w14:textId="77777777" w:rsidR="007269E8" w:rsidRDefault="00000000" w:rsidP="00BE1189">
            <w:pPr>
              <w:spacing w:before="100" w:beforeAutospacing="1" w:after="100" w:afterAutospacing="1"/>
            </w:pPr>
            <w:r>
              <w:rPr>
                <w:sz w:val="18"/>
                <w:szCs w:val="18"/>
              </w:rPr>
              <w:t>Direction of association cannot be established and common method variance is unaddressed</w:t>
            </w:r>
          </w:p>
        </w:tc>
        <w:tc>
          <w:tcPr>
            <w:tcW w:w="2128" w:type="dxa"/>
            <w:tcMar>
              <w:top w:w="60" w:type="dxa"/>
              <w:left w:w="90" w:type="dxa"/>
              <w:bottom w:w="60" w:type="dxa"/>
              <w:right w:w="90" w:type="dxa"/>
            </w:tcMar>
          </w:tcPr>
          <w:p w14:paraId="13C1680E" w14:textId="77777777" w:rsidR="007269E8" w:rsidRDefault="00000000" w:rsidP="00BE1189">
            <w:pPr>
              <w:spacing w:before="100" w:beforeAutospacing="1" w:after="100" w:afterAutospacing="1"/>
            </w:pPr>
            <w:r>
              <w:rPr>
                <w:sz w:val="18"/>
                <w:szCs w:val="18"/>
              </w:rPr>
              <w:t>Longitudinal measurement with objectively recorded outcomes</w:t>
            </w:r>
          </w:p>
        </w:tc>
        <w:tc>
          <w:tcPr>
            <w:tcW w:w="1222" w:type="dxa"/>
            <w:tcMar>
              <w:top w:w="60" w:type="dxa"/>
              <w:left w:w="90" w:type="dxa"/>
              <w:bottom w:w="60" w:type="dxa"/>
              <w:right w:w="90" w:type="dxa"/>
            </w:tcMar>
          </w:tcPr>
          <w:p w14:paraId="7DC1AE09" w14:textId="77777777" w:rsidR="007269E8" w:rsidRDefault="00000000" w:rsidP="00BE1189">
            <w:pPr>
              <w:spacing w:before="100" w:beforeAutospacing="1" w:after="100" w:afterAutospacing="1"/>
            </w:pPr>
            <w:r>
              <w:rPr>
                <w:sz w:val="18"/>
                <w:szCs w:val="18"/>
              </w:rPr>
              <w:t xml:space="preserve">Reinhardt et al. (2025); </w:t>
            </w:r>
            <w:proofErr w:type="spellStart"/>
            <w:r>
              <w:rPr>
                <w:sz w:val="18"/>
                <w:szCs w:val="18"/>
              </w:rPr>
              <w:t>Svestkova</w:t>
            </w:r>
            <w:proofErr w:type="spellEnd"/>
            <w:r>
              <w:rPr>
                <w:sz w:val="18"/>
                <w:szCs w:val="18"/>
              </w:rPr>
              <w:t xml:space="preserve"> et al. (2025); Cai et al. (2026)</w:t>
            </w:r>
          </w:p>
        </w:tc>
      </w:tr>
      <w:tr w:rsidR="007269E8" w14:paraId="0147FCE4" w14:textId="77777777">
        <w:tc>
          <w:tcPr>
            <w:tcW w:w="1722" w:type="dxa"/>
            <w:tcMar>
              <w:top w:w="60" w:type="dxa"/>
              <w:left w:w="90" w:type="dxa"/>
              <w:bottom w:w="60" w:type="dxa"/>
              <w:right w:w="90" w:type="dxa"/>
            </w:tcMar>
          </w:tcPr>
          <w:p w14:paraId="1A7524EA" w14:textId="77777777" w:rsidR="007269E8" w:rsidRDefault="00000000" w:rsidP="00BE1189">
            <w:pPr>
              <w:spacing w:before="100" w:beforeAutospacing="1" w:after="100" w:afterAutospacing="1"/>
            </w:pPr>
            <w:r>
              <w:rPr>
                <w:sz w:val="18"/>
                <w:szCs w:val="18"/>
              </w:rPr>
              <w:t>Absence of calibration measurement</w:t>
            </w:r>
          </w:p>
        </w:tc>
        <w:tc>
          <w:tcPr>
            <w:tcW w:w="2264" w:type="dxa"/>
            <w:tcMar>
              <w:top w:w="60" w:type="dxa"/>
              <w:left w:w="90" w:type="dxa"/>
              <w:bottom w:w="60" w:type="dxa"/>
              <w:right w:w="90" w:type="dxa"/>
            </w:tcMar>
          </w:tcPr>
          <w:p w14:paraId="1B15E719" w14:textId="77777777" w:rsidR="007269E8" w:rsidRDefault="00000000" w:rsidP="00BE1189">
            <w:pPr>
              <w:spacing w:before="100" w:beforeAutospacing="1" w:after="100" w:afterAutospacing="1"/>
            </w:pPr>
            <w:r>
              <w:rPr>
                <w:sz w:val="18"/>
                <w:szCs w:val="18"/>
              </w:rPr>
              <w:t>Trust reported as a level without reference to the accuracy of the content evaluated</w:t>
            </w:r>
          </w:p>
        </w:tc>
        <w:tc>
          <w:tcPr>
            <w:tcW w:w="2264" w:type="dxa"/>
            <w:tcMar>
              <w:top w:w="60" w:type="dxa"/>
              <w:left w:w="90" w:type="dxa"/>
              <w:bottom w:w="60" w:type="dxa"/>
              <w:right w:w="90" w:type="dxa"/>
            </w:tcMar>
          </w:tcPr>
          <w:p w14:paraId="324F6580" w14:textId="77777777" w:rsidR="007269E8" w:rsidRDefault="00000000" w:rsidP="00BE1189">
            <w:pPr>
              <w:spacing w:before="100" w:beforeAutospacing="1" w:after="100" w:afterAutospacing="1"/>
            </w:pPr>
            <w:r>
              <w:rPr>
                <w:sz w:val="18"/>
                <w:szCs w:val="18"/>
              </w:rPr>
              <w:t>High trust cannot be classified as appropriate or misplaced</w:t>
            </w:r>
          </w:p>
        </w:tc>
        <w:tc>
          <w:tcPr>
            <w:tcW w:w="2128" w:type="dxa"/>
            <w:tcMar>
              <w:top w:w="60" w:type="dxa"/>
              <w:left w:w="90" w:type="dxa"/>
              <w:bottom w:w="60" w:type="dxa"/>
              <w:right w:w="90" w:type="dxa"/>
            </w:tcMar>
          </w:tcPr>
          <w:p w14:paraId="2AF5BAEA" w14:textId="77777777" w:rsidR="007269E8" w:rsidRDefault="00000000" w:rsidP="00BE1189">
            <w:pPr>
              <w:spacing w:before="100" w:beforeAutospacing="1" w:after="100" w:afterAutospacing="1"/>
            </w:pPr>
            <w:r>
              <w:rPr>
                <w:sz w:val="18"/>
                <w:szCs w:val="18"/>
              </w:rPr>
              <w:t>Per-item confidence elicited against independently verified accuracy</w:t>
            </w:r>
          </w:p>
        </w:tc>
        <w:tc>
          <w:tcPr>
            <w:tcW w:w="1222" w:type="dxa"/>
            <w:tcMar>
              <w:top w:w="60" w:type="dxa"/>
              <w:left w:w="90" w:type="dxa"/>
              <w:bottom w:w="60" w:type="dxa"/>
              <w:right w:w="90" w:type="dxa"/>
            </w:tcMar>
          </w:tcPr>
          <w:p w14:paraId="30106D90" w14:textId="77777777" w:rsidR="007269E8" w:rsidRDefault="00000000" w:rsidP="00BE1189">
            <w:pPr>
              <w:spacing w:before="100" w:beforeAutospacing="1" w:after="100" w:afterAutospacing="1"/>
            </w:pPr>
            <w:r>
              <w:rPr>
                <w:sz w:val="18"/>
                <w:szCs w:val="18"/>
              </w:rPr>
              <w:t>Nov et al. (2023); Ibrahim et al. (2026)</w:t>
            </w:r>
          </w:p>
        </w:tc>
      </w:tr>
      <w:tr w:rsidR="007269E8" w14:paraId="376F84EB" w14:textId="77777777">
        <w:tc>
          <w:tcPr>
            <w:tcW w:w="1722" w:type="dxa"/>
            <w:tcMar>
              <w:top w:w="60" w:type="dxa"/>
              <w:left w:w="90" w:type="dxa"/>
              <w:bottom w:w="60" w:type="dxa"/>
              <w:right w:w="90" w:type="dxa"/>
            </w:tcMar>
          </w:tcPr>
          <w:p w14:paraId="41BD668F" w14:textId="77777777" w:rsidR="007269E8" w:rsidRDefault="00000000" w:rsidP="00BE1189">
            <w:pPr>
              <w:spacing w:before="100" w:beforeAutospacing="1" w:after="100" w:afterAutospacing="1"/>
            </w:pPr>
            <w:r>
              <w:rPr>
                <w:sz w:val="18"/>
                <w:szCs w:val="18"/>
              </w:rPr>
              <w:t>Conflation of quality with attribution</w:t>
            </w:r>
          </w:p>
        </w:tc>
        <w:tc>
          <w:tcPr>
            <w:tcW w:w="2264" w:type="dxa"/>
            <w:tcMar>
              <w:top w:w="60" w:type="dxa"/>
              <w:left w:w="90" w:type="dxa"/>
              <w:bottom w:w="60" w:type="dxa"/>
              <w:right w:w="90" w:type="dxa"/>
            </w:tcMar>
          </w:tcPr>
          <w:p w14:paraId="1A144A7A" w14:textId="77777777" w:rsidR="007269E8" w:rsidRDefault="00000000" w:rsidP="00BE1189">
            <w:pPr>
              <w:spacing w:before="100" w:beforeAutospacing="1" w:after="100" w:afterAutospacing="1"/>
            </w:pPr>
            <w:r>
              <w:rPr>
                <w:sz w:val="18"/>
                <w:szCs w:val="18"/>
              </w:rPr>
              <w:t>Blinded comparisons and labelled experiments treated as addressing the same question</w:t>
            </w:r>
          </w:p>
        </w:tc>
        <w:tc>
          <w:tcPr>
            <w:tcW w:w="2264" w:type="dxa"/>
            <w:tcMar>
              <w:top w:w="60" w:type="dxa"/>
              <w:left w:w="90" w:type="dxa"/>
              <w:bottom w:w="60" w:type="dxa"/>
              <w:right w:w="90" w:type="dxa"/>
            </w:tcMar>
          </w:tcPr>
          <w:p w14:paraId="1779F70D" w14:textId="77777777" w:rsidR="007269E8" w:rsidRDefault="00000000" w:rsidP="00BE1189">
            <w:pPr>
              <w:spacing w:before="100" w:beforeAutospacing="1" w:after="100" w:afterAutospacing="1"/>
            </w:pPr>
            <w:r>
              <w:rPr>
                <w:sz w:val="18"/>
                <w:szCs w:val="18"/>
              </w:rPr>
              <w:t>Claims that AI advice is trusted more than clinician advice are not supported by either design alone</w:t>
            </w:r>
          </w:p>
        </w:tc>
        <w:tc>
          <w:tcPr>
            <w:tcW w:w="2128" w:type="dxa"/>
            <w:tcMar>
              <w:top w:w="60" w:type="dxa"/>
              <w:left w:w="90" w:type="dxa"/>
              <w:bottom w:w="60" w:type="dxa"/>
              <w:right w:w="90" w:type="dxa"/>
            </w:tcMar>
          </w:tcPr>
          <w:p w14:paraId="3D076133" w14:textId="77777777" w:rsidR="007269E8" w:rsidRDefault="00000000" w:rsidP="00BE1189">
            <w:pPr>
              <w:spacing w:before="100" w:beforeAutospacing="1" w:after="100" w:afterAutospacing="1"/>
            </w:pPr>
            <w:r>
              <w:rPr>
                <w:sz w:val="18"/>
                <w:szCs w:val="18"/>
              </w:rPr>
              <w:t>Factorial crossing of actual authorship with attributed authorship</w:t>
            </w:r>
          </w:p>
        </w:tc>
        <w:tc>
          <w:tcPr>
            <w:tcW w:w="1222" w:type="dxa"/>
            <w:tcMar>
              <w:top w:w="60" w:type="dxa"/>
              <w:left w:w="90" w:type="dxa"/>
              <w:bottom w:w="60" w:type="dxa"/>
              <w:right w:w="90" w:type="dxa"/>
            </w:tcMar>
          </w:tcPr>
          <w:p w14:paraId="5F28B333" w14:textId="77777777" w:rsidR="007269E8" w:rsidRDefault="00000000" w:rsidP="00BE1189">
            <w:pPr>
              <w:spacing w:before="100" w:beforeAutospacing="1" w:after="100" w:afterAutospacing="1"/>
            </w:pPr>
            <w:r>
              <w:rPr>
                <w:sz w:val="18"/>
                <w:szCs w:val="18"/>
              </w:rPr>
              <w:t>Ayers et al. (2023); Prasad et al. (2026); Kim et al. (2026)</w:t>
            </w:r>
          </w:p>
        </w:tc>
      </w:tr>
      <w:tr w:rsidR="007269E8" w14:paraId="5DF9C147" w14:textId="77777777">
        <w:tc>
          <w:tcPr>
            <w:tcW w:w="1722" w:type="dxa"/>
            <w:tcMar>
              <w:top w:w="60" w:type="dxa"/>
              <w:left w:w="90" w:type="dxa"/>
              <w:bottom w:w="60" w:type="dxa"/>
              <w:right w:w="90" w:type="dxa"/>
            </w:tcMar>
          </w:tcPr>
          <w:p w14:paraId="4C4AF999" w14:textId="77777777" w:rsidR="007269E8" w:rsidRDefault="00000000" w:rsidP="00BE1189">
            <w:pPr>
              <w:spacing w:before="100" w:beforeAutospacing="1" w:after="100" w:afterAutospacing="1"/>
            </w:pPr>
            <w:r>
              <w:rPr>
                <w:sz w:val="18"/>
                <w:szCs w:val="18"/>
              </w:rPr>
              <w:t>Self-reported rather than demonstrated literacy</w:t>
            </w:r>
          </w:p>
        </w:tc>
        <w:tc>
          <w:tcPr>
            <w:tcW w:w="2264" w:type="dxa"/>
            <w:tcMar>
              <w:top w:w="60" w:type="dxa"/>
              <w:left w:w="90" w:type="dxa"/>
              <w:bottom w:w="60" w:type="dxa"/>
              <w:right w:w="90" w:type="dxa"/>
            </w:tcMar>
          </w:tcPr>
          <w:p w14:paraId="73562E55" w14:textId="77777777" w:rsidR="007269E8" w:rsidRDefault="00000000" w:rsidP="00BE1189">
            <w:pPr>
              <w:spacing w:before="100" w:beforeAutospacing="1" w:after="100" w:afterAutospacing="1"/>
            </w:pPr>
            <w:r>
              <w:rPr>
                <w:sz w:val="18"/>
                <w:szCs w:val="18"/>
              </w:rPr>
              <w:t>Instruments assessing confidence in handling electronic health information</w:t>
            </w:r>
          </w:p>
        </w:tc>
        <w:tc>
          <w:tcPr>
            <w:tcW w:w="2264" w:type="dxa"/>
            <w:tcMar>
              <w:top w:w="60" w:type="dxa"/>
              <w:left w:w="90" w:type="dxa"/>
              <w:bottom w:w="60" w:type="dxa"/>
              <w:right w:w="90" w:type="dxa"/>
            </w:tcMar>
          </w:tcPr>
          <w:p w14:paraId="4C3C6538" w14:textId="77777777" w:rsidR="007269E8" w:rsidRDefault="00000000" w:rsidP="00BE1189">
            <w:pPr>
              <w:spacing w:before="100" w:beforeAutospacing="1" w:after="100" w:afterAutospacing="1"/>
            </w:pPr>
            <w:r>
              <w:rPr>
                <w:sz w:val="18"/>
                <w:szCs w:val="18"/>
              </w:rPr>
              <w:t>Competence and overconfidence are indistinguishable, weakening tests of the protective account</w:t>
            </w:r>
          </w:p>
        </w:tc>
        <w:tc>
          <w:tcPr>
            <w:tcW w:w="2128" w:type="dxa"/>
            <w:tcMar>
              <w:top w:w="60" w:type="dxa"/>
              <w:left w:w="90" w:type="dxa"/>
              <w:bottom w:w="60" w:type="dxa"/>
              <w:right w:w="90" w:type="dxa"/>
            </w:tcMar>
          </w:tcPr>
          <w:p w14:paraId="4403F660" w14:textId="77777777" w:rsidR="007269E8" w:rsidRDefault="00000000" w:rsidP="00BE1189">
            <w:pPr>
              <w:spacing w:before="100" w:beforeAutospacing="1" w:after="100" w:afterAutospacing="1"/>
            </w:pPr>
            <w:r>
              <w:rPr>
                <w:sz w:val="18"/>
                <w:szCs w:val="18"/>
              </w:rPr>
              <w:t>Performance-based appraisal tasks with planted errors of known severity</w:t>
            </w:r>
          </w:p>
        </w:tc>
        <w:tc>
          <w:tcPr>
            <w:tcW w:w="1222" w:type="dxa"/>
            <w:tcMar>
              <w:top w:w="60" w:type="dxa"/>
              <w:left w:w="90" w:type="dxa"/>
              <w:bottom w:w="60" w:type="dxa"/>
              <w:right w:w="90" w:type="dxa"/>
            </w:tcMar>
          </w:tcPr>
          <w:p w14:paraId="670FA354" w14:textId="77777777" w:rsidR="007269E8" w:rsidRDefault="00000000" w:rsidP="00BE1189">
            <w:pPr>
              <w:spacing w:before="100" w:beforeAutospacing="1" w:after="100" w:afterAutospacing="1"/>
            </w:pPr>
            <w:r>
              <w:rPr>
                <w:sz w:val="18"/>
                <w:szCs w:val="18"/>
              </w:rPr>
              <w:t>Norman &amp; Skinner (2006); Abeo et al. (2025)</w:t>
            </w:r>
          </w:p>
        </w:tc>
      </w:tr>
      <w:tr w:rsidR="007269E8" w14:paraId="01810594" w14:textId="77777777">
        <w:tc>
          <w:tcPr>
            <w:tcW w:w="1722" w:type="dxa"/>
            <w:tcMar>
              <w:top w:w="60" w:type="dxa"/>
              <w:left w:w="90" w:type="dxa"/>
              <w:bottom w:w="60" w:type="dxa"/>
              <w:right w:w="90" w:type="dxa"/>
            </w:tcMar>
          </w:tcPr>
          <w:p w14:paraId="5178B2FC" w14:textId="77777777" w:rsidR="007269E8" w:rsidRDefault="00000000" w:rsidP="00BE1189">
            <w:pPr>
              <w:spacing w:before="100" w:beforeAutospacing="1" w:after="100" w:afterAutospacing="1"/>
            </w:pPr>
            <w:r>
              <w:rPr>
                <w:sz w:val="18"/>
                <w:szCs w:val="18"/>
              </w:rPr>
              <w:t>Unstable evaluation targets</w:t>
            </w:r>
          </w:p>
        </w:tc>
        <w:tc>
          <w:tcPr>
            <w:tcW w:w="2264" w:type="dxa"/>
            <w:tcMar>
              <w:top w:w="60" w:type="dxa"/>
              <w:left w:w="90" w:type="dxa"/>
              <w:bottom w:w="60" w:type="dxa"/>
              <w:right w:w="90" w:type="dxa"/>
            </w:tcMar>
          </w:tcPr>
          <w:p w14:paraId="1E77407F" w14:textId="77777777" w:rsidR="007269E8" w:rsidRDefault="00000000" w:rsidP="00BE1189">
            <w:pPr>
              <w:spacing w:before="100" w:beforeAutospacing="1" w:after="100" w:afterAutospacing="1"/>
            </w:pPr>
            <w:r>
              <w:rPr>
                <w:sz w:val="18"/>
                <w:szCs w:val="18"/>
              </w:rPr>
              <w:t>Model version and prompt wording inconsistently reported in accuracy audits</w:t>
            </w:r>
          </w:p>
        </w:tc>
        <w:tc>
          <w:tcPr>
            <w:tcW w:w="2264" w:type="dxa"/>
            <w:tcMar>
              <w:top w:w="60" w:type="dxa"/>
              <w:left w:w="90" w:type="dxa"/>
              <w:bottom w:w="60" w:type="dxa"/>
              <w:right w:w="90" w:type="dxa"/>
            </w:tcMar>
          </w:tcPr>
          <w:p w14:paraId="5FF1FE88" w14:textId="77777777" w:rsidR="007269E8" w:rsidRDefault="00000000" w:rsidP="00BE1189">
            <w:pPr>
              <w:spacing w:before="100" w:beforeAutospacing="1" w:after="100" w:afterAutospacing="1"/>
            </w:pPr>
            <w:r>
              <w:rPr>
                <w:sz w:val="18"/>
                <w:szCs w:val="18"/>
              </w:rPr>
              <w:t>Findings have uncertain currency and between-study comparison is unsafe</w:t>
            </w:r>
          </w:p>
        </w:tc>
        <w:tc>
          <w:tcPr>
            <w:tcW w:w="2128" w:type="dxa"/>
            <w:tcMar>
              <w:top w:w="60" w:type="dxa"/>
              <w:left w:w="90" w:type="dxa"/>
              <w:bottom w:w="60" w:type="dxa"/>
              <w:right w:w="90" w:type="dxa"/>
            </w:tcMar>
          </w:tcPr>
          <w:p w14:paraId="61BEA2A9" w14:textId="77777777" w:rsidR="007269E8" w:rsidRDefault="00000000" w:rsidP="00BE1189">
            <w:pPr>
              <w:spacing w:before="100" w:beforeAutospacing="1" w:after="100" w:afterAutospacing="1"/>
            </w:pPr>
            <w:r>
              <w:rPr>
                <w:sz w:val="18"/>
                <w:szCs w:val="18"/>
              </w:rPr>
              <w:t>Full reporting of model version, testing date and prompt text with preregistration</w:t>
            </w:r>
          </w:p>
        </w:tc>
        <w:tc>
          <w:tcPr>
            <w:tcW w:w="1222" w:type="dxa"/>
            <w:tcMar>
              <w:top w:w="60" w:type="dxa"/>
              <w:left w:w="90" w:type="dxa"/>
              <w:bottom w:w="60" w:type="dxa"/>
              <w:right w:w="90" w:type="dxa"/>
            </w:tcMar>
          </w:tcPr>
          <w:p w14:paraId="697325E1" w14:textId="77777777" w:rsidR="007269E8" w:rsidRDefault="00000000" w:rsidP="00BE1189">
            <w:pPr>
              <w:spacing w:before="100" w:beforeAutospacing="1" w:after="100" w:afterAutospacing="1"/>
            </w:pPr>
            <w:r>
              <w:rPr>
                <w:sz w:val="18"/>
                <w:szCs w:val="18"/>
              </w:rPr>
              <w:t>Tiller et al. (2026); Santhosh Kumar et al. (2025)</w:t>
            </w:r>
          </w:p>
        </w:tc>
      </w:tr>
      <w:tr w:rsidR="007269E8" w14:paraId="1E427DE7" w14:textId="77777777">
        <w:tc>
          <w:tcPr>
            <w:tcW w:w="1722" w:type="dxa"/>
            <w:tcMar>
              <w:top w:w="60" w:type="dxa"/>
              <w:left w:w="90" w:type="dxa"/>
              <w:bottom w:w="60" w:type="dxa"/>
              <w:right w:w="90" w:type="dxa"/>
            </w:tcMar>
          </w:tcPr>
          <w:p w14:paraId="4DBFB444" w14:textId="77777777" w:rsidR="007269E8" w:rsidRDefault="00000000" w:rsidP="00BE1189">
            <w:pPr>
              <w:spacing w:before="100" w:beforeAutospacing="1" w:after="100" w:afterAutospacing="1"/>
            </w:pPr>
            <w:r>
              <w:rPr>
                <w:sz w:val="18"/>
                <w:szCs w:val="18"/>
              </w:rPr>
              <w:t>Heterogeneous and unvalidated instruments</w:t>
            </w:r>
          </w:p>
        </w:tc>
        <w:tc>
          <w:tcPr>
            <w:tcW w:w="2264" w:type="dxa"/>
            <w:tcMar>
              <w:top w:w="60" w:type="dxa"/>
              <w:left w:w="90" w:type="dxa"/>
              <w:bottom w:w="60" w:type="dxa"/>
              <w:right w:w="90" w:type="dxa"/>
            </w:tcMar>
          </w:tcPr>
          <w:p w14:paraId="4E7362B4" w14:textId="77777777" w:rsidR="007269E8" w:rsidRDefault="00000000" w:rsidP="00BE1189">
            <w:pPr>
              <w:spacing w:before="100" w:beforeAutospacing="1" w:after="100" w:afterAutospacing="1"/>
            </w:pPr>
            <w:r>
              <w:rPr>
                <w:sz w:val="18"/>
                <w:szCs w:val="18"/>
              </w:rPr>
              <w:t>Global quality scores, bespoke Likert scales and readability indices used interchangeably</w:t>
            </w:r>
          </w:p>
        </w:tc>
        <w:tc>
          <w:tcPr>
            <w:tcW w:w="2264" w:type="dxa"/>
            <w:tcMar>
              <w:top w:w="60" w:type="dxa"/>
              <w:left w:w="90" w:type="dxa"/>
              <w:bottom w:w="60" w:type="dxa"/>
              <w:right w:w="90" w:type="dxa"/>
            </w:tcMar>
          </w:tcPr>
          <w:p w14:paraId="3B9E7C11" w14:textId="77777777" w:rsidR="007269E8" w:rsidRDefault="00000000" w:rsidP="00BE1189">
            <w:pPr>
              <w:spacing w:before="100" w:beforeAutospacing="1" w:after="100" w:afterAutospacing="1"/>
            </w:pPr>
            <w:r>
              <w:rPr>
                <w:sz w:val="18"/>
                <w:szCs w:val="18"/>
              </w:rPr>
              <w:t>Quantitative pooling is precluded and effect sizes are not comparable</w:t>
            </w:r>
          </w:p>
        </w:tc>
        <w:tc>
          <w:tcPr>
            <w:tcW w:w="2128" w:type="dxa"/>
            <w:tcMar>
              <w:top w:w="60" w:type="dxa"/>
              <w:left w:w="90" w:type="dxa"/>
              <w:bottom w:w="60" w:type="dxa"/>
              <w:right w:w="90" w:type="dxa"/>
            </w:tcMar>
          </w:tcPr>
          <w:p w14:paraId="4A0A6880" w14:textId="77777777" w:rsidR="007269E8" w:rsidRDefault="00000000" w:rsidP="00BE1189">
            <w:pPr>
              <w:spacing w:before="100" w:beforeAutospacing="1" w:after="100" w:afterAutospacing="1"/>
            </w:pPr>
            <w:r>
              <w:rPr>
                <w:sz w:val="18"/>
                <w:szCs w:val="18"/>
              </w:rPr>
              <w:t>Consensus instruments validated for generated health text</w:t>
            </w:r>
          </w:p>
        </w:tc>
        <w:tc>
          <w:tcPr>
            <w:tcW w:w="1222" w:type="dxa"/>
            <w:tcMar>
              <w:top w:w="60" w:type="dxa"/>
              <w:left w:w="90" w:type="dxa"/>
              <w:bottom w:w="60" w:type="dxa"/>
              <w:right w:w="90" w:type="dxa"/>
            </w:tcMar>
          </w:tcPr>
          <w:p w14:paraId="0C57C58E" w14:textId="77777777" w:rsidR="007269E8" w:rsidRDefault="00000000" w:rsidP="00BE1189">
            <w:pPr>
              <w:spacing w:before="100" w:beforeAutospacing="1" w:after="100" w:afterAutospacing="1"/>
            </w:pPr>
            <w:r>
              <w:rPr>
                <w:sz w:val="18"/>
                <w:szCs w:val="18"/>
              </w:rPr>
              <w:t>Ostrowska et al. (2024); Bautista et al. (2025)</w:t>
            </w:r>
          </w:p>
        </w:tc>
      </w:tr>
      <w:tr w:rsidR="007269E8" w14:paraId="581DD89D" w14:textId="77777777">
        <w:tc>
          <w:tcPr>
            <w:tcW w:w="1722" w:type="dxa"/>
            <w:tcMar>
              <w:top w:w="60" w:type="dxa"/>
              <w:left w:w="90" w:type="dxa"/>
              <w:bottom w:w="60" w:type="dxa"/>
              <w:right w:w="90" w:type="dxa"/>
            </w:tcMar>
          </w:tcPr>
          <w:p w14:paraId="77E4CBED" w14:textId="77777777" w:rsidR="007269E8" w:rsidRDefault="00000000" w:rsidP="00BE1189">
            <w:pPr>
              <w:spacing w:before="100" w:beforeAutospacing="1" w:after="100" w:afterAutospacing="1"/>
            </w:pPr>
            <w:r>
              <w:rPr>
                <w:sz w:val="18"/>
                <w:szCs w:val="18"/>
              </w:rPr>
              <w:lastRenderedPageBreak/>
              <w:t>Geographical and linguistic concentration</w:t>
            </w:r>
          </w:p>
        </w:tc>
        <w:tc>
          <w:tcPr>
            <w:tcW w:w="2264" w:type="dxa"/>
            <w:tcMar>
              <w:top w:w="60" w:type="dxa"/>
              <w:left w:w="90" w:type="dxa"/>
              <w:bottom w:w="60" w:type="dxa"/>
              <w:right w:w="90" w:type="dxa"/>
            </w:tcMar>
          </w:tcPr>
          <w:p w14:paraId="1F70281A" w14:textId="77777777" w:rsidR="007269E8" w:rsidRDefault="00000000" w:rsidP="00BE1189">
            <w:pPr>
              <w:spacing w:before="100" w:beforeAutospacing="1" w:after="100" w:afterAutospacing="1"/>
            </w:pPr>
            <w:r>
              <w:rPr>
                <w:sz w:val="18"/>
                <w:szCs w:val="18"/>
              </w:rPr>
              <w:t>Evidence drawn overwhelmingly from China, Western Europe and North America in English</w:t>
            </w:r>
          </w:p>
        </w:tc>
        <w:tc>
          <w:tcPr>
            <w:tcW w:w="2264" w:type="dxa"/>
            <w:tcMar>
              <w:top w:w="60" w:type="dxa"/>
              <w:left w:w="90" w:type="dxa"/>
              <w:bottom w:w="60" w:type="dxa"/>
              <w:right w:w="90" w:type="dxa"/>
            </w:tcMar>
          </w:tcPr>
          <w:p w14:paraId="2CBF4197" w14:textId="77777777" w:rsidR="007269E8" w:rsidRDefault="00000000" w:rsidP="00BE1189">
            <w:pPr>
              <w:spacing w:before="100" w:beforeAutospacing="1" w:after="100" w:afterAutospacing="1"/>
            </w:pPr>
            <w:r>
              <w:rPr>
                <w:sz w:val="18"/>
                <w:szCs w:val="18"/>
              </w:rPr>
              <w:t>Generalisation to other health systems and languages is unsupported</w:t>
            </w:r>
          </w:p>
        </w:tc>
        <w:tc>
          <w:tcPr>
            <w:tcW w:w="2128" w:type="dxa"/>
            <w:tcMar>
              <w:top w:w="60" w:type="dxa"/>
              <w:left w:w="90" w:type="dxa"/>
              <w:bottom w:w="60" w:type="dxa"/>
              <w:right w:w="90" w:type="dxa"/>
            </w:tcMar>
          </w:tcPr>
          <w:p w14:paraId="40441705" w14:textId="77777777" w:rsidR="007269E8" w:rsidRDefault="00000000" w:rsidP="00BE1189">
            <w:pPr>
              <w:spacing w:before="100" w:beforeAutospacing="1" w:after="100" w:afterAutospacing="1"/>
            </w:pPr>
            <w:r>
              <w:rPr>
                <w:sz w:val="18"/>
                <w:szCs w:val="18"/>
              </w:rPr>
              <w:t>Coordinated multi-country studies with harmonised instruments</w:t>
            </w:r>
          </w:p>
        </w:tc>
        <w:tc>
          <w:tcPr>
            <w:tcW w:w="1222" w:type="dxa"/>
            <w:tcMar>
              <w:top w:w="60" w:type="dxa"/>
              <w:left w:w="90" w:type="dxa"/>
              <w:bottom w:w="60" w:type="dxa"/>
              <w:right w:w="90" w:type="dxa"/>
            </w:tcMar>
          </w:tcPr>
          <w:p w14:paraId="0F33FA81" w14:textId="77777777" w:rsidR="007269E8" w:rsidRDefault="00000000" w:rsidP="00BE1189">
            <w:pPr>
              <w:spacing w:before="100" w:beforeAutospacing="1" w:after="100" w:afterAutospacing="1"/>
            </w:pPr>
            <w:proofErr w:type="spellStart"/>
            <w:r>
              <w:rPr>
                <w:sz w:val="18"/>
                <w:szCs w:val="18"/>
              </w:rPr>
              <w:t>Wiedermann</w:t>
            </w:r>
            <w:proofErr w:type="spellEnd"/>
            <w:r>
              <w:rPr>
                <w:sz w:val="18"/>
                <w:szCs w:val="18"/>
              </w:rPr>
              <w:t xml:space="preserve"> et al. (2026); T. Liu et al. (2026)</w:t>
            </w:r>
          </w:p>
        </w:tc>
      </w:tr>
      <w:tr w:rsidR="007269E8" w14:paraId="3C79C731" w14:textId="77777777">
        <w:tc>
          <w:tcPr>
            <w:tcW w:w="1722" w:type="dxa"/>
            <w:tcMar>
              <w:top w:w="60" w:type="dxa"/>
              <w:left w:w="90" w:type="dxa"/>
              <w:bottom w:w="60" w:type="dxa"/>
              <w:right w:w="90" w:type="dxa"/>
            </w:tcMar>
          </w:tcPr>
          <w:p w14:paraId="0C0BF041" w14:textId="77777777" w:rsidR="007269E8" w:rsidRDefault="00000000" w:rsidP="00BE1189">
            <w:pPr>
              <w:spacing w:before="100" w:beforeAutospacing="1" w:after="100" w:afterAutospacing="1"/>
            </w:pPr>
            <w:r>
              <w:rPr>
                <w:sz w:val="18"/>
                <w:szCs w:val="18"/>
              </w:rPr>
              <w:t>Intention as terminal outcome</w:t>
            </w:r>
          </w:p>
        </w:tc>
        <w:tc>
          <w:tcPr>
            <w:tcW w:w="2264" w:type="dxa"/>
            <w:tcMar>
              <w:top w:w="60" w:type="dxa"/>
              <w:left w:w="90" w:type="dxa"/>
              <w:bottom w:w="60" w:type="dxa"/>
              <w:right w:w="90" w:type="dxa"/>
            </w:tcMar>
          </w:tcPr>
          <w:p w14:paraId="410CB2B3" w14:textId="77777777" w:rsidR="007269E8" w:rsidRDefault="00000000" w:rsidP="00BE1189">
            <w:pPr>
              <w:spacing w:before="100" w:beforeAutospacing="1" w:after="100" w:afterAutospacing="1"/>
            </w:pPr>
            <w:r>
              <w:rPr>
                <w:sz w:val="18"/>
                <w:szCs w:val="18"/>
              </w:rPr>
              <w:t>Behavioural intention reported in place of health service use or self-management behaviour</w:t>
            </w:r>
          </w:p>
        </w:tc>
        <w:tc>
          <w:tcPr>
            <w:tcW w:w="2264" w:type="dxa"/>
            <w:tcMar>
              <w:top w:w="60" w:type="dxa"/>
              <w:left w:w="90" w:type="dxa"/>
              <w:bottom w:w="60" w:type="dxa"/>
              <w:right w:w="90" w:type="dxa"/>
            </w:tcMar>
          </w:tcPr>
          <w:p w14:paraId="1F3042A3" w14:textId="77777777" w:rsidR="007269E8" w:rsidRDefault="00000000" w:rsidP="00BE1189">
            <w:pPr>
              <w:spacing w:before="100" w:beforeAutospacing="1" w:after="100" w:afterAutospacing="1"/>
            </w:pPr>
            <w:r>
              <w:rPr>
                <w:sz w:val="18"/>
                <w:szCs w:val="18"/>
              </w:rPr>
              <w:t>Public health consequences of trust remain essentially unquantified</w:t>
            </w:r>
          </w:p>
        </w:tc>
        <w:tc>
          <w:tcPr>
            <w:tcW w:w="2128" w:type="dxa"/>
            <w:tcMar>
              <w:top w:w="60" w:type="dxa"/>
              <w:left w:w="90" w:type="dxa"/>
              <w:bottom w:w="60" w:type="dxa"/>
              <w:right w:w="90" w:type="dxa"/>
            </w:tcMar>
          </w:tcPr>
          <w:p w14:paraId="1979373E" w14:textId="77777777" w:rsidR="007269E8" w:rsidRDefault="00000000" w:rsidP="00BE1189">
            <w:pPr>
              <w:spacing w:before="100" w:beforeAutospacing="1" w:after="100" w:afterAutospacing="1"/>
            </w:pPr>
            <w:r>
              <w:rPr>
                <w:sz w:val="18"/>
                <w:szCs w:val="18"/>
              </w:rPr>
              <w:t>Administratively verified service contact linked to repeated trust measurement</w:t>
            </w:r>
          </w:p>
        </w:tc>
        <w:tc>
          <w:tcPr>
            <w:tcW w:w="1222" w:type="dxa"/>
            <w:tcMar>
              <w:top w:w="60" w:type="dxa"/>
              <w:left w:w="90" w:type="dxa"/>
              <w:bottom w:w="60" w:type="dxa"/>
              <w:right w:w="90" w:type="dxa"/>
            </w:tcMar>
          </w:tcPr>
          <w:p w14:paraId="5A48F8B3" w14:textId="77777777" w:rsidR="007269E8" w:rsidRDefault="00000000" w:rsidP="00BE1189">
            <w:pPr>
              <w:spacing w:before="100" w:beforeAutospacing="1" w:after="100" w:afterAutospacing="1"/>
            </w:pPr>
            <w:r>
              <w:rPr>
                <w:sz w:val="18"/>
                <w:szCs w:val="18"/>
              </w:rPr>
              <w:t xml:space="preserve">Choudhury &amp; </w:t>
            </w:r>
            <w:proofErr w:type="spellStart"/>
            <w:r>
              <w:rPr>
                <w:sz w:val="18"/>
                <w:szCs w:val="18"/>
              </w:rPr>
              <w:t>Shamszare</w:t>
            </w:r>
            <w:proofErr w:type="spellEnd"/>
            <w:r>
              <w:rPr>
                <w:sz w:val="18"/>
                <w:szCs w:val="18"/>
              </w:rPr>
              <w:t xml:space="preserve"> (2023); Cai et al. (2026)</w:t>
            </w:r>
          </w:p>
        </w:tc>
      </w:tr>
    </w:tbl>
    <w:p w14:paraId="26DB6650" w14:textId="77777777" w:rsidR="007269E8" w:rsidRDefault="00000000" w:rsidP="00BE1189">
      <w:pPr>
        <w:spacing w:before="100" w:beforeAutospacing="1" w:after="100" w:afterAutospacing="1"/>
      </w:pPr>
      <w:r>
        <w:rPr>
          <w:i/>
          <w:iCs/>
          <w:sz w:val="19"/>
          <w:szCs w:val="19"/>
        </w:rPr>
        <w:t>Note. AI = artificial intelligence. Consequences describe the inferential restriction imposed by each limitation rather than a judgement on individual studies.</w:t>
      </w:r>
    </w:p>
    <w:p w14:paraId="49F0D7CA" w14:textId="77777777" w:rsidR="007269E8" w:rsidRDefault="00000000" w:rsidP="00BE1189">
      <w:pPr>
        <w:pStyle w:val="Heading1"/>
        <w:spacing w:before="100" w:beforeAutospacing="1" w:after="100" w:afterAutospacing="1"/>
      </w:pPr>
      <w:r>
        <w:rPr>
          <w:b/>
          <w:bCs/>
          <w:color w:val="000000"/>
          <w:sz w:val="26"/>
          <w:szCs w:val="26"/>
        </w:rPr>
        <w:t>8. Consequences for Behaviour, Equity and Health Systems</w:t>
      </w:r>
    </w:p>
    <w:p w14:paraId="37933A39" w14:textId="77777777" w:rsidR="007269E8" w:rsidRDefault="00000000" w:rsidP="00BE1189">
      <w:pPr>
        <w:pStyle w:val="Heading2"/>
        <w:spacing w:before="100" w:beforeAutospacing="1" w:after="100" w:afterAutospacing="1"/>
      </w:pPr>
      <w:r>
        <w:rPr>
          <w:b/>
          <w:bCs/>
          <w:i/>
          <w:iCs/>
          <w:color w:val="000000"/>
          <w:sz w:val="24"/>
          <w:szCs w:val="24"/>
        </w:rPr>
        <w:t>8.1 From attitudes to behaviour</w:t>
      </w:r>
    </w:p>
    <w:p w14:paraId="262D6E61" w14:textId="77777777" w:rsidR="007269E8" w:rsidRDefault="00000000" w:rsidP="00BE1189">
      <w:pPr>
        <w:spacing w:before="100" w:beforeAutospacing="1" w:after="100" w:afterAutospacing="1"/>
        <w:jc w:val="both"/>
      </w:pPr>
      <w:r>
        <w:t>The link between measured trust and health behaviour is the weakest part of the causal chain assumed throughout this literature. Most studies terminate at intention. The principal exception found that higher AI trust was associated with modestly increased odds of self-reported care delay, with usage frequency partially mediating, in a large convenience sample recruited through social media and hospital portals (Cai et al., 2026). The odds ratio was small, the outcome was binary and self-reported, and the intervention estimates derived from agent-based simulation rather than empirical manipulation. The finding is suggestive rather than probative, and it is currently the best available evidence on a question of considerable public health importance.</w:t>
      </w:r>
    </w:p>
    <w:p w14:paraId="37F058A1" w14:textId="77777777" w:rsidR="007269E8" w:rsidRDefault="00000000" w:rsidP="00BE1189">
      <w:pPr>
        <w:spacing w:before="100" w:beforeAutospacing="1" w:after="100" w:afterAutospacing="1"/>
        <w:jc w:val="both"/>
      </w:pPr>
      <w:r>
        <w:t xml:space="preserve">Contextual evidence complicates the assumption that trust in AI substitutes for trust in clinicians. Trust in health care and online information seeking have followed diverging trajectories, and large language models enter an environment in which institutional trust was already under strain (Heumann &amp; </w:t>
      </w:r>
      <w:proofErr w:type="spellStart"/>
      <w:r>
        <w:t>Steinhubl</w:t>
      </w:r>
      <w:proofErr w:type="spellEnd"/>
      <w:r>
        <w:t>, 2026). Attitudes to AI in health care are better described as conditional acceptance coexisting with limited understanding than as either enthusiasm or rejection (</w:t>
      </w:r>
      <w:proofErr w:type="spellStart"/>
      <w:r>
        <w:t>Wiedermann</w:t>
      </w:r>
      <w:proofErr w:type="spellEnd"/>
      <w:r>
        <w:t xml:space="preserve"> et al., 2026), and qualitative evidence indicates that patients presented with AI-generated communications want disclosure precisely so that clinician accountability is preserved (</w:t>
      </w:r>
      <w:proofErr w:type="spellStart"/>
      <w:r>
        <w:t>Barrison</w:t>
      </w:r>
      <w:proofErr w:type="spellEnd"/>
      <w:r>
        <w:t xml:space="preserve"> et al., 2026). Trust in AI-generated health information may therefore be parasitic on institutional trust rather than competitive with it: users appear willing to accept generated content where a clinician remains answerable for it.</w:t>
      </w:r>
    </w:p>
    <w:p w14:paraId="1A84E6B7" w14:textId="77777777" w:rsidR="007269E8" w:rsidRDefault="00000000" w:rsidP="00BE1189">
      <w:pPr>
        <w:pStyle w:val="Heading2"/>
        <w:spacing w:before="100" w:beforeAutospacing="1" w:after="100" w:afterAutospacing="1"/>
      </w:pPr>
      <w:r>
        <w:rPr>
          <w:b/>
          <w:bCs/>
          <w:i/>
          <w:iCs/>
          <w:color w:val="000000"/>
          <w:sz w:val="24"/>
          <w:szCs w:val="24"/>
        </w:rPr>
        <w:t>8.2 Equity</w:t>
      </w:r>
    </w:p>
    <w:p w14:paraId="7793C63B" w14:textId="77777777" w:rsidR="007269E8" w:rsidRDefault="00000000" w:rsidP="00BE1189">
      <w:pPr>
        <w:spacing w:before="100" w:beforeAutospacing="1" w:after="100" w:afterAutospacing="1"/>
        <w:jc w:val="both"/>
      </w:pPr>
      <w:r>
        <w:t>The equity argument for generative health information is genuine. Systems that simplify, translate and answer at any hour address barriers that health services have failed to remove for decades, and the demonstrated reliability of simplification tasks supports this case (Abeo et al., 2025; Miao et al., 2025). The counter-argument is that benefit and risk may be distributed to the same groups. Users with limited functional literacy gain most from comprehensibility and are least equipped to detect the errors that audits identify, and no located study has measured error detection stratified by literacy in AI-generated health content.</w:t>
      </w:r>
    </w:p>
    <w:p w14:paraId="7B28B7C5" w14:textId="77777777" w:rsidR="007269E8" w:rsidRDefault="00000000" w:rsidP="00BE1189">
      <w:pPr>
        <w:spacing w:before="100" w:beforeAutospacing="1" w:after="100" w:afterAutospacing="1"/>
        <w:jc w:val="both"/>
      </w:pPr>
      <w:r>
        <w:t xml:space="preserve">Population coverage is uneven. A systematic scoping review of multimodal generative AI in older adults' health management identified 28 studies, the great majority published within the preceding two years and over half concerning text-driven conversational agents, with validation reported across cognitive and mental health domains (T. Liu et al., 2026). Evidence concerning users with low digital access, users of languages other than English and populations in low- and middle-income countries is scarce throughout. Since generative systems perform unevenly across languages and their training </w:t>
      </w:r>
      <w:r>
        <w:lastRenderedPageBreak/>
        <w:t>corpora over-represent high-income contexts, the assumption that findings from Chinese, European and North American samples transfer is unsupported.</w:t>
      </w:r>
    </w:p>
    <w:p w14:paraId="641F07F6" w14:textId="77777777" w:rsidR="007269E8" w:rsidRDefault="00000000" w:rsidP="00BE1189">
      <w:pPr>
        <w:pStyle w:val="Heading2"/>
        <w:spacing w:before="100" w:beforeAutospacing="1" w:after="100" w:afterAutospacing="1"/>
      </w:pPr>
      <w:r>
        <w:rPr>
          <w:b/>
          <w:bCs/>
          <w:i/>
          <w:iCs/>
          <w:color w:val="000000"/>
          <w:sz w:val="24"/>
          <w:szCs w:val="24"/>
        </w:rPr>
        <w:t>8.3 Governance and the accountability gap</w:t>
      </w:r>
    </w:p>
    <w:p w14:paraId="15814AE7" w14:textId="77777777" w:rsidR="007269E8" w:rsidRDefault="00000000" w:rsidP="00BE1189">
      <w:pPr>
        <w:spacing w:before="100" w:beforeAutospacing="1" w:after="100" w:afterAutospacing="1"/>
        <w:jc w:val="both"/>
      </w:pPr>
      <w:r>
        <w:t>Guidance from the World Health Organization on the ethics and governance of large multi-modal models in health identifies the generation of false, inaccurate, biased or incomplete information as a principal risk to those who use such systems to make decisions about their health, and sets out obligations distributed across governments, developers, providers and deployers, including transparency, oversight and liability arrangements (World Health Organization, 2024). Two features of the present evidence complicate implementation.</w:t>
      </w:r>
    </w:p>
    <w:p w14:paraId="1C232DED" w14:textId="77777777" w:rsidR="007269E8" w:rsidRDefault="00000000" w:rsidP="00BE1189">
      <w:pPr>
        <w:spacing w:before="100" w:beforeAutospacing="1" w:after="100" w:afterAutospacing="1"/>
        <w:jc w:val="both"/>
      </w:pPr>
      <w:r>
        <w:t xml:space="preserve">First, disclosure obligations, which are the most commonly proposed instrument, rest on an assumed credibility penalty that the evidence does not consistently support, and on an assumed link between perceived accuracy and sharing that systematic review evidence contradicts (Kim et al., 2026; </w:t>
      </w:r>
      <w:proofErr w:type="spellStart"/>
      <w:r>
        <w:t>Licenji</w:t>
      </w:r>
      <w:proofErr w:type="spellEnd"/>
      <w:r>
        <w:t xml:space="preserve"> &amp; Hoxha, 2026; </w:t>
      </w:r>
      <w:proofErr w:type="spellStart"/>
      <w:r>
        <w:t>Saeidnia</w:t>
      </w:r>
      <w:proofErr w:type="spellEnd"/>
      <w:r>
        <w:t xml:space="preserve"> et al., 2026). Where disclosure has been examined qualitatively, current statements were interpreted inconsistently and frequently failed to convey that AI had been used (</w:t>
      </w:r>
      <w:proofErr w:type="spellStart"/>
      <w:r>
        <w:t>Barrison</w:t>
      </w:r>
      <w:proofErr w:type="spellEnd"/>
      <w:r>
        <w:t xml:space="preserve"> et al., 2026). Disclosure remains defensible on autonomy grounds, and patients want it, but it should not be represented as a demonstrated protective intervention.</w:t>
      </w:r>
    </w:p>
    <w:p w14:paraId="0CA5A4CF" w14:textId="77777777" w:rsidR="007269E8" w:rsidRDefault="00000000" w:rsidP="00BE1189">
      <w:pPr>
        <w:spacing w:before="100" w:beforeAutospacing="1" w:after="100" w:afterAutospacing="1"/>
        <w:jc w:val="both"/>
      </w:pPr>
      <w:r>
        <w:t>Second, the accountability gap is structural. Users cannot identify which system produced an answer, which corpus informed it, whether retrieval augmentation constrained it, or which entity would be answerable if it were wrong. Retrieval-augmented designs that attribute sources to curated documents shift accountability to an identifiable curator (Kelly et al., 2025), which is more tractable than governing model behaviour directly, but confers no visible signal at the interface distinguishing such systems from unconstrained ones. Until provenance is machine-verifiable and legible to lay users, source credibility judgement in this domain rests on cues that can be manufactured.</w:t>
      </w:r>
    </w:p>
    <w:p w14:paraId="49B04628" w14:textId="77777777" w:rsidR="007269E8" w:rsidRDefault="00000000" w:rsidP="00BE1189">
      <w:pPr>
        <w:pStyle w:val="Heading1"/>
        <w:spacing w:before="100" w:beforeAutospacing="1" w:after="100" w:afterAutospacing="1"/>
      </w:pPr>
      <w:r>
        <w:rPr>
          <w:b/>
          <w:bCs/>
          <w:color w:val="000000"/>
          <w:sz w:val="26"/>
          <w:szCs w:val="26"/>
        </w:rPr>
        <w:t>9. Future Directions</w:t>
      </w:r>
    </w:p>
    <w:p w14:paraId="0A8045C6" w14:textId="77777777" w:rsidR="007269E8" w:rsidRDefault="00000000" w:rsidP="00BE1189">
      <w:pPr>
        <w:spacing w:before="100" w:beforeAutospacing="1" w:after="100" w:afterAutospacing="1"/>
        <w:jc w:val="both"/>
      </w:pPr>
      <w:r>
        <w:t>The priorities set out below follow from the specific inferential restrictions identified in Sections 4 to 7 rather than from a general call for more research. They are ordered by the degree to which resolving them would unblock other questions, and they are distinguished into work that could be undertaken immediately with existing methods and work requiring infrastructure that does not yet exist.</w:t>
      </w:r>
    </w:p>
    <w:p w14:paraId="76017D37" w14:textId="77777777" w:rsidR="007269E8" w:rsidRDefault="00000000" w:rsidP="00BE1189">
      <w:pPr>
        <w:pStyle w:val="Heading2"/>
        <w:spacing w:before="100" w:beforeAutospacing="1" w:after="100" w:afterAutospacing="1"/>
      </w:pPr>
      <w:r>
        <w:rPr>
          <w:b/>
          <w:bCs/>
          <w:i/>
          <w:iCs/>
          <w:color w:val="000000"/>
          <w:sz w:val="24"/>
          <w:szCs w:val="24"/>
        </w:rPr>
        <w:t>9.1 Replace trust magnitude with trust calibration as the primary outcome</w:t>
      </w:r>
    </w:p>
    <w:p w14:paraId="322DA157" w14:textId="77777777" w:rsidR="007269E8" w:rsidRDefault="00000000" w:rsidP="00BE1189">
      <w:pPr>
        <w:spacing w:before="100" w:beforeAutospacing="1" w:after="100" w:afterAutospacing="1"/>
        <w:jc w:val="both"/>
      </w:pPr>
      <w:r>
        <w:t xml:space="preserve">The unresolved problem is that a decade of survey research has established how much people trust AI-generated health information without establishing whether that trust is warranted for the specific content received. Current evidence is inadequate because trust and accuracy are measured in separate literatures using separate designs, so no study can say whether a high-trust respondent was trusting an accurate answer. The appropriate design is an experiment in which participants evaluate a set of AI-generated health outputs of independently verified and deliberately varied accuracy, with confidence elicited per item, allowing computation of discrimination between accurate and inaccurate content and of over- or under-confidence. Populations should include adults with a range of health literacy levels and users of high-stakes and low-stakes health topics, with outcome measures reporting calibration statistics rather than mean trust. Such studies are feasible immediately and require no new instrumentation. Their policy value is direct, since a disclosure or literacy intervention can only be evaluated properly against a calibration outcome, and the current inability to do so is why the labelling debate remains unresolved (Kim et al., 2026; Li &amp; Yang, 2024; </w:t>
      </w:r>
      <w:proofErr w:type="spellStart"/>
      <w:r>
        <w:t>Licenji</w:t>
      </w:r>
      <w:proofErr w:type="spellEnd"/>
      <w:r>
        <w:t xml:space="preserve"> &amp; Hoxha, 2026).</w:t>
      </w:r>
    </w:p>
    <w:p w14:paraId="1B9351E9" w14:textId="77777777" w:rsidR="007269E8" w:rsidRDefault="00000000" w:rsidP="00BE1189">
      <w:pPr>
        <w:pStyle w:val="Heading2"/>
        <w:spacing w:before="100" w:beforeAutospacing="1" w:after="100" w:afterAutospacing="1"/>
      </w:pPr>
      <w:r>
        <w:rPr>
          <w:b/>
          <w:bCs/>
          <w:i/>
          <w:iCs/>
          <w:color w:val="000000"/>
          <w:sz w:val="24"/>
          <w:szCs w:val="24"/>
        </w:rPr>
        <w:t>9.2 Measure appraisal competence by performance rather than self-report</w:t>
      </w:r>
    </w:p>
    <w:p w14:paraId="7DBA202C" w14:textId="77777777" w:rsidR="007269E8" w:rsidRDefault="00000000" w:rsidP="00BE1189">
      <w:pPr>
        <w:spacing w:before="100" w:beforeAutospacing="1" w:after="100" w:afterAutospacing="1"/>
        <w:jc w:val="both"/>
      </w:pPr>
      <w:r>
        <w:lastRenderedPageBreak/>
        <w:t xml:space="preserve">The unresolved problem is whether health literacy protects, is irrelevant, or amplifies confidence in generative environments. Current evidence is inadequate because the dominant instruments measure perceived capability (Norman &amp; Skinner, 2006) and because the appraising competency of the integrative model is not measured separately from understanding (Sørensen et al., 2012). The methodological improvement required is a performance-based appraisal task in which respondents evaluate AI-generated health content containing planted errors of known type and severity, scored against a specialist standard, and administered alongside conventional self-report scales so that the two can be compared. The relevant population is the general adult public with stratification by education and digital access, and the appropriate scale is a nationally representative sample in at least two contrasting health systems. This would resolve directly whether the null findings for health literacy reflect an absent relationship or an inadequate measure (Reinhardt et al., 2025; </w:t>
      </w:r>
      <w:proofErr w:type="spellStart"/>
      <w:r>
        <w:t>Svestkova</w:t>
      </w:r>
      <w:proofErr w:type="spellEnd"/>
      <w:r>
        <w:t xml:space="preserve"> et al., 2025), and would permit the equity question in Section 8.2 to be answered.</w:t>
      </w:r>
    </w:p>
    <w:p w14:paraId="68713197" w14:textId="77777777" w:rsidR="007269E8" w:rsidRDefault="00000000" w:rsidP="00BE1189">
      <w:pPr>
        <w:pStyle w:val="Heading2"/>
        <w:spacing w:before="100" w:beforeAutospacing="1" w:after="100" w:afterAutospacing="1"/>
      </w:pPr>
      <w:r>
        <w:rPr>
          <w:b/>
          <w:bCs/>
          <w:i/>
          <w:iCs/>
          <w:color w:val="000000"/>
          <w:sz w:val="24"/>
          <w:szCs w:val="24"/>
        </w:rPr>
        <w:t>9.3 Separate content manipulation from label manipulation by design</w:t>
      </w:r>
    </w:p>
    <w:p w14:paraId="59886690" w14:textId="77777777" w:rsidR="007269E8" w:rsidRDefault="00000000" w:rsidP="00BE1189">
      <w:pPr>
        <w:spacing w:before="100" w:beforeAutospacing="1" w:after="100" w:afterAutospacing="1"/>
        <w:jc w:val="both"/>
      </w:pPr>
      <w:r>
        <w:t>The unresolved problem is the conflation of message quality with source attribution described in Section 5.1. Current evidence is inadequate because blinded comparisons and labelled experiments are conducted separately and their results are then combined rhetorically. The appropriate design is a factorial experiment crossing actual authorship, which may be clinician-written or AI-generated, with attributed authorship, using health content of matched and independently verified quality, and measuring both credibility and behavioural intention. This design would isolate the label effect from the quality effect and would establish whether the moderation by actual authorship identified in news contexts (Kim et al., 2026) holds in health contexts, where the existing single relevant study found a credibility difference without downstream behavioural consequences (Chang et al., 2025).</w:t>
      </w:r>
    </w:p>
    <w:p w14:paraId="60D3940D" w14:textId="77777777" w:rsidR="007269E8" w:rsidRDefault="00000000" w:rsidP="00BE1189">
      <w:pPr>
        <w:pStyle w:val="Heading2"/>
        <w:spacing w:before="100" w:beforeAutospacing="1" w:after="100" w:afterAutospacing="1"/>
      </w:pPr>
      <w:r>
        <w:rPr>
          <w:b/>
          <w:bCs/>
          <w:i/>
          <w:iCs/>
          <w:color w:val="000000"/>
          <w:sz w:val="24"/>
          <w:szCs w:val="24"/>
        </w:rPr>
        <w:t>9.4 Establish longitudinal links between trust and verified health behaviour</w:t>
      </w:r>
    </w:p>
    <w:p w14:paraId="2FE3AC96" w14:textId="77777777" w:rsidR="007269E8" w:rsidRDefault="00000000" w:rsidP="00BE1189">
      <w:pPr>
        <w:spacing w:before="100" w:beforeAutospacing="1" w:after="100" w:afterAutospacing="1"/>
        <w:jc w:val="both"/>
      </w:pPr>
      <w:r>
        <w:t>The unresolved problem is that the trust-to-behaviour link rests on cross-sectional self-report and simulation (Cai et al., 2026). Current evidence is inadequate because intention is a weak proxy for care-seeking behaviour and because reverse causation cannot be excluded. The methodological improvement required is a prospective cohort with repeated measurement of trust and use, linked to administratively verified health service contacts, with pre-specified outcomes covering delayed presentation, unnecessary presentation and self-management errors. The relevant timescale is at least two years, given the pace of change in the systems themselves, and the analysis should treat model version and product as time-varying exposures. Implementation implications are direct, since the case for or against clinical guidance to patients about consumer AI use depends on effects of this kind.</w:t>
      </w:r>
    </w:p>
    <w:p w14:paraId="4C60C59E" w14:textId="77777777" w:rsidR="007269E8" w:rsidRDefault="00000000" w:rsidP="00BE1189">
      <w:pPr>
        <w:pStyle w:val="Heading2"/>
        <w:spacing w:before="100" w:beforeAutospacing="1" w:after="100" w:afterAutospacing="1"/>
      </w:pPr>
      <w:r>
        <w:rPr>
          <w:b/>
          <w:bCs/>
          <w:i/>
          <w:iCs/>
          <w:color w:val="000000"/>
          <w:sz w:val="24"/>
          <w:szCs w:val="24"/>
        </w:rPr>
        <w:t>9.5 Evaluate disclosure and provenance as interventions rather than assuming their effects</w:t>
      </w:r>
    </w:p>
    <w:p w14:paraId="378A110C" w14:textId="77777777" w:rsidR="007269E8" w:rsidRDefault="00000000" w:rsidP="00BE1189">
      <w:pPr>
        <w:spacing w:before="100" w:beforeAutospacing="1" w:after="100" w:afterAutospacing="1"/>
        <w:jc w:val="both"/>
      </w:pPr>
      <w:r>
        <w:t>The unresolved problem is that disclosure is being mandated on the basis of a credibility penalty that the evidence does not consistently support, using statements that lay readers frequently misinterpret (</w:t>
      </w:r>
      <w:proofErr w:type="spellStart"/>
      <w:r>
        <w:t>Barrison</w:t>
      </w:r>
      <w:proofErr w:type="spellEnd"/>
      <w:r>
        <w:t xml:space="preserve"> et al., 2026). Current evidence is inadequate because most disclosure research concerns news rather than health and measures perception rather than downstream action. The appropriate design is a randomised comparison of disclosure formats, including plain-language statements, machine-verifiable provenance indicators and human-oversight signals, embedded in realistic health information tasks, with pre-specified subgroup analysis by health literacy and digital access to detect differential effects. Outcome measures should include comprehension of the disclosure itself, which existing work suggests cannot be assumed, alongside calibration and verification behaviour.</w:t>
      </w:r>
    </w:p>
    <w:p w14:paraId="46BCBA3F" w14:textId="77777777" w:rsidR="007269E8" w:rsidRDefault="00000000" w:rsidP="00BE1189">
      <w:pPr>
        <w:pStyle w:val="Heading2"/>
        <w:spacing w:before="100" w:beforeAutospacing="1" w:after="100" w:afterAutospacing="1"/>
      </w:pPr>
      <w:r>
        <w:rPr>
          <w:b/>
          <w:bCs/>
          <w:i/>
          <w:iCs/>
          <w:color w:val="000000"/>
          <w:sz w:val="24"/>
          <w:szCs w:val="24"/>
        </w:rPr>
        <w:t>9.6 Extend the evidence base beyond high-income, English-language and single-country settings</w:t>
      </w:r>
    </w:p>
    <w:p w14:paraId="5141E844" w14:textId="77777777" w:rsidR="007269E8" w:rsidRDefault="00000000" w:rsidP="00BE1189">
      <w:pPr>
        <w:spacing w:before="100" w:beforeAutospacing="1" w:after="100" w:afterAutospacing="1"/>
        <w:jc w:val="both"/>
      </w:pPr>
      <w:r>
        <w:lastRenderedPageBreak/>
        <w:t>The unresolved problem is that almost the entire determinants literature derives from China, Western Europe and the United States. Current evidence is inadequate for the populations in which generative health information may have the greatest marginal value and where model performance is least well characterised. The methodological improvement required is coordinated multi-country survey and experimental work using harmonised instruments, with model performance in the relevant languages evaluated in the same programme so that trust and accuracy can be interpreted together. The cross-national design reported by Reinhardt et al. (2025) provides a usable template for the survey component.</w:t>
      </w:r>
    </w:p>
    <w:p w14:paraId="68784953" w14:textId="77777777" w:rsidR="007269E8" w:rsidRDefault="00000000" w:rsidP="00BE1189">
      <w:pPr>
        <w:pStyle w:val="Heading2"/>
        <w:spacing w:before="100" w:beforeAutospacing="1" w:after="100" w:afterAutospacing="1"/>
      </w:pPr>
      <w:r>
        <w:rPr>
          <w:b/>
          <w:bCs/>
          <w:i/>
          <w:iCs/>
          <w:color w:val="000000"/>
          <w:sz w:val="24"/>
          <w:szCs w:val="24"/>
        </w:rPr>
        <w:t>9.7 Address the warmth-accuracy trade-off as an evaluation problem</w:t>
      </w:r>
    </w:p>
    <w:p w14:paraId="69A1E013" w14:textId="77777777" w:rsidR="007269E8" w:rsidRDefault="00000000" w:rsidP="00BE1189">
      <w:pPr>
        <w:spacing w:before="100" w:beforeAutospacing="1" w:after="100" w:afterAutospacing="1"/>
        <w:jc w:val="both"/>
      </w:pPr>
      <w:r>
        <w:t>The unresolved problem is that optimising conversational systems for warmth degrades accuracy under conditions of user vulnerability while leaving standard benchmark performance intact (Ibrahim et al., 2026). Current evidence is inadequate because this finding rests on a single controlled programme, albeit across five models, and because no established evaluation protocol detects it. The methodological improvement required is a vulnerability-stratified evaluation protocol in which health queries are presented with and without expressions of distress and with and without incorrect user beliefs, scored for factual accuracy and for validation of incorrect beliefs. Independent replication in explicitly health-focused tasks is the immediate priority; incorporation into pre-deployment assessment is the longer-term objective, and it bears directly on the oversight obligations set out in international guidance (World Health Organization, 2024).</w:t>
      </w:r>
    </w:p>
    <w:p w14:paraId="021E1A77" w14:textId="77777777" w:rsidR="007269E8" w:rsidRDefault="00000000" w:rsidP="00BE1189">
      <w:pPr>
        <w:spacing w:before="100" w:beforeAutospacing="1" w:after="100" w:afterAutospacing="1"/>
        <w:jc w:val="both"/>
      </w:pPr>
      <w:r>
        <w:t>The table below consolidates these priorities with the specific gap, the design required and the anticipated contribution, and distinguishes immediate from longer-term work. It is included because the preceding subsections specify the reasoning for each priority while the comparison between them is easier to assess in tabular form.</w:t>
      </w:r>
    </w:p>
    <w:p w14:paraId="57E9E760" w14:textId="77777777" w:rsidR="007269E8" w:rsidRDefault="00000000" w:rsidP="00BE1189">
      <w:pPr>
        <w:spacing w:before="100" w:beforeAutospacing="1" w:after="100" w:afterAutospacing="1"/>
      </w:pPr>
      <w:r>
        <w:rPr>
          <w:b/>
          <w:bCs/>
          <w:sz w:val="21"/>
          <w:szCs w:val="21"/>
        </w:rPr>
        <w:t>Table 5. Research priorities, required designs and anticipated contribution</w:t>
      </w:r>
    </w:p>
    <w:tbl>
      <w:tblPr>
        <w:tblW w:w="960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000" w:firstRow="0" w:lastRow="0" w:firstColumn="0" w:lastColumn="0" w:noHBand="0" w:noVBand="0"/>
      </w:tblPr>
      <w:tblGrid>
        <w:gridCol w:w="1722"/>
        <w:gridCol w:w="2264"/>
        <w:gridCol w:w="2264"/>
        <w:gridCol w:w="1086"/>
        <w:gridCol w:w="2264"/>
      </w:tblGrid>
      <w:tr w:rsidR="007269E8" w14:paraId="4161325A" w14:textId="77777777">
        <w:trPr>
          <w:tblHeader/>
        </w:trPr>
        <w:tc>
          <w:tcPr>
            <w:tcW w:w="1722" w:type="dxa"/>
            <w:shd w:val="clear" w:color="auto" w:fill="E8E8E8"/>
            <w:tcMar>
              <w:top w:w="60" w:type="dxa"/>
              <w:left w:w="90" w:type="dxa"/>
              <w:bottom w:w="60" w:type="dxa"/>
              <w:right w:w="90" w:type="dxa"/>
            </w:tcMar>
          </w:tcPr>
          <w:p w14:paraId="435E24CB" w14:textId="77777777" w:rsidR="007269E8" w:rsidRDefault="00000000" w:rsidP="00BE1189">
            <w:pPr>
              <w:spacing w:before="100" w:beforeAutospacing="1" w:after="100" w:afterAutospacing="1"/>
            </w:pPr>
            <w:r>
              <w:rPr>
                <w:b/>
                <w:bCs/>
                <w:sz w:val="18"/>
                <w:szCs w:val="18"/>
              </w:rPr>
              <w:t>Priority</w:t>
            </w:r>
          </w:p>
        </w:tc>
        <w:tc>
          <w:tcPr>
            <w:tcW w:w="2264" w:type="dxa"/>
            <w:shd w:val="clear" w:color="auto" w:fill="E8E8E8"/>
            <w:tcMar>
              <w:top w:w="60" w:type="dxa"/>
              <w:left w:w="90" w:type="dxa"/>
              <w:bottom w:w="60" w:type="dxa"/>
              <w:right w:w="90" w:type="dxa"/>
            </w:tcMar>
          </w:tcPr>
          <w:p w14:paraId="0DB66534" w14:textId="77777777" w:rsidR="007269E8" w:rsidRDefault="00000000" w:rsidP="00BE1189">
            <w:pPr>
              <w:spacing w:before="100" w:beforeAutospacing="1" w:after="100" w:afterAutospacing="1"/>
            </w:pPr>
            <w:r>
              <w:rPr>
                <w:b/>
                <w:bCs/>
                <w:sz w:val="18"/>
                <w:szCs w:val="18"/>
              </w:rPr>
              <w:t>Unresolved problem</w:t>
            </w:r>
          </w:p>
        </w:tc>
        <w:tc>
          <w:tcPr>
            <w:tcW w:w="2264" w:type="dxa"/>
            <w:shd w:val="clear" w:color="auto" w:fill="E8E8E8"/>
            <w:tcMar>
              <w:top w:w="60" w:type="dxa"/>
              <w:left w:w="90" w:type="dxa"/>
              <w:bottom w:w="60" w:type="dxa"/>
              <w:right w:w="90" w:type="dxa"/>
            </w:tcMar>
          </w:tcPr>
          <w:p w14:paraId="29552D1F" w14:textId="77777777" w:rsidR="007269E8" w:rsidRDefault="00000000" w:rsidP="00BE1189">
            <w:pPr>
              <w:spacing w:before="100" w:beforeAutospacing="1" w:after="100" w:afterAutospacing="1"/>
            </w:pPr>
            <w:r>
              <w:rPr>
                <w:b/>
                <w:bCs/>
                <w:sz w:val="18"/>
                <w:szCs w:val="18"/>
              </w:rPr>
              <w:t>Required design</w:t>
            </w:r>
          </w:p>
        </w:tc>
        <w:tc>
          <w:tcPr>
            <w:tcW w:w="1086" w:type="dxa"/>
            <w:shd w:val="clear" w:color="auto" w:fill="E8E8E8"/>
            <w:tcMar>
              <w:top w:w="60" w:type="dxa"/>
              <w:left w:w="90" w:type="dxa"/>
              <w:bottom w:w="60" w:type="dxa"/>
              <w:right w:w="90" w:type="dxa"/>
            </w:tcMar>
          </w:tcPr>
          <w:p w14:paraId="43B0BEB3" w14:textId="77777777" w:rsidR="007269E8" w:rsidRDefault="00000000" w:rsidP="00BE1189">
            <w:pPr>
              <w:spacing w:before="100" w:beforeAutospacing="1" w:after="100" w:afterAutospacing="1"/>
            </w:pPr>
            <w:r>
              <w:rPr>
                <w:b/>
                <w:bCs/>
                <w:sz w:val="18"/>
                <w:szCs w:val="18"/>
              </w:rPr>
              <w:t>Timescale</w:t>
            </w:r>
          </w:p>
        </w:tc>
        <w:tc>
          <w:tcPr>
            <w:tcW w:w="2264" w:type="dxa"/>
            <w:shd w:val="clear" w:color="auto" w:fill="E8E8E8"/>
            <w:tcMar>
              <w:top w:w="60" w:type="dxa"/>
              <w:left w:w="90" w:type="dxa"/>
              <w:bottom w:w="60" w:type="dxa"/>
              <w:right w:w="90" w:type="dxa"/>
            </w:tcMar>
          </w:tcPr>
          <w:p w14:paraId="6E90BAF5" w14:textId="77777777" w:rsidR="007269E8" w:rsidRDefault="00000000" w:rsidP="00BE1189">
            <w:pPr>
              <w:spacing w:before="100" w:beforeAutospacing="1" w:after="100" w:afterAutospacing="1"/>
            </w:pPr>
            <w:r>
              <w:rPr>
                <w:b/>
                <w:bCs/>
                <w:sz w:val="18"/>
                <w:szCs w:val="18"/>
              </w:rPr>
              <w:t>Anticipated contribution</w:t>
            </w:r>
          </w:p>
        </w:tc>
      </w:tr>
      <w:tr w:rsidR="007269E8" w14:paraId="4B6AD533" w14:textId="77777777">
        <w:tc>
          <w:tcPr>
            <w:tcW w:w="1722" w:type="dxa"/>
            <w:tcMar>
              <w:top w:w="60" w:type="dxa"/>
              <w:left w:w="90" w:type="dxa"/>
              <w:bottom w:w="60" w:type="dxa"/>
              <w:right w:w="90" w:type="dxa"/>
            </w:tcMar>
          </w:tcPr>
          <w:p w14:paraId="48D58F85" w14:textId="77777777" w:rsidR="007269E8" w:rsidRDefault="00000000" w:rsidP="00BE1189">
            <w:pPr>
              <w:spacing w:before="100" w:beforeAutospacing="1" w:after="100" w:afterAutospacing="1"/>
            </w:pPr>
            <w:r>
              <w:rPr>
                <w:sz w:val="18"/>
                <w:szCs w:val="18"/>
              </w:rPr>
              <w:t>Calibration as primary outcome</w:t>
            </w:r>
          </w:p>
        </w:tc>
        <w:tc>
          <w:tcPr>
            <w:tcW w:w="2264" w:type="dxa"/>
            <w:tcMar>
              <w:top w:w="60" w:type="dxa"/>
              <w:left w:w="90" w:type="dxa"/>
              <w:bottom w:w="60" w:type="dxa"/>
              <w:right w:w="90" w:type="dxa"/>
            </w:tcMar>
          </w:tcPr>
          <w:p w14:paraId="43EFBF94" w14:textId="77777777" w:rsidR="007269E8" w:rsidRDefault="00000000" w:rsidP="00BE1189">
            <w:pPr>
              <w:spacing w:before="100" w:beforeAutospacing="1" w:after="100" w:afterAutospacing="1"/>
            </w:pPr>
            <w:r>
              <w:rPr>
                <w:sz w:val="18"/>
                <w:szCs w:val="18"/>
              </w:rPr>
              <w:t>Whether trust discriminates between accurate and inaccurate generated health content</w:t>
            </w:r>
          </w:p>
        </w:tc>
        <w:tc>
          <w:tcPr>
            <w:tcW w:w="2264" w:type="dxa"/>
            <w:tcMar>
              <w:top w:w="60" w:type="dxa"/>
              <w:left w:w="90" w:type="dxa"/>
              <w:bottom w:w="60" w:type="dxa"/>
              <w:right w:w="90" w:type="dxa"/>
            </w:tcMar>
          </w:tcPr>
          <w:p w14:paraId="5F955792" w14:textId="77777777" w:rsidR="007269E8" w:rsidRDefault="00000000" w:rsidP="00BE1189">
            <w:pPr>
              <w:spacing w:before="100" w:beforeAutospacing="1" w:after="100" w:afterAutospacing="1"/>
            </w:pPr>
            <w:r>
              <w:rPr>
                <w:sz w:val="18"/>
                <w:szCs w:val="18"/>
              </w:rPr>
              <w:t>Experiment presenting outputs of independently verified and varied accuracy with per-item confidence</w:t>
            </w:r>
          </w:p>
        </w:tc>
        <w:tc>
          <w:tcPr>
            <w:tcW w:w="1086" w:type="dxa"/>
            <w:tcMar>
              <w:top w:w="60" w:type="dxa"/>
              <w:left w:w="90" w:type="dxa"/>
              <w:bottom w:w="60" w:type="dxa"/>
              <w:right w:w="90" w:type="dxa"/>
            </w:tcMar>
          </w:tcPr>
          <w:p w14:paraId="7F4D6ED3" w14:textId="77777777" w:rsidR="007269E8" w:rsidRDefault="00000000" w:rsidP="00BE1189">
            <w:pPr>
              <w:spacing w:before="100" w:beforeAutospacing="1" w:after="100" w:afterAutospacing="1"/>
            </w:pPr>
            <w:r>
              <w:rPr>
                <w:sz w:val="18"/>
                <w:szCs w:val="18"/>
              </w:rPr>
              <w:t>Immediate</w:t>
            </w:r>
          </w:p>
        </w:tc>
        <w:tc>
          <w:tcPr>
            <w:tcW w:w="2264" w:type="dxa"/>
            <w:tcMar>
              <w:top w:w="60" w:type="dxa"/>
              <w:left w:w="90" w:type="dxa"/>
              <w:bottom w:w="60" w:type="dxa"/>
              <w:right w:w="90" w:type="dxa"/>
            </w:tcMar>
          </w:tcPr>
          <w:p w14:paraId="58A19F58" w14:textId="77777777" w:rsidR="007269E8" w:rsidRDefault="00000000" w:rsidP="00BE1189">
            <w:pPr>
              <w:spacing w:before="100" w:beforeAutospacing="1" w:after="100" w:afterAutospacing="1"/>
            </w:pPr>
            <w:r>
              <w:rPr>
                <w:sz w:val="18"/>
                <w:szCs w:val="18"/>
              </w:rPr>
              <w:t>Converts trust from an uninterpretable level into an evaluable public health quantity</w:t>
            </w:r>
          </w:p>
        </w:tc>
      </w:tr>
      <w:tr w:rsidR="007269E8" w14:paraId="044849EA" w14:textId="77777777">
        <w:tc>
          <w:tcPr>
            <w:tcW w:w="1722" w:type="dxa"/>
            <w:tcMar>
              <w:top w:w="60" w:type="dxa"/>
              <w:left w:w="90" w:type="dxa"/>
              <w:bottom w:w="60" w:type="dxa"/>
              <w:right w:w="90" w:type="dxa"/>
            </w:tcMar>
          </w:tcPr>
          <w:p w14:paraId="5C81E463" w14:textId="77777777" w:rsidR="007269E8" w:rsidRDefault="00000000" w:rsidP="00BE1189">
            <w:pPr>
              <w:spacing w:before="100" w:beforeAutospacing="1" w:after="100" w:afterAutospacing="1"/>
            </w:pPr>
            <w:r>
              <w:rPr>
                <w:sz w:val="18"/>
                <w:szCs w:val="18"/>
              </w:rPr>
              <w:t>Performance-based appraisal measurement</w:t>
            </w:r>
          </w:p>
        </w:tc>
        <w:tc>
          <w:tcPr>
            <w:tcW w:w="2264" w:type="dxa"/>
            <w:tcMar>
              <w:top w:w="60" w:type="dxa"/>
              <w:left w:w="90" w:type="dxa"/>
              <w:bottom w:w="60" w:type="dxa"/>
              <w:right w:w="90" w:type="dxa"/>
            </w:tcMar>
          </w:tcPr>
          <w:p w14:paraId="7E238227" w14:textId="77777777" w:rsidR="007269E8" w:rsidRDefault="00000000" w:rsidP="00BE1189">
            <w:pPr>
              <w:spacing w:before="100" w:beforeAutospacing="1" w:after="100" w:afterAutospacing="1"/>
            </w:pPr>
            <w:r>
              <w:rPr>
                <w:sz w:val="18"/>
                <w:szCs w:val="18"/>
              </w:rPr>
              <w:t>Whether health literacy protects, is irrelevant, or amplifies confidence</w:t>
            </w:r>
          </w:p>
        </w:tc>
        <w:tc>
          <w:tcPr>
            <w:tcW w:w="2264" w:type="dxa"/>
            <w:tcMar>
              <w:top w:w="60" w:type="dxa"/>
              <w:left w:w="90" w:type="dxa"/>
              <w:bottom w:w="60" w:type="dxa"/>
              <w:right w:w="90" w:type="dxa"/>
            </w:tcMar>
          </w:tcPr>
          <w:p w14:paraId="33450A5B" w14:textId="77777777" w:rsidR="007269E8" w:rsidRDefault="00000000" w:rsidP="00BE1189">
            <w:pPr>
              <w:spacing w:before="100" w:beforeAutospacing="1" w:after="100" w:afterAutospacing="1"/>
            </w:pPr>
            <w:r>
              <w:rPr>
                <w:sz w:val="18"/>
                <w:szCs w:val="18"/>
              </w:rPr>
              <w:t>Error-detection task with planted errors administered alongside self-report scales in representative samples</w:t>
            </w:r>
          </w:p>
        </w:tc>
        <w:tc>
          <w:tcPr>
            <w:tcW w:w="1086" w:type="dxa"/>
            <w:tcMar>
              <w:top w:w="60" w:type="dxa"/>
              <w:left w:w="90" w:type="dxa"/>
              <w:bottom w:w="60" w:type="dxa"/>
              <w:right w:w="90" w:type="dxa"/>
            </w:tcMar>
          </w:tcPr>
          <w:p w14:paraId="7AAB0605" w14:textId="77777777" w:rsidR="007269E8" w:rsidRDefault="00000000" w:rsidP="00BE1189">
            <w:pPr>
              <w:spacing w:before="100" w:beforeAutospacing="1" w:after="100" w:afterAutospacing="1"/>
            </w:pPr>
            <w:r>
              <w:rPr>
                <w:sz w:val="18"/>
                <w:szCs w:val="18"/>
              </w:rPr>
              <w:t>Immediate</w:t>
            </w:r>
          </w:p>
        </w:tc>
        <w:tc>
          <w:tcPr>
            <w:tcW w:w="2264" w:type="dxa"/>
            <w:tcMar>
              <w:top w:w="60" w:type="dxa"/>
              <w:left w:w="90" w:type="dxa"/>
              <w:bottom w:w="60" w:type="dxa"/>
              <w:right w:w="90" w:type="dxa"/>
            </w:tcMar>
          </w:tcPr>
          <w:p w14:paraId="0E12DA2B" w14:textId="77777777" w:rsidR="007269E8" w:rsidRDefault="00000000" w:rsidP="00BE1189">
            <w:pPr>
              <w:spacing w:before="100" w:beforeAutospacing="1" w:after="100" w:afterAutospacing="1"/>
            </w:pPr>
            <w:r>
              <w:rPr>
                <w:sz w:val="18"/>
                <w:szCs w:val="18"/>
              </w:rPr>
              <w:t>Determines whether null findings reflect an absent relationship or an inadequate measure</w:t>
            </w:r>
          </w:p>
        </w:tc>
      </w:tr>
      <w:tr w:rsidR="007269E8" w14:paraId="6B60BEA6" w14:textId="77777777">
        <w:tc>
          <w:tcPr>
            <w:tcW w:w="1722" w:type="dxa"/>
            <w:tcMar>
              <w:top w:w="60" w:type="dxa"/>
              <w:left w:w="90" w:type="dxa"/>
              <w:bottom w:w="60" w:type="dxa"/>
              <w:right w:w="90" w:type="dxa"/>
            </w:tcMar>
          </w:tcPr>
          <w:p w14:paraId="64484283" w14:textId="77777777" w:rsidR="007269E8" w:rsidRDefault="00000000" w:rsidP="00BE1189">
            <w:pPr>
              <w:spacing w:before="100" w:beforeAutospacing="1" w:after="100" w:afterAutospacing="1"/>
            </w:pPr>
            <w:r>
              <w:rPr>
                <w:sz w:val="18"/>
                <w:szCs w:val="18"/>
              </w:rPr>
              <w:t>Separation of content from label</w:t>
            </w:r>
          </w:p>
        </w:tc>
        <w:tc>
          <w:tcPr>
            <w:tcW w:w="2264" w:type="dxa"/>
            <w:tcMar>
              <w:top w:w="60" w:type="dxa"/>
              <w:left w:w="90" w:type="dxa"/>
              <w:bottom w:w="60" w:type="dxa"/>
              <w:right w:w="90" w:type="dxa"/>
            </w:tcMar>
          </w:tcPr>
          <w:p w14:paraId="432C97BF" w14:textId="77777777" w:rsidR="007269E8" w:rsidRDefault="00000000" w:rsidP="00BE1189">
            <w:pPr>
              <w:spacing w:before="100" w:beforeAutospacing="1" w:after="100" w:afterAutospacing="1"/>
            </w:pPr>
            <w:r>
              <w:rPr>
                <w:sz w:val="18"/>
                <w:szCs w:val="18"/>
              </w:rPr>
              <w:t>Conflation of message quality with source attribution</w:t>
            </w:r>
          </w:p>
        </w:tc>
        <w:tc>
          <w:tcPr>
            <w:tcW w:w="2264" w:type="dxa"/>
            <w:tcMar>
              <w:top w:w="60" w:type="dxa"/>
              <w:left w:w="90" w:type="dxa"/>
              <w:bottom w:w="60" w:type="dxa"/>
              <w:right w:w="90" w:type="dxa"/>
            </w:tcMar>
          </w:tcPr>
          <w:p w14:paraId="20C65367" w14:textId="77777777" w:rsidR="007269E8" w:rsidRDefault="00000000" w:rsidP="00BE1189">
            <w:pPr>
              <w:spacing w:before="100" w:beforeAutospacing="1" w:after="100" w:afterAutospacing="1"/>
            </w:pPr>
            <w:r>
              <w:rPr>
                <w:sz w:val="18"/>
                <w:szCs w:val="18"/>
              </w:rPr>
              <w:t>Factorial crossing of actual and attributed authorship using quality-matched health content</w:t>
            </w:r>
          </w:p>
        </w:tc>
        <w:tc>
          <w:tcPr>
            <w:tcW w:w="1086" w:type="dxa"/>
            <w:tcMar>
              <w:top w:w="60" w:type="dxa"/>
              <w:left w:w="90" w:type="dxa"/>
              <w:bottom w:w="60" w:type="dxa"/>
              <w:right w:w="90" w:type="dxa"/>
            </w:tcMar>
          </w:tcPr>
          <w:p w14:paraId="737A6829" w14:textId="77777777" w:rsidR="007269E8" w:rsidRDefault="00000000" w:rsidP="00BE1189">
            <w:pPr>
              <w:spacing w:before="100" w:beforeAutospacing="1" w:after="100" w:afterAutospacing="1"/>
            </w:pPr>
            <w:r>
              <w:rPr>
                <w:sz w:val="18"/>
                <w:szCs w:val="18"/>
              </w:rPr>
              <w:t>Immediate</w:t>
            </w:r>
          </w:p>
        </w:tc>
        <w:tc>
          <w:tcPr>
            <w:tcW w:w="2264" w:type="dxa"/>
            <w:tcMar>
              <w:top w:w="60" w:type="dxa"/>
              <w:left w:w="90" w:type="dxa"/>
              <w:bottom w:w="60" w:type="dxa"/>
              <w:right w:w="90" w:type="dxa"/>
            </w:tcMar>
          </w:tcPr>
          <w:p w14:paraId="39FAF39E" w14:textId="77777777" w:rsidR="007269E8" w:rsidRDefault="00000000" w:rsidP="00BE1189">
            <w:pPr>
              <w:spacing w:before="100" w:beforeAutospacing="1" w:after="100" w:afterAutospacing="1"/>
            </w:pPr>
            <w:r>
              <w:rPr>
                <w:sz w:val="18"/>
                <w:szCs w:val="18"/>
              </w:rPr>
              <w:t>Isolates the label effect and tests whether authorship moderation holds in health contexts</w:t>
            </w:r>
          </w:p>
        </w:tc>
      </w:tr>
      <w:tr w:rsidR="007269E8" w14:paraId="213B9B05" w14:textId="77777777">
        <w:tc>
          <w:tcPr>
            <w:tcW w:w="1722" w:type="dxa"/>
            <w:tcMar>
              <w:top w:w="60" w:type="dxa"/>
              <w:left w:w="90" w:type="dxa"/>
              <w:bottom w:w="60" w:type="dxa"/>
              <w:right w:w="90" w:type="dxa"/>
            </w:tcMar>
          </w:tcPr>
          <w:p w14:paraId="797EE6BB" w14:textId="77777777" w:rsidR="007269E8" w:rsidRDefault="00000000" w:rsidP="00BE1189">
            <w:pPr>
              <w:spacing w:before="100" w:beforeAutospacing="1" w:after="100" w:afterAutospacing="1"/>
            </w:pPr>
            <w:r>
              <w:rPr>
                <w:sz w:val="18"/>
                <w:szCs w:val="18"/>
              </w:rPr>
              <w:t>Longitudinal trust and behaviour</w:t>
            </w:r>
          </w:p>
        </w:tc>
        <w:tc>
          <w:tcPr>
            <w:tcW w:w="2264" w:type="dxa"/>
            <w:tcMar>
              <w:top w:w="60" w:type="dxa"/>
              <w:left w:w="90" w:type="dxa"/>
              <w:bottom w:w="60" w:type="dxa"/>
              <w:right w:w="90" w:type="dxa"/>
            </w:tcMar>
          </w:tcPr>
          <w:p w14:paraId="14667AAA" w14:textId="77777777" w:rsidR="007269E8" w:rsidRDefault="00000000" w:rsidP="00BE1189">
            <w:pPr>
              <w:spacing w:before="100" w:beforeAutospacing="1" w:after="100" w:afterAutospacing="1"/>
            </w:pPr>
            <w:r>
              <w:rPr>
                <w:sz w:val="18"/>
                <w:szCs w:val="18"/>
              </w:rPr>
              <w:t>Whether trust affects care-seeking, and in which direction</w:t>
            </w:r>
          </w:p>
        </w:tc>
        <w:tc>
          <w:tcPr>
            <w:tcW w:w="2264" w:type="dxa"/>
            <w:tcMar>
              <w:top w:w="60" w:type="dxa"/>
              <w:left w:w="90" w:type="dxa"/>
              <w:bottom w:w="60" w:type="dxa"/>
              <w:right w:w="90" w:type="dxa"/>
            </w:tcMar>
          </w:tcPr>
          <w:p w14:paraId="3A7C806F" w14:textId="77777777" w:rsidR="007269E8" w:rsidRDefault="00000000" w:rsidP="00BE1189">
            <w:pPr>
              <w:spacing w:before="100" w:beforeAutospacing="1" w:after="100" w:afterAutospacing="1"/>
            </w:pPr>
            <w:r>
              <w:rPr>
                <w:sz w:val="18"/>
                <w:szCs w:val="18"/>
              </w:rPr>
              <w:t>Prospective cohort with repeated trust measurement linked to verified health service contacts</w:t>
            </w:r>
          </w:p>
        </w:tc>
        <w:tc>
          <w:tcPr>
            <w:tcW w:w="1086" w:type="dxa"/>
            <w:tcMar>
              <w:top w:w="60" w:type="dxa"/>
              <w:left w:w="90" w:type="dxa"/>
              <w:bottom w:w="60" w:type="dxa"/>
              <w:right w:w="90" w:type="dxa"/>
            </w:tcMar>
          </w:tcPr>
          <w:p w14:paraId="5557F066" w14:textId="77777777" w:rsidR="007269E8" w:rsidRDefault="00000000" w:rsidP="00BE1189">
            <w:pPr>
              <w:spacing w:before="100" w:beforeAutospacing="1" w:after="100" w:afterAutospacing="1"/>
            </w:pPr>
            <w:r>
              <w:rPr>
                <w:sz w:val="18"/>
                <w:szCs w:val="18"/>
              </w:rPr>
              <w:t>Longer term</w:t>
            </w:r>
          </w:p>
        </w:tc>
        <w:tc>
          <w:tcPr>
            <w:tcW w:w="2264" w:type="dxa"/>
            <w:tcMar>
              <w:top w:w="60" w:type="dxa"/>
              <w:left w:w="90" w:type="dxa"/>
              <w:bottom w:w="60" w:type="dxa"/>
              <w:right w:w="90" w:type="dxa"/>
            </w:tcMar>
          </w:tcPr>
          <w:p w14:paraId="29AE5D3C" w14:textId="77777777" w:rsidR="007269E8" w:rsidRDefault="00000000" w:rsidP="00BE1189">
            <w:pPr>
              <w:spacing w:before="100" w:beforeAutospacing="1" w:after="100" w:afterAutospacing="1"/>
            </w:pPr>
            <w:r>
              <w:rPr>
                <w:sz w:val="18"/>
                <w:szCs w:val="18"/>
              </w:rPr>
              <w:t>Supplies the effect estimates required for clinical and policy guidance to patients</w:t>
            </w:r>
          </w:p>
        </w:tc>
      </w:tr>
      <w:tr w:rsidR="007269E8" w14:paraId="26C4DCA8" w14:textId="77777777">
        <w:tc>
          <w:tcPr>
            <w:tcW w:w="1722" w:type="dxa"/>
            <w:tcMar>
              <w:top w:w="60" w:type="dxa"/>
              <w:left w:w="90" w:type="dxa"/>
              <w:bottom w:w="60" w:type="dxa"/>
              <w:right w:w="90" w:type="dxa"/>
            </w:tcMar>
          </w:tcPr>
          <w:p w14:paraId="06B6C897" w14:textId="77777777" w:rsidR="007269E8" w:rsidRDefault="00000000" w:rsidP="00BE1189">
            <w:pPr>
              <w:spacing w:before="100" w:beforeAutospacing="1" w:after="100" w:afterAutospacing="1"/>
            </w:pPr>
            <w:r>
              <w:rPr>
                <w:sz w:val="18"/>
                <w:szCs w:val="18"/>
              </w:rPr>
              <w:t>Disclosure evaluated as an intervention</w:t>
            </w:r>
          </w:p>
        </w:tc>
        <w:tc>
          <w:tcPr>
            <w:tcW w:w="2264" w:type="dxa"/>
            <w:tcMar>
              <w:top w:w="60" w:type="dxa"/>
              <w:left w:w="90" w:type="dxa"/>
              <w:bottom w:w="60" w:type="dxa"/>
              <w:right w:w="90" w:type="dxa"/>
            </w:tcMar>
          </w:tcPr>
          <w:p w14:paraId="2D39FE0E" w14:textId="77777777" w:rsidR="007269E8" w:rsidRDefault="00000000" w:rsidP="00BE1189">
            <w:pPr>
              <w:spacing w:before="100" w:beforeAutospacing="1" w:after="100" w:afterAutospacing="1"/>
            </w:pPr>
            <w:r>
              <w:rPr>
                <w:sz w:val="18"/>
                <w:szCs w:val="18"/>
              </w:rPr>
              <w:t>Whether disclosure protects, and for whom</w:t>
            </w:r>
          </w:p>
        </w:tc>
        <w:tc>
          <w:tcPr>
            <w:tcW w:w="2264" w:type="dxa"/>
            <w:tcMar>
              <w:top w:w="60" w:type="dxa"/>
              <w:left w:w="90" w:type="dxa"/>
              <w:bottom w:w="60" w:type="dxa"/>
              <w:right w:w="90" w:type="dxa"/>
            </w:tcMar>
          </w:tcPr>
          <w:p w14:paraId="24D43794" w14:textId="77777777" w:rsidR="007269E8" w:rsidRDefault="00000000" w:rsidP="00BE1189">
            <w:pPr>
              <w:spacing w:before="100" w:beforeAutospacing="1" w:after="100" w:afterAutospacing="1"/>
            </w:pPr>
            <w:r>
              <w:rPr>
                <w:sz w:val="18"/>
                <w:szCs w:val="18"/>
              </w:rPr>
              <w:t>Randomised comparison of disclosure formats with pre-specified subgroup analysis by literacy and access</w:t>
            </w:r>
          </w:p>
        </w:tc>
        <w:tc>
          <w:tcPr>
            <w:tcW w:w="1086" w:type="dxa"/>
            <w:tcMar>
              <w:top w:w="60" w:type="dxa"/>
              <w:left w:w="90" w:type="dxa"/>
              <w:bottom w:w="60" w:type="dxa"/>
              <w:right w:w="90" w:type="dxa"/>
            </w:tcMar>
          </w:tcPr>
          <w:p w14:paraId="7C64F018" w14:textId="77777777" w:rsidR="007269E8" w:rsidRDefault="00000000" w:rsidP="00BE1189">
            <w:pPr>
              <w:spacing w:before="100" w:beforeAutospacing="1" w:after="100" w:afterAutospacing="1"/>
            </w:pPr>
            <w:r>
              <w:rPr>
                <w:sz w:val="18"/>
                <w:szCs w:val="18"/>
              </w:rPr>
              <w:t>Immediate</w:t>
            </w:r>
          </w:p>
        </w:tc>
        <w:tc>
          <w:tcPr>
            <w:tcW w:w="2264" w:type="dxa"/>
            <w:tcMar>
              <w:top w:w="60" w:type="dxa"/>
              <w:left w:w="90" w:type="dxa"/>
              <w:bottom w:w="60" w:type="dxa"/>
              <w:right w:w="90" w:type="dxa"/>
            </w:tcMar>
          </w:tcPr>
          <w:p w14:paraId="475BC5EC" w14:textId="77777777" w:rsidR="007269E8" w:rsidRDefault="00000000" w:rsidP="00BE1189">
            <w:pPr>
              <w:spacing w:before="100" w:beforeAutospacing="1" w:after="100" w:afterAutospacing="1"/>
            </w:pPr>
            <w:r>
              <w:rPr>
                <w:sz w:val="18"/>
                <w:szCs w:val="18"/>
              </w:rPr>
              <w:t>Replaces assumed protective effects with measured ones and detects differential impact</w:t>
            </w:r>
          </w:p>
        </w:tc>
      </w:tr>
      <w:tr w:rsidR="007269E8" w14:paraId="0A1D17DF" w14:textId="77777777">
        <w:tc>
          <w:tcPr>
            <w:tcW w:w="1722" w:type="dxa"/>
            <w:tcMar>
              <w:top w:w="60" w:type="dxa"/>
              <w:left w:w="90" w:type="dxa"/>
              <w:bottom w:w="60" w:type="dxa"/>
              <w:right w:w="90" w:type="dxa"/>
            </w:tcMar>
          </w:tcPr>
          <w:p w14:paraId="6951DE6A" w14:textId="77777777" w:rsidR="007269E8" w:rsidRDefault="00000000" w:rsidP="00BE1189">
            <w:pPr>
              <w:spacing w:before="100" w:beforeAutospacing="1" w:after="100" w:afterAutospacing="1"/>
            </w:pPr>
            <w:r>
              <w:rPr>
                <w:sz w:val="18"/>
                <w:szCs w:val="18"/>
              </w:rPr>
              <w:t>Geographical and linguistic extension</w:t>
            </w:r>
          </w:p>
        </w:tc>
        <w:tc>
          <w:tcPr>
            <w:tcW w:w="2264" w:type="dxa"/>
            <w:tcMar>
              <w:top w:w="60" w:type="dxa"/>
              <w:left w:w="90" w:type="dxa"/>
              <w:bottom w:w="60" w:type="dxa"/>
              <w:right w:w="90" w:type="dxa"/>
            </w:tcMar>
          </w:tcPr>
          <w:p w14:paraId="04CE69FE" w14:textId="77777777" w:rsidR="007269E8" w:rsidRDefault="00000000" w:rsidP="00BE1189">
            <w:pPr>
              <w:spacing w:before="100" w:beforeAutospacing="1" w:after="100" w:afterAutospacing="1"/>
            </w:pPr>
            <w:r>
              <w:rPr>
                <w:sz w:val="18"/>
                <w:szCs w:val="18"/>
              </w:rPr>
              <w:t>Absence of evidence from low- and middle-income and non-English settings</w:t>
            </w:r>
          </w:p>
        </w:tc>
        <w:tc>
          <w:tcPr>
            <w:tcW w:w="2264" w:type="dxa"/>
            <w:tcMar>
              <w:top w:w="60" w:type="dxa"/>
              <w:left w:w="90" w:type="dxa"/>
              <w:bottom w:w="60" w:type="dxa"/>
              <w:right w:w="90" w:type="dxa"/>
            </w:tcMar>
          </w:tcPr>
          <w:p w14:paraId="7DC4F4CF" w14:textId="77777777" w:rsidR="007269E8" w:rsidRDefault="00000000" w:rsidP="00BE1189">
            <w:pPr>
              <w:spacing w:before="100" w:beforeAutospacing="1" w:after="100" w:afterAutospacing="1"/>
            </w:pPr>
            <w:r>
              <w:rPr>
                <w:sz w:val="18"/>
                <w:szCs w:val="18"/>
              </w:rPr>
              <w:t>Coordinated multi-country surveys and experiments with parallel evaluation of model performance by language</w:t>
            </w:r>
          </w:p>
        </w:tc>
        <w:tc>
          <w:tcPr>
            <w:tcW w:w="1086" w:type="dxa"/>
            <w:tcMar>
              <w:top w:w="60" w:type="dxa"/>
              <w:left w:w="90" w:type="dxa"/>
              <w:bottom w:w="60" w:type="dxa"/>
              <w:right w:w="90" w:type="dxa"/>
            </w:tcMar>
          </w:tcPr>
          <w:p w14:paraId="07F0AA9B" w14:textId="77777777" w:rsidR="007269E8" w:rsidRDefault="00000000" w:rsidP="00BE1189">
            <w:pPr>
              <w:spacing w:before="100" w:beforeAutospacing="1" w:after="100" w:afterAutospacing="1"/>
            </w:pPr>
            <w:r>
              <w:rPr>
                <w:sz w:val="18"/>
                <w:szCs w:val="18"/>
              </w:rPr>
              <w:t>Longer term</w:t>
            </w:r>
          </w:p>
        </w:tc>
        <w:tc>
          <w:tcPr>
            <w:tcW w:w="2264" w:type="dxa"/>
            <w:tcMar>
              <w:top w:w="60" w:type="dxa"/>
              <w:left w:w="90" w:type="dxa"/>
              <w:bottom w:w="60" w:type="dxa"/>
              <w:right w:w="90" w:type="dxa"/>
            </w:tcMar>
          </w:tcPr>
          <w:p w14:paraId="36CDA419" w14:textId="77777777" w:rsidR="007269E8" w:rsidRDefault="00000000" w:rsidP="00BE1189">
            <w:pPr>
              <w:spacing w:before="100" w:beforeAutospacing="1" w:after="100" w:afterAutospacing="1"/>
            </w:pPr>
            <w:r>
              <w:rPr>
                <w:sz w:val="18"/>
                <w:szCs w:val="18"/>
              </w:rPr>
              <w:t>Establishes whether determinants and risks transfer to the settings of greatest potential benefit</w:t>
            </w:r>
          </w:p>
        </w:tc>
      </w:tr>
      <w:tr w:rsidR="007269E8" w14:paraId="2A013FE4" w14:textId="77777777">
        <w:tc>
          <w:tcPr>
            <w:tcW w:w="1722" w:type="dxa"/>
            <w:tcMar>
              <w:top w:w="60" w:type="dxa"/>
              <w:left w:w="90" w:type="dxa"/>
              <w:bottom w:w="60" w:type="dxa"/>
              <w:right w:w="90" w:type="dxa"/>
            </w:tcMar>
          </w:tcPr>
          <w:p w14:paraId="19296FC0" w14:textId="77777777" w:rsidR="007269E8" w:rsidRDefault="00000000" w:rsidP="00BE1189">
            <w:pPr>
              <w:spacing w:before="100" w:beforeAutospacing="1" w:after="100" w:afterAutospacing="1"/>
            </w:pPr>
            <w:r>
              <w:rPr>
                <w:sz w:val="18"/>
                <w:szCs w:val="18"/>
              </w:rPr>
              <w:lastRenderedPageBreak/>
              <w:t>Vulnerability-stratified evaluation</w:t>
            </w:r>
          </w:p>
        </w:tc>
        <w:tc>
          <w:tcPr>
            <w:tcW w:w="2264" w:type="dxa"/>
            <w:tcMar>
              <w:top w:w="60" w:type="dxa"/>
              <w:left w:w="90" w:type="dxa"/>
              <w:bottom w:w="60" w:type="dxa"/>
              <w:right w:w="90" w:type="dxa"/>
            </w:tcMar>
          </w:tcPr>
          <w:p w14:paraId="65B0D2E4" w14:textId="77777777" w:rsidR="007269E8" w:rsidRDefault="00000000" w:rsidP="00BE1189">
            <w:pPr>
              <w:spacing w:before="100" w:beforeAutospacing="1" w:after="100" w:afterAutospacing="1"/>
            </w:pPr>
            <w:r>
              <w:rPr>
                <w:sz w:val="18"/>
                <w:szCs w:val="18"/>
              </w:rPr>
              <w:t>Warmth optimisation degrades accuracy without affecting standard benchmarks</w:t>
            </w:r>
          </w:p>
        </w:tc>
        <w:tc>
          <w:tcPr>
            <w:tcW w:w="2264" w:type="dxa"/>
            <w:tcMar>
              <w:top w:w="60" w:type="dxa"/>
              <w:left w:w="90" w:type="dxa"/>
              <w:bottom w:w="60" w:type="dxa"/>
              <w:right w:w="90" w:type="dxa"/>
            </w:tcMar>
          </w:tcPr>
          <w:p w14:paraId="4B97733B" w14:textId="77777777" w:rsidR="007269E8" w:rsidRDefault="00000000" w:rsidP="00BE1189">
            <w:pPr>
              <w:spacing w:before="100" w:beforeAutospacing="1" w:after="100" w:afterAutospacing="1"/>
            </w:pPr>
            <w:r>
              <w:rPr>
                <w:sz w:val="18"/>
                <w:szCs w:val="18"/>
              </w:rPr>
              <w:t>Evaluation protocol presenting health queries with and without expressed distress and incorrect user beliefs</w:t>
            </w:r>
          </w:p>
        </w:tc>
        <w:tc>
          <w:tcPr>
            <w:tcW w:w="1086" w:type="dxa"/>
            <w:tcMar>
              <w:top w:w="60" w:type="dxa"/>
              <w:left w:w="90" w:type="dxa"/>
              <w:bottom w:w="60" w:type="dxa"/>
              <w:right w:w="90" w:type="dxa"/>
            </w:tcMar>
          </w:tcPr>
          <w:p w14:paraId="0C2C88AF" w14:textId="77777777" w:rsidR="007269E8" w:rsidRDefault="00000000" w:rsidP="00BE1189">
            <w:pPr>
              <w:spacing w:before="100" w:beforeAutospacing="1" w:after="100" w:afterAutospacing="1"/>
            </w:pPr>
            <w:r>
              <w:rPr>
                <w:sz w:val="18"/>
                <w:szCs w:val="18"/>
              </w:rPr>
              <w:t>Immediate, then longer term</w:t>
            </w:r>
          </w:p>
        </w:tc>
        <w:tc>
          <w:tcPr>
            <w:tcW w:w="2264" w:type="dxa"/>
            <w:tcMar>
              <w:top w:w="60" w:type="dxa"/>
              <w:left w:w="90" w:type="dxa"/>
              <w:bottom w:w="60" w:type="dxa"/>
              <w:right w:w="90" w:type="dxa"/>
            </w:tcMar>
          </w:tcPr>
          <w:p w14:paraId="23846AC8" w14:textId="77777777" w:rsidR="007269E8" w:rsidRDefault="00000000" w:rsidP="00BE1189">
            <w:pPr>
              <w:spacing w:before="100" w:beforeAutospacing="1" w:after="100" w:afterAutospacing="1"/>
            </w:pPr>
            <w:r>
              <w:rPr>
                <w:sz w:val="18"/>
                <w:szCs w:val="18"/>
              </w:rPr>
              <w:t>Provides a detection method for a structural risk that current pre-deployment testing misses</w:t>
            </w:r>
          </w:p>
        </w:tc>
      </w:tr>
    </w:tbl>
    <w:p w14:paraId="0CFCE160" w14:textId="77777777" w:rsidR="007269E8" w:rsidRDefault="00000000" w:rsidP="00BE1189">
      <w:pPr>
        <w:spacing w:before="100" w:beforeAutospacing="1" w:after="100" w:afterAutospacing="1"/>
      </w:pPr>
      <w:r>
        <w:rPr>
          <w:i/>
          <w:iCs/>
          <w:sz w:val="19"/>
          <w:szCs w:val="19"/>
        </w:rPr>
        <w:t>Note. AI = artificial intelligence. "Immediate" denotes work feasible with existing methods and infrastructure; "longer term" denotes work requiring cohort infrastructure, multi-country coordination or changes to evaluation practice.</w:t>
      </w:r>
    </w:p>
    <w:p w14:paraId="5C5EE7A8" w14:textId="77777777" w:rsidR="007269E8" w:rsidRDefault="00000000" w:rsidP="00BE1189">
      <w:pPr>
        <w:pStyle w:val="Heading1"/>
        <w:spacing w:before="100" w:beforeAutospacing="1" w:after="100" w:afterAutospacing="1"/>
      </w:pPr>
      <w:r>
        <w:rPr>
          <w:b/>
          <w:bCs/>
          <w:color w:val="000000"/>
          <w:sz w:val="26"/>
          <w:szCs w:val="26"/>
        </w:rPr>
        <w:t>10. Conclusions</w:t>
      </w:r>
    </w:p>
    <w:p w14:paraId="3FE9F252" w14:textId="77777777" w:rsidR="007269E8" w:rsidRDefault="00000000" w:rsidP="00BE1189">
      <w:pPr>
        <w:spacing w:before="100" w:beforeAutospacing="1" w:after="100" w:afterAutospacing="1"/>
        <w:jc w:val="both"/>
      </w:pPr>
      <w:r>
        <w:t>Public trust in AI-generated health information is now the proximate determinant of whether such information influences health decisions, and the evidence assembled here supports several defensible conclusions about how that trust is formed, alongside a clear account of what remains unknown.</w:t>
      </w:r>
    </w:p>
    <w:p w14:paraId="0D0208E9" w14:textId="77777777" w:rsidR="007269E8" w:rsidRDefault="00000000" w:rsidP="00BE1189">
      <w:pPr>
        <w:spacing w:before="100" w:beforeAutospacing="1" w:after="100" w:afterAutospacing="1"/>
        <w:jc w:val="both"/>
      </w:pPr>
      <w:r>
        <w:t>The strongest conclusion concerns what the evidence does not show. The assumption that machine attribution carries a reliable credibility penalty is not supported. Meta-analytic evidence indicates a small average penalty that is conditional on topic, baseline trust and signalled human oversight, systematic review evidence covering a larger set of studies reports predominantly null individual results, and the only randomised health-adjacent labelling experiment located found no main effect of the label on perceived accuracy, credibility or sharing. Where a penalty appears, it attaches to the label rather than to the content and therefore falls equally on accurate and inaccurate material. Policies premised on labelling as a protective mechanism rest on weaker foundations than their prevalence suggests, although disclosure retains a strong independent justification in respect of autonomy and accountability, and patients themselves want it.</w:t>
      </w:r>
    </w:p>
    <w:p w14:paraId="221C934F" w14:textId="77777777" w:rsidR="007269E8" w:rsidRDefault="00000000" w:rsidP="00BE1189">
      <w:pPr>
        <w:spacing w:before="100" w:beforeAutospacing="1" w:after="100" w:afterAutospacing="1"/>
        <w:jc w:val="both"/>
      </w:pPr>
      <w:r>
        <w:t>The second conclusion concerns health literacy. In nationally representative samples, health literacy and its digital derivatives are weak or null predictors of trust in AI-generated health information, whereas AI literacy and perceived usefulness are consistent positive predictors. The single located experimental test of a literacy intervention found no effect on attitudes. This does not establish that literacy is irrelevant; it establishes that the receiver-side account has been specified at the wrong level and measured with instruments assessing confidence rather than competence. The most defensible interpretation is that generative systems improve the accessing and understanding competencies while leaving appraisal unaddressed, producing a comprehension-appraisal gap in which users understand more of what they read and possess less basis for judging whether it is correct. This interpretation is consistent with the available data but has not been tested directly, and it should be treated as a well-motivated hypothesis rather than an established finding.</w:t>
      </w:r>
    </w:p>
    <w:p w14:paraId="3D4C0E2C" w14:textId="77777777" w:rsidR="007269E8" w:rsidRDefault="00000000" w:rsidP="00BE1189">
      <w:pPr>
        <w:spacing w:before="100" w:beforeAutospacing="1" w:after="100" w:afterAutospacing="1"/>
        <w:jc w:val="both"/>
      </w:pPr>
      <w:r>
        <w:t xml:space="preserve">The third conclusion concerns the object of trust. Accuracy is materially imperfect, highly variable across topics, models and prompts, and unstable over time, so no single accuracy figure can be attached to the category. More consequentially, controlled experimental evidence indicates that optimising conversational systems for warmth substantially increases error rates and the validation of incorrect beliefs, most sharply when </w:t>
      </w:r>
      <w:proofErr w:type="gramStart"/>
      <w:r>
        <w:t>users</w:t>
      </w:r>
      <w:proofErr w:type="gramEnd"/>
      <w:r>
        <w:t xml:space="preserve"> express vulnerability, while leaving standard benchmark performance intact. The stylistic properties that most efficiently generate trust are therefore partly antagonistic to the properties that would justify it. This is a structural feature of how these systems are built and marketed rather than a defect of any particular product, and it is the most important finding for public health in the material reviewed.</w:t>
      </w:r>
    </w:p>
    <w:p w14:paraId="29C88AF9" w14:textId="77777777" w:rsidR="007269E8" w:rsidRDefault="00000000" w:rsidP="00BE1189">
      <w:pPr>
        <w:spacing w:before="100" w:beforeAutospacing="1" w:after="100" w:afterAutospacing="1"/>
        <w:jc w:val="both"/>
      </w:pPr>
      <w:r>
        <w:t xml:space="preserve">Confidence in these conclusions is bounded by the design of the underlying evidence. Cross-sectional surveys with self-reported constructs and non-probability samples dominate, outcomes are overwhelmingly intentions rather than behaviours, and calibration is almost never measured. The link from trust to health behaviour rests on a small number of studies with modest effect sizes and designs </w:t>
      </w:r>
      <w:r>
        <w:lastRenderedPageBreak/>
        <w:t>that cannot establish direction. The broader significance of the synthesis is that the field has been answering a question of secondary importance. How much the public trusts AI-generated health information matters far less than whether that trust discriminates between accurate and inaccurate content, and the redirection of research effort towards calibration is the change most likely to make this literature useful to those who must decide how such systems are governed and how patients should be advised about them.</w:t>
      </w:r>
    </w:p>
    <w:p w14:paraId="0D8835E5" w14:textId="77777777" w:rsidR="007269E8" w:rsidRDefault="00000000" w:rsidP="00BE1189">
      <w:pPr>
        <w:pStyle w:val="Heading1"/>
        <w:spacing w:before="100" w:beforeAutospacing="1" w:after="100" w:afterAutospacing="1"/>
      </w:pPr>
      <w:r>
        <w:rPr>
          <w:b/>
          <w:bCs/>
          <w:color w:val="000000"/>
          <w:sz w:val="26"/>
          <w:szCs w:val="26"/>
        </w:rPr>
        <w:t>11. Limitations</w:t>
      </w:r>
    </w:p>
    <w:p w14:paraId="3D8857F3" w14:textId="77777777" w:rsidR="007269E8" w:rsidRDefault="00000000" w:rsidP="00BE1189">
      <w:pPr>
        <w:spacing w:before="100" w:beforeAutospacing="1" w:after="100" w:afterAutospacing="1"/>
        <w:jc w:val="both"/>
      </w:pPr>
      <w:r>
        <w:t>This review is a narrative synthesis and carries the limitations intrinsic to that design. Study identification was purposive and iterative rather than exhaustive, so relevant work will have been missed, and both selection and interpretation are susceptible to bias despite the transparent description of the search strategy, eligibility criteria and appraisal approach. Themes were developed by a process of judgement, and a differently framed synthesis of the same literature could reasonably reach different emphases.</w:t>
      </w:r>
    </w:p>
    <w:p w14:paraId="32A2E33D" w14:textId="77777777" w:rsidR="007269E8" w:rsidRDefault="00000000" w:rsidP="00BE1189">
      <w:pPr>
        <w:spacing w:before="100" w:beforeAutospacing="1" w:after="100" w:afterAutospacing="1"/>
        <w:jc w:val="both"/>
      </w:pPr>
      <w:r>
        <w:t>Access to subscription databases was incomplete. Web of Science Core Collection, Scopus, Embase, PsycINFO and the principal communication indexes were not searchable during preparation, and their coverage is represented only indirectly through included systematic reviews that searched them. This is likely to have reduced retrieval of communication and psychology literature in particular, which is precisely the disciplinary area in which the source credibility argument developed. The restriction to English-language publications compounds this, and will have excluded evidence from the linguistic contexts in which model performance is least well characterised.</w:t>
      </w:r>
    </w:p>
    <w:p w14:paraId="2DF46C75" w14:textId="77777777" w:rsidR="007269E8" w:rsidRDefault="00000000" w:rsidP="00BE1189">
      <w:pPr>
        <w:spacing w:before="100" w:beforeAutospacing="1" w:after="100" w:afterAutospacing="1"/>
        <w:jc w:val="both"/>
      </w:pPr>
      <w:r>
        <w:t>The evidence itself imposes further constraints. Designs are heterogeneous in a manner that precludes quantitative synthesis, with trust measured by instruments ranging from single global items to adapted multi-item technology acceptance scales, and with outcomes ranging from forced-choice preference to structural path coefficients. Reliance on cross-sectional and observational evidence is heavy, and the small number of experimental studies are mostly conducted with online panels performing hypothetical tasks. Geographical representation is uneven and concentrated in a small number of high-income and upper-middle-income settings, and evidence concerning low- and middle-income countries is close to absent. Long-term evidence does not exist, since the technology has been publicly available for a period shorter than the interval required to observe health behaviour outcomes.</w:t>
      </w:r>
    </w:p>
    <w:p w14:paraId="14F1A16B" w14:textId="77777777" w:rsidR="007269E8" w:rsidRDefault="00000000" w:rsidP="00BE1189">
      <w:pPr>
        <w:spacing w:before="100" w:beforeAutospacing="1" w:after="100" w:afterAutospacing="1"/>
        <w:jc w:val="both"/>
      </w:pPr>
      <w:r>
        <w:t>The field also changes faster than it can be reviewed. Model versions, interface design and safety behaviour alter between the conduct and publication of any given study, so findings about the properties of specific systems have uncertain currency, and comparability between studies conducted even eighteen months apart cannot be assumed. Several conclusions drawn here rest on single studies, and this dependence is stated in the text where it occurs. Finally, the review does not assess the technical literature on model architecture, alignment or evaluation methodology, and its account of why particular system behaviours arise is therefore necessarily limited to what the reviewed empirical work reports.</w:t>
      </w:r>
    </w:p>
    <w:p w14:paraId="2269F0BA" w14:textId="77777777" w:rsidR="0040367F" w:rsidRPr="000839CE" w:rsidRDefault="0040367F" w:rsidP="0040367F">
      <w:pPr>
        <w:rPr>
          <w:b/>
        </w:rPr>
      </w:pPr>
      <w:r w:rsidRPr="000839CE">
        <w:rPr>
          <w:b/>
        </w:rPr>
        <w:t>Declaration of AI Use</w:t>
      </w:r>
    </w:p>
    <w:p w14:paraId="5544E477" w14:textId="77777777" w:rsidR="0040367F" w:rsidRPr="000839CE" w:rsidRDefault="0040367F" w:rsidP="0040367F"/>
    <w:p w14:paraId="4EFD7B5A" w14:textId="77777777" w:rsidR="0040367F" w:rsidRPr="000839CE" w:rsidRDefault="0040367F" w:rsidP="0040367F">
      <w:pPr>
        <w:jc w:val="both"/>
      </w:pPr>
      <w:r w:rsidRPr="00C56790">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w:t>
      </w:r>
      <w:r w:rsidRPr="00C56790">
        <w:lastRenderedPageBreak/>
        <w:t>revised, verified, and approved by the author(s). The author(s) accept full responsibility for the accuracy, integrity, and final content of the manuscript.</w:t>
      </w:r>
    </w:p>
    <w:p w14:paraId="75D25DEB" w14:textId="77777777" w:rsidR="0040367F" w:rsidRDefault="0040367F" w:rsidP="00BE1189">
      <w:pPr>
        <w:spacing w:before="100" w:beforeAutospacing="1" w:after="100" w:afterAutospacing="1"/>
        <w:jc w:val="both"/>
      </w:pPr>
    </w:p>
    <w:p w14:paraId="14CA4257" w14:textId="77777777" w:rsidR="007269E8" w:rsidRDefault="00000000" w:rsidP="00BE1189">
      <w:pPr>
        <w:pStyle w:val="Heading1"/>
        <w:spacing w:before="100" w:beforeAutospacing="1" w:after="100" w:afterAutospacing="1"/>
      </w:pPr>
      <w:r>
        <w:rPr>
          <w:b/>
          <w:bCs/>
          <w:color w:val="000000"/>
          <w:sz w:val="26"/>
          <w:szCs w:val="26"/>
        </w:rPr>
        <w:t>References</w:t>
      </w:r>
    </w:p>
    <w:p w14:paraId="2E5FCD7C" w14:textId="4CF61A4B" w:rsidR="007269E8" w:rsidRDefault="00000000" w:rsidP="00BE1189">
      <w:pPr>
        <w:spacing w:before="100" w:beforeAutospacing="1" w:after="100" w:afterAutospacing="1"/>
        <w:ind w:left="720" w:hanging="720"/>
      </w:pPr>
      <w:r>
        <w:t xml:space="preserve">Abeo, A. N. A., Armstrong, S., </w:t>
      </w:r>
      <w:proofErr w:type="spellStart"/>
      <w:r>
        <w:t>Scriney</w:t>
      </w:r>
      <w:proofErr w:type="spellEnd"/>
      <w:r>
        <w:t xml:space="preserve">, M., &amp; Goss, H. (2025). Artificial intelligence techniques and health literacy: A systematic review. </w:t>
      </w:r>
      <w:r>
        <w:rPr>
          <w:i/>
          <w:iCs/>
        </w:rPr>
        <w:t>Mayo Clinic Proceedings: Digital Health, 3</w:t>
      </w:r>
      <w:r>
        <w:t xml:space="preserve">(4), 100269. </w:t>
      </w:r>
      <w:r w:rsidRPr="00BE1189">
        <w:t>https://doi.org/10.1016/j.mcpdig.2025.100269</w:t>
      </w:r>
    </w:p>
    <w:p w14:paraId="2C5AEBA2" w14:textId="386C762F" w:rsidR="007269E8" w:rsidRDefault="00000000" w:rsidP="00BE1189">
      <w:pPr>
        <w:spacing w:before="100" w:beforeAutospacing="1" w:after="100" w:afterAutospacing="1"/>
        <w:ind w:left="720" w:hanging="720"/>
      </w:pPr>
      <w:r>
        <w:t xml:space="preserve">Ayers, J. W., Poliak, A., Dredze, M., Leas, E. C., Zhu, Z., Kelley, J. B., Faix, D. J., Goodman, A. M., Longhurst, C. A., Hogarth, M., &amp; Smith, D. M. (2023). Comparing physician and artificial intelligence chatbot responses to patient questions posted to a public social media forum. </w:t>
      </w:r>
      <w:r>
        <w:rPr>
          <w:i/>
          <w:iCs/>
        </w:rPr>
        <w:t>JAMA Internal Medicine, 183</w:t>
      </w:r>
      <w:r>
        <w:t xml:space="preserve">(6), 589–596. </w:t>
      </w:r>
      <w:r w:rsidRPr="00BE1189">
        <w:t>https://doi.org/10.1001/jamainternmed.2023.1838</w:t>
      </w:r>
    </w:p>
    <w:p w14:paraId="370E7AAC" w14:textId="6CCD544B" w:rsidR="007269E8" w:rsidRDefault="00000000" w:rsidP="00BE1189">
      <w:pPr>
        <w:spacing w:before="100" w:beforeAutospacing="1" w:after="100" w:afterAutospacing="1"/>
        <w:ind w:left="720" w:hanging="720"/>
      </w:pPr>
      <w:proofErr w:type="spellStart"/>
      <w:r>
        <w:t>Baethge</w:t>
      </w:r>
      <w:proofErr w:type="spellEnd"/>
      <w:r>
        <w:t xml:space="preserve">, C., Goldbeck-Wood, S., &amp; Mertens, S. (2019). SANRA—a scale for the quality assessment of narrative review articles. </w:t>
      </w:r>
      <w:r>
        <w:rPr>
          <w:i/>
          <w:iCs/>
        </w:rPr>
        <w:t>Research Integrity and Peer Review, 4</w:t>
      </w:r>
      <w:r>
        <w:t xml:space="preserve">, 5. </w:t>
      </w:r>
      <w:r w:rsidRPr="00BE1189">
        <w:t>https://doi.org/10.1186/s41073-019-0064-8</w:t>
      </w:r>
    </w:p>
    <w:p w14:paraId="4184E3A3" w14:textId="6E754F0D" w:rsidR="007269E8" w:rsidRDefault="00000000" w:rsidP="00BE1189">
      <w:pPr>
        <w:spacing w:before="100" w:beforeAutospacing="1" w:after="100" w:afterAutospacing="1"/>
        <w:ind w:left="720" w:hanging="720"/>
      </w:pPr>
      <w:r>
        <w:t xml:space="preserve">Barrison, P. D., Platt, J., Ackerman, M. S., Friedman, C. P., &amp; Vinson, A. H. (2026). Patient perceptions and preferences for the disclosure of artificial intelligence generated draft replies to electronic messages: A qualitative study. </w:t>
      </w:r>
      <w:r>
        <w:rPr>
          <w:i/>
          <w:iCs/>
        </w:rPr>
        <w:t>International Journal of Medical Informatics, 217</w:t>
      </w:r>
      <w:r>
        <w:t xml:space="preserve">, 106507. </w:t>
      </w:r>
      <w:r w:rsidRPr="00BE1189">
        <w:t>https://doi.org/10.1016/j.ijmedinf.2026.106507</w:t>
      </w:r>
    </w:p>
    <w:p w14:paraId="221DC52D" w14:textId="2D7F5E4C" w:rsidR="007269E8" w:rsidRDefault="00000000" w:rsidP="00BE1189">
      <w:pPr>
        <w:spacing w:before="100" w:beforeAutospacing="1" w:after="100" w:afterAutospacing="1"/>
        <w:ind w:left="720" w:hanging="720"/>
      </w:pPr>
      <w:r>
        <w:t xml:space="preserve">Bautista, J. R., Herbert, D., Farmer, M., De Torres, R. Q., Soriano, G. P., &amp; Ronquillo, C. E. (2025). Health consumers' use and perceptions of health information from generative artificial intelligence chatbots: A scoping review. </w:t>
      </w:r>
      <w:r>
        <w:rPr>
          <w:i/>
          <w:iCs/>
        </w:rPr>
        <w:t>Applied Clinical Informatics, 16</w:t>
      </w:r>
      <w:r>
        <w:t xml:space="preserve">(4), 892–902. </w:t>
      </w:r>
      <w:r w:rsidRPr="00BE1189">
        <w:t>https://doi.org/10.1055/a-2647-1210</w:t>
      </w:r>
    </w:p>
    <w:p w14:paraId="6B220478" w14:textId="1627E2C4" w:rsidR="007269E8" w:rsidRDefault="00000000" w:rsidP="00BE1189">
      <w:pPr>
        <w:spacing w:before="100" w:beforeAutospacing="1" w:after="100" w:afterAutospacing="1"/>
        <w:ind w:left="720" w:hanging="720"/>
      </w:pPr>
      <w:r>
        <w:t xml:space="preserve">Cai, X., Li, W., Shi, W., Cai, Y., &amp; Zhou, J. (2026). </w:t>
      </w:r>
      <w:proofErr w:type="spellStart"/>
      <w:r>
        <w:t>Behavioral</w:t>
      </w:r>
      <w:proofErr w:type="spellEnd"/>
      <w:r>
        <w:t xml:space="preserve"> dynamics of AI trust and health care delays among adults: Integrated cross-sectional survey and agent-based </w:t>
      </w:r>
      <w:proofErr w:type="spellStart"/>
      <w:r>
        <w:t>modeling</w:t>
      </w:r>
      <w:proofErr w:type="spellEnd"/>
      <w:r>
        <w:t xml:space="preserve"> study. </w:t>
      </w:r>
      <w:r>
        <w:rPr>
          <w:i/>
          <w:iCs/>
        </w:rPr>
        <w:t>Journal of Medical Internet Research, 28</w:t>
      </w:r>
      <w:r>
        <w:t xml:space="preserve">, e82170. </w:t>
      </w:r>
      <w:r w:rsidRPr="00BE1189">
        <w:t>https://doi.org/10.2196/82170</w:t>
      </w:r>
    </w:p>
    <w:p w14:paraId="1312677B" w14:textId="63E57531" w:rsidR="007269E8" w:rsidRDefault="00000000" w:rsidP="00BE1189">
      <w:pPr>
        <w:spacing w:before="100" w:beforeAutospacing="1" w:after="100" w:afterAutospacing="1"/>
        <w:ind w:left="720" w:hanging="720"/>
      </w:pPr>
      <w:r>
        <w:t xml:space="preserve">Chang, W. L., Cai, X., &amp; Zhao, X. (2025). Can AI generate useful messages for smoking cessation campaigns? A test with different emotional appeals and source attribution. </w:t>
      </w:r>
      <w:r>
        <w:rPr>
          <w:i/>
          <w:iCs/>
        </w:rPr>
        <w:t>International Journal of Environmental Research and Public Health, 22</w:t>
      </w:r>
      <w:r>
        <w:t xml:space="preserve">(10), 1540. </w:t>
      </w:r>
      <w:r w:rsidRPr="00BE1189">
        <w:t>https://doi.org/10.3390/ijerph22101540</w:t>
      </w:r>
    </w:p>
    <w:p w14:paraId="4418A523" w14:textId="556F37C0" w:rsidR="007269E8" w:rsidRDefault="00000000" w:rsidP="00BE1189">
      <w:pPr>
        <w:spacing w:before="100" w:beforeAutospacing="1" w:after="100" w:afterAutospacing="1"/>
        <w:ind w:left="720" w:hanging="720"/>
      </w:pPr>
      <w:r>
        <w:t xml:space="preserve">Chen, D., Chauhan, K., Parsa, R., Liu, Z. A., Liu, F. F., Mak, E., Eng, L., Hannon, B. L., Croke, J., Hope, A., Fallah-Rad, N., Wong, P., &amp; Raman, S. (2025). Patient perceptions of empathy in physician and artificial intelligence chatbot responses to patient questions about cancer. </w:t>
      </w:r>
      <w:proofErr w:type="spellStart"/>
      <w:r>
        <w:rPr>
          <w:i/>
          <w:iCs/>
        </w:rPr>
        <w:t>npj</w:t>
      </w:r>
      <w:proofErr w:type="spellEnd"/>
      <w:r>
        <w:rPr>
          <w:i/>
          <w:iCs/>
        </w:rPr>
        <w:t xml:space="preserve"> Digital Medicine, 8</w:t>
      </w:r>
      <w:r>
        <w:t xml:space="preserve">, 275. </w:t>
      </w:r>
      <w:r w:rsidRPr="00BE1189">
        <w:t>https://doi.org/10.1038/s41746-025-01671-6</w:t>
      </w:r>
    </w:p>
    <w:p w14:paraId="00840630" w14:textId="6A989C0A" w:rsidR="007269E8" w:rsidRDefault="00000000" w:rsidP="00BE1189">
      <w:pPr>
        <w:spacing w:before="100" w:beforeAutospacing="1" w:after="100" w:afterAutospacing="1"/>
        <w:ind w:left="720" w:hanging="720"/>
      </w:pPr>
      <w:r>
        <w:t xml:space="preserve">Chen, S. Y., Kuo, H. Y., &amp; Chang, S. H. (2024). Perceptions of ChatGPT in healthcare: Usefulness, trust, and risk. </w:t>
      </w:r>
      <w:r>
        <w:rPr>
          <w:i/>
          <w:iCs/>
        </w:rPr>
        <w:t>Frontiers in Public Health, 12</w:t>
      </w:r>
      <w:r>
        <w:t xml:space="preserve">, 1457131. </w:t>
      </w:r>
      <w:r w:rsidRPr="00BE1189">
        <w:t>https://doi.org/10.3389/fpubh.2024.1457131</w:t>
      </w:r>
    </w:p>
    <w:p w14:paraId="63EE0413" w14:textId="6EF757C5" w:rsidR="007269E8" w:rsidRDefault="00000000" w:rsidP="00BE1189">
      <w:pPr>
        <w:spacing w:before="100" w:beforeAutospacing="1" w:after="100" w:afterAutospacing="1"/>
        <w:ind w:left="720" w:hanging="720"/>
      </w:pPr>
      <w:r>
        <w:t xml:space="preserve">Chen, Z., Wu, T., Wu, X., Wang, J., Ke, S., Li, H., &amp; Lin, R. (2025). The mediating effects of technology trust and perceived value in the relationship between eHealth literacy and </w:t>
      </w:r>
      <w:r>
        <w:lastRenderedPageBreak/>
        <w:t xml:space="preserve">attitude toward the usage of artificial intelligence in nursing: A cross-sectional study. </w:t>
      </w:r>
      <w:r>
        <w:rPr>
          <w:i/>
          <w:iCs/>
        </w:rPr>
        <w:t>BMC Nursing, 24</w:t>
      </w:r>
      <w:r>
        <w:t xml:space="preserve">, 989. </w:t>
      </w:r>
      <w:r w:rsidRPr="00BE1189">
        <w:t>https://doi.org/10.1186/s12912-025-03577-w</w:t>
      </w:r>
    </w:p>
    <w:p w14:paraId="3D1F464A" w14:textId="0FAFA622" w:rsidR="007269E8" w:rsidRDefault="00000000" w:rsidP="00BE1189">
      <w:pPr>
        <w:spacing w:before="100" w:beforeAutospacing="1" w:after="100" w:afterAutospacing="1"/>
        <w:ind w:left="720" w:hanging="720"/>
      </w:pPr>
      <w:r>
        <w:t xml:space="preserve">Chew, H. S. J., &amp; </w:t>
      </w:r>
      <w:proofErr w:type="spellStart"/>
      <w:r>
        <w:t>Achananuparp</w:t>
      </w:r>
      <w:proofErr w:type="spellEnd"/>
      <w:r>
        <w:t xml:space="preserve">, P. (2022). Perceptions and needs of artificial intelligence in health care to increase adoption: Scoping review. </w:t>
      </w:r>
      <w:r>
        <w:rPr>
          <w:i/>
          <w:iCs/>
        </w:rPr>
        <w:t>Journal of Medical Internet Research, 24</w:t>
      </w:r>
      <w:r>
        <w:t xml:space="preserve">(1), e32939. </w:t>
      </w:r>
      <w:r w:rsidRPr="00BE1189">
        <w:t>https://doi.org/10.2196/32939</w:t>
      </w:r>
    </w:p>
    <w:p w14:paraId="73D84DB6" w14:textId="5B9A9B6F" w:rsidR="007269E8" w:rsidRDefault="00000000" w:rsidP="00BE1189">
      <w:pPr>
        <w:spacing w:before="100" w:beforeAutospacing="1" w:after="100" w:afterAutospacing="1"/>
        <w:ind w:left="720" w:hanging="720"/>
      </w:pPr>
      <w:r>
        <w:t xml:space="preserve">Choudhury, A., &amp; </w:t>
      </w:r>
      <w:proofErr w:type="spellStart"/>
      <w:r>
        <w:t>Shamszare</w:t>
      </w:r>
      <w:proofErr w:type="spellEnd"/>
      <w:r>
        <w:t xml:space="preserve">, H. (2023). Investigating the impact of user trust on the adoption and use of ChatGPT: Survey analysis. </w:t>
      </w:r>
      <w:r>
        <w:rPr>
          <w:i/>
          <w:iCs/>
        </w:rPr>
        <w:t>Journal of Medical Internet Research, 25</w:t>
      </w:r>
      <w:r>
        <w:t xml:space="preserve">, e47184. </w:t>
      </w:r>
      <w:r w:rsidRPr="00BE1189">
        <w:t>https://doi.org/10.2196/47184</w:t>
      </w:r>
    </w:p>
    <w:p w14:paraId="4C2A2E3C" w14:textId="28D42164" w:rsidR="007269E8" w:rsidRDefault="00000000" w:rsidP="00BE1189">
      <w:pPr>
        <w:spacing w:before="100" w:beforeAutospacing="1" w:after="100" w:afterAutospacing="1"/>
        <w:ind w:left="720" w:hanging="720"/>
      </w:pPr>
      <w:proofErr w:type="spellStart"/>
      <w:r>
        <w:t>Diviani</w:t>
      </w:r>
      <w:proofErr w:type="spellEnd"/>
      <w:r>
        <w:t xml:space="preserve">, N., van den Putte, B., Giani, S., &amp; van Weert, J. C. M. (2015). Low health literacy and evaluation of online health information: A systematic review of the literature. </w:t>
      </w:r>
      <w:r>
        <w:rPr>
          <w:i/>
          <w:iCs/>
        </w:rPr>
        <w:t>Journal of Medical Internet Research, 17</w:t>
      </w:r>
      <w:r>
        <w:t xml:space="preserve">(5), e112. </w:t>
      </w:r>
      <w:r w:rsidRPr="00BE1189">
        <w:t>https://doi.org/10.2196/jmir.4018</w:t>
      </w:r>
    </w:p>
    <w:p w14:paraId="093C9C07" w14:textId="00987423" w:rsidR="007269E8" w:rsidRDefault="00000000" w:rsidP="00BE1189">
      <w:pPr>
        <w:spacing w:before="100" w:beforeAutospacing="1" w:after="100" w:afterAutospacing="1"/>
        <w:ind w:left="720" w:hanging="720"/>
      </w:pPr>
      <w:r>
        <w:t xml:space="preserve">Dunn, A. G., Shih, I., Ayre, J., &amp; </w:t>
      </w:r>
      <w:proofErr w:type="spellStart"/>
      <w:r>
        <w:t>Spallek</w:t>
      </w:r>
      <w:proofErr w:type="spellEnd"/>
      <w:r>
        <w:t xml:space="preserve">, H. (2023). What generative AI means for trust in health communications. </w:t>
      </w:r>
      <w:r>
        <w:rPr>
          <w:i/>
          <w:iCs/>
        </w:rPr>
        <w:t>Journal of Communication in Healthcare, 16</w:t>
      </w:r>
      <w:r>
        <w:t xml:space="preserve">(4), 385–388. </w:t>
      </w:r>
      <w:r w:rsidRPr="00BE1189">
        <w:t>https://doi.org/10.1080/17538068.2023.2277489</w:t>
      </w:r>
    </w:p>
    <w:p w14:paraId="753A5F0E" w14:textId="25C49A15" w:rsidR="007269E8" w:rsidRDefault="00000000" w:rsidP="00BE1189">
      <w:pPr>
        <w:spacing w:before="100" w:beforeAutospacing="1" w:after="100" w:afterAutospacing="1"/>
        <w:ind w:left="720" w:hanging="720"/>
      </w:pPr>
      <w:r>
        <w:t xml:space="preserve">Glikson, E., &amp; Woolley, A. W. (2020). Human trust in artificial intelligence: Review of empirical research. </w:t>
      </w:r>
      <w:r>
        <w:rPr>
          <w:i/>
          <w:iCs/>
        </w:rPr>
        <w:t>Academy of Management Annals, 14</w:t>
      </w:r>
      <w:r>
        <w:t xml:space="preserve">(2), 627–660. </w:t>
      </w:r>
      <w:r w:rsidRPr="00BE1189">
        <w:t>https://doi.org/10.5465/annals.2018.0057</w:t>
      </w:r>
    </w:p>
    <w:p w14:paraId="5B5D83DC" w14:textId="43F043CD" w:rsidR="007269E8" w:rsidRDefault="00000000" w:rsidP="00BE1189">
      <w:pPr>
        <w:spacing w:before="100" w:beforeAutospacing="1" w:after="100" w:afterAutospacing="1"/>
        <w:ind w:left="720" w:hanging="720"/>
      </w:pPr>
      <w:r>
        <w:t xml:space="preserve">Go, E., &amp; Sundar, S. S. (2019). Humanizing chatbots: The effects of visual, identity and conversational cues on humanness perceptions. </w:t>
      </w:r>
      <w:r>
        <w:rPr>
          <w:i/>
          <w:iCs/>
        </w:rPr>
        <w:t xml:space="preserve">Computers in Human </w:t>
      </w:r>
      <w:proofErr w:type="spellStart"/>
      <w:r>
        <w:rPr>
          <w:i/>
          <w:iCs/>
        </w:rPr>
        <w:t>Behavior</w:t>
      </w:r>
      <w:proofErr w:type="spellEnd"/>
      <w:r>
        <w:rPr>
          <w:i/>
          <w:iCs/>
        </w:rPr>
        <w:t>, 97</w:t>
      </w:r>
      <w:r>
        <w:t xml:space="preserve">, 304–316. </w:t>
      </w:r>
      <w:r w:rsidRPr="00BE1189">
        <w:t>https://doi.org/10.1016/j.chb.2019.01.020</w:t>
      </w:r>
    </w:p>
    <w:p w14:paraId="2D987ECB" w14:textId="179A8852" w:rsidR="007269E8" w:rsidRDefault="00000000" w:rsidP="00BE1189">
      <w:pPr>
        <w:spacing w:before="100" w:beforeAutospacing="1" w:after="100" w:afterAutospacing="1"/>
        <w:ind w:left="720" w:hanging="720"/>
      </w:pPr>
      <w:r>
        <w:t xml:space="preserve">Greenhalgh, T., Thorne, S., &amp; </w:t>
      </w:r>
      <w:proofErr w:type="spellStart"/>
      <w:r>
        <w:t>Malterud</w:t>
      </w:r>
      <w:proofErr w:type="spellEnd"/>
      <w:r>
        <w:t xml:space="preserve">, K. (2018). Time to challenge the spurious hierarchy of systematic over narrative reviews? </w:t>
      </w:r>
      <w:r>
        <w:rPr>
          <w:i/>
          <w:iCs/>
        </w:rPr>
        <w:t>European Journal of Clinical Investigation, 48</w:t>
      </w:r>
      <w:r>
        <w:t xml:space="preserve">(6), e12931. </w:t>
      </w:r>
      <w:r w:rsidRPr="00BE1189">
        <w:t>https://doi.org/10.1111/eci.12931</w:t>
      </w:r>
    </w:p>
    <w:p w14:paraId="4E44EC7D" w14:textId="02E7817E" w:rsidR="007269E8" w:rsidRDefault="00000000" w:rsidP="00BE1189">
      <w:pPr>
        <w:spacing w:before="100" w:beforeAutospacing="1" w:after="100" w:afterAutospacing="1"/>
        <w:ind w:left="720" w:hanging="720"/>
      </w:pPr>
      <w:r>
        <w:t xml:space="preserve">Grub, M. F., &amp; Naab, T. K. (2026). Perceived credibility and social competence of chatbots in mental health apps and the influence of algorithm literacy. </w:t>
      </w:r>
      <w:r>
        <w:rPr>
          <w:i/>
          <w:iCs/>
        </w:rPr>
        <w:t>Digital Health, 12</w:t>
      </w:r>
      <w:r>
        <w:t xml:space="preserve">, 20552076251413307. </w:t>
      </w:r>
      <w:r w:rsidRPr="00BE1189">
        <w:t>https://doi.org/10.1177/20552076251413307</w:t>
      </w:r>
    </w:p>
    <w:p w14:paraId="453160D6" w14:textId="262EC335" w:rsidR="007269E8" w:rsidRDefault="00000000" w:rsidP="00BE1189">
      <w:pPr>
        <w:spacing w:before="100" w:beforeAutospacing="1" w:after="100" w:afterAutospacing="1"/>
        <w:ind w:left="720" w:hanging="720"/>
      </w:pPr>
      <w:r>
        <w:t xml:space="preserve">Guo, S., Song, Y., Chen, G., Han, H., Wu, H., &amp; Ma, J. (2025). Promoting trust and intention to adopt health information generated by ChatGPT among healthcare customers: An empirical study. </w:t>
      </w:r>
      <w:r>
        <w:rPr>
          <w:i/>
          <w:iCs/>
        </w:rPr>
        <w:t>Digital Health, 11</w:t>
      </w:r>
      <w:r>
        <w:t xml:space="preserve">, 20552076251374121. </w:t>
      </w:r>
      <w:r w:rsidRPr="00BE1189">
        <w:t>https://doi.org/10.1177/20552076251374121</w:t>
      </w:r>
    </w:p>
    <w:p w14:paraId="125CBB06" w14:textId="6DF96AE9" w:rsidR="007269E8" w:rsidRDefault="00000000" w:rsidP="00BE1189">
      <w:pPr>
        <w:spacing w:before="100" w:beforeAutospacing="1" w:after="100" w:afterAutospacing="1"/>
        <w:ind w:left="720" w:hanging="720"/>
      </w:pPr>
      <w:r>
        <w:t xml:space="preserve">Heumann, R. A., &amp; </w:t>
      </w:r>
      <w:proofErr w:type="spellStart"/>
      <w:r>
        <w:t>Steinhubl</w:t>
      </w:r>
      <w:proofErr w:type="spellEnd"/>
      <w:r>
        <w:t xml:space="preserve">, S. R. (2026). Diverging trajectories of trust in healthcare and on-line information seeking: What's next with LLMs. </w:t>
      </w:r>
      <w:proofErr w:type="spellStart"/>
      <w:r>
        <w:rPr>
          <w:i/>
          <w:iCs/>
        </w:rPr>
        <w:t>npj</w:t>
      </w:r>
      <w:proofErr w:type="spellEnd"/>
      <w:r>
        <w:rPr>
          <w:i/>
          <w:iCs/>
        </w:rPr>
        <w:t xml:space="preserve"> Digital Medicine, 9</w:t>
      </w:r>
      <w:r>
        <w:t xml:space="preserve">(1), 102. </w:t>
      </w:r>
      <w:r w:rsidRPr="00BE1189">
        <w:t>https://doi.org/10.1038/s41746-026-02408-9</w:t>
      </w:r>
    </w:p>
    <w:p w14:paraId="0A7FA163" w14:textId="6FA38D42" w:rsidR="007269E8" w:rsidRDefault="00000000" w:rsidP="00BE1189">
      <w:pPr>
        <w:spacing w:before="100" w:beforeAutospacing="1" w:after="100" w:afterAutospacing="1"/>
        <w:ind w:left="720" w:hanging="720"/>
      </w:pPr>
      <w:r>
        <w:t xml:space="preserve">Høj, S., Backer, V., Ulrik, C. S., Sigsgaard, T., &amp; </w:t>
      </w:r>
      <w:proofErr w:type="spellStart"/>
      <w:r>
        <w:t>Meteran</w:t>
      </w:r>
      <w:proofErr w:type="spellEnd"/>
      <w:r>
        <w:t xml:space="preserve">, H. (2025). Artificial intelligence in asthma health literacy: A comparative analysis of ChatGPT versus Gemini. </w:t>
      </w:r>
      <w:r>
        <w:rPr>
          <w:i/>
          <w:iCs/>
        </w:rPr>
        <w:t>Journal of Asthma, 62</w:t>
      </w:r>
      <w:r>
        <w:t xml:space="preserve">(9), 1560–1566. </w:t>
      </w:r>
      <w:r w:rsidRPr="00BE1189">
        <w:t>https://doi.org/10.1080/02770903.2025.2495729</w:t>
      </w:r>
    </w:p>
    <w:p w14:paraId="5D5EFC06" w14:textId="2F79E0BC" w:rsidR="007269E8" w:rsidRDefault="00000000" w:rsidP="00BE1189">
      <w:pPr>
        <w:spacing w:before="100" w:beforeAutospacing="1" w:after="100" w:afterAutospacing="1"/>
        <w:ind w:left="720" w:hanging="720"/>
      </w:pPr>
      <w:r>
        <w:t xml:space="preserve">Hovland, C. I., &amp; Weiss, W. (1951). The influence of source credibility on communication effectiveness. </w:t>
      </w:r>
      <w:r>
        <w:rPr>
          <w:i/>
          <w:iCs/>
        </w:rPr>
        <w:t>Public Opinion Quarterly, 15</w:t>
      </w:r>
      <w:r>
        <w:t xml:space="preserve">(4), 635–650. </w:t>
      </w:r>
      <w:r w:rsidRPr="00BE1189">
        <w:t>https://doi.org/10.1086/266350</w:t>
      </w:r>
    </w:p>
    <w:p w14:paraId="1FF760B4" w14:textId="20598D76" w:rsidR="007269E8" w:rsidRDefault="00000000" w:rsidP="00BE1189">
      <w:pPr>
        <w:spacing w:before="100" w:beforeAutospacing="1" w:after="100" w:afterAutospacing="1"/>
        <w:ind w:left="720" w:hanging="720"/>
      </w:pPr>
      <w:r>
        <w:lastRenderedPageBreak/>
        <w:t xml:space="preserve">Ibrahim, L., Hafner, F. S., &amp; Rocher, L. (2026). Training language models to be warm can reduce accuracy and increase sycophancy. </w:t>
      </w:r>
      <w:r>
        <w:rPr>
          <w:i/>
          <w:iCs/>
        </w:rPr>
        <w:t>Nature, 652</w:t>
      </w:r>
      <w:r>
        <w:t xml:space="preserve">(8112), 1159–1165. </w:t>
      </w:r>
      <w:r w:rsidRPr="00BE1189">
        <w:t>https://doi.org/10.1038/s41586-026-10410-0</w:t>
      </w:r>
    </w:p>
    <w:p w14:paraId="704589CB" w14:textId="6D505EF4" w:rsidR="007269E8" w:rsidRDefault="00000000" w:rsidP="00BE1189">
      <w:pPr>
        <w:spacing w:before="100" w:beforeAutospacing="1" w:after="100" w:afterAutospacing="1"/>
        <w:ind w:left="720" w:hanging="720"/>
      </w:pPr>
      <w:r>
        <w:t xml:space="preserve">Kelly, A., </w:t>
      </w:r>
      <w:proofErr w:type="spellStart"/>
      <w:r>
        <w:t>Noctor</w:t>
      </w:r>
      <w:proofErr w:type="spellEnd"/>
      <w:r>
        <w:t xml:space="preserve">, E., Ryan, L., &amp; van de Ven, P. (2025). The effectiveness of a custom AI chatbot for type 2 diabetes mellitus health literacy: Development and evaluation study. </w:t>
      </w:r>
      <w:r>
        <w:rPr>
          <w:i/>
          <w:iCs/>
        </w:rPr>
        <w:t>Journal of Medical Internet Research, 27</w:t>
      </w:r>
      <w:r>
        <w:t xml:space="preserve">, e70131. </w:t>
      </w:r>
      <w:r w:rsidRPr="00BE1189">
        <w:t>https://doi.org/10.2196/70131</w:t>
      </w:r>
    </w:p>
    <w:p w14:paraId="36C417A0" w14:textId="36E22235" w:rsidR="007269E8" w:rsidRDefault="00000000" w:rsidP="00BE1189">
      <w:pPr>
        <w:spacing w:before="100" w:beforeAutospacing="1" w:after="100" w:afterAutospacing="1"/>
        <w:ind w:left="720" w:hanging="720"/>
      </w:pPr>
      <w:r>
        <w:t xml:space="preserve">Kim, H. M., Lee, E. J., Park, J. W., &amp; Walter, N. (2026). Synthetic news, natural doubts? A meta-analysis of credibility perceptions of AI-generated news. </w:t>
      </w:r>
      <w:r>
        <w:rPr>
          <w:i/>
          <w:iCs/>
        </w:rPr>
        <w:t xml:space="preserve">Cyberpsychology, </w:t>
      </w:r>
      <w:proofErr w:type="spellStart"/>
      <w:r>
        <w:rPr>
          <w:i/>
          <w:iCs/>
        </w:rPr>
        <w:t>Behavior</w:t>
      </w:r>
      <w:proofErr w:type="spellEnd"/>
      <w:r>
        <w:rPr>
          <w:i/>
          <w:iCs/>
        </w:rPr>
        <w:t>, and Social Networking, 29</w:t>
      </w:r>
      <w:r>
        <w:t xml:space="preserve">(5), 281–288. </w:t>
      </w:r>
      <w:r w:rsidRPr="00BE1189">
        <w:t>https://doi.org/10.1177/21522715261439452</w:t>
      </w:r>
    </w:p>
    <w:p w14:paraId="1BCB17BD" w14:textId="340DA1C1" w:rsidR="007269E8" w:rsidRDefault="00000000" w:rsidP="00BE1189">
      <w:pPr>
        <w:spacing w:before="100" w:beforeAutospacing="1" w:after="100" w:afterAutospacing="1"/>
        <w:ind w:left="720" w:hanging="720"/>
      </w:pPr>
      <w:r>
        <w:t xml:space="preserve">Lawson McLean, A., &amp; Hristidis, V. (2025). Evidence-based analysis of AI chatbots in oncology patient education: Implications for trust, perceived realness, and misinformation management. </w:t>
      </w:r>
      <w:r>
        <w:rPr>
          <w:i/>
          <w:iCs/>
        </w:rPr>
        <w:t>Journal of Cancer Education, 40</w:t>
      </w:r>
      <w:r>
        <w:t xml:space="preserve">(4), 482–489. </w:t>
      </w:r>
      <w:r w:rsidRPr="00BE1189">
        <w:t>https://doi.org/10.1007/s13187-025-02592-4</w:t>
      </w:r>
    </w:p>
    <w:p w14:paraId="595A737E" w14:textId="086A089D" w:rsidR="007269E8" w:rsidRDefault="00000000" w:rsidP="00BE1189">
      <w:pPr>
        <w:spacing w:before="100" w:beforeAutospacing="1" w:after="100" w:afterAutospacing="1"/>
        <w:ind w:left="720" w:hanging="720"/>
      </w:pPr>
      <w:r>
        <w:t xml:space="preserve">Li, F., &amp; Yang, Y. (2024). Impact of artificial intelligence-generated content labels on perceived accuracy, message credibility, and sharing intentions for misinformation: Web-based, randomized, controlled experiment. </w:t>
      </w:r>
      <w:r>
        <w:rPr>
          <w:i/>
          <w:iCs/>
        </w:rPr>
        <w:t>JMIR Formative Research, 8</w:t>
      </w:r>
      <w:r>
        <w:t xml:space="preserve">, e60024. </w:t>
      </w:r>
      <w:r w:rsidRPr="00BE1189">
        <w:t>https://doi.org/10.2196/60024</w:t>
      </w:r>
    </w:p>
    <w:p w14:paraId="7E0D8DB3" w14:textId="2AB3A08E" w:rsidR="007269E8" w:rsidRDefault="00000000" w:rsidP="00BE1189">
      <w:pPr>
        <w:spacing w:before="100" w:beforeAutospacing="1" w:after="100" w:afterAutospacing="1"/>
        <w:ind w:left="720" w:hanging="720"/>
      </w:pPr>
      <w:proofErr w:type="spellStart"/>
      <w:r>
        <w:t>Licenji</w:t>
      </w:r>
      <w:proofErr w:type="spellEnd"/>
      <w:r>
        <w:t xml:space="preserve">, L., &amp; Hoxha, J. (2026). When news is "written by artificial intelligence": A systematic review of provenance and disclosure cues in journalism and their effects on credibility and trust. </w:t>
      </w:r>
      <w:r>
        <w:rPr>
          <w:i/>
          <w:iCs/>
        </w:rPr>
        <w:t>Frontiers in Artificial Intelligence, 9</w:t>
      </w:r>
      <w:r>
        <w:t xml:space="preserve">, 1815243. </w:t>
      </w:r>
      <w:r w:rsidRPr="00BE1189">
        <w:t>https://doi.org/10.3389/frai.2026.1815243</w:t>
      </w:r>
    </w:p>
    <w:p w14:paraId="6901FF91" w14:textId="0441150D" w:rsidR="007269E8" w:rsidRDefault="00000000" w:rsidP="00BE1189">
      <w:pPr>
        <w:spacing w:before="100" w:beforeAutospacing="1" w:after="100" w:afterAutospacing="1"/>
        <w:ind w:left="720" w:hanging="720"/>
      </w:pPr>
      <w:r>
        <w:t xml:space="preserve">Liu, T., Wang, P., Pan, D., &amp; Liu, R. (2025). Credibility of AI generated and human video doctors and the relationship to social media use. </w:t>
      </w:r>
      <w:r>
        <w:rPr>
          <w:i/>
          <w:iCs/>
        </w:rPr>
        <w:t>Frontiers in Public Health, 13</w:t>
      </w:r>
      <w:r>
        <w:t xml:space="preserve">, 1559378. </w:t>
      </w:r>
      <w:r w:rsidRPr="00BE1189">
        <w:t>https://doi.org/10.3389/fpubh.2025.1559378</w:t>
      </w:r>
    </w:p>
    <w:p w14:paraId="0CB63B1D" w14:textId="458556B2" w:rsidR="007269E8" w:rsidRDefault="00000000" w:rsidP="00BE1189">
      <w:pPr>
        <w:spacing w:before="100" w:beforeAutospacing="1" w:after="100" w:afterAutospacing="1"/>
        <w:ind w:left="720" w:hanging="720"/>
      </w:pPr>
      <w:r>
        <w:t xml:space="preserve">Liu, T., Luo, Y. T., Pang, P. C. I., Zhang, H., Xiang, A., &amp; Yang, Q. (2026). The role of multimodal generative AI in older adults' health management: Systematic scoping review. </w:t>
      </w:r>
      <w:r>
        <w:rPr>
          <w:i/>
          <w:iCs/>
        </w:rPr>
        <w:t>JMIR AI, 5</w:t>
      </w:r>
      <w:r>
        <w:t xml:space="preserve">, e84695. </w:t>
      </w:r>
      <w:r w:rsidRPr="00BE1189">
        <w:t>https://doi.org/10.2196/84695</w:t>
      </w:r>
    </w:p>
    <w:p w14:paraId="46068E6B" w14:textId="3E7F5B2A" w:rsidR="007269E8" w:rsidRDefault="00000000" w:rsidP="00BE1189">
      <w:pPr>
        <w:spacing w:before="100" w:beforeAutospacing="1" w:after="100" w:afterAutospacing="1"/>
        <w:ind w:left="720" w:hanging="720"/>
      </w:pPr>
      <w:r>
        <w:t xml:space="preserve">Liu, Z., Zou, W., &amp; Lin, C. (2025). Exploring the influence of privacy concerns, AI literacy, and perceived health stigma on AI chatbot use in healthcare: An uncertainty reduction approach. </w:t>
      </w:r>
      <w:r>
        <w:rPr>
          <w:i/>
          <w:iCs/>
        </w:rPr>
        <w:t xml:space="preserve">Patient Education and </w:t>
      </w:r>
      <w:proofErr w:type="spellStart"/>
      <w:r>
        <w:rPr>
          <w:i/>
          <w:iCs/>
        </w:rPr>
        <w:t>Counseling</w:t>
      </w:r>
      <w:proofErr w:type="spellEnd"/>
      <w:r>
        <w:rPr>
          <w:i/>
          <w:iCs/>
        </w:rPr>
        <w:t>, 140</w:t>
      </w:r>
      <w:r>
        <w:t xml:space="preserve">, 109271. </w:t>
      </w:r>
      <w:r w:rsidRPr="00BE1189">
        <w:t>https://doi.org/10.1016/j.pec.2025.109271</w:t>
      </w:r>
    </w:p>
    <w:p w14:paraId="04927245" w14:textId="3EDD15A3" w:rsidR="007269E8" w:rsidRDefault="00000000" w:rsidP="00BE1189">
      <w:pPr>
        <w:spacing w:before="100" w:beforeAutospacing="1" w:after="100" w:afterAutospacing="1"/>
        <w:ind w:left="720" w:hanging="720"/>
      </w:pPr>
      <w:r>
        <w:t xml:space="preserve">Logg, J. M., Minson, J. A., &amp; Moore, D. A. (2019). Algorithm appreciation: People prefer algorithmic to human judgment. </w:t>
      </w:r>
      <w:r>
        <w:rPr>
          <w:i/>
          <w:iCs/>
        </w:rPr>
        <w:t xml:space="preserve">Organizational </w:t>
      </w:r>
      <w:proofErr w:type="spellStart"/>
      <w:r>
        <w:rPr>
          <w:i/>
          <w:iCs/>
        </w:rPr>
        <w:t>Behavior</w:t>
      </w:r>
      <w:proofErr w:type="spellEnd"/>
      <w:r>
        <w:rPr>
          <w:i/>
          <w:iCs/>
        </w:rPr>
        <w:t xml:space="preserve"> and Human Decision Processes, 151</w:t>
      </w:r>
      <w:r>
        <w:t xml:space="preserve">, 90–103. </w:t>
      </w:r>
      <w:r w:rsidRPr="00BE1189">
        <w:t>https://doi.org/10.1016/j.obhdp.2018.12.005</w:t>
      </w:r>
    </w:p>
    <w:p w14:paraId="01367AEA" w14:textId="6BC032CC" w:rsidR="007269E8" w:rsidRDefault="00000000" w:rsidP="00BE1189">
      <w:pPr>
        <w:spacing w:before="100" w:beforeAutospacing="1" w:after="100" w:afterAutospacing="1"/>
        <w:ind w:left="720" w:hanging="720"/>
      </w:pPr>
      <w:r>
        <w:t xml:space="preserve">Longoni, C., Bonezzi, A., &amp; </w:t>
      </w:r>
      <w:proofErr w:type="spellStart"/>
      <w:r>
        <w:t>Morewedge</w:t>
      </w:r>
      <w:proofErr w:type="spellEnd"/>
      <w:r>
        <w:t xml:space="preserve">, C. K. (2019). Resistance to medical artificial intelligence. </w:t>
      </w:r>
      <w:r>
        <w:rPr>
          <w:i/>
          <w:iCs/>
        </w:rPr>
        <w:t>Journal of Consumer Research, 46</w:t>
      </w:r>
      <w:r>
        <w:t xml:space="preserve">(4), 629–650. </w:t>
      </w:r>
      <w:r w:rsidRPr="00BE1189">
        <w:t>https://doi.org/10.1093/jcr/ucz013</w:t>
      </w:r>
    </w:p>
    <w:p w14:paraId="22161F2D" w14:textId="02DC054B" w:rsidR="007269E8" w:rsidRDefault="00000000" w:rsidP="00BE1189">
      <w:pPr>
        <w:spacing w:before="100" w:beforeAutospacing="1" w:after="100" w:afterAutospacing="1"/>
        <w:ind w:left="720" w:hanging="720"/>
      </w:pPr>
      <w:r>
        <w:t xml:space="preserve">Love, B., Ghosh, C., Shi, W., </w:t>
      </w:r>
      <w:proofErr w:type="spellStart"/>
      <w:r>
        <w:t>Quaack</w:t>
      </w:r>
      <w:proofErr w:type="spellEnd"/>
      <w:r>
        <w:t xml:space="preserve">, K., &amp; Mackert, M. (2026). Trust and technology acceptance: Comparing traditional search engines and artificial intelligence for colorectal cancer information seeking. </w:t>
      </w:r>
      <w:r>
        <w:rPr>
          <w:i/>
          <w:iCs/>
        </w:rPr>
        <w:t>Cancer Control, 33</w:t>
      </w:r>
      <w:r>
        <w:t xml:space="preserve">, 10732748261454474. </w:t>
      </w:r>
      <w:r w:rsidRPr="00BE1189">
        <w:t>https://doi.org/10.1177/10732748261454474</w:t>
      </w:r>
    </w:p>
    <w:p w14:paraId="45B6D5B8" w14:textId="74CD6A09" w:rsidR="007269E8" w:rsidRDefault="00000000" w:rsidP="00BE1189">
      <w:pPr>
        <w:spacing w:before="100" w:beforeAutospacing="1" w:after="100" w:afterAutospacing="1"/>
        <w:ind w:left="720" w:hanging="720"/>
      </w:pPr>
      <w:r>
        <w:lastRenderedPageBreak/>
        <w:t xml:space="preserve">Mayer, R. C., Davis, J. H., &amp; </w:t>
      </w:r>
      <w:proofErr w:type="spellStart"/>
      <w:r>
        <w:t>Schoorman</w:t>
      </w:r>
      <w:proofErr w:type="spellEnd"/>
      <w:r>
        <w:t xml:space="preserve">, F. D. (1995). An integrative model of organizational trust. </w:t>
      </w:r>
      <w:r>
        <w:rPr>
          <w:i/>
          <w:iCs/>
        </w:rPr>
        <w:t>Academy of Management Review, 20</w:t>
      </w:r>
      <w:r>
        <w:t xml:space="preserve">(3), 709–734. </w:t>
      </w:r>
      <w:r w:rsidRPr="00BE1189">
        <w:t>https://doi.org/10.2307/258792</w:t>
      </w:r>
    </w:p>
    <w:p w14:paraId="1231C70E" w14:textId="0846DA35" w:rsidR="007269E8" w:rsidRDefault="00000000" w:rsidP="00BE1189">
      <w:pPr>
        <w:spacing w:before="100" w:beforeAutospacing="1" w:after="100" w:afterAutospacing="1"/>
        <w:ind w:left="720" w:hanging="720"/>
      </w:pPr>
      <w:r>
        <w:t xml:space="preserve">Meincke, L., Nave, G., &amp; </w:t>
      </w:r>
      <w:proofErr w:type="spellStart"/>
      <w:r>
        <w:t>Terwiesch</w:t>
      </w:r>
      <w:proofErr w:type="spellEnd"/>
      <w:r>
        <w:t xml:space="preserve">, C. (2026). Advice quality and source disclosure shape trust in AI-generated ethical advice. </w:t>
      </w:r>
      <w:r>
        <w:rPr>
          <w:i/>
          <w:iCs/>
        </w:rPr>
        <w:t>Scientific Reports, 16</w:t>
      </w:r>
      <w:r>
        <w:t xml:space="preserve">(1), 11868. </w:t>
      </w:r>
      <w:r w:rsidRPr="00BE1189">
        <w:t>https://doi.org/10.1038/s41598-026-44258-1</w:t>
      </w:r>
    </w:p>
    <w:p w14:paraId="1AAE1FBB" w14:textId="14AD5452" w:rsidR="007269E8" w:rsidRDefault="00000000" w:rsidP="00BE1189">
      <w:pPr>
        <w:spacing w:before="100" w:beforeAutospacing="1" w:after="100" w:afterAutospacing="1"/>
        <w:ind w:left="720" w:hanging="720"/>
      </w:pPr>
      <w:r>
        <w:t xml:space="preserve">Menz, B. D., Modi, N. D., Sorich, M. J., &amp; Hopkins, A. M. (2024). Health disinformation use case highlighting the urgent need for artificial intelligence vigilance: Weapons of mass disinformation. </w:t>
      </w:r>
      <w:r>
        <w:rPr>
          <w:i/>
          <w:iCs/>
        </w:rPr>
        <w:t>JAMA Internal Medicine, 184</w:t>
      </w:r>
      <w:r>
        <w:t xml:space="preserve">(1), 92–96. </w:t>
      </w:r>
      <w:r w:rsidRPr="00BE1189">
        <w:t>https://doi.org/10.1001/jamainternmed.2023.5947</w:t>
      </w:r>
    </w:p>
    <w:p w14:paraId="250412E4" w14:textId="7D13B313" w:rsidR="007269E8" w:rsidRDefault="00000000" w:rsidP="00BE1189">
      <w:pPr>
        <w:spacing w:before="100" w:beforeAutospacing="1" w:after="100" w:afterAutospacing="1"/>
        <w:ind w:left="720" w:hanging="720"/>
      </w:pPr>
      <w:r>
        <w:t xml:space="preserve">Miao, J., </w:t>
      </w:r>
      <w:proofErr w:type="spellStart"/>
      <w:r>
        <w:t>Thongprayoon</w:t>
      </w:r>
      <w:proofErr w:type="spellEnd"/>
      <w:r>
        <w:t xml:space="preserve">, C., Kashani, K. B., &amp; </w:t>
      </w:r>
      <w:proofErr w:type="spellStart"/>
      <w:r>
        <w:t>Cheungpasitporn</w:t>
      </w:r>
      <w:proofErr w:type="spellEnd"/>
      <w:r>
        <w:t xml:space="preserve">, W. (2025). Artificial intelligence as a tool for improving health literacy in kidney care. </w:t>
      </w:r>
      <w:r>
        <w:rPr>
          <w:i/>
          <w:iCs/>
        </w:rPr>
        <w:t>PLOS Digital Health, 4</w:t>
      </w:r>
      <w:r>
        <w:t xml:space="preserve">(2), e0000746. </w:t>
      </w:r>
      <w:r w:rsidRPr="00BE1189">
        <w:t>https://doi.org/10.1371/journal.pdig.0000746</w:t>
      </w:r>
    </w:p>
    <w:p w14:paraId="28557305" w14:textId="606748F4" w:rsidR="007269E8" w:rsidRDefault="00000000" w:rsidP="00BE1189">
      <w:pPr>
        <w:spacing w:before="100" w:beforeAutospacing="1" w:after="100" w:afterAutospacing="1"/>
        <w:ind w:left="720" w:hanging="720"/>
      </w:pPr>
      <w:r>
        <w:t xml:space="preserve">Modi, N. D., Alex, C. A., </w:t>
      </w:r>
      <w:proofErr w:type="spellStart"/>
      <w:r>
        <w:t>Awaty</w:t>
      </w:r>
      <w:proofErr w:type="spellEnd"/>
      <w:r>
        <w:t xml:space="preserve">, A. A., Menz, B. D., Bacchi, S., Gradon, K. T., Logan, J. M., Rowland, A., Kalisch Ellett, L., McKinnon, R. A., Wiese, M. D., Sorich, M. J., &amp; Hopkins, A. M. (2026). Cross-sectional evaluation of medical disinformation safeguards in consumer-facing large language model platforms. </w:t>
      </w:r>
      <w:r>
        <w:rPr>
          <w:i/>
          <w:iCs/>
        </w:rPr>
        <w:t xml:space="preserve">JMIR </w:t>
      </w:r>
      <w:proofErr w:type="spellStart"/>
      <w:r>
        <w:rPr>
          <w:i/>
          <w:iCs/>
        </w:rPr>
        <w:t>Infodemiology</w:t>
      </w:r>
      <w:proofErr w:type="spellEnd"/>
      <w:r>
        <w:rPr>
          <w:i/>
          <w:iCs/>
        </w:rPr>
        <w:t>, 6</w:t>
      </w:r>
      <w:r>
        <w:t xml:space="preserve">, e89831. </w:t>
      </w:r>
      <w:r w:rsidRPr="00BE1189">
        <w:t>https://doi.org/10.2196/89831</w:t>
      </w:r>
    </w:p>
    <w:p w14:paraId="712A5783" w14:textId="24445841" w:rsidR="007269E8" w:rsidRDefault="00000000" w:rsidP="00BE1189">
      <w:pPr>
        <w:spacing w:before="100" w:beforeAutospacing="1" w:after="100" w:afterAutospacing="1"/>
        <w:ind w:left="720" w:hanging="720"/>
      </w:pPr>
      <w:proofErr w:type="spellStart"/>
      <w:r>
        <w:t>Morewedge</w:t>
      </w:r>
      <w:proofErr w:type="spellEnd"/>
      <w:r>
        <w:t xml:space="preserve">, C. K. (2022). Preference for human, not algorithm aversion. </w:t>
      </w:r>
      <w:r>
        <w:rPr>
          <w:i/>
          <w:iCs/>
        </w:rPr>
        <w:t>Trends in Cognitive Sciences, 26</w:t>
      </w:r>
      <w:r>
        <w:t xml:space="preserve">(10), 824–826. </w:t>
      </w:r>
      <w:r w:rsidRPr="00BE1189">
        <w:t>https://doi.org/10.1016/j.tics.2022.07.007</w:t>
      </w:r>
    </w:p>
    <w:p w14:paraId="006C2E7C" w14:textId="4ECB5181" w:rsidR="007269E8" w:rsidRDefault="00000000" w:rsidP="00BE1189">
      <w:pPr>
        <w:spacing w:before="100" w:beforeAutospacing="1" w:after="100" w:afterAutospacing="1"/>
        <w:ind w:left="720" w:hanging="720"/>
      </w:pPr>
      <w:r>
        <w:t xml:space="preserve">Niu, Z., Willoughby, J. F., &amp; Zhou, R. (2021). Associations of health literacy, social media use, and self-efficacy with health information-seeking intentions among social media users in China: Cross-sectional survey. </w:t>
      </w:r>
      <w:r>
        <w:rPr>
          <w:i/>
          <w:iCs/>
        </w:rPr>
        <w:t>Journal of Medical Internet Research, 23</w:t>
      </w:r>
      <w:r>
        <w:t xml:space="preserve">(2), e19134. </w:t>
      </w:r>
      <w:r w:rsidRPr="00BE1189">
        <w:t>https://doi.org/10.2196/19134</w:t>
      </w:r>
    </w:p>
    <w:p w14:paraId="5140021E" w14:textId="62F9BF26" w:rsidR="007269E8" w:rsidRDefault="00000000" w:rsidP="00BE1189">
      <w:pPr>
        <w:spacing w:before="100" w:beforeAutospacing="1" w:after="100" w:afterAutospacing="1"/>
        <w:ind w:left="720" w:hanging="720"/>
      </w:pPr>
      <w:r>
        <w:t xml:space="preserve">Norman, C. D., &amp; Skinner, H. A. (2006). eHealth literacy: Essential skills for consumer health in a networked world. </w:t>
      </w:r>
      <w:r>
        <w:rPr>
          <w:i/>
          <w:iCs/>
        </w:rPr>
        <w:t>Journal of Medical Internet Research, 8</w:t>
      </w:r>
      <w:r>
        <w:t xml:space="preserve">(2), e9. </w:t>
      </w:r>
      <w:r w:rsidRPr="00BE1189">
        <w:t>https://doi.org/10.2196/jmir.8.2.e9</w:t>
      </w:r>
    </w:p>
    <w:p w14:paraId="1F9E2626" w14:textId="2295F407" w:rsidR="007269E8" w:rsidRDefault="00000000" w:rsidP="00BE1189">
      <w:pPr>
        <w:spacing w:before="100" w:beforeAutospacing="1" w:after="100" w:afterAutospacing="1"/>
        <w:ind w:left="720" w:hanging="720"/>
      </w:pPr>
      <w:r>
        <w:t xml:space="preserve">Nov, O., Singh, N., &amp; Mann, D. (2023). Putting ChatGPT's medical advice to the (Turing) test: Survey study. </w:t>
      </w:r>
      <w:r>
        <w:rPr>
          <w:i/>
          <w:iCs/>
        </w:rPr>
        <w:t>JMIR Medical Education, 9</w:t>
      </w:r>
      <w:r>
        <w:t xml:space="preserve">, e46939. </w:t>
      </w:r>
      <w:r w:rsidRPr="00BE1189">
        <w:t>https://doi.org/10.2196/46939</w:t>
      </w:r>
    </w:p>
    <w:p w14:paraId="112A384E" w14:textId="3CE706F2" w:rsidR="007269E8" w:rsidRDefault="00000000" w:rsidP="00BE1189">
      <w:pPr>
        <w:spacing w:before="100" w:beforeAutospacing="1" w:after="100" w:afterAutospacing="1"/>
        <w:ind w:left="720" w:hanging="720"/>
      </w:pPr>
      <w:proofErr w:type="spellStart"/>
      <w:r>
        <w:t>Nutbeam</w:t>
      </w:r>
      <w:proofErr w:type="spellEnd"/>
      <w:r>
        <w:t xml:space="preserve">, D. (2000). Health literacy as a public health goal: A challenge for contemporary health education and communication strategies into the 21st century. </w:t>
      </w:r>
      <w:r>
        <w:rPr>
          <w:i/>
          <w:iCs/>
        </w:rPr>
        <w:t>Health Promotion International, 15</w:t>
      </w:r>
      <w:r>
        <w:t xml:space="preserve">(3), 259–267. </w:t>
      </w:r>
      <w:r w:rsidRPr="00BE1189">
        <w:t>https://doi.org/10.1093/heapro/15.3.259</w:t>
      </w:r>
    </w:p>
    <w:p w14:paraId="1BBEBA2A" w14:textId="0042AE77" w:rsidR="007269E8" w:rsidRDefault="00000000" w:rsidP="00BE1189">
      <w:pPr>
        <w:spacing w:before="100" w:beforeAutospacing="1" w:after="100" w:afterAutospacing="1"/>
        <w:ind w:left="720" w:hanging="720"/>
      </w:pPr>
      <w:r>
        <w:t xml:space="preserve">Ostrowska, M., </w:t>
      </w:r>
      <w:proofErr w:type="spellStart"/>
      <w:r>
        <w:t>Kacała</w:t>
      </w:r>
      <w:proofErr w:type="spellEnd"/>
      <w:r>
        <w:t xml:space="preserve">, P., </w:t>
      </w:r>
      <w:proofErr w:type="spellStart"/>
      <w:r>
        <w:t>Onolememen</w:t>
      </w:r>
      <w:proofErr w:type="spellEnd"/>
      <w:r>
        <w:t xml:space="preserve">, D., Vaughan-Lane, K., </w:t>
      </w:r>
      <w:proofErr w:type="spellStart"/>
      <w:r>
        <w:t>Sisily</w:t>
      </w:r>
      <w:proofErr w:type="spellEnd"/>
      <w:r>
        <w:t xml:space="preserve"> Joseph, A., Ostrowski, A., Pietruszewska, W., Banaszewski, J., &amp; </w:t>
      </w:r>
      <w:proofErr w:type="spellStart"/>
      <w:r>
        <w:t>Wróbel</w:t>
      </w:r>
      <w:proofErr w:type="spellEnd"/>
      <w:r>
        <w:t xml:space="preserve">, M. J. (2024). To trust or not to trust: Evaluating the reliability and safety of AI responses to laryngeal cancer queries. </w:t>
      </w:r>
      <w:r>
        <w:rPr>
          <w:i/>
          <w:iCs/>
        </w:rPr>
        <w:t>European Archives of Oto-Rhino-Laryngology, 281</w:t>
      </w:r>
      <w:r>
        <w:t xml:space="preserve">(11), 6069–6081. </w:t>
      </w:r>
      <w:r w:rsidRPr="00BE1189">
        <w:t>https://doi.org/10.1007/s00405-024-08643-8</w:t>
      </w:r>
    </w:p>
    <w:p w14:paraId="7EF8AF13" w14:textId="3D156424" w:rsidR="007269E8" w:rsidRDefault="00000000" w:rsidP="00BE1189">
      <w:pPr>
        <w:spacing w:before="100" w:beforeAutospacing="1" w:after="100" w:afterAutospacing="1"/>
        <w:ind w:left="720" w:hanging="720"/>
      </w:pPr>
      <w:r>
        <w:t xml:space="preserve">Powell, J. (2019). Trust me, I'm a chatbot: How artificial intelligence in health care fails the Turing test. </w:t>
      </w:r>
      <w:r>
        <w:rPr>
          <w:i/>
          <w:iCs/>
        </w:rPr>
        <w:t>Journal of Medical Internet Research, 21</w:t>
      </w:r>
      <w:r>
        <w:t xml:space="preserve">(10), e16222. </w:t>
      </w:r>
      <w:r w:rsidRPr="00BE1189">
        <w:t>https://doi.org/10.2196/16222</w:t>
      </w:r>
    </w:p>
    <w:p w14:paraId="25617998" w14:textId="5ED5EFD0" w:rsidR="007269E8" w:rsidRDefault="00000000" w:rsidP="00BE1189">
      <w:pPr>
        <w:spacing w:before="100" w:beforeAutospacing="1" w:after="100" w:afterAutospacing="1"/>
        <w:ind w:left="720" w:hanging="720"/>
      </w:pPr>
      <w:r>
        <w:t xml:space="preserve">Prasad, A. K., Lim, P. L., Blackburn, A. Z., Cote, M. P., Ensor, D., Succi, M. D., Alpaugh, K., Melnic, C. M., </w:t>
      </w:r>
      <w:proofErr w:type="spellStart"/>
      <w:r>
        <w:t>Sepucha</w:t>
      </w:r>
      <w:proofErr w:type="spellEnd"/>
      <w:r>
        <w:t xml:space="preserve">, K. R., &amp; </w:t>
      </w:r>
      <w:proofErr w:type="spellStart"/>
      <w:r>
        <w:t>Bedair</w:t>
      </w:r>
      <w:proofErr w:type="spellEnd"/>
      <w:r>
        <w:t xml:space="preserve">, H. S. (2026). Can patients differentiate responses </w:t>
      </w:r>
      <w:r>
        <w:lastRenderedPageBreak/>
        <w:t xml:space="preserve">by orthopaedic surgeons and ChatGPT regarding total hip arthroplasty? </w:t>
      </w:r>
      <w:r>
        <w:rPr>
          <w:i/>
          <w:iCs/>
        </w:rPr>
        <w:t>Journal of the American Academy of Orthopaedic Surgeons, 34</w:t>
      </w:r>
      <w:r>
        <w:t xml:space="preserve">(9), e1221–e1227. </w:t>
      </w:r>
      <w:r w:rsidRPr="00BE1189">
        <w:t>https://doi.org/10.5435/JAAOS-D-25-00471</w:t>
      </w:r>
    </w:p>
    <w:p w14:paraId="27828247" w14:textId="58832ED8" w:rsidR="007269E8" w:rsidRDefault="00000000" w:rsidP="00BE1189">
      <w:pPr>
        <w:spacing w:before="100" w:beforeAutospacing="1" w:after="100" w:afterAutospacing="1"/>
        <w:ind w:left="720" w:hanging="720"/>
      </w:pPr>
      <w:r>
        <w:t xml:space="preserve">Reinhardt, A., Matthes, J., Hodzic, S., </w:t>
      </w:r>
      <w:proofErr w:type="spellStart"/>
      <w:r>
        <w:t>Kaňková</w:t>
      </w:r>
      <w:proofErr w:type="spellEnd"/>
      <w:r>
        <w:t xml:space="preserve">, J., Bojic, L., Maindal, H. T., Paraschiv, C., &amp; Ryom, K. (2025). Who trusts AI for health information? A cross-national survey on trust determinants in four European countries. </w:t>
      </w:r>
      <w:r>
        <w:rPr>
          <w:i/>
          <w:iCs/>
        </w:rPr>
        <w:t>Health Communication</w:t>
      </w:r>
      <w:r>
        <w:t xml:space="preserve">. Advance online publication. </w:t>
      </w:r>
      <w:r w:rsidRPr="00BE1189">
        <w:t>https://doi.org/10.1080/10410236.2025.2601265</w:t>
      </w:r>
    </w:p>
    <w:p w14:paraId="54CCB143" w14:textId="0D50C314" w:rsidR="007269E8" w:rsidRDefault="00000000" w:rsidP="00BE1189">
      <w:pPr>
        <w:spacing w:before="100" w:beforeAutospacing="1" w:after="100" w:afterAutospacing="1"/>
        <w:ind w:left="720" w:hanging="720"/>
      </w:pPr>
      <w:proofErr w:type="spellStart"/>
      <w:r>
        <w:t>Saeidnia</w:t>
      </w:r>
      <w:proofErr w:type="spellEnd"/>
      <w:r>
        <w:t xml:space="preserve">, H. R., Jahani, S., </w:t>
      </w:r>
      <w:proofErr w:type="spellStart"/>
      <w:r>
        <w:t>Ghiasi</w:t>
      </w:r>
      <w:proofErr w:type="spellEnd"/>
      <w:r>
        <w:t xml:space="preserve">, N., &amp; Keshavarz, H. (2026). Generative AI and health misinformation: Production, propagation, and mitigation—a systematic review. </w:t>
      </w:r>
      <w:r>
        <w:rPr>
          <w:i/>
          <w:iCs/>
        </w:rPr>
        <w:t>BMC Public Health, 26</w:t>
      </w:r>
      <w:r>
        <w:t xml:space="preserve">(1), 693. </w:t>
      </w:r>
      <w:r w:rsidRPr="00BE1189">
        <w:t>https://doi.org/10.1186/s12889-025-26148-9</w:t>
      </w:r>
    </w:p>
    <w:p w14:paraId="4BB93E84" w14:textId="58E7A401" w:rsidR="007269E8" w:rsidRDefault="00000000" w:rsidP="00BE1189">
      <w:pPr>
        <w:spacing w:before="100" w:beforeAutospacing="1" w:after="100" w:afterAutospacing="1"/>
        <w:ind w:left="720" w:hanging="720"/>
      </w:pPr>
      <w:r>
        <w:t xml:space="preserve">Santhosh Kumar, S., </w:t>
      </w:r>
      <w:proofErr w:type="spellStart"/>
      <w:r>
        <w:t>Michelogiannakis</w:t>
      </w:r>
      <w:proofErr w:type="spellEnd"/>
      <w:r>
        <w:t xml:space="preserve">, D., Xu, X., Chacko, R., &amp; Khan, J. (2025). Patient trust in artificial intelligence for orthodontic advice: A systematic review. </w:t>
      </w:r>
      <w:r>
        <w:rPr>
          <w:i/>
          <w:iCs/>
        </w:rPr>
        <w:t>The Journal of the American Dental Association, 156</w:t>
      </w:r>
      <w:r>
        <w:t xml:space="preserve">(11), 931–944.e6. </w:t>
      </w:r>
      <w:r w:rsidRPr="00BE1189">
        <w:t>https://doi.org/10.1016/j.adaj.2025.08.003</w:t>
      </w:r>
    </w:p>
    <w:p w14:paraId="1CA02C5E" w14:textId="0AA2FE7E" w:rsidR="007269E8" w:rsidRDefault="00000000" w:rsidP="00BE1189">
      <w:pPr>
        <w:spacing w:before="100" w:beforeAutospacing="1" w:after="100" w:afterAutospacing="1"/>
        <w:ind w:left="720" w:hanging="720"/>
      </w:pPr>
      <w:proofErr w:type="spellStart"/>
      <w:r>
        <w:t>Shahsavar</w:t>
      </w:r>
      <w:proofErr w:type="spellEnd"/>
      <w:r>
        <w:t xml:space="preserve">, Y., &amp; Choudhury, A. (2023). User intentions to use ChatGPT for self-diagnosis and health-related purposes: Cross-sectional survey study. </w:t>
      </w:r>
      <w:r>
        <w:rPr>
          <w:i/>
          <w:iCs/>
        </w:rPr>
        <w:t>JMIR Human Factors, 10</w:t>
      </w:r>
      <w:r>
        <w:t xml:space="preserve">, e47564. </w:t>
      </w:r>
      <w:r w:rsidRPr="00BE1189">
        <w:t>https://doi.org/10.2196/47564</w:t>
      </w:r>
    </w:p>
    <w:p w14:paraId="47D2C087" w14:textId="4B6C2EEC" w:rsidR="007269E8" w:rsidRDefault="00000000" w:rsidP="00BE1189">
      <w:pPr>
        <w:spacing w:before="100" w:beforeAutospacing="1" w:after="100" w:afterAutospacing="1"/>
        <w:ind w:left="720" w:hanging="720"/>
      </w:pPr>
      <w:r>
        <w:t xml:space="preserve">Sørensen, K., Van den Broucke, S., Fullam, J., Doyle, G., Pelikan, J., </w:t>
      </w:r>
      <w:proofErr w:type="spellStart"/>
      <w:r>
        <w:t>Slonska</w:t>
      </w:r>
      <w:proofErr w:type="spellEnd"/>
      <w:r>
        <w:t xml:space="preserve">, Z., Brand, H., &amp; (HLS-EU) Consortium Health Literacy Project European. (2012). Health literacy and public health: A systematic review and integration of definitions and models. </w:t>
      </w:r>
      <w:r>
        <w:rPr>
          <w:i/>
          <w:iCs/>
        </w:rPr>
        <w:t>BMC Public Health, 12</w:t>
      </w:r>
      <w:r>
        <w:t xml:space="preserve">(1), 80. </w:t>
      </w:r>
      <w:r w:rsidRPr="00BE1189">
        <w:t>https://doi.org/10.1186/1471-2458-12-80</w:t>
      </w:r>
    </w:p>
    <w:p w14:paraId="7B30E596" w14:textId="463841EC" w:rsidR="007269E8" w:rsidRDefault="00000000" w:rsidP="00BE1189">
      <w:pPr>
        <w:spacing w:before="100" w:beforeAutospacing="1" w:after="100" w:afterAutospacing="1"/>
        <w:ind w:left="720" w:hanging="720"/>
      </w:pPr>
      <w:r>
        <w:t xml:space="preserve">Sundar, S. S. (2020). Rise of machine agency: A framework for studying the psychology of human-AI interaction (HAII). </w:t>
      </w:r>
      <w:r>
        <w:rPr>
          <w:i/>
          <w:iCs/>
        </w:rPr>
        <w:t>Journal of Computer-Mediated Communication, 25</w:t>
      </w:r>
      <w:r>
        <w:t xml:space="preserve">(1), 74–88. </w:t>
      </w:r>
      <w:r w:rsidRPr="00BE1189">
        <w:t>https://doi.org/10.1093/jcmc/zmz026</w:t>
      </w:r>
    </w:p>
    <w:p w14:paraId="1DE4B6F0" w14:textId="47787A10" w:rsidR="007269E8" w:rsidRDefault="00000000" w:rsidP="00BE1189">
      <w:pPr>
        <w:spacing w:before="100" w:beforeAutospacing="1" w:after="100" w:afterAutospacing="1"/>
        <w:ind w:left="720" w:hanging="720"/>
      </w:pPr>
      <w:proofErr w:type="spellStart"/>
      <w:r>
        <w:t>Svestkova</w:t>
      </w:r>
      <w:proofErr w:type="spellEnd"/>
      <w:r>
        <w:t xml:space="preserve">, A., Huang, Y., &amp; </w:t>
      </w:r>
      <w:proofErr w:type="spellStart"/>
      <w:r>
        <w:t>Smahel</w:t>
      </w:r>
      <w:proofErr w:type="spellEnd"/>
      <w:r>
        <w:t xml:space="preserve">, D. (2025). Factors that influence trust and willingness to use generative AI for health information: A cross-sectional study. </w:t>
      </w:r>
      <w:r>
        <w:rPr>
          <w:i/>
          <w:iCs/>
        </w:rPr>
        <w:t>Digital Health, 11</w:t>
      </w:r>
      <w:r>
        <w:t xml:space="preserve">, 20552076251360973. </w:t>
      </w:r>
      <w:r w:rsidRPr="00BE1189">
        <w:t>https://doi.org/10.1177/20552076251360973</w:t>
      </w:r>
    </w:p>
    <w:p w14:paraId="6A4ACA02" w14:textId="7258E333" w:rsidR="007269E8" w:rsidRDefault="00000000" w:rsidP="00BE1189">
      <w:pPr>
        <w:spacing w:before="100" w:beforeAutospacing="1" w:after="100" w:afterAutospacing="1"/>
        <w:ind w:left="720" w:hanging="720"/>
      </w:pPr>
      <w:r>
        <w:t xml:space="preserve">Tiller, N. B., Marcon, A. R., Zenone, M., Kidd, K. E., </w:t>
      </w:r>
      <w:proofErr w:type="spellStart"/>
      <w:r>
        <w:t>Jeukendrup</w:t>
      </w:r>
      <w:proofErr w:type="spellEnd"/>
      <w:r>
        <w:t xml:space="preserve">, A. E., Master, Z., &amp; Caulfield, T. (2026). Generative artificial intelligence-driven chatbots and medical misinformation: An accuracy, referencing and readability audit. </w:t>
      </w:r>
      <w:r>
        <w:rPr>
          <w:i/>
          <w:iCs/>
        </w:rPr>
        <w:t>BMJ Open, 16</w:t>
      </w:r>
      <w:r>
        <w:t xml:space="preserve">(4), e112695. </w:t>
      </w:r>
      <w:r w:rsidRPr="00BE1189">
        <w:t>https://doi.org/10.1136/bmjopen-2025-112695</w:t>
      </w:r>
    </w:p>
    <w:p w14:paraId="5234B11A" w14:textId="0CA97E18" w:rsidR="007269E8" w:rsidRDefault="00000000" w:rsidP="00BE1189">
      <w:pPr>
        <w:spacing w:before="100" w:beforeAutospacing="1" w:after="100" w:afterAutospacing="1"/>
        <w:ind w:left="720" w:hanging="720"/>
      </w:pPr>
      <w:r>
        <w:t xml:space="preserve">Waddell, T. F. (2018). A robot wrote this? </w:t>
      </w:r>
      <w:r>
        <w:rPr>
          <w:i/>
          <w:iCs/>
        </w:rPr>
        <w:t>Digital Journalism, 6</w:t>
      </w:r>
      <w:r>
        <w:t xml:space="preserve">(2), 236–255. </w:t>
      </w:r>
      <w:r w:rsidRPr="00BE1189">
        <w:t>https://doi.org/10.1080/21670811.2017.1384319</w:t>
      </w:r>
    </w:p>
    <w:p w14:paraId="4A7B0E62" w14:textId="69EF1168" w:rsidR="007269E8" w:rsidRDefault="00000000" w:rsidP="00BE1189">
      <w:pPr>
        <w:spacing w:before="100" w:beforeAutospacing="1" w:after="100" w:afterAutospacing="1"/>
        <w:ind w:left="720" w:hanging="720"/>
      </w:pPr>
      <w:r>
        <w:t xml:space="preserve">Wiedermann, C. J., </w:t>
      </w:r>
      <w:proofErr w:type="spellStart"/>
      <w:r>
        <w:t>Piccoliori</w:t>
      </w:r>
      <w:proofErr w:type="spellEnd"/>
      <w:r>
        <w:t xml:space="preserve">, G., Hager von </w:t>
      </w:r>
      <w:proofErr w:type="spellStart"/>
      <w:r>
        <w:t>Strobele</w:t>
      </w:r>
      <w:proofErr w:type="spellEnd"/>
      <w:r>
        <w:t xml:space="preserve"> Prainsack, D., &amp; </w:t>
      </w:r>
      <w:proofErr w:type="spellStart"/>
      <w:r>
        <w:t>Ausserhofer</w:t>
      </w:r>
      <w:proofErr w:type="spellEnd"/>
      <w:r>
        <w:t xml:space="preserve">, D. (2026). Conditional acceptance and the optimism-knowledge gap: A scoping review of attitudes and perceptions of artificial intelligence in healthcare in Italy. </w:t>
      </w:r>
      <w:r>
        <w:rPr>
          <w:i/>
          <w:iCs/>
        </w:rPr>
        <w:t>Medical Sciences, 14</w:t>
      </w:r>
      <w:r>
        <w:t xml:space="preserve">(2), 276. </w:t>
      </w:r>
      <w:r w:rsidRPr="00BE1189">
        <w:t>https://doi.org/10.3390/medsci14020276</w:t>
      </w:r>
    </w:p>
    <w:p w14:paraId="6DE39A91" w14:textId="372F0B3A" w:rsidR="007269E8" w:rsidRDefault="00000000" w:rsidP="00BE1189">
      <w:pPr>
        <w:spacing w:before="100" w:beforeAutospacing="1" w:after="100" w:afterAutospacing="1"/>
        <w:ind w:left="720" w:hanging="720"/>
      </w:pPr>
      <w:r>
        <w:t xml:space="preserve">World Health Organization. (2024). </w:t>
      </w:r>
      <w:r>
        <w:rPr>
          <w:i/>
          <w:iCs/>
        </w:rPr>
        <w:t>Ethics and governance of artificial intelligence for health: Guidance on large multi-modal models</w:t>
      </w:r>
      <w:r>
        <w:t xml:space="preserve">. </w:t>
      </w:r>
      <w:r w:rsidRPr="00BE1189">
        <w:t>https://www.who.int/publications/i/item/9789240084759</w:t>
      </w:r>
    </w:p>
    <w:p w14:paraId="4FADAC21" w14:textId="6D1B6E3D" w:rsidR="007269E8" w:rsidRDefault="00000000" w:rsidP="00BE1189">
      <w:pPr>
        <w:spacing w:before="100" w:beforeAutospacing="1" w:after="100" w:afterAutospacing="1"/>
        <w:ind w:left="720" w:hanging="720"/>
      </w:pPr>
      <w:r>
        <w:lastRenderedPageBreak/>
        <w:t xml:space="preserve">Zhu, H., &amp; Ding, J. (2026). Why do I use generative artificial intelligence (GenAI) to seek health information? A perceptual perspective of GenAI users. </w:t>
      </w:r>
      <w:r>
        <w:rPr>
          <w:i/>
          <w:iCs/>
        </w:rPr>
        <w:t>Frontiers in Public Health, 14</w:t>
      </w:r>
      <w:r>
        <w:t xml:space="preserve">, 1827765. </w:t>
      </w:r>
      <w:r w:rsidRPr="00BE1189">
        <w:t>https://doi.org/10.3389/fpubh.2026.1827765</w:t>
      </w:r>
    </w:p>
    <w:sectPr w:rsidR="007269E8">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D4B77" w14:textId="77777777" w:rsidR="00F20F6D" w:rsidRDefault="00F20F6D" w:rsidP="00CF17E3">
      <w:r>
        <w:separator/>
      </w:r>
    </w:p>
  </w:endnote>
  <w:endnote w:type="continuationSeparator" w:id="0">
    <w:p w14:paraId="17AE918D" w14:textId="77777777" w:rsidR="00F20F6D" w:rsidRDefault="00F20F6D" w:rsidP="00CF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C078" w14:textId="77777777" w:rsidR="00CF17E3" w:rsidRDefault="00CF17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A57F" w14:textId="77777777" w:rsidR="00CF17E3" w:rsidRDefault="00CF17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0CEDA" w14:textId="77777777" w:rsidR="00CF17E3" w:rsidRDefault="00CF17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E077B" w14:textId="77777777" w:rsidR="00F20F6D" w:rsidRDefault="00F20F6D" w:rsidP="00CF17E3">
      <w:r>
        <w:separator/>
      </w:r>
    </w:p>
  </w:footnote>
  <w:footnote w:type="continuationSeparator" w:id="0">
    <w:p w14:paraId="181FF5E8" w14:textId="77777777" w:rsidR="00F20F6D" w:rsidRDefault="00F20F6D" w:rsidP="00CF1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FEB5" w14:textId="2D86949C" w:rsidR="00CF17E3" w:rsidRDefault="00CF17E3">
    <w:pPr>
      <w:pStyle w:val="Header"/>
    </w:pPr>
    <w:r>
      <w:rPr>
        <w:noProof/>
      </w:rPr>
      <w:pict w14:anchorId="6CDE76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697110"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9F13B" w14:textId="68852550" w:rsidR="00CF17E3" w:rsidRDefault="00CF17E3">
    <w:pPr>
      <w:pStyle w:val="Header"/>
    </w:pPr>
    <w:r>
      <w:rPr>
        <w:noProof/>
      </w:rPr>
      <w:pict w14:anchorId="039790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697111"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162BB" w14:textId="4460E592" w:rsidR="00CF17E3" w:rsidRDefault="00CF17E3">
    <w:pPr>
      <w:pStyle w:val="Header"/>
    </w:pPr>
    <w:r>
      <w:rPr>
        <w:noProof/>
      </w:rPr>
      <w:pict w14:anchorId="091D4E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697109"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32C74"/>
    <w:multiLevelType w:val="hybridMultilevel"/>
    <w:tmpl w:val="2654D9B4"/>
    <w:lvl w:ilvl="0" w:tplc="54001340">
      <w:start w:val="1"/>
      <w:numFmt w:val="bullet"/>
      <w:lvlText w:val="●"/>
      <w:lvlJc w:val="left"/>
      <w:pPr>
        <w:ind w:left="720" w:hanging="360"/>
      </w:pPr>
    </w:lvl>
    <w:lvl w:ilvl="1" w:tplc="DCDC5CB0">
      <w:start w:val="1"/>
      <w:numFmt w:val="bullet"/>
      <w:lvlText w:val="○"/>
      <w:lvlJc w:val="left"/>
      <w:pPr>
        <w:ind w:left="1440" w:hanging="360"/>
      </w:pPr>
    </w:lvl>
    <w:lvl w:ilvl="2" w:tplc="4B1CBE62">
      <w:start w:val="1"/>
      <w:numFmt w:val="bullet"/>
      <w:lvlText w:val="■"/>
      <w:lvlJc w:val="left"/>
      <w:pPr>
        <w:ind w:left="2160" w:hanging="360"/>
      </w:pPr>
    </w:lvl>
    <w:lvl w:ilvl="3" w:tplc="671E5708">
      <w:start w:val="1"/>
      <w:numFmt w:val="bullet"/>
      <w:lvlText w:val="●"/>
      <w:lvlJc w:val="left"/>
      <w:pPr>
        <w:ind w:left="2880" w:hanging="360"/>
      </w:pPr>
    </w:lvl>
    <w:lvl w:ilvl="4" w:tplc="69CC1668">
      <w:start w:val="1"/>
      <w:numFmt w:val="bullet"/>
      <w:lvlText w:val="○"/>
      <w:lvlJc w:val="left"/>
      <w:pPr>
        <w:ind w:left="3600" w:hanging="360"/>
      </w:pPr>
    </w:lvl>
    <w:lvl w:ilvl="5" w:tplc="123CF298">
      <w:start w:val="1"/>
      <w:numFmt w:val="bullet"/>
      <w:lvlText w:val="■"/>
      <w:lvlJc w:val="left"/>
      <w:pPr>
        <w:ind w:left="4320" w:hanging="360"/>
      </w:pPr>
    </w:lvl>
    <w:lvl w:ilvl="6" w:tplc="32DEDA70">
      <w:start w:val="1"/>
      <w:numFmt w:val="bullet"/>
      <w:lvlText w:val="●"/>
      <w:lvlJc w:val="left"/>
      <w:pPr>
        <w:ind w:left="5040" w:hanging="360"/>
      </w:pPr>
    </w:lvl>
    <w:lvl w:ilvl="7" w:tplc="B964A0F8">
      <w:start w:val="1"/>
      <w:numFmt w:val="bullet"/>
      <w:lvlText w:val="●"/>
      <w:lvlJc w:val="left"/>
      <w:pPr>
        <w:ind w:left="5760" w:hanging="360"/>
      </w:pPr>
    </w:lvl>
    <w:lvl w:ilvl="8" w:tplc="D99603E6">
      <w:start w:val="1"/>
      <w:numFmt w:val="bullet"/>
      <w:lvlText w:val="●"/>
      <w:lvlJc w:val="left"/>
      <w:pPr>
        <w:ind w:left="6480" w:hanging="360"/>
      </w:pPr>
    </w:lvl>
  </w:abstractNum>
  <w:num w:numId="1" w16cid:durableId="9604958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9E8"/>
    <w:rsid w:val="00296154"/>
    <w:rsid w:val="0040367F"/>
    <w:rsid w:val="0057228C"/>
    <w:rsid w:val="007269E8"/>
    <w:rsid w:val="00BE1189"/>
    <w:rsid w:val="00CF17E3"/>
    <w:rsid w:val="00D970D0"/>
    <w:rsid w:val="00F20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0DFE6"/>
  <w15:docId w15:val="{148429A6-B6F5-4EAC-9199-1FEF50B0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17E3"/>
    <w:pPr>
      <w:tabs>
        <w:tab w:val="center" w:pos="4513"/>
        <w:tab w:val="right" w:pos="9026"/>
      </w:tabs>
    </w:pPr>
  </w:style>
  <w:style w:type="character" w:customStyle="1" w:styleId="HeaderChar">
    <w:name w:val="Header Char"/>
    <w:basedOn w:val="DefaultParagraphFont"/>
    <w:link w:val="Header"/>
    <w:uiPriority w:val="99"/>
    <w:rsid w:val="00CF17E3"/>
  </w:style>
  <w:style w:type="paragraph" w:styleId="Footer">
    <w:name w:val="footer"/>
    <w:basedOn w:val="Normal"/>
    <w:link w:val="FooterChar"/>
    <w:uiPriority w:val="99"/>
    <w:unhideWhenUsed/>
    <w:rsid w:val="00CF17E3"/>
    <w:pPr>
      <w:tabs>
        <w:tab w:val="center" w:pos="4513"/>
        <w:tab w:val="right" w:pos="9026"/>
      </w:tabs>
    </w:pPr>
  </w:style>
  <w:style w:type="character" w:customStyle="1" w:styleId="FooterChar">
    <w:name w:val="Footer Char"/>
    <w:basedOn w:val="DefaultParagraphFont"/>
    <w:link w:val="Footer"/>
    <w:uiPriority w:val="99"/>
    <w:rsid w:val="00CF1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D0C2E-B98F-42BD-B8BE-DBCFDE0F3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31</Pages>
  <Words>17243</Words>
  <Characters>98290</Characters>
  <Application>Microsoft Office Word</Application>
  <DocSecurity>0</DocSecurity>
  <Lines>819</Lines>
  <Paragraphs>230</Paragraphs>
  <ScaleCrop>false</ScaleCrop>
  <Company>HP</Company>
  <LinksUpToDate>false</LinksUpToDate>
  <CharactersWithSpaces>115303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5</cp:revision>
  <dcterms:created xsi:type="dcterms:W3CDTF">2026-08-08T02:21:00Z</dcterms:created>
  <dcterms:modified xsi:type="dcterms:W3CDTF">2026-08-08T11:55:00Z</dcterms:modified>
</cp:coreProperties>
</file>