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D010E" w14:textId="77777777" w:rsidR="00954C20" w:rsidRDefault="00000000">
      <w:pPr>
        <w:spacing w:after="320" w:line="360" w:lineRule="auto"/>
        <w:jc w:val="center"/>
      </w:pPr>
      <w:r>
        <w:rPr>
          <w:b/>
          <w:bCs/>
          <w:color w:val="000000"/>
          <w:sz w:val="32"/>
          <w:szCs w:val="32"/>
        </w:rPr>
        <w:t>Artificial Intelligence in Mental Healthcare: A Critical Narrative Review of Diagnosis, Treatment Personalisation and Patient Monitoring</w:t>
      </w:r>
    </w:p>
    <w:p w14:paraId="1E1E583F" w14:textId="77777777" w:rsidR="00954C20" w:rsidRDefault="00000000">
      <w:pPr>
        <w:pStyle w:val="Heading1"/>
        <w:keepNext/>
        <w:spacing w:before="280" w:after="140" w:line="360" w:lineRule="auto"/>
      </w:pPr>
      <w:r>
        <w:rPr>
          <w:b/>
          <w:bCs/>
          <w:color w:val="000000"/>
          <w:sz w:val="26"/>
          <w:szCs w:val="26"/>
        </w:rPr>
        <w:t>Abstract</w:t>
      </w:r>
    </w:p>
    <w:p w14:paraId="0D2C1A91" w14:textId="77777777" w:rsidR="00954C20" w:rsidRDefault="00000000">
      <w:pPr>
        <w:spacing w:after="120" w:line="360" w:lineRule="auto"/>
        <w:jc w:val="both"/>
      </w:pPr>
      <w:r>
        <w:t xml:space="preserve">Artificial intelligence has been proposed as a corrective to three persistent problems in mental healthcare: diagnostic imprecision, the trial-and-error character of treatment selection, and the episodic nature of clinical monitoring. The volume of primary research has expanded rapidly, yet few tools have altered routine practice. This critical narrative review examines evidence across the three domains in which artificial intelligence has been most extensively applied to mental health, namely diagnostic classification and risk detection, treatment personalisation, and continuous patient monitoring, and asks why demonstrated technical performance has so rarely converted into demonstrated clinical benefit. Literature was identified through a bibliographic metadata registry, a biomedical citation index, targeted searching of scholarly and institutional sources, and backward and forward citation tracking, covering January 2015 to 11 June 2026, with earlier work retained where conceptually necessary. Evidence was appraised for design adequacy, validation strategy, sample representativeness, outcome definition and reporting transparency, then synthesised thematically rather than study by study. Three findings recur. Apparent accuracy is systematically inflated by internal validation, small and selected samples, and reference standards of limited reliability; where external validation has been attempted, discrimination frequently falls towards chance. The three domains differ markedly in evidential maturity, since monitoring and conversational intervention now rest on randomised evidence and pooled effect estimates, whereas diagnostic classification and treatment-response prediction remain largely at the model-development stage. The binding constraints on translation are infrastructural and epistemic rather than algorithmic, encompassing narrow training populations, unreliable outcome labels, absent prospective evaluation and immature governance. Unresolved questions include whether any model confers benefit over routine care in prospective use, how algorithmic outputs should enter clinical judgement, and how safety should be established for generative systems operating outside professional supervision. Progress will depend less on model refinement than on representative longitudinal datasets, standardised outcome definitions, prospective impact </w:t>
      </w:r>
      <w:r>
        <w:lastRenderedPageBreak/>
        <w:t>evaluation and governance capable of distinguishing wellness products from clinical instruments.</w:t>
      </w:r>
    </w:p>
    <w:p w14:paraId="7003F08F" w14:textId="77777777" w:rsidR="00954C20" w:rsidRDefault="00000000">
      <w:pPr>
        <w:pStyle w:val="Heading1"/>
        <w:keepNext/>
        <w:spacing w:before="280" w:after="140" w:line="360" w:lineRule="auto"/>
      </w:pPr>
      <w:r>
        <w:rPr>
          <w:b/>
          <w:bCs/>
          <w:color w:val="000000"/>
          <w:sz w:val="26"/>
          <w:szCs w:val="26"/>
        </w:rPr>
        <w:t>Keywords</w:t>
      </w:r>
    </w:p>
    <w:p w14:paraId="62308D84" w14:textId="77777777" w:rsidR="00954C20" w:rsidRDefault="00000000">
      <w:pPr>
        <w:spacing w:after="120" w:line="360" w:lineRule="auto"/>
        <w:jc w:val="both"/>
      </w:pPr>
      <w:r>
        <w:t>artificial intelligence; precision psychiatry; clinical prediction models; digital phenotyping; conversational agents; algorithmic bias; mental health services</w:t>
      </w:r>
    </w:p>
    <w:p w14:paraId="7BB1EC9F" w14:textId="77777777" w:rsidR="00954C20" w:rsidRDefault="00000000">
      <w:pPr>
        <w:pStyle w:val="Heading1"/>
        <w:keepNext/>
        <w:spacing w:before="280" w:after="140" w:line="360" w:lineRule="auto"/>
      </w:pPr>
      <w:r>
        <w:rPr>
          <w:b/>
          <w:bCs/>
          <w:color w:val="000000"/>
          <w:sz w:val="26"/>
          <w:szCs w:val="26"/>
        </w:rPr>
        <w:t>1. Introduction</w:t>
      </w:r>
    </w:p>
    <w:p w14:paraId="73CF90A3" w14:textId="77777777" w:rsidR="00954C20" w:rsidRDefault="00000000">
      <w:pPr>
        <w:spacing w:after="120" w:line="360" w:lineRule="auto"/>
        <w:jc w:val="both"/>
      </w:pPr>
      <w:r>
        <w:t>Mental disorders account for a substantial and largely undiminished share of global disability. The Global Burden of Disease Study 2019 estimated the burden of twelve mental disorders across 204 countries and territories and found no meaningful reduction in age-standardised burden between 1990 and 2019, despite three decades of pharmacological and psychological innovation (GBD 2019 Mental Disorders Collaborators, 2022). The gap between the number of people with a treatable condition and the number receiving adequate care is widest in low-resource settings, where the shortage of trained clinicians is structural rather than incidental (</w:t>
      </w:r>
      <w:proofErr w:type="spellStart"/>
      <w:r>
        <w:t>Karyotaki</w:t>
      </w:r>
      <w:proofErr w:type="spellEnd"/>
      <w:r>
        <w:t xml:space="preserve"> et al., 2023). Against this background, computational methods that promise to detect illness earlier, allocate treatment more precisely and observe patients continuously have attracted intense interest from researchers, health systems and commercial developers.</w:t>
      </w:r>
    </w:p>
    <w:p w14:paraId="7CECA73C" w14:textId="77777777" w:rsidR="00954C20" w:rsidRDefault="00000000">
      <w:pPr>
        <w:spacing w:after="120" w:line="360" w:lineRule="auto"/>
        <w:jc w:val="both"/>
      </w:pPr>
      <w:r>
        <w:t>The term artificial intelligence covers a heterogeneous family of methods. In mental health research it has been applied to supervised classifiers trained on neuroimaging or clinical records, to unsupervised clustering intended to reveal latent patient subgroups, to natural language processing applied to clinical notes and social media text, to signal processing of sensor streams from smartphones and wearable devices, and, most recently, to large language models capable of open-ended conversation. An early scoping review mapped this diversity and observed that the field was already dominated by supervised methods applied to cross-sectional data, with detection and diagnosis attracting far more attention than prognosis or treatment (</w:t>
      </w:r>
      <w:proofErr w:type="spellStart"/>
      <w:r>
        <w:t>Shatte</w:t>
      </w:r>
      <w:proofErr w:type="spellEnd"/>
      <w:r>
        <w:t xml:space="preserve"> et al., 2019). A more recent systematic review of eighty-five studies confirmed the same structural pattern several years later, finding support vector machines and random forests predominant in diagnostic work, general machine learning approaches predominant in monitoring, and conversational agents predominant in intervention (Cruz-Gonzalez et al., 2025). The methodological composition of the field has therefore proved remarkably stable even as computational capability has advanced.</w:t>
      </w:r>
    </w:p>
    <w:p w14:paraId="1DD8A9E7" w14:textId="77777777" w:rsidR="00954C20" w:rsidRDefault="00000000">
      <w:pPr>
        <w:spacing w:after="120" w:line="360" w:lineRule="auto"/>
        <w:jc w:val="both"/>
      </w:pPr>
      <w:r>
        <w:lastRenderedPageBreak/>
        <w:t>What has not stabilised is the relationship between reported performance and clinical consequence. Reviews of prediction modelling in psychiatry have documented an accumulation of models unmatched by evidence of utility. A systematic review of two decades of clinical prediction models identified 228 studies describing 308 models, judged 94.5 per cent of developed models to be at high risk of bias under a formal appraisal tool, found that only about one fifth had undergone external validation in an independent sample, and located a single published model whose potential utility in practice had been formally assessed (Meehan et al., 2022). Reviews focused specifically on artificial intelligence reach similar conclusions about the scarcity of external validation and the opacity of model reporting (</w:t>
      </w:r>
      <w:proofErr w:type="spellStart"/>
      <w:r>
        <w:t>Dehbozorgi</w:t>
      </w:r>
      <w:proofErr w:type="spellEnd"/>
      <w:r>
        <w:t xml:space="preserve"> et al., 2025; Rony et al., 2025). The field thus exhibits an unusual configuration: a large and rapidly growing empirical literature, high reported accuracy within development samples, and almost no demonstrated effect on patient outcomes.</w:t>
      </w:r>
    </w:p>
    <w:p w14:paraId="1BFAB533" w14:textId="77777777" w:rsidR="00954C20" w:rsidRDefault="00000000">
      <w:pPr>
        <w:spacing w:after="120" w:line="360" w:lineRule="auto"/>
        <w:jc w:val="both"/>
      </w:pPr>
      <w:r>
        <w:t xml:space="preserve">Several existing syntheses have described this landscape. Some have catalogued applications across diagnosis, monitoring and intervention (Cruz-Gonzalez et al., 2025; </w:t>
      </w:r>
      <w:proofErr w:type="spellStart"/>
      <w:r>
        <w:t>Dehbozorgi</w:t>
      </w:r>
      <w:proofErr w:type="spellEnd"/>
      <w:r>
        <w:t xml:space="preserve"> et al., 2025). Others have pooled effect estimates for particular technologies, such as smartphone applications (</w:t>
      </w:r>
      <w:proofErr w:type="spellStart"/>
      <w:r>
        <w:t>Linardon</w:t>
      </w:r>
      <w:proofErr w:type="spellEnd"/>
      <w:r>
        <w:t xml:space="preserve">, </w:t>
      </w:r>
      <w:proofErr w:type="spellStart"/>
      <w:r>
        <w:t>Torous</w:t>
      </w:r>
      <w:proofErr w:type="spellEnd"/>
      <w:r>
        <w:t>, et al., 2024) or conversational agents (Li et al., 2023; Sohn et al., 2026). Others again have examined the emerging capabilities and hazards of large language models (Hua et al., 2025; Lawrence et al., 2024; Obradovich et al., 2024). Broader reviews of digital mental health have periodically assessed implementation issues across technologies (</w:t>
      </w:r>
      <w:proofErr w:type="spellStart"/>
      <w:r>
        <w:t>Torous</w:t>
      </w:r>
      <w:proofErr w:type="spellEnd"/>
      <w:r>
        <w:t xml:space="preserve"> et al., 2021; </w:t>
      </w:r>
      <w:proofErr w:type="spellStart"/>
      <w:r>
        <w:t>Torous</w:t>
      </w:r>
      <w:proofErr w:type="spellEnd"/>
      <w:r>
        <w:t xml:space="preserve"> et al., 2025). These contributions are valuable but individually partial. Domain-specific reviews rarely compare the evidential maturity of one application area against another, and technology-specific reviews rarely ask whether the obstacles encountered in one domain recur in the others for the same underlying reasons. Reviews that do span domains have tended towards description, enumerating what has been attempted rather than adjudicating what has been shown.</w:t>
      </w:r>
    </w:p>
    <w:p w14:paraId="7C06146E" w14:textId="77777777" w:rsidR="00954C20" w:rsidRDefault="00000000">
      <w:pPr>
        <w:spacing w:after="120" w:line="360" w:lineRule="auto"/>
        <w:jc w:val="both"/>
      </w:pPr>
      <w:r>
        <w:t>The consequence is a literature that reports steadily improving benchmark performance while the question of clinical benefit remains almost entirely open. Understanding why requires attention to matters that fall outside the boundaries of any single application domain: the reliability of the diagnostic categories that serve as prediction targets, the representativeness of the populations from which training data are drawn, the difference between discrimination and decision-relevant accuracy at realistic outcome prevalence, and the regulatory ambiguity surrounding tools that are marketed as wellness products but function as clinical instruments.</w:t>
      </w:r>
    </w:p>
    <w:p w14:paraId="104AB4ED" w14:textId="77777777" w:rsidR="00954C20" w:rsidRDefault="00000000">
      <w:pPr>
        <w:pStyle w:val="Heading2"/>
        <w:keepNext/>
        <w:spacing w:before="280" w:after="140" w:line="360" w:lineRule="auto"/>
      </w:pPr>
      <w:r>
        <w:rPr>
          <w:b/>
          <w:bCs/>
          <w:color w:val="000000"/>
          <w:sz w:val="24"/>
          <w:szCs w:val="24"/>
        </w:rPr>
        <w:lastRenderedPageBreak/>
        <w:t>1.1 Scope, Research Gap and Objectives</w:t>
      </w:r>
    </w:p>
    <w:p w14:paraId="1D0BB068" w14:textId="77777777" w:rsidR="00954C20" w:rsidRDefault="00000000">
      <w:pPr>
        <w:spacing w:after="120" w:line="360" w:lineRule="auto"/>
        <w:jc w:val="both"/>
      </w:pPr>
      <w:r>
        <w:t>This review examines the application of artificial intelligence to three domains of adult and adolescent mental healthcare: diagnostic classification and risk detection, treatment personalisation, and continuous patient monitoring. It covers common mental disorders, psychotic disorders and suicidal behaviour, and considers data modalities including neuroimaging, neurophysiological signals, speech and language, electronic health records, and passive sensor streams from personal digital devices. Conversational agents are examined where they function as monitoring or treatment instruments. Applications concerned solely with administrative efficiency, clinician education, drug discovery or health-system logistics fall outside the scope, as do applications to neurodegenerative and primarily neurological conditions. The review is oriented towards evidence relevant to clinical deployment rather than towards methodological innovation for its own sake.</w:t>
      </w:r>
    </w:p>
    <w:p w14:paraId="647B441F" w14:textId="77777777" w:rsidR="00954C20" w:rsidRDefault="00000000">
      <w:pPr>
        <w:spacing w:after="120" w:line="360" w:lineRule="auto"/>
        <w:jc w:val="both"/>
      </w:pPr>
      <w:r>
        <w:t xml:space="preserve">The gap this review addresses is specific. Existing syntheses have established what artificial intelligence has been used to do in mental healthcare and, in several domains, how large the pooled effects of particular technologies are. They have not established why the translation deficit takes the form it does, nor whether the obstacles differ in kind across domains or represent a shared set of causes expressed differently. Determining </w:t>
      </w:r>
      <w:proofErr w:type="gramStart"/>
      <w:r>
        <w:t>this matters</w:t>
      </w:r>
      <w:proofErr w:type="gramEnd"/>
      <w:r>
        <w:t xml:space="preserve"> because the two possibilities imply different remedies. If the obstacles are domain-specific, then targeted technical work in each area is indicated. If they are shared and structural, then investment in datasets, outcome standardisation, validation infrastructure and governance will do more than further model development.</w:t>
      </w:r>
    </w:p>
    <w:p w14:paraId="67F137E5" w14:textId="77777777" w:rsidR="00954C20" w:rsidRDefault="00000000">
      <w:pPr>
        <w:spacing w:after="120" w:line="360" w:lineRule="auto"/>
        <w:jc w:val="both"/>
      </w:pPr>
      <w:r>
        <w:t>The objectives are accordingly fivefold. The first is to establish the current state of evidence in each of the three domains and to characterise its evidential maturity on a common scale. The second is to compare convergent and conflicting findings within and across domains, and to identify the most defensible explanations for disagreement. The third is to evaluate the methodological adequacy of the evidence base, distinguishing conclusions that are well supported from those that rest on internal validation, selected samples or unverified assumptions. The fourth is to determine whether the constraints on translation are principally algorithmic, infrastructural or governance-related. The fifth is to derive a prioritised research agenda that follows from the identified weaknesses rather than from general aspiration.</w:t>
      </w:r>
    </w:p>
    <w:p w14:paraId="2BFA35D8" w14:textId="77777777" w:rsidR="00954C20" w:rsidRDefault="00000000">
      <w:pPr>
        <w:spacing w:after="120" w:line="360" w:lineRule="auto"/>
        <w:jc w:val="both"/>
      </w:pPr>
      <w:r>
        <w:t xml:space="preserve">The intended contribution is an integrated critical appraisal that treats the three domains as instances of a common translational problem rather than as separate technical literatures. </w:t>
      </w:r>
      <w:r>
        <w:lastRenderedPageBreak/>
        <w:t>Several important exclusions should be noted. This review does not attempt quantitative synthesis, does not evaluate the technical merits of competing model architectures, and does not assess the commercial market for mental health applications except where evidence bears on clinical safety or governance. Nor does it address artificial intelligence in the assessment of neurodevelopmental conditions in early childhood, where the evidential and ethical considerations differ substantially.</w:t>
      </w:r>
    </w:p>
    <w:p w14:paraId="38F0574B" w14:textId="77777777" w:rsidR="00954C20" w:rsidRDefault="00000000">
      <w:pPr>
        <w:pStyle w:val="Heading1"/>
        <w:keepNext/>
        <w:spacing w:before="280" w:after="140" w:line="360" w:lineRule="auto"/>
      </w:pPr>
      <w:r>
        <w:rPr>
          <w:b/>
          <w:bCs/>
          <w:color w:val="000000"/>
          <w:sz w:val="26"/>
          <w:szCs w:val="26"/>
        </w:rPr>
        <w:t>2. Methods for Literature Selection</w:t>
      </w:r>
    </w:p>
    <w:p w14:paraId="77519815" w14:textId="77777777" w:rsidR="00954C20" w:rsidRDefault="00000000">
      <w:pPr>
        <w:pStyle w:val="Heading2"/>
        <w:keepNext/>
        <w:spacing w:before="280" w:after="140" w:line="360" w:lineRule="auto"/>
      </w:pPr>
      <w:r>
        <w:rPr>
          <w:b/>
          <w:bCs/>
          <w:color w:val="000000"/>
          <w:sz w:val="24"/>
          <w:szCs w:val="24"/>
        </w:rPr>
        <w:t>2.1 Review Design and Rationale</w:t>
      </w:r>
    </w:p>
    <w:p w14:paraId="1044548B" w14:textId="77777777" w:rsidR="00954C20" w:rsidRDefault="00000000">
      <w:pPr>
        <w:spacing w:after="120" w:line="360" w:lineRule="auto"/>
        <w:jc w:val="both"/>
      </w:pPr>
      <w:r>
        <w:t>A critical narrative design was selected in preference to a systematic review, scoping review or meta-analysis because the review question concerns the interpretation of a heterogeneous evidence base rather than the estimation of a pooled effect. The literature spans neuroimaging classification studies, prognostic modelling in electronic health records, sensor-based observational cohorts and randomised trials of conversational agents. These bodies of work differ in design, outcome definition, unit of analysis and performance metric to a degree that precludes meaningful quantitative pooling across domains. Domain-specific meta-analyses already exist and are drawn upon throughout; the contribution sought here is interpretive integration across them.</w:t>
      </w:r>
    </w:p>
    <w:p w14:paraId="286C162A" w14:textId="77777777" w:rsidR="00954C20" w:rsidRDefault="00000000">
      <w:pPr>
        <w:spacing w:after="120" w:line="360" w:lineRule="auto"/>
        <w:jc w:val="both"/>
      </w:pPr>
      <w:r>
        <w:t>The choice of a narrative design does not relax the requirements of transparency or critical appraisal. Search sources, search period, eligibility criteria and appraisal approach are reported below so that the basis of selection can be examined. Where evidence is contested, the disagreement is represented rather than resolved by preference. Where a claim rests on a single study or on internal validation alone, this is stated. The review does not report screening counts or a flow diagram, because the selection process was purposive and iterative rather than exhaustive, and reporting counts would imply a systematic procedure that was not undertaken.</w:t>
      </w:r>
    </w:p>
    <w:p w14:paraId="559B0F8A" w14:textId="77777777" w:rsidR="00954C20" w:rsidRDefault="00000000">
      <w:pPr>
        <w:pStyle w:val="Heading2"/>
        <w:keepNext/>
        <w:spacing w:before="280" w:after="140" w:line="360" w:lineRule="auto"/>
      </w:pPr>
      <w:r>
        <w:rPr>
          <w:b/>
          <w:bCs/>
          <w:color w:val="000000"/>
          <w:sz w:val="24"/>
          <w:szCs w:val="24"/>
        </w:rPr>
        <w:t>2.2 Information Sources</w:t>
      </w:r>
    </w:p>
    <w:p w14:paraId="6F638388" w14:textId="77777777" w:rsidR="00EA406B" w:rsidRDefault="00EA406B">
      <w:pPr>
        <w:spacing w:after="120" w:line="360" w:lineRule="auto"/>
        <w:jc w:val="both"/>
      </w:pPr>
      <w:r w:rsidRPr="00EA406B">
        <w:t xml:space="preserve">PubMed/MEDLINE served as the primary index for biomedical literature. </w:t>
      </w:r>
      <w:proofErr w:type="spellStart"/>
      <w:r w:rsidRPr="00EA406B">
        <w:t>OpenAlex</w:t>
      </w:r>
      <w:proofErr w:type="spellEnd"/>
      <w:r w:rsidRPr="00EA406B">
        <w:t xml:space="preserve">, Semantic Scholar, and the Directory of Open Access Journals supplemented this search, supporting discovery of related records, while the Cochrane Library was consulted for relevant systematic reviews and other evidence syntheses. Reference lists of high-quality reviews and key original articles were hand-searched (backward citation searching), and forward citation </w:t>
      </w:r>
      <w:r w:rsidRPr="00EA406B">
        <w:lastRenderedPageBreak/>
        <w:t>tracking was applied selectively to capture later studies testing or building on major mechanisms.</w:t>
      </w:r>
    </w:p>
    <w:p w14:paraId="54699B0A" w14:textId="187C30A9" w:rsidR="00954C20" w:rsidRDefault="00000000">
      <w:pPr>
        <w:spacing w:after="120" w:line="360" w:lineRule="auto"/>
        <w:jc w:val="both"/>
      </w:pPr>
      <w:r>
        <w:t>Subscription-only citation indexes and specialist psychological and biomedical databases were not accessible during the preparation of this review, and no claim of coverage in those resources is made. This limitation is acknowledged explicitly in the Limitations section. Database searching was supplemented by backward citation searching of the reference lists of recent high-quality reviews, by forward citation searching where citing-article listings were available, and by related-article searching. Digital object identifiers were resolved to confirm that each cited record existed, corresponded to the metadata reported, and supported the claim for which it is cited.</w:t>
      </w:r>
    </w:p>
    <w:p w14:paraId="726DAE2A" w14:textId="77777777" w:rsidR="00954C20" w:rsidRDefault="00000000">
      <w:pPr>
        <w:pStyle w:val="Heading2"/>
        <w:keepNext/>
        <w:spacing w:before="280" w:after="140" w:line="360" w:lineRule="auto"/>
      </w:pPr>
      <w:r>
        <w:rPr>
          <w:b/>
          <w:bCs/>
          <w:color w:val="000000"/>
          <w:sz w:val="24"/>
          <w:szCs w:val="24"/>
        </w:rPr>
        <w:t>2.3 Search Strategy and Search Period</w:t>
      </w:r>
    </w:p>
    <w:p w14:paraId="74BF71CC" w14:textId="77777777" w:rsidR="00954C20" w:rsidRDefault="00000000">
      <w:pPr>
        <w:spacing w:after="120" w:line="360" w:lineRule="auto"/>
        <w:jc w:val="both"/>
      </w:pPr>
      <w:r>
        <w:t>Search concepts were constructed from four elements and combined with Boolean operators. The first element captured the technology, using terms including artificial intelligence, machine learning, deep learning, natural language processing, large language model and conversational agent. The second captured the clinical field, using terms including mental health, psychiatry, depression, anxiety, psychosis, schizophrenia, bipolar disorder and suicide. The third captured the application domain, using terms including diagnosis, detection, classification, prediction, treatment response, personalisation, precision psychiatry, monitoring, digital phenotyping, passive sensing and relapse. The fourth captured evaluative and translational considerations, using terms including external validation, generalisability, risk of bias, algorithmic bias, equity, privacy, governance, regulation and implementation.</w:t>
      </w:r>
    </w:p>
    <w:p w14:paraId="6F7D98B7" w14:textId="77777777" w:rsidR="00954C20" w:rsidRDefault="00000000">
      <w:pPr>
        <w:spacing w:after="120" w:line="360" w:lineRule="auto"/>
        <w:jc w:val="both"/>
      </w:pPr>
      <w:r>
        <w:t>Representative search strings included the following. For diagnostic applications: (artificial intelligence OR machine learning OR deep learning) AND (psychiatric OR mental health OR depression OR psychosis) AND (diagnosis OR classification OR detection) AND (validation OR generalisability OR bias). For treatment personalisation: (machine learning OR precision psychiatry) AND (treatment response OR treatment outcome OR personalisation) AND (external validation OR clinical utility). For monitoring: (digital phenotyping OR passive sensing OR wearable OR smartphone sensor) AND (mental health OR depression OR bipolar OR schizophrenia) AND (monitoring OR relapse OR early warning). For conversational systems: (chatbot OR conversational agent OR large language model) AND (mental health OR psychotherapy OR depression OR anxiety) AND (randomised controlled trial OR safety OR adverse events). Strings were adapted to the syntax of each source.</w:t>
      </w:r>
    </w:p>
    <w:p w14:paraId="40589D31" w14:textId="77777777" w:rsidR="00954C20" w:rsidRDefault="00000000">
      <w:pPr>
        <w:spacing w:after="120" w:line="360" w:lineRule="auto"/>
        <w:jc w:val="both"/>
      </w:pPr>
      <w:r>
        <w:lastRenderedPageBreak/>
        <w:t>The search period extended from 1 January 2015 to 11 June 2026. The starting year was selected because it approximates the point at which three developments converged: the routine application of supervised learning to multi-site psychiatric trial data, the emergence of digital phenotyping as a named research programme, and the availability of smartphone sensor platforms capable of sustained passive data collection. Foundational earlier publications were retained where necessary to explain conceptual origins or established methods. The final search date was 11 June 2026.</w:t>
      </w:r>
    </w:p>
    <w:p w14:paraId="22932C41" w14:textId="77777777" w:rsidR="00954C20" w:rsidRDefault="00000000">
      <w:pPr>
        <w:pStyle w:val="Heading2"/>
        <w:keepNext/>
        <w:spacing w:before="280" w:after="140" w:line="360" w:lineRule="auto"/>
      </w:pPr>
      <w:r>
        <w:rPr>
          <w:b/>
          <w:bCs/>
          <w:color w:val="000000"/>
          <w:sz w:val="24"/>
          <w:szCs w:val="24"/>
        </w:rPr>
        <w:t>2.4 Eligibility Criteria</w:t>
      </w:r>
    </w:p>
    <w:p w14:paraId="03159016" w14:textId="77777777" w:rsidR="00954C20" w:rsidRDefault="00000000">
      <w:pPr>
        <w:spacing w:after="120" w:line="360" w:lineRule="auto"/>
        <w:jc w:val="both"/>
      </w:pPr>
      <w:r>
        <w:t>Publications were eligible if they were peer-reviewed journal articles reporting original empirical research, systematic reviews, meta-analyses, or substantive methodological or conceptual analyses, and if they concerned the application of computational or artificial intelligence methods to the diagnosis, treatment personalisation or monitoring of mental disorders in human populations. Authoritative guidance documents from recognised intergovernmental or professional bodies were eligible where relevant to governance. Publications in English were eligible; no other language restriction was applied, but no non-English source was ultimately retained, and this constitutes a language limitation.</w:t>
      </w:r>
    </w:p>
    <w:p w14:paraId="6D4540A1" w14:textId="77777777" w:rsidR="00954C20" w:rsidRDefault="00000000">
      <w:pPr>
        <w:spacing w:after="120" w:line="360" w:lineRule="auto"/>
        <w:jc w:val="both"/>
      </w:pPr>
      <w:r>
        <w:t>Publications were excluded if they addressed only technical benchmarking without clinical framing, if they concerned neurological rather than psychiatric conditions, if they reported model development without any performance evaluation, or if they were conference abstracts, commercial white papers, promotional material, personal commentary without analytic content, or sources whose bibliographic details could not be confirmed. Preprints were excluded because peer-reviewed evidence was available on every theme addressed. Publications were also excluded where the reported findings could not be attributed to an identifiable methodology, and where retraction or expression of concern had been issued without the source being discussed explicitly as such. Studies of populations aged under twelve years were not sought systematically.</w:t>
      </w:r>
    </w:p>
    <w:p w14:paraId="14CD59E1" w14:textId="77777777" w:rsidR="00954C20" w:rsidRDefault="00000000">
      <w:pPr>
        <w:pStyle w:val="Heading2"/>
        <w:keepNext/>
        <w:spacing w:before="280" w:after="140" w:line="360" w:lineRule="auto"/>
      </w:pPr>
      <w:r>
        <w:rPr>
          <w:b/>
          <w:bCs/>
          <w:color w:val="000000"/>
          <w:sz w:val="24"/>
          <w:szCs w:val="24"/>
        </w:rPr>
        <w:t>2.5 Screening, Duplicate Handling and Study Selection</w:t>
      </w:r>
    </w:p>
    <w:p w14:paraId="24FDBAD2" w14:textId="77777777" w:rsidR="00954C20" w:rsidRDefault="00000000">
      <w:pPr>
        <w:spacing w:after="120" w:line="360" w:lineRule="auto"/>
        <w:jc w:val="both"/>
      </w:pPr>
      <w:r>
        <w:t xml:space="preserve">Titles and abstracts of retrieved records were assessed against the eligibility criteria, and records passing this stage were examined in full text where accessible. Where full text was not accessible, the record was retained only if the abstract contained sufficient methodological and numerical detail to support the specific claim for which it was cited, and the limitation on access </w:t>
      </w:r>
      <w:r>
        <w:lastRenderedPageBreak/>
        <w:t>was taken into account when weighing the evidence. Duplicates arising from retrieval of the same work through multiple sources were identified by digital object identifier and, where identifiers were absent or inconsistent, by comparison of title, first author and year; preprint versions of subsequently published articles were replaced by the published version in every case.</w:t>
      </w:r>
    </w:p>
    <w:p w14:paraId="34F4D8F7" w14:textId="77777777" w:rsidR="00954C20" w:rsidRDefault="00000000">
      <w:pPr>
        <w:spacing w:after="120" w:line="360" w:lineRule="auto"/>
        <w:jc w:val="both"/>
      </w:pPr>
      <w:r>
        <w:t>Selection was purposive. Preference was given to publications that contributed evidence on the review question rather than to those with the highest citation counts, on the reasoning that highly cited early studies in this field frequently report internally validated models whose limitations were identified only later. Conflicting and null findings were sought deliberately, including critiques of influential positive results. Sources whose bibliographic identity could not be verified against at least one authoritative record were discarded regardless of apparent relevance.</w:t>
      </w:r>
    </w:p>
    <w:p w14:paraId="30344AEE" w14:textId="77777777" w:rsidR="00954C20" w:rsidRDefault="00000000">
      <w:pPr>
        <w:pStyle w:val="Heading2"/>
        <w:keepNext/>
        <w:spacing w:before="280" w:after="140" w:line="360" w:lineRule="auto"/>
      </w:pPr>
      <w:r>
        <w:rPr>
          <w:b/>
          <w:bCs/>
          <w:color w:val="000000"/>
          <w:sz w:val="24"/>
          <w:szCs w:val="24"/>
        </w:rPr>
        <w:t>2.6 Critical Appraisal and Evidence Synthesis</w:t>
      </w:r>
    </w:p>
    <w:p w14:paraId="612B6613" w14:textId="77777777" w:rsidR="00954C20" w:rsidRDefault="00000000">
      <w:pPr>
        <w:spacing w:after="120" w:line="360" w:lineRule="auto"/>
        <w:jc w:val="both"/>
      </w:pPr>
      <w:r>
        <w:t>Appraisal was conducted using criteria appropriate to each study design rather than by applying a single instrument across heterogeneous evidence. For prediction and classification studies, the principal considerations were the validation strategy, the ratio of sample size to feature count, the handling of class imbalance, the clinical relevance and reliability of the outcome label, the reporting of calibration alongside discrimination, and whether performance was reported at decision thresholds relevant to practice. For intervention studies, the considerations were allocation concealment, the nature of the comparator, blinding of outcome assessment, attrition, the pre-registration of outcomes, and whether adverse events were sought and reported. For observational sensing studies, the considerations were data completeness, the treatment of missingness, the temporal alignment of sensor and outcome data, and the representativeness of the cohort. Where a recognised risk-of-bias appraisal had been applied by the authors of a systematic review, that appraisal is reported as such rather than substituted by an independent judgement; no formal risk-of-bias scores were assigned in this review, since the primary studies were not appraised individually against a validated instrument.</w:t>
      </w:r>
    </w:p>
    <w:p w14:paraId="58F7CA08" w14:textId="77777777" w:rsidR="00954C20" w:rsidRDefault="00000000">
      <w:pPr>
        <w:spacing w:after="120" w:line="360" w:lineRule="auto"/>
        <w:jc w:val="both"/>
      </w:pPr>
      <w:r>
        <w:t xml:space="preserve">Themes were developed inductively from recurring analytic problems rather than imposed from the application taxonomy. Disagreement among studies was interpreted by examining whether divergent findings could be attributed to differences in validation strategy, outcome prevalence, sample composition or outcome definition before any substantive explanation was </w:t>
      </w:r>
      <w:r>
        <w:lastRenderedPageBreak/>
        <w:t>entertained. Confidence in each conclusion was calibrated to the strongest available design rather than to the volume of concordant reports.</w:t>
      </w:r>
    </w:p>
    <w:p w14:paraId="350E7AA9" w14:textId="77777777" w:rsidR="00954C20" w:rsidRDefault="00000000">
      <w:pPr>
        <w:pStyle w:val="Heading1"/>
        <w:keepNext/>
        <w:spacing w:before="280" w:after="140" w:line="360" w:lineRule="auto"/>
      </w:pPr>
      <w:r>
        <w:rPr>
          <w:b/>
          <w:bCs/>
          <w:color w:val="000000"/>
          <w:sz w:val="26"/>
          <w:szCs w:val="26"/>
        </w:rPr>
        <w:t>3. Conceptual Foundations and the Measurement Ceiling</w:t>
      </w:r>
    </w:p>
    <w:p w14:paraId="07847280" w14:textId="77777777" w:rsidR="00954C20" w:rsidRDefault="00000000">
      <w:pPr>
        <w:pStyle w:val="Heading2"/>
        <w:keepNext/>
        <w:spacing w:before="280" w:after="140" w:line="360" w:lineRule="auto"/>
      </w:pPr>
      <w:r>
        <w:rPr>
          <w:b/>
          <w:bCs/>
          <w:color w:val="000000"/>
          <w:sz w:val="24"/>
          <w:szCs w:val="24"/>
        </w:rPr>
        <w:t>3.1 Terminological Heterogeneity and Its Consequences for Appraisal</w:t>
      </w:r>
    </w:p>
    <w:p w14:paraId="7F294873" w14:textId="77777777" w:rsidR="00954C20" w:rsidRDefault="00000000">
      <w:pPr>
        <w:spacing w:after="120" w:line="360" w:lineRule="auto"/>
        <w:jc w:val="both"/>
      </w:pPr>
      <w:r>
        <w:t>The literature applies a single label to methods that differ in the kind of claim they can support. A regularised regression model fitted to structured clinical variables, a convolutional network applied to minimally processed neuroimaging volumes, and a large language model prompted to generate therapeutic dialogue are all described as artificial intelligence, yet they differ in interpretability, in data requirements, in failure modes and in the evidential standard appropriate to their evaluation. Reviews that aggregate across these categories risk producing summary statements that hold for none of them.</w:t>
      </w:r>
    </w:p>
    <w:p w14:paraId="6DCD6D91" w14:textId="77777777" w:rsidR="00954C20" w:rsidRDefault="00000000">
      <w:pPr>
        <w:spacing w:after="120" w:line="360" w:lineRule="auto"/>
        <w:jc w:val="both"/>
      </w:pPr>
      <w:r>
        <w:t xml:space="preserve">The consequence is not merely semantic. Where a scoping review reports that artificial intelligence achieves high accuracy in detecting mental disorders, the statement typically summarises internally validated classifiers applied to case-control samples, a design that answers a question about separability within a curated dataset rather than about detection in a clinical population (Cruz-Gonzalez et al., 2025; </w:t>
      </w:r>
      <w:proofErr w:type="spellStart"/>
      <w:r>
        <w:t>Shatte</w:t>
      </w:r>
      <w:proofErr w:type="spellEnd"/>
      <w:r>
        <w:t xml:space="preserve"> et al., 2019). Where a review reports that artificial intelligence supports treatment personalisation, the underlying studies are usually prognostic models predicting response in trial cohorts, which is a different claim from demonstrating that treatment allocation guided by the model improves outcomes (</w:t>
      </w:r>
      <w:proofErr w:type="spellStart"/>
      <w:r>
        <w:t>Chekroud</w:t>
      </w:r>
      <w:proofErr w:type="spellEnd"/>
      <w:r>
        <w:t xml:space="preserve"> et al., 2021; Meehan et al., 2022). Precision in describing what a model does, on what data, and against what comparator is therefore a prerequisite for interpretation rather than a stylistic preference.</w:t>
      </w:r>
    </w:p>
    <w:p w14:paraId="7CF15560" w14:textId="77777777" w:rsidR="00954C20" w:rsidRDefault="00000000">
      <w:pPr>
        <w:spacing w:after="120" w:line="360" w:lineRule="auto"/>
        <w:jc w:val="both"/>
      </w:pPr>
      <w:r>
        <w:t>Interpretability compounds the difficulty. A review of explainability in mental health applications observed that the field relies predominantly on post-hoc feature-attribution methods, which describe what a model attended to without establishing that the attributed features are causally or clinically meaningful (Joyce et al., 2023). In psychiatry this matters more than in domains with objective reference standards, because clinicians cannot verify an algorithmic output against an independent physical measurement. An unexplained output in radiology can in principle be checked against the image; an unexplained depression-risk score cannot be checked against anything more objective than the clinical judgement the model was trained to reproduce.</w:t>
      </w:r>
    </w:p>
    <w:p w14:paraId="51652DE6" w14:textId="77777777" w:rsidR="00954C20" w:rsidRDefault="00000000">
      <w:pPr>
        <w:pStyle w:val="Heading2"/>
        <w:keepNext/>
        <w:spacing w:before="280" w:after="140" w:line="360" w:lineRule="auto"/>
      </w:pPr>
      <w:r>
        <w:rPr>
          <w:b/>
          <w:bCs/>
          <w:color w:val="000000"/>
          <w:sz w:val="24"/>
          <w:szCs w:val="24"/>
        </w:rPr>
        <w:lastRenderedPageBreak/>
        <w:t>3.2 Reference Standards as an Upper Bound on Demonstrable Accuracy</w:t>
      </w:r>
    </w:p>
    <w:p w14:paraId="319EAB4B" w14:textId="77777777" w:rsidR="00954C20" w:rsidRDefault="00000000">
      <w:pPr>
        <w:spacing w:after="120" w:line="360" w:lineRule="auto"/>
        <w:jc w:val="both"/>
      </w:pPr>
      <w:r>
        <w:t>Supervised learning reproduces the labels it is given. In mental healthcare those labels are diagnostic categories or symptom-scale thresholds whose reliability is itself limited, and this places a ceiling on demonstrable accuracy that no amount of model refinement can raise. A model trained to predict a clinician-assigned diagnosis can at best approach the reliability of that assignment; where the assignment is itself variable across raters and settings, apparent errors may reflect label noise rather than model failure, and apparent successes may reflect the model having learned site-specific or clinician-specific labelling conventions.</w:t>
      </w:r>
    </w:p>
    <w:p w14:paraId="2F1E34D0" w14:textId="77777777" w:rsidR="00954C20" w:rsidRDefault="00000000">
      <w:pPr>
        <w:spacing w:after="120" w:line="360" w:lineRule="auto"/>
        <w:jc w:val="both"/>
      </w:pPr>
      <w:r>
        <w:t>This constraint is visible in the empirical record. Reviews of speech-based detection note that ground-truth assessment varies across studies between structured clinical interview, self-report questionnaire and clinician impression, and that this variation is a source of heterogeneity in reported accuracy (Maran et al., 2025). Reviews of digital phenotyping observe similar variation in how relapse and clinical deterioration are operationalised, with consequences for the comparability of reported discrimination (Fang &amp; Chen, 2026). The problem is not that psychiatric outcomes are unmeasurable but that the measurements available are noisier and more context-dependent than the performance metrics reported against them typically acknowledge.</w:t>
      </w:r>
    </w:p>
    <w:p w14:paraId="34DCDDDD" w14:textId="77777777" w:rsidR="00954C20" w:rsidRDefault="00000000">
      <w:pPr>
        <w:spacing w:after="120" w:line="360" w:lineRule="auto"/>
        <w:jc w:val="both"/>
      </w:pPr>
      <w:r>
        <w:t>A related issue concerns what is being predicted. Much diagnostic work predicts current status from concurrent data, which is a classification rather than a prediction task and carries no implication that the model would identify illness earlier than a clinician. Genuine prognostic value requires temporal separation between predictor and outcome, prospective ascertainment, and a comparison against the accuracy achievable from routinely available information. Studies meeting these conditions exist but remain a minority of the diagnostic literature.</w:t>
      </w:r>
    </w:p>
    <w:p w14:paraId="18383A02" w14:textId="77777777" w:rsidR="00954C20" w:rsidRDefault="00000000">
      <w:pPr>
        <w:spacing w:after="120" w:line="360" w:lineRule="auto"/>
        <w:jc w:val="both"/>
      </w:pPr>
      <w:r>
        <w:t xml:space="preserve">The distinctions summarised in Table 1 organise the remainder of this review. They separate the clinical question at issue in each domain from the data and methods brought to bear on it, and identify the evidential stage that the corresponding literature has reached. The table makes explicit an asymmetry that recurs throughout the analysis: the domains that have generated the most model-development activity </w:t>
      </w:r>
      <w:proofErr w:type="gramStart"/>
      <w:r>
        <w:t>are</w:t>
      </w:r>
      <w:proofErr w:type="gramEnd"/>
      <w:r>
        <w:t xml:space="preserve"> not those that have generated the most evidence of clinical benefit, and the ordering is close to inverse. Diagnostic classification, the most heavily researched domain by volume, remains almost entirely at the development and internal-validation stage; monitoring has progressed to prospective observational evaluation; conversational intervention, the most recently established domain, is the only one supported by </w:t>
      </w:r>
      <w:r>
        <w:lastRenderedPageBreak/>
        <w:t>randomised trials and pooled effect estimates. The asymmetry suggests that evidential progress in this field tracks the availability of a well-defined outcome and a feasible comparator rather than the sophistication of the underlying method.</w:t>
      </w:r>
    </w:p>
    <w:p w14:paraId="40162695" w14:textId="77777777" w:rsidR="00954C20" w:rsidRDefault="00000000">
      <w:pPr>
        <w:keepNext/>
        <w:spacing w:before="240" w:after="120" w:line="300" w:lineRule="auto"/>
      </w:pPr>
      <w:r>
        <w:rPr>
          <w:b/>
          <w:bCs/>
          <w:sz w:val="22"/>
          <w:szCs w:val="22"/>
        </w:rPr>
        <w:t>Table 1. Functional distinctions among artificial intelligence applications in mental healthcare, with the prevailing stage of evidence in each domain</w:t>
      </w:r>
    </w:p>
    <w:tbl>
      <w:tblPr>
        <w:tblW w:w="9700" w:type="dxa"/>
        <w:tblBorders>
          <w:top w:val="single" w:sz="6" w:space="0" w:color="666666"/>
          <w:left w:val="single" w:sz="6" w:space="0" w:color="666666"/>
          <w:bottom w:val="single" w:sz="6" w:space="0" w:color="666666"/>
          <w:right w:val="single" w:sz="6" w:space="0" w:color="666666"/>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750"/>
        <w:gridCol w:w="1900"/>
        <w:gridCol w:w="2450"/>
        <w:gridCol w:w="2050"/>
        <w:gridCol w:w="1550"/>
      </w:tblGrid>
      <w:tr w:rsidR="00954C20" w14:paraId="07D53957" w14:textId="77777777">
        <w:trPr>
          <w:tblHeader/>
        </w:trPr>
        <w:tc>
          <w:tcPr>
            <w:tcW w:w="1750" w:type="dxa"/>
            <w:shd w:val="clear" w:color="auto" w:fill="E8ECF1"/>
            <w:tcMar>
              <w:top w:w="60" w:type="dxa"/>
              <w:left w:w="90" w:type="dxa"/>
              <w:bottom w:w="60" w:type="dxa"/>
              <w:right w:w="90" w:type="dxa"/>
            </w:tcMar>
          </w:tcPr>
          <w:p w14:paraId="2CD30363" w14:textId="77777777" w:rsidR="00954C20" w:rsidRDefault="00000000">
            <w:pPr>
              <w:spacing w:after="40" w:line="260" w:lineRule="auto"/>
            </w:pPr>
            <w:r>
              <w:rPr>
                <w:b/>
                <w:bCs/>
                <w:sz w:val="20"/>
                <w:szCs w:val="20"/>
              </w:rPr>
              <w:t>Application domain</w:t>
            </w:r>
          </w:p>
        </w:tc>
        <w:tc>
          <w:tcPr>
            <w:tcW w:w="1900" w:type="dxa"/>
            <w:shd w:val="clear" w:color="auto" w:fill="E8ECF1"/>
            <w:tcMar>
              <w:top w:w="60" w:type="dxa"/>
              <w:left w:w="90" w:type="dxa"/>
              <w:bottom w:w="60" w:type="dxa"/>
              <w:right w:w="90" w:type="dxa"/>
            </w:tcMar>
          </w:tcPr>
          <w:p w14:paraId="3635BDF7" w14:textId="77777777" w:rsidR="00954C20" w:rsidRDefault="00000000">
            <w:pPr>
              <w:spacing w:after="40" w:line="260" w:lineRule="auto"/>
            </w:pPr>
            <w:r>
              <w:rPr>
                <w:b/>
                <w:bCs/>
                <w:sz w:val="20"/>
                <w:szCs w:val="20"/>
              </w:rPr>
              <w:t>Principal clinical question</w:t>
            </w:r>
          </w:p>
        </w:tc>
        <w:tc>
          <w:tcPr>
            <w:tcW w:w="2450" w:type="dxa"/>
            <w:shd w:val="clear" w:color="auto" w:fill="E8ECF1"/>
            <w:tcMar>
              <w:top w:w="60" w:type="dxa"/>
              <w:left w:w="90" w:type="dxa"/>
              <w:bottom w:w="60" w:type="dxa"/>
              <w:right w:w="90" w:type="dxa"/>
            </w:tcMar>
          </w:tcPr>
          <w:p w14:paraId="46C56DC5" w14:textId="77777777" w:rsidR="00954C20" w:rsidRDefault="00000000">
            <w:pPr>
              <w:spacing w:after="40" w:line="260" w:lineRule="auto"/>
            </w:pPr>
            <w:r>
              <w:rPr>
                <w:b/>
                <w:bCs/>
                <w:sz w:val="20"/>
                <w:szCs w:val="20"/>
              </w:rPr>
              <w:t>Representative data and methods</w:t>
            </w:r>
          </w:p>
        </w:tc>
        <w:tc>
          <w:tcPr>
            <w:tcW w:w="2050" w:type="dxa"/>
            <w:shd w:val="clear" w:color="auto" w:fill="E8ECF1"/>
            <w:tcMar>
              <w:top w:w="60" w:type="dxa"/>
              <w:left w:w="90" w:type="dxa"/>
              <w:bottom w:w="60" w:type="dxa"/>
              <w:right w:w="90" w:type="dxa"/>
            </w:tcMar>
          </w:tcPr>
          <w:p w14:paraId="1F10EB85" w14:textId="77777777" w:rsidR="00954C20" w:rsidRDefault="00000000">
            <w:pPr>
              <w:spacing w:after="40" w:line="260" w:lineRule="auto"/>
            </w:pPr>
            <w:r>
              <w:rPr>
                <w:b/>
                <w:bCs/>
                <w:sz w:val="20"/>
                <w:szCs w:val="20"/>
              </w:rPr>
              <w:t>Prevailing evidential stage</w:t>
            </w:r>
          </w:p>
        </w:tc>
        <w:tc>
          <w:tcPr>
            <w:tcW w:w="1550" w:type="dxa"/>
            <w:shd w:val="clear" w:color="auto" w:fill="E8ECF1"/>
            <w:tcMar>
              <w:top w:w="60" w:type="dxa"/>
              <w:left w:w="90" w:type="dxa"/>
              <w:bottom w:w="60" w:type="dxa"/>
              <w:right w:w="90" w:type="dxa"/>
            </w:tcMar>
          </w:tcPr>
          <w:p w14:paraId="672815B2" w14:textId="77777777" w:rsidR="00954C20" w:rsidRDefault="00000000">
            <w:pPr>
              <w:spacing w:after="40" w:line="260" w:lineRule="auto"/>
            </w:pPr>
            <w:r>
              <w:rPr>
                <w:b/>
                <w:bCs/>
                <w:sz w:val="20"/>
                <w:szCs w:val="20"/>
              </w:rPr>
              <w:t>Supporting references</w:t>
            </w:r>
          </w:p>
        </w:tc>
      </w:tr>
      <w:tr w:rsidR="00954C20" w14:paraId="5F0C589A" w14:textId="77777777">
        <w:tc>
          <w:tcPr>
            <w:tcW w:w="1750" w:type="dxa"/>
            <w:tcMar>
              <w:top w:w="60" w:type="dxa"/>
              <w:left w:w="90" w:type="dxa"/>
              <w:bottom w:w="60" w:type="dxa"/>
              <w:right w:w="90" w:type="dxa"/>
            </w:tcMar>
          </w:tcPr>
          <w:p w14:paraId="1A0572C2" w14:textId="77777777" w:rsidR="00954C20" w:rsidRDefault="00000000">
            <w:pPr>
              <w:spacing w:after="40" w:line="260" w:lineRule="auto"/>
            </w:pPr>
            <w:r>
              <w:rPr>
                <w:sz w:val="20"/>
                <w:szCs w:val="20"/>
              </w:rPr>
              <w:t>Diagnosis and detection</w:t>
            </w:r>
          </w:p>
        </w:tc>
        <w:tc>
          <w:tcPr>
            <w:tcW w:w="1900" w:type="dxa"/>
            <w:tcMar>
              <w:top w:w="60" w:type="dxa"/>
              <w:left w:w="90" w:type="dxa"/>
              <w:bottom w:w="60" w:type="dxa"/>
              <w:right w:w="90" w:type="dxa"/>
            </w:tcMar>
          </w:tcPr>
          <w:p w14:paraId="5E104023" w14:textId="77777777" w:rsidR="00954C20" w:rsidRDefault="00000000">
            <w:pPr>
              <w:spacing w:after="40" w:line="260" w:lineRule="auto"/>
            </w:pPr>
            <w:r>
              <w:rPr>
                <w:sz w:val="20"/>
                <w:szCs w:val="20"/>
              </w:rPr>
              <w:t>Does this person have, or will they develop, the condition?</w:t>
            </w:r>
          </w:p>
        </w:tc>
        <w:tc>
          <w:tcPr>
            <w:tcW w:w="2450" w:type="dxa"/>
            <w:tcMar>
              <w:top w:w="60" w:type="dxa"/>
              <w:left w:w="90" w:type="dxa"/>
              <w:bottom w:w="60" w:type="dxa"/>
              <w:right w:w="90" w:type="dxa"/>
            </w:tcMar>
          </w:tcPr>
          <w:p w14:paraId="30795961" w14:textId="77777777" w:rsidR="00954C20" w:rsidRDefault="00000000">
            <w:pPr>
              <w:spacing w:after="40" w:line="260" w:lineRule="auto"/>
            </w:pPr>
            <w:r>
              <w:rPr>
                <w:sz w:val="20"/>
                <w:szCs w:val="20"/>
              </w:rPr>
              <w:t>Structural and functional neuroimaging; electroencephalography; speech and language; free-text clinical records; supervised classifiers and deep networks</w:t>
            </w:r>
          </w:p>
        </w:tc>
        <w:tc>
          <w:tcPr>
            <w:tcW w:w="2050" w:type="dxa"/>
            <w:tcMar>
              <w:top w:w="60" w:type="dxa"/>
              <w:left w:w="90" w:type="dxa"/>
              <w:bottom w:w="60" w:type="dxa"/>
              <w:right w:w="90" w:type="dxa"/>
            </w:tcMar>
          </w:tcPr>
          <w:p w14:paraId="3A66AFD6" w14:textId="77777777" w:rsidR="00954C20" w:rsidRDefault="00000000">
            <w:pPr>
              <w:spacing w:after="40" w:line="260" w:lineRule="auto"/>
            </w:pPr>
            <w:r>
              <w:rPr>
                <w:sz w:val="20"/>
                <w:szCs w:val="20"/>
              </w:rPr>
              <w:t>Model development with predominantly internal validation; isolated instances of large-scale external validation</w:t>
            </w:r>
          </w:p>
        </w:tc>
        <w:tc>
          <w:tcPr>
            <w:tcW w:w="1550" w:type="dxa"/>
            <w:tcMar>
              <w:top w:w="60" w:type="dxa"/>
              <w:left w:w="90" w:type="dxa"/>
              <w:bottom w:w="60" w:type="dxa"/>
              <w:right w:w="90" w:type="dxa"/>
            </w:tcMar>
          </w:tcPr>
          <w:p w14:paraId="1074772B" w14:textId="77777777" w:rsidR="00954C20" w:rsidRDefault="00000000">
            <w:pPr>
              <w:spacing w:after="40" w:line="260" w:lineRule="auto"/>
            </w:pPr>
            <w:r>
              <w:rPr>
                <w:sz w:val="20"/>
                <w:szCs w:val="20"/>
              </w:rPr>
              <w:t xml:space="preserve">Irving et al. (2021); Maran et al. (2025); </w:t>
            </w:r>
            <w:proofErr w:type="spellStart"/>
            <w:r>
              <w:rPr>
                <w:sz w:val="20"/>
                <w:szCs w:val="20"/>
              </w:rPr>
              <w:t>Quaak</w:t>
            </w:r>
            <w:proofErr w:type="spellEnd"/>
            <w:r>
              <w:rPr>
                <w:sz w:val="20"/>
                <w:szCs w:val="20"/>
              </w:rPr>
              <w:t xml:space="preserve"> et al. (2021); </w:t>
            </w:r>
            <w:proofErr w:type="spellStart"/>
            <w:r>
              <w:rPr>
                <w:sz w:val="20"/>
                <w:szCs w:val="20"/>
              </w:rPr>
              <w:t>Shatte</w:t>
            </w:r>
            <w:proofErr w:type="spellEnd"/>
            <w:r>
              <w:rPr>
                <w:sz w:val="20"/>
                <w:szCs w:val="20"/>
              </w:rPr>
              <w:t xml:space="preserve"> et al. (2019)</w:t>
            </w:r>
          </w:p>
        </w:tc>
      </w:tr>
      <w:tr w:rsidR="00954C20" w14:paraId="4A4AFB72" w14:textId="77777777">
        <w:tc>
          <w:tcPr>
            <w:tcW w:w="1750" w:type="dxa"/>
            <w:tcMar>
              <w:top w:w="60" w:type="dxa"/>
              <w:left w:w="90" w:type="dxa"/>
              <w:bottom w:w="60" w:type="dxa"/>
              <w:right w:w="90" w:type="dxa"/>
            </w:tcMar>
          </w:tcPr>
          <w:p w14:paraId="77AFFDAF" w14:textId="77777777" w:rsidR="00954C20" w:rsidRDefault="00000000">
            <w:pPr>
              <w:spacing w:after="40" w:line="260" w:lineRule="auto"/>
            </w:pPr>
            <w:r>
              <w:rPr>
                <w:sz w:val="20"/>
                <w:szCs w:val="20"/>
              </w:rPr>
              <w:t>Risk stratification for suicide and self-harm</w:t>
            </w:r>
          </w:p>
        </w:tc>
        <w:tc>
          <w:tcPr>
            <w:tcW w:w="1900" w:type="dxa"/>
            <w:tcMar>
              <w:top w:w="60" w:type="dxa"/>
              <w:left w:w="90" w:type="dxa"/>
              <w:bottom w:w="60" w:type="dxa"/>
              <w:right w:w="90" w:type="dxa"/>
            </w:tcMar>
          </w:tcPr>
          <w:p w14:paraId="35A41870" w14:textId="77777777" w:rsidR="00954C20" w:rsidRDefault="00000000">
            <w:pPr>
              <w:spacing w:after="40" w:line="260" w:lineRule="auto"/>
            </w:pPr>
            <w:r>
              <w:rPr>
                <w:sz w:val="20"/>
                <w:szCs w:val="20"/>
              </w:rPr>
              <w:t>Which individuals should receive intensified care?</w:t>
            </w:r>
          </w:p>
        </w:tc>
        <w:tc>
          <w:tcPr>
            <w:tcW w:w="2450" w:type="dxa"/>
            <w:tcMar>
              <w:top w:w="60" w:type="dxa"/>
              <w:left w:w="90" w:type="dxa"/>
              <w:bottom w:w="60" w:type="dxa"/>
              <w:right w:w="90" w:type="dxa"/>
            </w:tcMar>
          </w:tcPr>
          <w:p w14:paraId="734A4FE2" w14:textId="77777777" w:rsidR="00954C20" w:rsidRDefault="00000000">
            <w:pPr>
              <w:spacing w:after="40" w:line="260" w:lineRule="auto"/>
            </w:pPr>
            <w:r>
              <w:rPr>
                <w:sz w:val="20"/>
                <w:szCs w:val="20"/>
              </w:rPr>
              <w:t>Registry and health-record data; supervised classifiers; survival models</w:t>
            </w:r>
          </w:p>
        </w:tc>
        <w:tc>
          <w:tcPr>
            <w:tcW w:w="2050" w:type="dxa"/>
            <w:tcMar>
              <w:top w:w="60" w:type="dxa"/>
              <w:left w:w="90" w:type="dxa"/>
              <w:bottom w:w="60" w:type="dxa"/>
              <w:right w:w="90" w:type="dxa"/>
            </w:tcMar>
          </w:tcPr>
          <w:p w14:paraId="04E79115" w14:textId="77777777" w:rsidR="00954C20" w:rsidRDefault="00000000">
            <w:pPr>
              <w:spacing w:after="40" w:line="260" w:lineRule="auto"/>
            </w:pPr>
            <w:r>
              <w:rPr>
                <w:sz w:val="20"/>
                <w:szCs w:val="20"/>
              </w:rPr>
              <w:t>Development and internal validation; pooled accuracy available; clinical utility not demonstrated</w:t>
            </w:r>
          </w:p>
        </w:tc>
        <w:tc>
          <w:tcPr>
            <w:tcW w:w="1550" w:type="dxa"/>
            <w:tcMar>
              <w:top w:w="60" w:type="dxa"/>
              <w:left w:w="90" w:type="dxa"/>
              <w:bottom w:w="60" w:type="dxa"/>
              <w:right w:w="90" w:type="dxa"/>
            </w:tcMar>
          </w:tcPr>
          <w:p w14:paraId="42B58F65" w14:textId="77777777" w:rsidR="00954C20" w:rsidRDefault="00000000">
            <w:pPr>
              <w:spacing w:after="40" w:line="260" w:lineRule="auto"/>
            </w:pPr>
            <w:r>
              <w:rPr>
                <w:sz w:val="20"/>
                <w:szCs w:val="20"/>
              </w:rPr>
              <w:t>Meehan et al. (2022); Spittal et al. (2025)</w:t>
            </w:r>
          </w:p>
        </w:tc>
      </w:tr>
      <w:tr w:rsidR="00954C20" w14:paraId="134E4517" w14:textId="77777777">
        <w:tc>
          <w:tcPr>
            <w:tcW w:w="1750" w:type="dxa"/>
            <w:tcMar>
              <w:top w:w="60" w:type="dxa"/>
              <w:left w:w="90" w:type="dxa"/>
              <w:bottom w:w="60" w:type="dxa"/>
              <w:right w:w="90" w:type="dxa"/>
            </w:tcMar>
          </w:tcPr>
          <w:p w14:paraId="399D1184" w14:textId="77777777" w:rsidR="00954C20" w:rsidRDefault="00000000">
            <w:pPr>
              <w:spacing w:after="40" w:line="260" w:lineRule="auto"/>
            </w:pPr>
            <w:r>
              <w:rPr>
                <w:sz w:val="20"/>
                <w:szCs w:val="20"/>
              </w:rPr>
              <w:t>Treatment personalisation</w:t>
            </w:r>
          </w:p>
        </w:tc>
        <w:tc>
          <w:tcPr>
            <w:tcW w:w="1900" w:type="dxa"/>
            <w:tcMar>
              <w:top w:w="60" w:type="dxa"/>
              <w:left w:w="90" w:type="dxa"/>
              <w:bottom w:w="60" w:type="dxa"/>
              <w:right w:w="90" w:type="dxa"/>
            </w:tcMar>
          </w:tcPr>
          <w:p w14:paraId="59B5CB45" w14:textId="77777777" w:rsidR="00954C20" w:rsidRDefault="00000000">
            <w:pPr>
              <w:spacing w:after="40" w:line="260" w:lineRule="auto"/>
            </w:pPr>
            <w:r>
              <w:rPr>
                <w:sz w:val="20"/>
                <w:szCs w:val="20"/>
              </w:rPr>
              <w:t>Which treatment will benefit this person?</w:t>
            </w:r>
          </w:p>
        </w:tc>
        <w:tc>
          <w:tcPr>
            <w:tcW w:w="2450" w:type="dxa"/>
            <w:tcMar>
              <w:top w:w="60" w:type="dxa"/>
              <w:left w:w="90" w:type="dxa"/>
              <w:bottom w:w="60" w:type="dxa"/>
              <w:right w:w="90" w:type="dxa"/>
            </w:tcMar>
          </w:tcPr>
          <w:p w14:paraId="2E43F97F" w14:textId="77777777" w:rsidR="00954C20" w:rsidRDefault="00000000">
            <w:pPr>
              <w:spacing w:after="40" w:line="260" w:lineRule="auto"/>
            </w:pPr>
            <w:r>
              <w:rPr>
                <w:sz w:val="20"/>
                <w:szCs w:val="20"/>
              </w:rPr>
              <w:t>Clinical trial datasets; baseline clinical and demographic variables; resting-state functional connectivity; supervised regression and classification</w:t>
            </w:r>
          </w:p>
        </w:tc>
        <w:tc>
          <w:tcPr>
            <w:tcW w:w="2050" w:type="dxa"/>
            <w:tcMar>
              <w:top w:w="60" w:type="dxa"/>
              <w:left w:w="90" w:type="dxa"/>
              <w:bottom w:w="60" w:type="dxa"/>
              <w:right w:w="90" w:type="dxa"/>
            </w:tcMar>
          </w:tcPr>
          <w:p w14:paraId="00C75867" w14:textId="77777777" w:rsidR="00954C20" w:rsidRDefault="00000000">
            <w:pPr>
              <w:spacing w:after="40" w:line="260" w:lineRule="auto"/>
            </w:pPr>
            <w:r>
              <w:rPr>
                <w:sz w:val="20"/>
                <w:szCs w:val="20"/>
              </w:rPr>
              <w:t>Development stage; external validation attempted and largely unsuccessful</w:t>
            </w:r>
          </w:p>
        </w:tc>
        <w:tc>
          <w:tcPr>
            <w:tcW w:w="1550" w:type="dxa"/>
            <w:tcMar>
              <w:top w:w="60" w:type="dxa"/>
              <w:left w:w="90" w:type="dxa"/>
              <w:bottom w:w="60" w:type="dxa"/>
              <w:right w:w="90" w:type="dxa"/>
            </w:tcMar>
          </w:tcPr>
          <w:p w14:paraId="7A972408" w14:textId="77777777" w:rsidR="00954C20" w:rsidRDefault="00000000">
            <w:pPr>
              <w:spacing w:after="40" w:line="260" w:lineRule="auto"/>
            </w:pPr>
            <w:proofErr w:type="spellStart"/>
            <w:r>
              <w:rPr>
                <w:sz w:val="20"/>
                <w:szCs w:val="20"/>
              </w:rPr>
              <w:t>Chekroud</w:t>
            </w:r>
            <w:proofErr w:type="spellEnd"/>
            <w:r>
              <w:rPr>
                <w:sz w:val="20"/>
                <w:szCs w:val="20"/>
              </w:rPr>
              <w:t xml:space="preserve"> et al. (2016); </w:t>
            </w:r>
            <w:proofErr w:type="spellStart"/>
            <w:r>
              <w:rPr>
                <w:sz w:val="20"/>
                <w:szCs w:val="20"/>
              </w:rPr>
              <w:t>Chekroud</w:t>
            </w:r>
            <w:proofErr w:type="spellEnd"/>
            <w:r>
              <w:rPr>
                <w:sz w:val="20"/>
                <w:szCs w:val="20"/>
              </w:rPr>
              <w:t xml:space="preserve"> et al. (2021); </w:t>
            </w:r>
            <w:proofErr w:type="spellStart"/>
            <w:r>
              <w:rPr>
                <w:sz w:val="20"/>
                <w:szCs w:val="20"/>
              </w:rPr>
              <w:t>Chekroud</w:t>
            </w:r>
            <w:proofErr w:type="spellEnd"/>
            <w:r>
              <w:rPr>
                <w:sz w:val="20"/>
                <w:szCs w:val="20"/>
              </w:rPr>
              <w:t xml:space="preserve"> et al. (2024); </w:t>
            </w:r>
            <w:proofErr w:type="spellStart"/>
            <w:r>
              <w:rPr>
                <w:sz w:val="20"/>
                <w:szCs w:val="20"/>
              </w:rPr>
              <w:t>Koutsouleris</w:t>
            </w:r>
            <w:proofErr w:type="spellEnd"/>
            <w:r>
              <w:rPr>
                <w:sz w:val="20"/>
                <w:szCs w:val="20"/>
              </w:rPr>
              <w:t xml:space="preserve"> et al. (2016); Meinke et al. (2024)</w:t>
            </w:r>
          </w:p>
        </w:tc>
      </w:tr>
      <w:tr w:rsidR="00954C20" w14:paraId="7C1EB566" w14:textId="77777777">
        <w:tc>
          <w:tcPr>
            <w:tcW w:w="1750" w:type="dxa"/>
            <w:tcMar>
              <w:top w:w="60" w:type="dxa"/>
              <w:left w:w="90" w:type="dxa"/>
              <w:bottom w:w="60" w:type="dxa"/>
              <w:right w:w="90" w:type="dxa"/>
            </w:tcMar>
          </w:tcPr>
          <w:p w14:paraId="3CBD3DE0" w14:textId="77777777" w:rsidR="00954C20" w:rsidRDefault="00000000">
            <w:pPr>
              <w:spacing w:after="40" w:line="260" w:lineRule="auto"/>
            </w:pPr>
            <w:r>
              <w:rPr>
                <w:sz w:val="20"/>
                <w:szCs w:val="20"/>
              </w:rPr>
              <w:t>Patient monitoring</w:t>
            </w:r>
          </w:p>
        </w:tc>
        <w:tc>
          <w:tcPr>
            <w:tcW w:w="1900" w:type="dxa"/>
            <w:tcMar>
              <w:top w:w="60" w:type="dxa"/>
              <w:left w:w="90" w:type="dxa"/>
              <w:bottom w:w="60" w:type="dxa"/>
              <w:right w:w="90" w:type="dxa"/>
            </w:tcMar>
          </w:tcPr>
          <w:p w14:paraId="42FB8EE5" w14:textId="77777777" w:rsidR="00954C20" w:rsidRDefault="00000000">
            <w:pPr>
              <w:spacing w:after="40" w:line="260" w:lineRule="auto"/>
            </w:pPr>
            <w:r>
              <w:rPr>
                <w:sz w:val="20"/>
                <w:szCs w:val="20"/>
              </w:rPr>
              <w:t>Is this person deteriorating, and how soon?</w:t>
            </w:r>
          </w:p>
        </w:tc>
        <w:tc>
          <w:tcPr>
            <w:tcW w:w="2450" w:type="dxa"/>
            <w:tcMar>
              <w:top w:w="60" w:type="dxa"/>
              <w:left w:w="90" w:type="dxa"/>
              <w:bottom w:w="60" w:type="dxa"/>
              <w:right w:w="90" w:type="dxa"/>
            </w:tcMar>
          </w:tcPr>
          <w:p w14:paraId="47A5BCD6" w14:textId="77777777" w:rsidR="00954C20" w:rsidRDefault="00000000">
            <w:pPr>
              <w:spacing w:after="40" w:line="260" w:lineRule="auto"/>
            </w:pPr>
            <w:r>
              <w:rPr>
                <w:sz w:val="20"/>
                <w:szCs w:val="20"/>
              </w:rPr>
              <w:t>Smartphone and wearable sensor streams; ecological momentary assessment; individual-level time-series models</w:t>
            </w:r>
          </w:p>
        </w:tc>
        <w:tc>
          <w:tcPr>
            <w:tcW w:w="2050" w:type="dxa"/>
            <w:tcMar>
              <w:top w:w="60" w:type="dxa"/>
              <w:left w:w="90" w:type="dxa"/>
              <w:bottom w:w="60" w:type="dxa"/>
              <w:right w:w="90" w:type="dxa"/>
            </w:tcMar>
          </w:tcPr>
          <w:p w14:paraId="3C4A28D2" w14:textId="77777777" w:rsidR="00954C20" w:rsidRDefault="00000000">
            <w:pPr>
              <w:spacing w:after="40" w:line="260" w:lineRule="auto"/>
            </w:pPr>
            <w:r>
              <w:rPr>
                <w:sz w:val="20"/>
                <w:szCs w:val="20"/>
              </w:rPr>
              <w:t>Prospective observational evaluation; no closed-loop intervention trials</w:t>
            </w:r>
          </w:p>
        </w:tc>
        <w:tc>
          <w:tcPr>
            <w:tcW w:w="1550" w:type="dxa"/>
            <w:tcMar>
              <w:top w:w="60" w:type="dxa"/>
              <w:left w:w="90" w:type="dxa"/>
              <w:bottom w:w="60" w:type="dxa"/>
              <w:right w:w="90" w:type="dxa"/>
            </w:tcMar>
          </w:tcPr>
          <w:p w14:paraId="040CDA48" w14:textId="77777777" w:rsidR="00954C20" w:rsidRDefault="00000000">
            <w:pPr>
              <w:spacing w:after="40" w:line="260" w:lineRule="auto"/>
            </w:pPr>
            <w:r>
              <w:rPr>
                <w:sz w:val="20"/>
                <w:szCs w:val="20"/>
              </w:rPr>
              <w:t>Fang and Chen (2026); Mohr et al. (2017)</w:t>
            </w:r>
          </w:p>
        </w:tc>
      </w:tr>
      <w:tr w:rsidR="00954C20" w14:paraId="1C8E7255" w14:textId="77777777">
        <w:tc>
          <w:tcPr>
            <w:tcW w:w="1750" w:type="dxa"/>
            <w:tcMar>
              <w:top w:w="60" w:type="dxa"/>
              <w:left w:w="90" w:type="dxa"/>
              <w:bottom w:w="60" w:type="dxa"/>
              <w:right w:w="90" w:type="dxa"/>
            </w:tcMar>
          </w:tcPr>
          <w:p w14:paraId="41220191" w14:textId="77777777" w:rsidR="00954C20" w:rsidRDefault="00000000">
            <w:pPr>
              <w:spacing w:after="40" w:line="260" w:lineRule="auto"/>
            </w:pPr>
            <w:r>
              <w:rPr>
                <w:sz w:val="20"/>
                <w:szCs w:val="20"/>
              </w:rPr>
              <w:t>Conversational intervention</w:t>
            </w:r>
          </w:p>
        </w:tc>
        <w:tc>
          <w:tcPr>
            <w:tcW w:w="1900" w:type="dxa"/>
            <w:tcMar>
              <w:top w:w="60" w:type="dxa"/>
              <w:left w:w="90" w:type="dxa"/>
              <w:bottom w:w="60" w:type="dxa"/>
              <w:right w:w="90" w:type="dxa"/>
            </w:tcMar>
          </w:tcPr>
          <w:p w14:paraId="50A2E6B9" w14:textId="77777777" w:rsidR="00954C20" w:rsidRDefault="00000000">
            <w:pPr>
              <w:spacing w:after="40" w:line="260" w:lineRule="auto"/>
            </w:pPr>
            <w:r>
              <w:rPr>
                <w:sz w:val="20"/>
                <w:szCs w:val="20"/>
              </w:rPr>
              <w:t>Does interaction with the system reduce symptoms?</w:t>
            </w:r>
          </w:p>
        </w:tc>
        <w:tc>
          <w:tcPr>
            <w:tcW w:w="2450" w:type="dxa"/>
            <w:tcMar>
              <w:top w:w="60" w:type="dxa"/>
              <w:left w:w="90" w:type="dxa"/>
              <w:bottom w:w="60" w:type="dxa"/>
              <w:right w:w="90" w:type="dxa"/>
            </w:tcMar>
          </w:tcPr>
          <w:p w14:paraId="147A3940" w14:textId="77777777" w:rsidR="00954C20" w:rsidRDefault="00000000">
            <w:pPr>
              <w:spacing w:after="40" w:line="260" w:lineRule="auto"/>
            </w:pPr>
            <w:r>
              <w:rPr>
                <w:sz w:val="20"/>
                <w:szCs w:val="20"/>
              </w:rPr>
              <w:t>Rule-based and generative dialogue systems; randomised trials with symptom-scale outcomes</w:t>
            </w:r>
          </w:p>
        </w:tc>
        <w:tc>
          <w:tcPr>
            <w:tcW w:w="2050" w:type="dxa"/>
            <w:tcMar>
              <w:top w:w="60" w:type="dxa"/>
              <w:left w:w="90" w:type="dxa"/>
              <w:bottom w:w="60" w:type="dxa"/>
              <w:right w:w="90" w:type="dxa"/>
            </w:tcMar>
          </w:tcPr>
          <w:p w14:paraId="2FF31143" w14:textId="77777777" w:rsidR="00954C20" w:rsidRDefault="00000000">
            <w:pPr>
              <w:spacing w:after="40" w:line="260" w:lineRule="auto"/>
            </w:pPr>
            <w:r>
              <w:rPr>
                <w:sz w:val="20"/>
                <w:szCs w:val="20"/>
              </w:rPr>
              <w:t>Randomised evidence with pooled effect estimates; safety evidence immature</w:t>
            </w:r>
          </w:p>
        </w:tc>
        <w:tc>
          <w:tcPr>
            <w:tcW w:w="1550" w:type="dxa"/>
            <w:tcMar>
              <w:top w:w="60" w:type="dxa"/>
              <w:left w:w="90" w:type="dxa"/>
              <w:bottom w:w="60" w:type="dxa"/>
              <w:right w:w="90" w:type="dxa"/>
            </w:tcMar>
          </w:tcPr>
          <w:p w14:paraId="1AE9F5FC" w14:textId="77777777" w:rsidR="00954C20" w:rsidRDefault="00000000">
            <w:pPr>
              <w:spacing w:after="40" w:line="260" w:lineRule="auto"/>
            </w:pPr>
            <w:r>
              <w:rPr>
                <w:sz w:val="20"/>
                <w:szCs w:val="20"/>
              </w:rPr>
              <w:t xml:space="preserve">Heinz et al. (2025); Li et al. (2023); </w:t>
            </w:r>
            <w:proofErr w:type="spellStart"/>
            <w:r>
              <w:rPr>
                <w:sz w:val="20"/>
                <w:szCs w:val="20"/>
              </w:rPr>
              <w:t>Linardon</w:t>
            </w:r>
            <w:proofErr w:type="spellEnd"/>
            <w:r>
              <w:rPr>
                <w:sz w:val="20"/>
                <w:szCs w:val="20"/>
              </w:rPr>
              <w:t>, Fuller-Tyszkiewicz, et al. (2024); Sohn et al. (2026)</w:t>
            </w:r>
          </w:p>
        </w:tc>
      </w:tr>
    </w:tbl>
    <w:p w14:paraId="1FC4D9AF" w14:textId="77777777" w:rsidR="00954C20" w:rsidRDefault="00000000">
      <w:pPr>
        <w:spacing w:before="100" w:after="260" w:line="280" w:lineRule="auto"/>
      </w:pPr>
      <w:r>
        <w:rPr>
          <w:i/>
          <w:iCs/>
          <w:sz w:val="20"/>
          <w:szCs w:val="20"/>
        </w:rPr>
        <w:t>Note. The evidential stages are ordered from model development, through internal and external validation, to prospective evaluation and randomised comparison. Domains are listed in descending order of published research volume, which is close to the inverse of their evidential maturity.</w:t>
      </w:r>
    </w:p>
    <w:p w14:paraId="5DDFC7E5" w14:textId="77777777" w:rsidR="00954C20" w:rsidRDefault="00000000">
      <w:pPr>
        <w:pStyle w:val="Heading1"/>
        <w:keepNext/>
        <w:spacing w:before="280" w:after="140" w:line="360" w:lineRule="auto"/>
      </w:pPr>
      <w:r>
        <w:rPr>
          <w:b/>
          <w:bCs/>
          <w:color w:val="000000"/>
          <w:sz w:val="26"/>
          <w:szCs w:val="26"/>
        </w:rPr>
        <w:lastRenderedPageBreak/>
        <w:t>4. Diagnosis and Detection</w:t>
      </w:r>
    </w:p>
    <w:p w14:paraId="6D04744E" w14:textId="77777777" w:rsidR="00954C20" w:rsidRDefault="00000000">
      <w:pPr>
        <w:pStyle w:val="Heading2"/>
        <w:keepNext/>
        <w:spacing w:before="280" w:after="140" w:line="360" w:lineRule="auto"/>
      </w:pPr>
      <w:r>
        <w:rPr>
          <w:b/>
          <w:bCs/>
          <w:color w:val="000000"/>
          <w:sz w:val="24"/>
          <w:szCs w:val="24"/>
        </w:rPr>
        <w:t>4.1 Neuroimaging and Neurophysiological Classification</w:t>
      </w:r>
    </w:p>
    <w:p w14:paraId="5EEEC58D" w14:textId="77777777" w:rsidR="00954C20" w:rsidRDefault="00000000">
      <w:pPr>
        <w:spacing w:after="120" w:line="360" w:lineRule="auto"/>
        <w:jc w:val="both"/>
      </w:pPr>
      <w:r>
        <w:t>Neuroimaging-based classification was among the earliest and most heavily invested applications of machine learning in psychiatry, motivated by the hope that biological measurement would supply the objective diagnostic marker that clinical assessment lacks. A systematic review and meta-analysis of deep learning applied to neuroimaging identified fifty-three articles, concentrated on autism spectrum disorder, schizophrenia and attention-deficit hyperactivity disorder, and found that thirty-two of the thirty-five studies making a direct comparison reported higher accuracy for deep learning than for standard machine learning, although the quantitative comparison attained significance only for autism spectrum disorder (</w:t>
      </w:r>
      <w:proofErr w:type="spellStart"/>
      <w:r>
        <w:t>Quaak</w:t>
      </w:r>
      <w:proofErr w:type="spellEnd"/>
      <w:r>
        <w:t xml:space="preserve"> et al., 2021). The same review noted that most studies used pre-engineered features rather than exploiting the representational learning capacity that constitutes the principal advantage of deep architectures, and that minimal reporting of performance measures obstructed quantitative comparison.</w:t>
      </w:r>
    </w:p>
    <w:p w14:paraId="091D9DC0" w14:textId="77777777" w:rsidR="00954C20" w:rsidRDefault="00000000">
      <w:pPr>
        <w:spacing w:after="120" w:line="360" w:lineRule="auto"/>
        <w:jc w:val="both"/>
      </w:pPr>
      <w:r>
        <w:t>The more consequential finding in this literature concerns the relationship between sample size and reported accuracy. Analyses of classification studies have repeatedly shown that accuracy declines as samples grow, which is the signature of overfitting rather than of genuine discriminative signal. An examination of neuroimaging biomarkers in attention-deficit hyperactivity disorder demonstrated that reported classification accuracy was inversely related to sample size and that circular analysis, in which feature selection is performed on the full dataset before cross-validation, produced substantial inflation (</w:t>
      </w:r>
      <w:proofErr w:type="spellStart"/>
      <w:r>
        <w:t>Pulini</w:t>
      </w:r>
      <w:proofErr w:type="spellEnd"/>
      <w:r>
        <w:t xml:space="preserve"> et al., 2019). Earlier work had already argued on statistical grounds that samples of the size then typical were incapable of supporting stable estimates of classification performance for psychiatric disorders (Schnack &amp; Kahn, 2016). The convergence of an analytical argument and an empirical demonstration </w:t>
      </w:r>
      <w:proofErr w:type="gramStart"/>
      <w:r>
        <w:t>makes</w:t>
      </w:r>
      <w:proofErr w:type="gramEnd"/>
      <w:r>
        <w:t xml:space="preserve"> this one of the better-established conclusions in the field: much of the reported accuracy in small neuroimaging classification studies is an artefact of sample size and analytic circularity rather than evidence of a detectable biological signature.</w:t>
      </w:r>
    </w:p>
    <w:p w14:paraId="503974F6" w14:textId="77777777" w:rsidR="00954C20" w:rsidRDefault="00000000">
      <w:pPr>
        <w:spacing w:after="120" w:line="360" w:lineRule="auto"/>
        <w:jc w:val="both"/>
      </w:pPr>
      <w:r>
        <w:t xml:space="preserve">Confidence in this conclusion is nevertheless bounded. The demonstrations concern specific disorders and specific imaging modalities, and the inference that all neuroimaging classification is similarly inflated would exceed the evidence. What can be stated is that reported accuracy from small case-control neuroimaging samples should not be treated as an </w:t>
      </w:r>
      <w:r>
        <w:lastRenderedPageBreak/>
        <w:t>estimate of achievable clinical performance, and that the burden of demonstration rests on studies using large, independently ascertained samples with pre-specified analysis pipelines.</w:t>
      </w:r>
    </w:p>
    <w:p w14:paraId="4748F3A2" w14:textId="77777777" w:rsidR="00954C20" w:rsidRDefault="00000000">
      <w:pPr>
        <w:pStyle w:val="Heading2"/>
        <w:keepNext/>
        <w:spacing w:before="280" w:after="140" w:line="360" w:lineRule="auto"/>
      </w:pPr>
      <w:r>
        <w:rPr>
          <w:b/>
          <w:bCs/>
          <w:color w:val="000000"/>
          <w:sz w:val="24"/>
          <w:szCs w:val="24"/>
        </w:rPr>
        <w:t>4.2 Speech, Language and Text</w:t>
      </w:r>
    </w:p>
    <w:p w14:paraId="54B767C4" w14:textId="77777777" w:rsidR="00954C20" w:rsidRDefault="00000000">
      <w:pPr>
        <w:spacing w:after="120" w:line="360" w:lineRule="auto"/>
        <w:jc w:val="both"/>
      </w:pPr>
      <w:r>
        <w:t>Speech and language have attracted sustained attention because they are clinically meaningful, inexpensive to collect and amenable to unobtrusive measurement. A systematic review and meta-analysis of automatic speech analysis for depression detection identified 105 studies from 1,345 records and reported pooled means for the highest performance metrics of 0.81 for accuracy, 0.84 for sensitivity, 0.83 for specificity and 0.81 for precision, alongside pooled means for the lowest reported metrics of 0.66, 0.63, 0.60 and 0.64 respectively (Maran et al., 2025). The gap between the highest and lowest pooled estimates is the most informative feature of these results. It indicates that reported performance depends heavily on which configuration a study chooses to report, and that selective reporting of best-case results is likely to be common. The authors concluded that speech analysis is not ready for use as a standalone clinical tool and should presently be regarded as complementary.</w:t>
      </w:r>
    </w:p>
    <w:p w14:paraId="1B14A2D9" w14:textId="77777777" w:rsidR="00954C20" w:rsidRDefault="00000000">
      <w:pPr>
        <w:spacing w:after="120" w:line="360" w:lineRule="auto"/>
        <w:jc w:val="both"/>
      </w:pPr>
      <w:r>
        <w:t>A narrower systematic review of speech and voice quality as digital biomarkers reached a compatible conclusion, identifying twelve studies and emphasising methodological heterogeneity and unresolved generalisability as the principal obstacles to adoption (Briganti &amp; Lechien, 2025). Reviews of natural language processing applied more broadly to mental illness detection have documented the same pattern of promising within-corpus performance accompanied by limited evidence of cross-corpus transfer (Zhang et al., 2022).</w:t>
      </w:r>
    </w:p>
    <w:p w14:paraId="01B80DBE" w14:textId="77777777" w:rsidR="00954C20" w:rsidRDefault="00000000">
      <w:pPr>
        <w:spacing w:after="120" w:line="360" w:lineRule="auto"/>
        <w:jc w:val="both"/>
      </w:pPr>
      <w:r>
        <w:t>Two structural features of this literature deserve emphasis. The first is linguistic and cultural narrowness. Speech models are trained predominantly on a small number of languages and corpora, and prosodic and lexical markers of distress are not invariant across languages or cultures; performance demonstrated in one linguistic community provides weak evidence about another. The second is the reliance on conference proceedings, which constituted a majority of the studies in the larger meta-analysis and are subject to less stringent review and less complete reporting than journal publications. Both features suggest that pooled estimates from this literature should be interpreted as upper bounds rather than as expectations for deployment.</w:t>
      </w:r>
    </w:p>
    <w:p w14:paraId="0CF3DA43" w14:textId="77777777" w:rsidR="00954C20" w:rsidRDefault="00000000">
      <w:pPr>
        <w:pStyle w:val="Heading2"/>
        <w:keepNext/>
        <w:spacing w:before="280" w:after="140" w:line="360" w:lineRule="auto"/>
      </w:pPr>
      <w:r>
        <w:rPr>
          <w:b/>
          <w:bCs/>
          <w:color w:val="000000"/>
          <w:sz w:val="24"/>
          <w:szCs w:val="24"/>
        </w:rPr>
        <w:t>4.3 Electronic Health Records and Transdiagnostic Risk Calculators</w:t>
      </w:r>
    </w:p>
    <w:p w14:paraId="02090494" w14:textId="77777777" w:rsidR="00954C20" w:rsidRDefault="00000000">
      <w:pPr>
        <w:spacing w:after="120" w:line="360" w:lineRule="auto"/>
        <w:jc w:val="both"/>
      </w:pPr>
      <w:r>
        <w:t xml:space="preserve">Work using electronic health records offers the clearest example in the diagnostic domain of a model developed and externally validated at scale. A study applying natural language </w:t>
      </w:r>
      <w:r>
        <w:lastRenderedPageBreak/>
        <w:t>processing to free-text clinical records within a large secondary mental healthcare provider refined an existing transdiagnostic risk calculator for psychosis by adding fourteen predictors extracted from clinical text, including tearfulness, poor appetite, weight loss, insomnia, guilt, irritability, delusions, hopelessness, disturbed sleep, poor insight, agitation and paranoia. The model was developed in 28,297 patients and externally validated in 63,854 patients drawn from the same service, achieving a Harrell concordance statistic of 0.85 in external validation against 0.79 for the original clinically based calculator (Irving et al., 2021).</w:t>
      </w:r>
    </w:p>
    <w:p w14:paraId="2F0149C5" w14:textId="77777777" w:rsidR="00954C20" w:rsidRDefault="00000000">
      <w:pPr>
        <w:spacing w:after="120" w:line="360" w:lineRule="auto"/>
        <w:jc w:val="both"/>
      </w:pPr>
      <w:r>
        <w:t>This study is instructive both for what it demonstrates and for what it does not. It demonstrates that unstructured clinical text contains prognostic information not captured by structured fields, that the increment is measurable, and that external validation in a large independent sample is achievable within a well-instrumented health system. It does not demonstrate transportability beyond that health system, since derivation and validation cohorts came from the same provider and shared its documentation conventions, referral pathways and case mix. Nor does it demonstrate clinical utility, since improved discrimination does not establish that decisions informed by the model produce better outcomes than decisions made without it. The distinction between discriminative improvement and decision improvement is the pivotal one for this domain, and it remains largely untested.</w:t>
      </w:r>
    </w:p>
    <w:p w14:paraId="5F77D500" w14:textId="77777777" w:rsidR="00954C20" w:rsidRDefault="00000000">
      <w:pPr>
        <w:pStyle w:val="Heading2"/>
        <w:keepNext/>
        <w:spacing w:before="280" w:after="140" w:line="360" w:lineRule="auto"/>
      </w:pPr>
      <w:r>
        <w:rPr>
          <w:b/>
          <w:bCs/>
          <w:color w:val="000000"/>
          <w:sz w:val="24"/>
          <w:szCs w:val="24"/>
        </w:rPr>
        <w:t>4.4 Suicide and Self-Harm Risk Prediction</w:t>
      </w:r>
    </w:p>
    <w:p w14:paraId="13334110" w14:textId="77777777" w:rsidR="00954C20" w:rsidRDefault="00000000">
      <w:pPr>
        <w:spacing w:after="120" w:line="360" w:lineRule="auto"/>
        <w:jc w:val="both"/>
      </w:pPr>
      <w:r>
        <w:t>Suicide risk prediction provides the most decisive available test of whether high discrimination translates into clinical usefulness, because the outcome is rare, the consequences of misclassification are severe in both directions, and the relevant metrics are unambiguous. A systematic review and meta-analysis of machine learning algorithms predicting suicide and self-harm included fifty-three studies and reported areas under the receiver operating characteristic curve ranging from 0.69 to 0.93, sensitivity between 45 and 82 per cent, specificity between 91 and 95 per cent, positive likelihood ratios between 6.5 and 9.9, and negative likelihood ratios between 0.2 and 0.6 (Spittal et al., 2025). Using in-sample prevalence, positive predictive values ranged from 6 to 17 per cent. Applying a positive likelihood ratio of 10 to external prevalence estimates yielded positive predictive values of 0.1 per cent in low-prevalence populations, 17 per cent in medium-prevalence populations and 66 per cent in high-prevalence populations. The review judged the overall quality of research in the area to be poor, with most studies at high or unclear risk of bias, and concluded that algorithmic performance was no better than that of traditional risk assessment scales.</w:t>
      </w:r>
    </w:p>
    <w:p w14:paraId="3053B10B" w14:textId="77777777" w:rsidR="00954C20" w:rsidRDefault="00000000">
      <w:pPr>
        <w:spacing w:after="120" w:line="360" w:lineRule="auto"/>
        <w:jc w:val="both"/>
      </w:pPr>
      <w:r>
        <w:lastRenderedPageBreak/>
        <w:t>These numbers repay careful reading because they show how a metric can be simultaneously impressive and useless. An area under the curve of 0.9 is conventionally described as excellent, yet at the prevalence obtaining in unselected clinical populations the same model classifies the overwhelming majority of flagged individuals as being at risk when they are not, while the modest sensitivity means that more than half of those who subsequently present with self-harm or die by suicide are classified as low risk. Neither error is tolerable in a screening application. The finding also illustrates a general principle that the review makes concrete: discrimination is prevalence-independent, whereas the predictive values that determine clinical consequences are not, and reporting the former without the latter systematically overstates usefulness.</w:t>
      </w:r>
    </w:p>
    <w:p w14:paraId="15BBCF9C" w14:textId="77777777" w:rsidR="00954C20" w:rsidRDefault="00000000">
      <w:pPr>
        <w:spacing w:after="120" w:line="360" w:lineRule="auto"/>
        <w:jc w:val="both"/>
      </w:pPr>
      <w:r>
        <w:t>Reviews reaching more favourable conclusions exist, including syntheses reporting encouraging pooled sensitivity for particular outcomes in adolescent populations. The divergence is largely explicable. Analyses that report discrimination and pooled sensitivity without translating them into predictive values at realistic prevalence, and that draw predominantly on internally validated models, will reach more optimistic conclusions than analyses that perform the translation and weight external validation heavily. The disagreement is therefore less about the underlying data than about which metric is treated as decisive, and the argument for treating predictive value at realistic prevalence as decisive is difficult to resist where the intended use is triage or resource allocation.</w:t>
      </w:r>
    </w:p>
    <w:p w14:paraId="61185AA1" w14:textId="77777777" w:rsidR="00954C20" w:rsidRDefault="00000000">
      <w:pPr>
        <w:pStyle w:val="Heading2"/>
        <w:keepNext/>
        <w:spacing w:before="280" w:after="140" w:line="360" w:lineRule="auto"/>
      </w:pPr>
      <w:r>
        <w:rPr>
          <w:b/>
          <w:bCs/>
          <w:color w:val="000000"/>
          <w:sz w:val="24"/>
          <w:szCs w:val="24"/>
        </w:rPr>
        <w:t>4.5 A Methodological Account of the Translation Gap</w:t>
      </w:r>
    </w:p>
    <w:p w14:paraId="7E59ACD9" w14:textId="77777777" w:rsidR="00954C20" w:rsidRDefault="00000000">
      <w:pPr>
        <w:spacing w:after="120" w:line="360" w:lineRule="auto"/>
        <w:jc w:val="both"/>
      </w:pPr>
      <w:r>
        <w:t>The problems described in the preceding subsections are variations on a small number of underlying causes, and identifying them precisely is necessary because they imply different remedies.</w:t>
      </w:r>
    </w:p>
    <w:p w14:paraId="51490348" w14:textId="77777777" w:rsidR="00954C20" w:rsidRDefault="00000000">
      <w:pPr>
        <w:spacing w:after="120" w:line="360" w:lineRule="auto"/>
        <w:jc w:val="both"/>
      </w:pPr>
      <w:r>
        <w:t>The first is the dominance of internal validation. Cross-validation within a single dataset estimates how a model performs on new observations drawn from the same distribution, not on observations drawn from a different site, population or period. Where models have been tested across genuinely independent samples, performance has frequently fallen towards chance, a finding examined in detail in the following section. The systematic review of clinical prediction models in psychiatry found that only about one fifth of models had undergone any external validation, which means that for most published models the question of transportability has not been asked (Meehan et al., 2022).</w:t>
      </w:r>
    </w:p>
    <w:p w14:paraId="790FC422" w14:textId="77777777" w:rsidR="00954C20" w:rsidRDefault="00000000">
      <w:pPr>
        <w:spacing w:after="120" w:line="360" w:lineRule="auto"/>
        <w:jc w:val="both"/>
      </w:pPr>
      <w:r>
        <w:t xml:space="preserve">The second is analytic flexibility. Feature selection conducted before cross-validation, hyperparameter tuning without nested validation, threshold selection on the test set and </w:t>
      </w:r>
      <w:r>
        <w:lastRenderedPageBreak/>
        <w:t>selective reporting of the best-performing configuration all inflate apparent performance. The inverse relationship between sample size and reported accuracy documented in neuroimaging classification is the observable consequence (</w:t>
      </w:r>
      <w:proofErr w:type="spellStart"/>
      <w:r>
        <w:t>Pulini</w:t>
      </w:r>
      <w:proofErr w:type="spellEnd"/>
      <w:r>
        <w:t xml:space="preserve"> et al., 2019). The proportion of models judged at high risk of bias, at 94.5 per cent under formal appraisal, indicates that these practices are the norm rather than the exception (Meehan et al., 2022).</w:t>
      </w:r>
    </w:p>
    <w:p w14:paraId="6CE44A87" w14:textId="77777777" w:rsidR="00954C20" w:rsidRDefault="00000000">
      <w:pPr>
        <w:spacing w:after="120" w:line="360" w:lineRule="auto"/>
        <w:jc w:val="both"/>
      </w:pPr>
      <w:r>
        <w:t>The third is the mismatch between development samples and target populations. Case-control designs with clean diagnostic separation are easier to assemble and produce higher apparent accuracy than consecutive clinical samples containing comorbidity, subthreshold presentation and diagnostic uncertainty. Models developed on the former are evaluated on a task substantially easier than the one they would face in practice.</w:t>
      </w:r>
    </w:p>
    <w:p w14:paraId="0D0C18C1" w14:textId="77777777" w:rsidR="00954C20" w:rsidRDefault="00000000">
      <w:pPr>
        <w:spacing w:after="120" w:line="360" w:lineRule="auto"/>
        <w:jc w:val="both"/>
      </w:pPr>
      <w:r>
        <w:t>The fourth is the neglect of calibration. Discrimination indicates whether a model ranks individuals correctly; calibration indicates whether its predicted probabilities correspond to observed frequencies. Clinical decisions depend on absolute risk rather than rank, yet calibration is reported far less consistently than discrimination, and reporting guidance developed specifically for prediction models using regression or machine learning methods was introduced partly in response to this deficiency (Collins et al., 2024).</w:t>
      </w:r>
    </w:p>
    <w:p w14:paraId="241E5365" w14:textId="77777777" w:rsidR="00954C20" w:rsidRDefault="00000000">
      <w:pPr>
        <w:spacing w:after="120" w:line="360" w:lineRule="auto"/>
        <w:jc w:val="both"/>
      </w:pPr>
      <w:r>
        <w:t>The fifth is the absence of prospective impact evaluation. Even a well-calibrated, externally validated model may fail to improve outcomes if clinicians do not act on it, if the actions available are ineffective, or if the model displaces judgement that was performing better than assumed. The single instance of formal utility assessment identified across two decades of prediction modelling indicates how rarely this final step has been attempted (Meehan et al., 2022).</w:t>
      </w:r>
    </w:p>
    <w:p w14:paraId="3A7214C5" w14:textId="77777777" w:rsidR="00954C20" w:rsidRDefault="00000000">
      <w:pPr>
        <w:spacing w:after="120" w:line="360" w:lineRule="auto"/>
        <w:jc w:val="both"/>
      </w:pPr>
      <w:r>
        <w:t>Table 2 summarises the diagnostic evidence by data modality, reporting what has been demonstrated, the principal limitation constraining interpretation and the implication for clinical use. The comparison shows that the modality with the strongest external validation, electronic health records, is also the one furthest from a biological marker, whereas the modalities that promised objective biological measurement have generated the least transportable evidence. This inversion is itself a substantive finding: within the current evidence base, prognostic value has come from richer contextual information about individuals rather than from measurement of their biology.</w:t>
      </w:r>
    </w:p>
    <w:p w14:paraId="4593A38E" w14:textId="77777777" w:rsidR="00954C20" w:rsidRDefault="00000000">
      <w:pPr>
        <w:keepNext/>
        <w:spacing w:before="240" w:after="120" w:line="300" w:lineRule="auto"/>
      </w:pPr>
      <w:r>
        <w:rPr>
          <w:b/>
          <w:bCs/>
          <w:sz w:val="22"/>
          <w:szCs w:val="22"/>
        </w:rPr>
        <w:lastRenderedPageBreak/>
        <w:t>Table 2. Diagnostic and detection evidence by data modality, with the principal limitation constraining interpretation</w:t>
      </w:r>
    </w:p>
    <w:tbl>
      <w:tblPr>
        <w:tblW w:w="5000" w:type="pct"/>
        <w:tblBorders>
          <w:top w:val="single" w:sz="6" w:space="0" w:color="666666"/>
          <w:left w:val="single" w:sz="6" w:space="0" w:color="666666"/>
          <w:bottom w:val="single" w:sz="6" w:space="0" w:color="666666"/>
          <w:right w:val="single" w:sz="6" w:space="0" w:color="666666"/>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487"/>
        <w:gridCol w:w="2415"/>
        <w:gridCol w:w="2043"/>
        <w:gridCol w:w="1625"/>
        <w:gridCol w:w="1440"/>
      </w:tblGrid>
      <w:tr w:rsidR="00954C20" w14:paraId="2733FDB6" w14:textId="77777777" w:rsidTr="00A1174E">
        <w:trPr>
          <w:tblHeader/>
        </w:trPr>
        <w:tc>
          <w:tcPr>
            <w:tcW w:w="825" w:type="pct"/>
            <w:shd w:val="clear" w:color="auto" w:fill="E8ECF1"/>
            <w:tcMar>
              <w:top w:w="60" w:type="dxa"/>
              <w:left w:w="90" w:type="dxa"/>
              <w:bottom w:w="60" w:type="dxa"/>
              <w:right w:w="90" w:type="dxa"/>
            </w:tcMar>
          </w:tcPr>
          <w:p w14:paraId="4BF65E32" w14:textId="77777777" w:rsidR="00954C20" w:rsidRDefault="00000000">
            <w:pPr>
              <w:spacing w:after="40" w:line="260" w:lineRule="auto"/>
            </w:pPr>
            <w:r>
              <w:rPr>
                <w:b/>
                <w:bCs/>
                <w:sz w:val="20"/>
                <w:szCs w:val="20"/>
              </w:rPr>
              <w:t>Data modality</w:t>
            </w:r>
          </w:p>
        </w:tc>
        <w:tc>
          <w:tcPr>
            <w:tcW w:w="1340" w:type="pct"/>
            <w:shd w:val="clear" w:color="auto" w:fill="E8ECF1"/>
            <w:tcMar>
              <w:top w:w="60" w:type="dxa"/>
              <w:left w:w="90" w:type="dxa"/>
              <w:bottom w:w="60" w:type="dxa"/>
              <w:right w:w="90" w:type="dxa"/>
            </w:tcMar>
          </w:tcPr>
          <w:p w14:paraId="45887550" w14:textId="77777777" w:rsidR="00954C20" w:rsidRDefault="00000000">
            <w:pPr>
              <w:spacing w:after="40" w:line="260" w:lineRule="auto"/>
            </w:pPr>
            <w:r>
              <w:rPr>
                <w:b/>
                <w:bCs/>
                <w:sz w:val="20"/>
                <w:szCs w:val="20"/>
              </w:rPr>
              <w:t>Principal reported findings</w:t>
            </w:r>
          </w:p>
        </w:tc>
        <w:tc>
          <w:tcPr>
            <w:tcW w:w="1134" w:type="pct"/>
            <w:shd w:val="clear" w:color="auto" w:fill="E8ECF1"/>
            <w:tcMar>
              <w:top w:w="60" w:type="dxa"/>
              <w:left w:w="90" w:type="dxa"/>
              <w:bottom w:w="60" w:type="dxa"/>
              <w:right w:w="90" w:type="dxa"/>
            </w:tcMar>
          </w:tcPr>
          <w:p w14:paraId="1F094D0A" w14:textId="77777777" w:rsidR="00954C20" w:rsidRDefault="00000000">
            <w:pPr>
              <w:spacing w:after="40" w:line="260" w:lineRule="auto"/>
            </w:pPr>
            <w:r>
              <w:rPr>
                <w:b/>
                <w:bCs/>
                <w:sz w:val="20"/>
                <w:szCs w:val="20"/>
              </w:rPr>
              <w:t>Dominant methodological limitation</w:t>
            </w:r>
          </w:p>
        </w:tc>
        <w:tc>
          <w:tcPr>
            <w:tcW w:w="902" w:type="pct"/>
            <w:shd w:val="clear" w:color="auto" w:fill="E8ECF1"/>
            <w:tcMar>
              <w:top w:w="60" w:type="dxa"/>
              <w:left w:w="90" w:type="dxa"/>
              <w:bottom w:w="60" w:type="dxa"/>
              <w:right w:w="90" w:type="dxa"/>
            </w:tcMar>
          </w:tcPr>
          <w:p w14:paraId="42DD3D58" w14:textId="77777777" w:rsidR="00954C20" w:rsidRDefault="00000000">
            <w:pPr>
              <w:spacing w:after="40" w:line="260" w:lineRule="auto"/>
            </w:pPr>
            <w:r>
              <w:rPr>
                <w:b/>
                <w:bCs/>
                <w:sz w:val="20"/>
                <w:szCs w:val="20"/>
              </w:rPr>
              <w:t>Implication for clinical use</w:t>
            </w:r>
          </w:p>
        </w:tc>
        <w:tc>
          <w:tcPr>
            <w:tcW w:w="799" w:type="pct"/>
            <w:shd w:val="clear" w:color="auto" w:fill="E8ECF1"/>
            <w:tcMar>
              <w:top w:w="60" w:type="dxa"/>
              <w:left w:w="90" w:type="dxa"/>
              <w:bottom w:w="60" w:type="dxa"/>
              <w:right w:w="90" w:type="dxa"/>
            </w:tcMar>
          </w:tcPr>
          <w:p w14:paraId="3C872219" w14:textId="77777777" w:rsidR="00954C20" w:rsidRDefault="00000000">
            <w:pPr>
              <w:spacing w:after="40" w:line="260" w:lineRule="auto"/>
            </w:pPr>
            <w:r>
              <w:rPr>
                <w:b/>
                <w:bCs/>
                <w:sz w:val="20"/>
                <w:szCs w:val="20"/>
              </w:rPr>
              <w:t>Supporting references</w:t>
            </w:r>
          </w:p>
        </w:tc>
      </w:tr>
      <w:tr w:rsidR="00954C20" w14:paraId="358D9789" w14:textId="77777777" w:rsidTr="00A1174E">
        <w:tc>
          <w:tcPr>
            <w:tcW w:w="825" w:type="pct"/>
            <w:tcMar>
              <w:top w:w="60" w:type="dxa"/>
              <w:left w:w="90" w:type="dxa"/>
              <w:bottom w:w="60" w:type="dxa"/>
              <w:right w:w="90" w:type="dxa"/>
            </w:tcMar>
          </w:tcPr>
          <w:p w14:paraId="109906C9" w14:textId="77777777" w:rsidR="00954C20" w:rsidRDefault="00000000">
            <w:pPr>
              <w:spacing w:after="40" w:line="260" w:lineRule="auto"/>
            </w:pPr>
            <w:r>
              <w:rPr>
                <w:sz w:val="20"/>
                <w:szCs w:val="20"/>
              </w:rPr>
              <w:t>Structural and functional neuroimaging</w:t>
            </w:r>
          </w:p>
        </w:tc>
        <w:tc>
          <w:tcPr>
            <w:tcW w:w="1340" w:type="pct"/>
            <w:tcMar>
              <w:top w:w="60" w:type="dxa"/>
              <w:left w:w="90" w:type="dxa"/>
              <w:bottom w:w="60" w:type="dxa"/>
              <w:right w:w="90" w:type="dxa"/>
            </w:tcMar>
          </w:tcPr>
          <w:p w14:paraId="59A6146D" w14:textId="77777777" w:rsidR="00954C20" w:rsidRDefault="00000000">
            <w:pPr>
              <w:spacing w:after="40" w:line="260" w:lineRule="auto"/>
            </w:pPr>
            <w:r>
              <w:rPr>
                <w:sz w:val="20"/>
                <w:szCs w:val="20"/>
              </w:rPr>
              <w:t>Across 53 studies, deep learning exceeded standard machine learning in 32 of 35 direct comparisons, although the quantitative difference reached significance only for autism spectrum disorder</w:t>
            </w:r>
          </w:p>
        </w:tc>
        <w:tc>
          <w:tcPr>
            <w:tcW w:w="1134" w:type="pct"/>
            <w:tcMar>
              <w:top w:w="60" w:type="dxa"/>
              <w:left w:w="90" w:type="dxa"/>
              <w:bottom w:w="60" w:type="dxa"/>
              <w:right w:w="90" w:type="dxa"/>
            </w:tcMar>
          </w:tcPr>
          <w:p w14:paraId="536A7768" w14:textId="77777777" w:rsidR="00954C20" w:rsidRDefault="00000000">
            <w:pPr>
              <w:spacing w:after="40" w:line="260" w:lineRule="auto"/>
            </w:pPr>
            <w:r>
              <w:rPr>
                <w:sz w:val="20"/>
                <w:szCs w:val="20"/>
              </w:rPr>
              <w:t>Reported accuracy declines as sample size increases; feature selection performed before cross-validation inflates estimates</w:t>
            </w:r>
          </w:p>
        </w:tc>
        <w:tc>
          <w:tcPr>
            <w:tcW w:w="902" w:type="pct"/>
            <w:tcMar>
              <w:top w:w="60" w:type="dxa"/>
              <w:left w:w="90" w:type="dxa"/>
              <w:bottom w:w="60" w:type="dxa"/>
              <w:right w:w="90" w:type="dxa"/>
            </w:tcMar>
          </w:tcPr>
          <w:p w14:paraId="3673BA82" w14:textId="77777777" w:rsidR="00954C20" w:rsidRDefault="00000000">
            <w:pPr>
              <w:spacing w:after="40" w:line="260" w:lineRule="auto"/>
            </w:pPr>
            <w:r>
              <w:rPr>
                <w:sz w:val="20"/>
                <w:szCs w:val="20"/>
              </w:rPr>
              <w:t>Accuracy from small case-control samples should not be read as achievable clinical performance</w:t>
            </w:r>
          </w:p>
        </w:tc>
        <w:tc>
          <w:tcPr>
            <w:tcW w:w="799" w:type="pct"/>
            <w:tcMar>
              <w:top w:w="60" w:type="dxa"/>
              <w:left w:w="90" w:type="dxa"/>
              <w:bottom w:w="60" w:type="dxa"/>
              <w:right w:w="90" w:type="dxa"/>
            </w:tcMar>
          </w:tcPr>
          <w:p w14:paraId="10C6CC05" w14:textId="77777777" w:rsidR="00954C20" w:rsidRDefault="00000000">
            <w:pPr>
              <w:spacing w:after="40" w:line="260" w:lineRule="auto"/>
            </w:pPr>
            <w:proofErr w:type="spellStart"/>
            <w:r>
              <w:rPr>
                <w:sz w:val="20"/>
                <w:szCs w:val="20"/>
              </w:rPr>
              <w:t>Pulini</w:t>
            </w:r>
            <w:proofErr w:type="spellEnd"/>
            <w:r>
              <w:rPr>
                <w:sz w:val="20"/>
                <w:szCs w:val="20"/>
              </w:rPr>
              <w:t xml:space="preserve"> et al. (2019); </w:t>
            </w:r>
            <w:proofErr w:type="spellStart"/>
            <w:r>
              <w:rPr>
                <w:sz w:val="20"/>
                <w:szCs w:val="20"/>
              </w:rPr>
              <w:t>Quaak</w:t>
            </w:r>
            <w:proofErr w:type="spellEnd"/>
            <w:r>
              <w:rPr>
                <w:sz w:val="20"/>
                <w:szCs w:val="20"/>
              </w:rPr>
              <w:t xml:space="preserve"> et al. (2021); Schnack and Kahn (2016)</w:t>
            </w:r>
          </w:p>
        </w:tc>
      </w:tr>
      <w:tr w:rsidR="00954C20" w14:paraId="03F48790" w14:textId="77777777" w:rsidTr="00A1174E">
        <w:tc>
          <w:tcPr>
            <w:tcW w:w="825" w:type="pct"/>
            <w:tcMar>
              <w:top w:w="60" w:type="dxa"/>
              <w:left w:w="90" w:type="dxa"/>
              <w:bottom w:w="60" w:type="dxa"/>
              <w:right w:w="90" w:type="dxa"/>
            </w:tcMar>
          </w:tcPr>
          <w:p w14:paraId="13FB33B2" w14:textId="77777777" w:rsidR="00954C20" w:rsidRDefault="00000000">
            <w:pPr>
              <w:spacing w:after="40" w:line="260" w:lineRule="auto"/>
            </w:pPr>
            <w:r>
              <w:rPr>
                <w:sz w:val="20"/>
                <w:szCs w:val="20"/>
              </w:rPr>
              <w:t>Speech and voice</w:t>
            </w:r>
          </w:p>
        </w:tc>
        <w:tc>
          <w:tcPr>
            <w:tcW w:w="1340" w:type="pct"/>
            <w:tcMar>
              <w:top w:w="60" w:type="dxa"/>
              <w:left w:w="90" w:type="dxa"/>
              <w:bottom w:w="60" w:type="dxa"/>
              <w:right w:w="90" w:type="dxa"/>
            </w:tcMar>
          </w:tcPr>
          <w:p w14:paraId="26FAEDBC" w14:textId="77777777" w:rsidR="00954C20" w:rsidRDefault="00000000">
            <w:pPr>
              <w:spacing w:after="40" w:line="260" w:lineRule="auto"/>
            </w:pPr>
            <w:r>
              <w:rPr>
                <w:sz w:val="20"/>
                <w:szCs w:val="20"/>
              </w:rPr>
              <w:t>Across 105 studies, pooled means for best-case metrics were 0.81 accuracy, 0.84 sensitivity and 0.83 specificity, falling to 0.66, 0.63 and 0.60 respectively for worst-case metrics</w:t>
            </w:r>
          </w:p>
        </w:tc>
        <w:tc>
          <w:tcPr>
            <w:tcW w:w="1134" w:type="pct"/>
            <w:tcMar>
              <w:top w:w="60" w:type="dxa"/>
              <w:left w:w="90" w:type="dxa"/>
              <w:bottom w:w="60" w:type="dxa"/>
              <w:right w:w="90" w:type="dxa"/>
            </w:tcMar>
          </w:tcPr>
          <w:p w14:paraId="037F1660" w14:textId="77777777" w:rsidR="00954C20" w:rsidRDefault="00000000">
            <w:pPr>
              <w:spacing w:after="40" w:line="260" w:lineRule="auto"/>
            </w:pPr>
            <w:r>
              <w:rPr>
                <w:sz w:val="20"/>
                <w:szCs w:val="20"/>
              </w:rPr>
              <w:t>Wide divergence between best-case and worst-case reporting; heterogeneous reference standards; a majority of studies published as conference proceedings</w:t>
            </w:r>
          </w:p>
        </w:tc>
        <w:tc>
          <w:tcPr>
            <w:tcW w:w="902" w:type="pct"/>
            <w:tcMar>
              <w:top w:w="60" w:type="dxa"/>
              <w:left w:w="90" w:type="dxa"/>
              <w:bottom w:w="60" w:type="dxa"/>
              <w:right w:w="90" w:type="dxa"/>
            </w:tcMar>
          </w:tcPr>
          <w:p w14:paraId="3D8A0285" w14:textId="77777777" w:rsidR="00954C20" w:rsidRDefault="00000000">
            <w:pPr>
              <w:spacing w:after="40" w:line="260" w:lineRule="auto"/>
            </w:pPr>
            <w:r>
              <w:rPr>
                <w:sz w:val="20"/>
                <w:szCs w:val="20"/>
              </w:rPr>
              <w:t>Complementary to clinical assessment; not established as a standalone instrument</w:t>
            </w:r>
          </w:p>
        </w:tc>
        <w:tc>
          <w:tcPr>
            <w:tcW w:w="799" w:type="pct"/>
            <w:tcMar>
              <w:top w:w="60" w:type="dxa"/>
              <w:left w:w="90" w:type="dxa"/>
              <w:bottom w:w="60" w:type="dxa"/>
              <w:right w:w="90" w:type="dxa"/>
            </w:tcMar>
          </w:tcPr>
          <w:p w14:paraId="728F7125" w14:textId="77777777" w:rsidR="00954C20" w:rsidRDefault="00000000">
            <w:pPr>
              <w:spacing w:after="40" w:line="260" w:lineRule="auto"/>
            </w:pPr>
            <w:r>
              <w:rPr>
                <w:sz w:val="20"/>
                <w:szCs w:val="20"/>
              </w:rPr>
              <w:t>Briganti and Lechien (2025); Maran et al. (2025)</w:t>
            </w:r>
          </w:p>
        </w:tc>
      </w:tr>
      <w:tr w:rsidR="00954C20" w14:paraId="2CA689F1" w14:textId="77777777" w:rsidTr="00A1174E">
        <w:tc>
          <w:tcPr>
            <w:tcW w:w="825" w:type="pct"/>
            <w:tcMar>
              <w:top w:w="60" w:type="dxa"/>
              <w:left w:w="90" w:type="dxa"/>
              <w:bottom w:w="60" w:type="dxa"/>
              <w:right w:w="90" w:type="dxa"/>
            </w:tcMar>
          </w:tcPr>
          <w:p w14:paraId="5701612C" w14:textId="77777777" w:rsidR="00954C20" w:rsidRDefault="00000000">
            <w:pPr>
              <w:spacing w:after="40" w:line="260" w:lineRule="auto"/>
            </w:pPr>
            <w:r>
              <w:rPr>
                <w:sz w:val="20"/>
                <w:szCs w:val="20"/>
              </w:rPr>
              <w:t>Text and natural language</w:t>
            </w:r>
          </w:p>
        </w:tc>
        <w:tc>
          <w:tcPr>
            <w:tcW w:w="1340" w:type="pct"/>
            <w:tcMar>
              <w:top w:w="60" w:type="dxa"/>
              <w:left w:w="90" w:type="dxa"/>
              <w:bottom w:w="60" w:type="dxa"/>
              <w:right w:w="90" w:type="dxa"/>
            </w:tcMar>
          </w:tcPr>
          <w:p w14:paraId="6AF9C839" w14:textId="77777777" w:rsidR="00954C20" w:rsidRDefault="00000000">
            <w:pPr>
              <w:spacing w:after="40" w:line="260" w:lineRule="auto"/>
            </w:pPr>
            <w:r>
              <w:rPr>
                <w:sz w:val="20"/>
                <w:szCs w:val="20"/>
              </w:rPr>
              <w:t>Within-corpus detection performance is consistently reported; transfer across corpora is seldom demonstrated</w:t>
            </w:r>
          </w:p>
        </w:tc>
        <w:tc>
          <w:tcPr>
            <w:tcW w:w="1134" w:type="pct"/>
            <w:tcMar>
              <w:top w:w="60" w:type="dxa"/>
              <w:left w:w="90" w:type="dxa"/>
              <w:bottom w:w="60" w:type="dxa"/>
              <w:right w:w="90" w:type="dxa"/>
            </w:tcMar>
          </w:tcPr>
          <w:p w14:paraId="0B831A7C" w14:textId="77777777" w:rsidR="00954C20" w:rsidRDefault="00000000">
            <w:pPr>
              <w:spacing w:after="40" w:line="260" w:lineRule="auto"/>
            </w:pPr>
            <w:r>
              <w:rPr>
                <w:sz w:val="20"/>
                <w:szCs w:val="20"/>
              </w:rPr>
              <w:t>Linguistic and cultural narrowness of corpora; demonstrated encoding of demographic bias in language models used for psychiatric inference</w:t>
            </w:r>
          </w:p>
        </w:tc>
        <w:tc>
          <w:tcPr>
            <w:tcW w:w="902" w:type="pct"/>
            <w:tcMar>
              <w:top w:w="60" w:type="dxa"/>
              <w:left w:w="90" w:type="dxa"/>
              <w:bottom w:w="60" w:type="dxa"/>
              <w:right w:w="90" w:type="dxa"/>
            </w:tcMar>
          </w:tcPr>
          <w:p w14:paraId="3F9BD08D" w14:textId="77777777" w:rsidR="00954C20" w:rsidRDefault="00000000">
            <w:pPr>
              <w:spacing w:after="40" w:line="260" w:lineRule="auto"/>
            </w:pPr>
            <w:r>
              <w:rPr>
                <w:sz w:val="20"/>
                <w:szCs w:val="20"/>
              </w:rPr>
              <w:t>Applicability beyond the training language and population remains unestablished</w:t>
            </w:r>
          </w:p>
        </w:tc>
        <w:tc>
          <w:tcPr>
            <w:tcW w:w="799" w:type="pct"/>
            <w:tcMar>
              <w:top w:w="60" w:type="dxa"/>
              <w:left w:w="90" w:type="dxa"/>
              <w:bottom w:w="60" w:type="dxa"/>
              <w:right w:w="90" w:type="dxa"/>
            </w:tcMar>
          </w:tcPr>
          <w:p w14:paraId="579C9254" w14:textId="77777777" w:rsidR="00954C20" w:rsidRDefault="00000000">
            <w:pPr>
              <w:spacing w:after="40" w:line="260" w:lineRule="auto"/>
            </w:pPr>
            <w:r>
              <w:rPr>
                <w:sz w:val="20"/>
                <w:szCs w:val="20"/>
              </w:rPr>
              <w:t>Straw and Callison-Burch (2020); Zhang et al. (2022)</w:t>
            </w:r>
          </w:p>
        </w:tc>
      </w:tr>
      <w:tr w:rsidR="00954C20" w14:paraId="61A20B68" w14:textId="77777777" w:rsidTr="00A1174E">
        <w:tc>
          <w:tcPr>
            <w:tcW w:w="825" w:type="pct"/>
            <w:tcMar>
              <w:top w:w="60" w:type="dxa"/>
              <w:left w:w="90" w:type="dxa"/>
              <w:bottom w:w="60" w:type="dxa"/>
              <w:right w:w="90" w:type="dxa"/>
            </w:tcMar>
          </w:tcPr>
          <w:p w14:paraId="0C06ABD6" w14:textId="77777777" w:rsidR="00954C20" w:rsidRDefault="00000000">
            <w:pPr>
              <w:spacing w:after="40" w:line="260" w:lineRule="auto"/>
            </w:pPr>
            <w:r>
              <w:rPr>
                <w:sz w:val="20"/>
                <w:szCs w:val="20"/>
              </w:rPr>
              <w:t>Electronic health records</w:t>
            </w:r>
          </w:p>
        </w:tc>
        <w:tc>
          <w:tcPr>
            <w:tcW w:w="1340" w:type="pct"/>
            <w:tcMar>
              <w:top w:w="60" w:type="dxa"/>
              <w:left w:w="90" w:type="dxa"/>
              <w:bottom w:w="60" w:type="dxa"/>
              <w:right w:w="90" w:type="dxa"/>
            </w:tcMar>
          </w:tcPr>
          <w:p w14:paraId="76FAD694" w14:textId="77777777" w:rsidR="00954C20" w:rsidRDefault="00000000">
            <w:pPr>
              <w:spacing w:after="40" w:line="260" w:lineRule="auto"/>
            </w:pPr>
            <w:r>
              <w:rPr>
                <w:sz w:val="20"/>
                <w:szCs w:val="20"/>
              </w:rPr>
              <w:t>Addition of 14 predictors extracted from clinical text raised the external-validation concordance statistic from 0.79 to 0.85 in 63,854 patients</w:t>
            </w:r>
          </w:p>
        </w:tc>
        <w:tc>
          <w:tcPr>
            <w:tcW w:w="1134" w:type="pct"/>
            <w:tcMar>
              <w:top w:w="60" w:type="dxa"/>
              <w:left w:w="90" w:type="dxa"/>
              <w:bottom w:w="60" w:type="dxa"/>
              <w:right w:w="90" w:type="dxa"/>
            </w:tcMar>
          </w:tcPr>
          <w:p w14:paraId="1006E18E" w14:textId="77777777" w:rsidR="00954C20" w:rsidRDefault="00000000">
            <w:pPr>
              <w:spacing w:after="40" w:line="260" w:lineRule="auto"/>
            </w:pPr>
            <w:r>
              <w:rPr>
                <w:sz w:val="20"/>
                <w:szCs w:val="20"/>
              </w:rPr>
              <w:t>Derivation and validation cohorts drawn from a single provider; clinical utility not assessed</w:t>
            </w:r>
          </w:p>
        </w:tc>
        <w:tc>
          <w:tcPr>
            <w:tcW w:w="902" w:type="pct"/>
            <w:tcMar>
              <w:top w:w="60" w:type="dxa"/>
              <w:left w:w="90" w:type="dxa"/>
              <w:bottom w:w="60" w:type="dxa"/>
              <w:right w:w="90" w:type="dxa"/>
            </w:tcMar>
          </w:tcPr>
          <w:p w14:paraId="7307CCBD" w14:textId="77777777" w:rsidR="00954C20" w:rsidRDefault="00000000">
            <w:pPr>
              <w:spacing w:after="40" w:line="260" w:lineRule="auto"/>
            </w:pPr>
            <w:r>
              <w:rPr>
                <w:sz w:val="20"/>
                <w:szCs w:val="20"/>
              </w:rPr>
              <w:t>Strongest available evidence of external validity in this domain; transportability across health systems untested</w:t>
            </w:r>
          </w:p>
        </w:tc>
        <w:tc>
          <w:tcPr>
            <w:tcW w:w="799" w:type="pct"/>
            <w:tcMar>
              <w:top w:w="60" w:type="dxa"/>
              <w:left w:w="90" w:type="dxa"/>
              <w:bottom w:w="60" w:type="dxa"/>
              <w:right w:w="90" w:type="dxa"/>
            </w:tcMar>
          </w:tcPr>
          <w:p w14:paraId="0D466BCB" w14:textId="77777777" w:rsidR="00954C20" w:rsidRDefault="00000000">
            <w:pPr>
              <w:spacing w:after="40" w:line="260" w:lineRule="auto"/>
            </w:pPr>
            <w:r>
              <w:rPr>
                <w:sz w:val="20"/>
                <w:szCs w:val="20"/>
              </w:rPr>
              <w:t>Irving et al. (2021)</w:t>
            </w:r>
          </w:p>
        </w:tc>
      </w:tr>
      <w:tr w:rsidR="00954C20" w14:paraId="711446FE" w14:textId="77777777" w:rsidTr="00A1174E">
        <w:tc>
          <w:tcPr>
            <w:tcW w:w="825" w:type="pct"/>
            <w:tcMar>
              <w:top w:w="60" w:type="dxa"/>
              <w:left w:w="90" w:type="dxa"/>
              <w:bottom w:w="60" w:type="dxa"/>
              <w:right w:w="90" w:type="dxa"/>
            </w:tcMar>
          </w:tcPr>
          <w:p w14:paraId="209C8B9F" w14:textId="77777777" w:rsidR="00954C20" w:rsidRDefault="00000000">
            <w:pPr>
              <w:spacing w:after="40" w:line="260" w:lineRule="auto"/>
            </w:pPr>
            <w:r>
              <w:rPr>
                <w:sz w:val="20"/>
                <w:szCs w:val="20"/>
              </w:rPr>
              <w:t>Multi-source risk models for suicide and self-harm</w:t>
            </w:r>
          </w:p>
        </w:tc>
        <w:tc>
          <w:tcPr>
            <w:tcW w:w="1340" w:type="pct"/>
            <w:tcMar>
              <w:top w:w="60" w:type="dxa"/>
              <w:left w:w="90" w:type="dxa"/>
              <w:bottom w:w="60" w:type="dxa"/>
              <w:right w:w="90" w:type="dxa"/>
            </w:tcMar>
          </w:tcPr>
          <w:p w14:paraId="30A50963" w14:textId="77777777" w:rsidR="00954C20" w:rsidRDefault="00000000">
            <w:pPr>
              <w:spacing w:after="40" w:line="260" w:lineRule="auto"/>
            </w:pPr>
            <w:r>
              <w:rPr>
                <w:sz w:val="20"/>
                <w:szCs w:val="20"/>
              </w:rPr>
              <w:t>AUC 0.69 to 0.93; sensitivity 45% to 82%; specificity 91% to 95%; PPV 6% to 17% using in-sample prevalence and 0.1% at low external prevalence</w:t>
            </w:r>
          </w:p>
        </w:tc>
        <w:tc>
          <w:tcPr>
            <w:tcW w:w="1134" w:type="pct"/>
            <w:tcMar>
              <w:top w:w="60" w:type="dxa"/>
              <w:left w:w="90" w:type="dxa"/>
              <w:bottom w:w="60" w:type="dxa"/>
              <w:right w:w="90" w:type="dxa"/>
            </w:tcMar>
          </w:tcPr>
          <w:p w14:paraId="4665DE66" w14:textId="77777777" w:rsidR="00954C20" w:rsidRDefault="00000000">
            <w:pPr>
              <w:spacing w:after="40" w:line="260" w:lineRule="auto"/>
            </w:pPr>
            <w:r>
              <w:rPr>
                <w:sz w:val="20"/>
                <w:szCs w:val="20"/>
              </w:rPr>
              <w:t>Most studies at high or unclear risk of bias; discrimination reported without predictive value at realistic prevalence</w:t>
            </w:r>
          </w:p>
        </w:tc>
        <w:tc>
          <w:tcPr>
            <w:tcW w:w="902" w:type="pct"/>
            <w:tcMar>
              <w:top w:w="60" w:type="dxa"/>
              <w:left w:w="90" w:type="dxa"/>
              <w:bottom w:w="60" w:type="dxa"/>
              <w:right w:w="90" w:type="dxa"/>
            </w:tcMar>
          </w:tcPr>
          <w:p w14:paraId="4D11DB2D" w14:textId="77777777" w:rsidR="00954C20" w:rsidRDefault="00000000">
            <w:pPr>
              <w:spacing w:after="40" w:line="260" w:lineRule="auto"/>
            </w:pPr>
            <w:r>
              <w:rPr>
                <w:sz w:val="20"/>
                <w:szCs w:val="20"/>
              </w:rPr>
              <w:t>Not suitable as screening instruments in unselected clinical populations</w:t>
            </w:r>
          </w:p>
        </w:tc>
        <w:tc>
          <w:tcPr>
            <w:tcW w:w="799" w:type="pct"/>
            <w:tcMar>
              <w:top w:w="60" w:type="dxa"/>
              <w:left w:w="90" w:type="dxa"/>
              <w:bottom w:w="60" w:type="dxa"/>
              <w:right w:w="90" w:type="dxa"/>
            </w:tcMar>
          </w:tcPr>
          <w:p w14:paraId="41122B4F" w14:textId="77777777" w:rsidR="00954C20" w:rsidRDefault="00000000">
            <w:pPr>
              <w:spacing w:after="40" w:line="260" w:lineRule="auto"/>
            </w:pPr>
            <w:r>
              <w:rPr>
                <w:sz w:val="20"/>
                <w:szCs w:val="20"/>
              </w:rPr>
              <w:t>Spittal et al. (2025)</w:t>
            </w:r>
          </w:p>
        </w:tc>
      </w:tr>
    </w:tbl>
    <w:p w14:paraId="31F4818D" w14:textId="77777777" w:rsidR="00954C20" w:rsidRDefault="00000000">
      <w:pPr>
        <w:spacing w:before="100" w:after="260" w:line="280" w:lineRule="auto"/>
      </w:pPr>
      <w:r>
        <w:rPr>
          <w:i/>
          <w:iCs/>
          <w:sz w:val="20"/>
          <w:szCs w:val="20"/>
        </w:rPr>
        <w:t>Note. AUC = area under the receiver operating characteristic curve; PPV = positive predictive value. Performance figures are those reported by the cited syntheses and are not directly comparable across modalities, since outcome definitions, reference standards and validation strategies differ.</w:t>
      </w:r>
    </w:p>
    <w:p w14:paraId="0C1ABAB1" w14:textId="77777777" w:rsidR="00954C20" w:rsidRDefault="00000000">
      <w:pPr>
        <w:pStyle w:val="Heading1"/>
        <w:keepNext/>
        <w:spacing w:before="280" w:after="140" w:line="360" w:lineRule="auto"/>
      </w:pPr>
      <w:r>
        <w:rPr>
          <w:b/>
          <w:bCs/>
          <w:color w:val="000000"/>
          <w:sz w:val="26"/>
          <w:szCs w:val="26"/>
        </w:rPr>
        <w:lastRenderedPageBreak/>
        <w:t>5. Treatment Personalisation</w:t>
      </w:r>
    </w:p>
    <w:p w14:paraId="7878E22D" w14:textId="77777777" w:rsidR="00954C20" w:rsidRDefault="00000000">
      <w:pPr>
        <w:pStyle w:val="Heading2"/>
        <w:keepNext/>
        <w:spacing w:before="280" w:after="140" w:line="360" w:lineRule="auto"/>
      </w:pPr>
      <w:r>
        <w:rPr>
          <w:b/>
          <w:bCs/>
          <w:color w:val="000000"/>
          <w:sz w:val="24"/>
          <w:szCs w:val="24"/>
        </w:rPr>
        <w:t>5.1 Prediction of Pharmacological Response</w:t>
      </w:r>
    </w:p>
    <w:p w14:paraId="5089DC4C" w14:textId="77777777" w:rsidR="00954C20" w:rsidRDefault="00000000">
      <w:pPr>
        <w:spacing w:after="120" w:line="360" w:lineRule="auto"/>
        <w:jc w:val="both"/>
      </w:pPr>
      <w:r>
        <w:t>The rationale for computational treatment selection is straightforward. Antidepressant and antipsychotic prescribing proceeds largely by sequential trial, response is variable and difficult to anticipate, and each unsuccessful trial imposes weeks of continued illness. A model that could allocate patients to the treatment most likely to benefit them would address a genuine clinical deficit.</w:t>
      </w:r>
    </w:p>
    <w:p w14:paraId="53D52481" w14:textId="77777777" w:rsidR="00954C20" w:rsidRDefault="00000000">
      <w:pPr>
        <w:spacing w:after="120" w:line="360" w:lineRule="auto"/>
        <w:jc w:val="both"/>
      </w:pPr>
      <w:r>
        <w:t>Early work established the technical feasibility of cross-trial prediction. A model trained on data from a large pragmatic antidepressant trial and evaluated in an independent trial cohort demonstrated that clinical and demographic variables collected at baseline carried some predictive information about outcome, and that a model developed in one sample could retain performance in another (</w:t>
      </w:r>
      <w:proofErr w:type="spellStart"/>
      <w:r>
        <w:t>Chekroud</w:t>
      </w:r>
      <w:proofErr w:type="spellEnd"/>
      <w:r>
        <w:t xml:space="preserve"> et al., 2016). Comparable work in first-episode psychosis used multi-site trial data to predict four-week and fifty-two-week outcomes, again showing that baseline information supported better-than-chance prediction (</w:t>
      </w:r>
      <w:proofErr w:type="spellStart"/>
      <w:r>
        <w:t>Koutsouleris</w:t>
      </w:r>
      <w:proofErr w:type="spellEnd"/>
      <w:r>
        <w:t xml:space="preserve"> et al., 2016). These studies were influential in establishing precision psychiatry as a research programme, and they remain among the more methodologically careful contributions in the area.</w:t>
      </w:r>
    </w:p>
    <w:p w14:paraId="32E63AFC" w14:textId="77777777" w:rsidR="00954C20" w:rsidRDefault="00000000">
      <w:pPr>
        <w:spacing w:after="120" w:line="360" w:lineRule="auto"/>
        <w:jc w:val="both"/>
      </w:pPr>
      <w:r>
        <w:t>A comprehensive review of machine learning for treatment outcome prediction in psychiatry subsequently mapped the field and reached a measured assessment. It noted that most treatment-prediction studies had focused on acute-phase antidepressant response, that most resulting models had not been validated in external samples, and that very few tools had progressed through implementation studies into practice (</w:t>
      </w:r>
      <w:proofErr w:type="spellStart"/>
      <w:r>
        <w:t>Chekroud</w:t>
      </w:r>
      <w:proofErr w:type="spellEnd"/>
      <w:r>
        <w:t xml:space="preserve"> et al., 2021). The same review cautioned against generalisability claims derived from single samples, including multi-site samples, on the grounds that shared protocol, eligibility criteria and measurement procedures make sites within a trial less independent than they appear.</w:t>
      </w:r>
    </w:p>
    <w:p w14:paraId="4571B262" w14:textId="77777777" w:rsidR="00954C20" w:rsidRDefault="00000000">
      <w:pPr>
        <w:pStyle w:val="Heading2"/>
        <w:keepNext/>
        <w:spacing w:before="280" w:after="140" w:line="360" w:lineRule="auto"/>
      </w:pPr>
      <w:r>
        <w:rPr>
          <w:b/>
          <w:bCs/>
          <w:color w:val="000000"/>
          <w:sz w:val="24"/>
          <w:szCs w:val="24"/>
        </w:rPr>
        <w:t>5.2 The Generalisability Failure and Competing Interpretations</w:t>
      </w:r>
    </w:p>
    <w:p w14:paraId="35D53577" w14:textId="77777777" w:rsidR="00954C20" w:rsidRDefault="00000000">
      <w:pPr>
        <w:spacing w:after="120" w:line="360" w:lineRule="auto"/>
        <w:jc w:val="both"/>
      </w:pPr>
      <w:r>
        <w:t>That caution was subsequently substantiated in the most consequential single result in this literature. Machine learning models were developed to predict outcomes of antipsychotic treatment in schizophrenia using data from several independent clinical trials. Within the trial in which a model was developed, prediction was highly accurate. Applied to independent trials, the same models performed no better than chance. Pooling data across trials to predict outcomes in a held-out trial did not remedy the failure (</w:t>
      </w:r>
      <w:proofErr w:type="spellStart"/>
      <w:r>
        <w:t>Chekroud</w:t>
      </w:r>
      <w:proofErr w:type="spellEnd"/>
      <w:r>
        <w:t xml:space="preserve"> et al., 2024). The design is </w:t>
      </w:r>
      <w:r>
        <w:lastRenderedPageBreak/>
        <w:t>decisive because it holds the model, the outcome and the clinical population approximately constant while varying only the dataset, thereby isolating dataset-specific fitting as the explanation for the within-sample result.</w:t>
      </w:r>
    </w:p>
    <w:p w14:paraId="4F70E43B" w14:textId="77777777" w:rsidR="00954C20" w:rsidRDefault="00000000">
      <w:pPr>
        <w:spacing w:after="120" w:line="360" w:lineRule="auto"/>
        <w:jc w:val="both"/>
      </w:pPr>
      <w:r>
        <w:t>The interpretation of this finding has been contested, and the disagreement is substantive rather than rhetorical. Critics have argued that the result demonstrates the consequences of underpowered and overfitted analysis rather than a general limit on precision psychiatry, pointing to hyperparameter optimisation conducted without repeated nested cross-validation, deviations from the pre-registered protocol, and heterogeneity of the pooled samples across age and illness chronicity that would not be expected of a model developed for a well-defined target population. On this reading, the study establishes that a particular modelling approach generalises poorly across heterogeneous trials, not that treatment-response prediction is infeasible.</w:t>
      </w:r>
    </w:p>
    <w:p w14:paraId="38F088A5" w14:textId="77777777" w:rsidR="00954C20" w:rsidRDefault="00000000">
      <w:pPr>
        <w:spacing w:after="120" w:line="360" w:lineRule="auto"/>
        <w:jc w:val="both"/>
      </w:pPr>
      <w:r>
        <w:t>Both readings can be partly accommodated. The specific finding, that these models did not transport across these trials, is secure. The stronger inference, that treatment-response prediction in psychiatry is intrinsically limited, is not established by this study alone, since the samples were assembled for regulatory rather than predictive purposes and were heterogeneous in ways that a purpose-designed prediction study would avoid. What the result does establish, and what the critics do not dispute, is that within-sample performance carries almost no information about out-of-sample performance in this domain. Reported accuracy from a single dataset should therefore be treated as uninformative about clinical prospects until independent validation is available. That conclusion is corroborated by the broader finding that only about one fifth of psychiatric prediction models have been externally validated at all (Meehan et al., 2022).</w:t>
      </w:r>
    </w:p>
    <w:p w14:paraId="7EB6FA47" w14:textId="77777777" w:rsidR="00954C20" w:rsidRDefault="00000000">
      <w:pPr>
        <w:pStyle w:val="Heading2"/>
        <w:keepNext/>
        <w:spacing w:before="280" w:after="140" w:line="360" w:lineRule="auto"/>
      </w:pPr>
      <w:r>
        <w:rPr>
          <w:b/>
          <w:bCs/>
          <w:color w:val="000000"/>
          <w:sz w:val="24"/>
          <w:szCs w:val="24"/>
        </w:rPr>
        <w:t>5.3 Neuroimaging-Based Prediction of Psychological Treatment Outcome</w:t>
      </w:r>
    </w:p>
    <w:p w14:paraId="4CAC7BEA" w14:textId="77777777" w:rsidR="00954C20" w:rsidRDefault="00000000">
      <w:pPr>
        <w:spacing w:after="120" w:line="360" w:lineRule="auto"/>
        <w:jc w:val="both"/>
      </w:pPr>
      <w:r>
        <w:t>A parallel literature has sought to predict treatment outcome from resting-state functional connectivity. A systematic review and meta-analysis of this work in internalising disorders identified thirteen studies and reported a mean balanced accuracy of 77 per cent, with a confidence interval from 72 to 83 per cent, and found that connectivity involving the dorsolateral prefrontal cortex carried predictive value in most studies. The same review applied a formal prediction-model risk-of-bias tool and identified high risk of bias in every included study, which the authors stated compromised the interpretability of the pooled estimate (Meinke et al., 2024).</w:t>
      </w:r>
    </w:p>
    <w:p w14:paraId="101A9F3F" w14:textId="77777777" w:rsidR="00954C20" w:rsidRDefault="00000000">
      <w:pPr>
        <w:spacing w:after="120" w:line="360" w:lineRule="auto"/>
        <w:jc w:val="both"/>
      </w:pPr>
      <w:r>
        <w:lastRenderedPageBreak/>
        <w:t>The juxtaposition of an apparently useful accuracy estimate with a uniform judgement of high bias is the central point. A pooled balanced accuracy of 77 per cent would represent meaningful clinical information if it were trustworthy; the appraisal indicates that it is not, because the studies contributing to it share the analytic features known to inflate performance. The consistency of the dorsolateral prefrontal finding across studies is sometimes cited as corroboration, but consistency across studies sharing a common methodological weakness is weak evidence, since the weakness would be expected to produce consistent artefacts. Confidence in this literature is accordingly low, and the appropriate conclusion is that resting-state connectivity has not yet been shown to predict treatment outcome at a level that would support clinical use.</w:t>
      </w:r>
    </w:p>
    <w:p w14:paraId="685BE231" w14:textId="77777777" w:rsidR="00954C20" w:rsidRDefault="00000000">
      <w:pPr>
        <w:pStyle w:val="Heading2"/>
        <w:keepNext/>
        <w:spacing w:before="280" w:after="140" w:line="360" w:lineRule="auto"/>
      </w:pPr>
      <w:r>
        <w:rPr>
          <w:b/>
          <w:bCs/>
          <w:color w:val="000000"/>
          <w:sz w:val="24"/>
          <w:szCs w:val="24"/>
        </w:rPr>
        <w:t>5.4 Stratified Care, Adaptive Content and Generative Personalisation</w:t>
      </w:r>
    </w:p>
    <w:p w14:paraId="28015562" w14:textId="77777777" w:rsidR="00954C20" w:rsidRDefault="00000000">
      <w:pPr>
        <w:spacing w:after="120" w:line="360" w:lineRule="auto"/>
        <w:jc w:val="both"/>
      </w:pPr>
      <w:r>
        <w:t>Personalisation need not depend on predicting response to a specific agent. Weaker forms, in which algorithmic output informs the intensity or timing of care rather than the choice of treatment, impose lower evidential demands because the cost of misallocation is smaller and the decision is more easily reversed. Reviews of digital mental health have noted that adaptive delivery, in which content or intensity is adjusted in response to monitored data, represents a more tractable near-term application than treatment selection (</w:t>
      </w:r>
      <w:proofErr w:type="spellStart"/>
      <w:r>
        <w:t>Torous</w:t>
      </w:r>
      <w:proofErr w:type="spellEnd"/>
      <w:r>
        <w:t xml:space="preserve"> et al., 2021; </w:t>
      </w:r>
      <w:proofErr w:type="spellStart"/>
      <w:r>
        <w:t>Torous</w:t>
      </w:r>
      <w:proofErr w:type="spellEnd"/>
      <w:r>
        <w:t xml:space="preserve"> et al., 2025). The evidence for this class of application remains limited but the failure mode is more benign.</w:t>
      </w:r>
    </w:p>
    <w:p w14:paraId="56355370" w14:textId="77777777" w:rsidR="00954C20" w:rsidRDefault="00000000">
      <w:pPr>
        <w:spacing w:after="120" w:line="360" w:lineRule="auto"/>
        <w:jc w:val="both"/>
      </w:pPr>
      <w:r>
        <w:t>Generative models introduce a different form of personalisation, in which content is tailored continuously through dialogue rather than selected from a fixed set of options. A scoping review of large language models for generative tasks in mental health care identified 726 unique articles and found only sixteen meeting inclusion criteria, spanning clinical assistance, counselling, therapy and emotional support. It concluded that early results were promising but that evaluation methods were largely non-standardised, with most studies relying on ad hoc scales that limit comparability, and that reliance on prompt-tuning of proprietary models raised concerns about transparency and reproducibility (Hua et al., 2025). Analyses of the opportunities and risks of these models in mental health have identified a similar combination of plausible benefit and immature evaluation, alongside specific hazards including confident generation of incorrect content, privacy exposure and the displacement of professional labour (Lawrence et al., 2024; Obradovich et al., 2024; Stade et al., 2024).</w:t>
      </w:r>
    </w:p>
    <w:p w14:paraId="56CECA6D" w14:textId="77777777" w:rsidR="00954C20" w:rsidRDefault="00000000">
      <w:pPr>
        <w:spacing w:after="120" w:line="360" w:lineRule="auto"/>
        <w:jc w:val="both"/>
      </w:pPr>
      <w:r>
        <w:lastRenderedPageBreak/>
        <w:t>An important asymmetry follows. Personalisation by treatment selection requires a validated prediction of counterfactual outcome, which the evidence does not currently support. Personalisation by adaptive content requires only that the adaptation be safe and acceptable and that the intervention as a whole outperform its comparator, which is a question randomised trials can answer directly. The second route has therefore generated usable evidence considerably faster than the first, and the reason is evidential rather than technical.</w:t>
      </w:r>
    </w:p>
    <w:p w14:paraId="56389029" w14:textId="77777777" w:rsidR="00954C20" w:rsidRDefault="00000000">
      <w:pPr>
        <w:spacing w:after="120" w:line="360" w:lineRule="auto"/>
        <w:jc w:val="both"/>
      </w:pPr>
      <w:r>
        <w:t>Table 3 sets out the principal convergent and conflicting findings in this domain together with the most defensible explanation for each divergence. The pattern it reveals is that disagreements in this literature are attributable more often to differences in validation strategy and sample construction than to genuine differences in the underlying biology or psychology of treatment response.</w:t>
      </w:r>
    </w:p>
    <w:p w14:paraId="52FF698F" w14:textId="77777777" w:rsidR="00954C20" w:rsidRDefault="00000000">
      <w:pPr>
        <w:keepNext/>
        <w:spacing w:before="240" w:after="120" w:line="300" w:lineRule="auto"/>
      </w:pPr>
      <w:r>
        <w:rPr>
          <w:b/>
          <w:bCs/>
          <w:sz w:val="22"/>
          <w:szCs w:val="22"/>
        </w:rPr>
        <w:t>Table 3. Convergent and conflicting findings in treatment personalisation, with the most defensible explanation for each divergence</w:t>
      </w:r>
    </w:p>
    <w:tbl>
      <w:tblPr>
        <w:tblW w:w="5000" w:type="pct"/>
        <w:tblBorders>
          <w:top w:val="single" w:sz="6" w:space="0" w:color="666666"/>
          <w:left w:val="single" w:sz="6" w:space="0" w:color="666666"/>
          <w:bottom w:val="single" w:sz="6" w:space="0" w:color="666666"/>
          <w:right w:val="single" w:sz="6" w:space="0" w:color="666666"/>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626"/>
        <w:gridCol w:w="1950"/>
        <w:gridCol w:w="1950"/>
        <w:gridCol w:w="1950"/>
        <w:gridCol w:w="1534"/>
      </w:tblGrid>
      <w:tr w:rsidR="00954C20" w14:paraId="0D6B2FE7" w14:textId="77777777" w:rsidTr="00A1174E">
        <w:trPr>
          <w:tblHeader/>
        </w:trPr>
        <w:tc>
          <w:tcPr>
            <w:tcW w:w="902" w:type="pct"/>
            <w:shd w:val="clear" w:color="auto" w:fill="E8ECF1"/>
            <w:tcMar>
              <w:top w:w="60" w:type="dxa"/>
              <w:left w:w="90" w:type="dxa"/>
              <w:bottom w:w="60" w:type="dxa"/>
              <w:right w:w="90" w:type="dxa"/>
            </w:tcMar>
          </w:tcPr>
          <w:p w14:paraId="2B8165AC" w14:textId="77777777" w:rsidR="00954C20" w:rsidRDefault="00000000">
            <w:pPr>
              <w:spacing w:after="40" w:line="260" w:lineRule="auto"/>
            </w:pPr>
            <w:r>
              <w:rPr>
                <w:b/>
                <w:bCs/>
                <w:sz w:val="20"/>
                <w:szCs w:val="20"/>
              </w:rPr>
              <w:t>Finding</w:t>
            </w:r>
          </w:p>
        </w:tc>
        <w:tc>
          <w:tcPr>
            <w:tcW w:w="1082" w:type="pct"/>
            <w:shd w:val="clear" w:color="auto" w:fill="E8ECF1"/>
            <w:tcMar>
              <w:top w:w="60" w:type="dxa"/>
              <w:left w:w="90" w:type="dxa"/>
              <w:bottom w:w="60" w:type="dxa"/>
              <w:right w:w="90" w:type="dxa"/>
            </w:tcMar>
          </w:tcPr>
          <w:p w14:paraId="1E263F58" w14:textId="77777777" w:rsidR="00954C20" w:rsidRDefault="00000000">
            <w:pPr>
              <w:spacing w:after="40" w:line="260" w:lineRule="auto"/>
            </w:pPr>
            <w:r>
              <w:rPr>
                <w:b/>
                <w:bCs/>
                <w:sz w:val="20"/>
                <w:szCs w:val="20"/>
              </w:rPr>
              <w:t>Supporting evidence</w:t>
            </w:r>
          </w:p>
        </w:tc>
        <w:tc>
          <w:tcPr>
            <w:tcW w:w="1082" w:type="pct"/>
            <w:shd w:val="clear" w:color="auto" w:fill="E8ECF1"/>
            <w:tcMar>
              <w:top w:w="60" w:type="dxa"/>
              <w:left w:w="90" w:type="dxa"/>
              <w:bottom w:w="60" w:type="dxa"/>
              <w:right w:w="90" w:type="dxa"/>
            </w:tcMar>
          </w:tcPr>
          <w:p w14:paraId="3C58CDDD" w14:textId="77777777" w:rsidR="00954C20" w:rsidRDefault="00000000">
            <w:pPr>
              <w:spacing w:after="40" w:line="260" w:lineRule="auto"/>
            </w:pPr>
            <w:r>
              <w:rPr>
                <w:b/>
                <w:bCs/>
                <w:sz w:val="20"/>
                <w:szCs w:val="20"/>
              </w:rPr>
              <w:t>Conflicting or qualifying evidence</w:t>
            </w:r>
          </w:p>
        </w:tc>
        <w:tc>
          <w:tcPr>
            <w:tcW w:w="1082" w:type="pct"/>
            <w:shd w:val="clear" w:color="auto" w:fill="E8ECF1"/>
            <w:tcMar>
              <w:top w:w="60" w:type="dxa"/>
              <w:left w:w="90" w:type="dxa"/>
              <w:bottom w:w="60" w:type="dxa"/>
              <w:right w:w="90" w:type="dxa"/>
            </w:tcMar>
          </w:tcPr>
          <w:p w14:paraId="35DE6849" w14:textId="77777777" w:rsidR="00954C20" w:rsidRDefault="00000000">
            <w:pPr>
              <w:spacing w:after="40" w:line="260" w:lineRule="auto"/>
            </w:pPr>
            <w:r>
              <w:rPr>
                <w:b/>
                <w:bCs/>
                <w:sz w:val="20"/>
                <w:szCs w:val="20"/>
              </w:rPr>
              <w:t>Most defensible explanation for divergence</w:t>
            </w:r>
          </w:p>
        </w:tc>
        <w:tc>
          <w:tcPr>
            <w:tcW w:w="851" w:type="pct"/>
            <w:shd w:val="clear" w:color="auto" w:fill="E8ECF1"/>
            <w:tcMar>
              <w:top w:w="60" w:type="dxa"/>
              <w:left w:w="90" w:type="dxa"/>
              <w:bottom w:w="60" w:type="dxa"/>
              <w:right w:w="90" w:type="dxa"/>
            </w:tcMar>
          </w:tcPr>
          <w:p w14:paraId="3053798F" w14:textId="77777777" w:rsidR="00954C20" w:rsidRDefault="00000000">
            <w:pPr>
              <w:spacing w:after="40" w:line="260" w:lineRule="auto"/>
            </w:pPr>
            <w:r>
              <w:rPr>
                <w:b/>
                <w:bCs/>
                <w:sz w:val="20"/>
                <w:szCs w:val="20"/>
              </w:rPr>
              <w:t>Supporting references</w:t>
            </w:r>
          </w:p>
        </w:tc>
      </w:tr>
      <w:tr w:rsidR="00954C20" w14:paraId="77B0FD67" w14:textId="77777777" w:rsidTr="00A1174E">
        <w:tc>
          <w:tcPr>
            <w:tcW w:w="902" w:type="pct"/>
            <w:tcMar>
              <w:top w:w="60" w:type="dxa"/>
              <w:left w:w="90" w:type="dxa"/>
              <w:bottom w:w="60" w:type="dxa"/>
              <w:right w:w="90" w:type="dxa"/>
            </w:tcMar>
          </w:tcPr>
          <w:p w14:paraId="6419794C" w14:textId="77777777" w:rsidR="00954C20" w:rsidRDefault="00000000">
            <w:pPr>
              <w:spacing w:after="40" w:line="260" w:lineRule="auto"/>
            </w:pPr>
            <w:r>
              <w:rPr>
                <w:sz w:val="20"/>
                <w:szCs w:val="20"/>
              </w:rPr>
              <w:t>Baseline clinical variables carry information about treatment outcome</w:t>
            </w:r>
          </w:p>
        </w:tc>
        <w:tc>
          <w:tcPr>
            <w:tcW w:w="1082" w:type="pct"/>
            <w:tcMar>
              <w:top w:w="60" w:type="dxa"/>
              <w:left w:w="90" w:type="dxa"/>
              <w:bottom w:w="60" w:type="dxa"/>
              <w:right w:w="90" w:type="dxa"/>
            </w:tcMar>
          </w:tcPr>
          <w:p w14:paraId="404F4448" w14:textId="77777777" w:rsidR="00954C20" w:rsidRDefault="00000000">
            <w:pPr>
              <w:spacing w:after="40" w:line="260" w:lineRule="auto"/>
            </w:pPr>
            <w:r>
              <w:rPr>
                <w:sz w:val="20"/>
                <w:szCs w:val="20"/>
              </w:rPr>
              <w:t>Cross-trial prediction in depression and multi-site prediction in first-episode psychosis both exceeded chance</w:t>
            </w:r>
          </w:p>
        </w:tc>
        <w:tc>
          <w:tcPr>
            <w:tcW w:w="1082" w:type="pct"/>
            <w:tcMar>
              <w:top w:w="60" w:type="dxa"/>
              <w:left w:w="90" w:type="dxa"/>
              <w:bottom w:w="60" w:type="dxa"/>
              <w:right w:w="90" w:type="dxa"/>
            </w:tcMar>
          </w:tcPr>
          <w:p w14:paraId="3BFB58AC" w14:textId="77777777" w:rsidR="00954C20" w:rsidRDefault="00000000">
            <w:pPr>
              <w:spacing w:after="40" w:line="260" w:lineRule="auto"/>
            </w:pPr>
            <w:r>
              <w:rPr>
                <w:sz w:val="20"/>
                <w:szCs w:val="20"/>
              </w:rPr>
              <w:t>Models predicting antipsychotic treatment outcome performed at chance level when applied out-of-sample</w:t>
            </w:r>
          </w:p>
        </w:tc>
        <w:tc>
          <w:tcPr>
            <w:tcW w:w="1082" w:type="pct"/>
            <w:tcMar>
              <w:top w:w="60" w:type="dxa"/>
              <w:left w:w="90" w:type="dxa"/>
              <w:bottom w:w="60" w:type="dxa"/>
              <w:right w:w="90" w:type="dxa"/>
            </w:tcMar>
          </w:tcPr>
          <w:p w14:paraId="34858225" w14:textId="77777777" w:rsidR="00954C20" w:rsidRDefault="00000000">
            <w:pPr>
              <w:spacing w:after="40" w:line="260" w:lineRule="auto"/>
            </w:pPr>
            <w:r>
              <w:rPr>
                <w:sz w:val="20"/>
                <w:szCs w:val="20"/>
              </w:rPr>
              <w:t>Predictive information exists but is partly dataset-specific; trials differ in eligibility, measurement procedure and case mix</w:t>
            </w:r>
          </w:p>
        </w:tc>
        <w:tc>
          <w:tcPr>
            <w:tcW w:w="851" w:type="pct"/>
            <w:tcMar>
              <w:top w:w="60" w:type="dxa"/>
              <w:left w:w="90" w:type="dxa"/>
              <w:bottom w:w="60" w:type="dxa"/>
              <w:right w:w="90" w:type="dxa"/>
            </w:tcMar>
          </w:tcPr>
          <w:p w14:paraId="00DEA01C" w14:textId="77777777" w:rsidR="00954C20" w:rsidRDefault="00000000">
            <w:pPr>
              <w:spacing w:after="40" w:line="260" w:lineRule="auto"/>
            </w:pPr>
            <w:proofErr w:type="spellStart"/>
            <w:r>
              <w:rPr>
                <w:sz w:val="20"/>
                <w:szCs w:val="20"/>
              </w:rPr>
              <w:t>Chekroud</w:t>
            </w:r>
            <w:proofErr w:type="spellEnd"/>
            <w:r>
              <w:rPr>
                <w:sz w:val="20"/>
                <w:szCs w:val="20"/>
              </w:rPr>
              <w:t xml:space="preserve"> et al. (2016); </w:t>
            </w:r>
            <w:proofErr w:type="spellStart"/>
            <w:r>
              <w:rPr>
                <w:sz w:val="20"/>
                <w:szCs w:val="20"/>
              </w:rPr>
              <w:t>Chekroud</w:t>
            </w:r>
            <w:proofErr w:type="spellEnd"/>
            <w:r>
              <w:rPr>
                <w:sz w:val="20"/>
                <w:szCs w:val="20"/>
              </w:rPr>
              <w:t xml:space="preserve"> et al. (2024); </w:t>
            </w:r>
            <w:proofErr w:type="spellStart"/>
            <w:r>
              <w:rPr>
                <w:sz w:val="20"/>
                <w:szCs w:val="20"/>
              </w:rPr>
              <w:t>Koutsouleris</w:t>
            </w:r>
            <w:proofErr w:type="spellEnd"/>
            <w:r>
              <w:rPr>
                <w:sz w:val="20"/>
                <w:szCs w:val="20"/>
              </w:rPr>
              <w:t xml:space="preserve"> et al. (2016)</w:t>
            </w:r>
          </w:p>
        </w:tc>
      </w:tr>
      <w:tr w:rsidR="00954C20" w14:paraId="01CB532B" w14:textId="77777777" w:rsidTr="00A1174E">
        <w:tc>
          <w:tcPr>
            <w:tcW w:w="902" w:type="pct"/>
            <w:tcMar>
              <w:top w:w="60" w:type="dxa"/>
              <w:left w:w="90" w:type="dxa"/>
              <w:bottom w:w="60" w:type="dxa"/>
              <w:right w:w="90" w:type="dxa"/>
            </w:tcMar>
          </w:tcPr>
          <w:p w14:paraId="5BF65134" w14:textId="77777777" w:rsidR="00954C20" w:rsidRDefault="00000000">
            <w:pPr>
              <w:spacing w:after="40" w:line="260" w:lineRule="auto"/>
            </w:pPr>
            <w:r>
              <w:rPr>
                <w:sz w:val="20"/>
                <w:szCs w:val="20"/>
              </w:rPr>
              <w:t>Within-sample accuracy indicates clinical promise</w:t>
            </w:r>
          </w:p>
        </w:tc>
        <w:tc>
          <w:tcPr>
            <w:tcW w:w="1082" w:type="pct"/>
            <w:tcMar>
              <w:top w:w="60" w:type="dxa"/>
              <w:left w:w="90" w:type="dxa"/>
              <w:bottom w:w="60" w:type="dxa"/>
              <w:right w:w="90" w:type="dxa"/>
            </w:tcMar>
          </w:tcPr>
          <w:p w14:paraId="139615C7" w14:textId="77777777" w:rsidR="00954C20" w:rsidRDefault="00000000">
            <w:pPr>
              <w:spacing w:after="40" w:line="260" w:lineRule="auto"/>
            </w:pPr>
            <w:r>
              <w:rPr>
                <w:sz w:val="20"/>
                <w:szCs w:val="20"/>
              </w:rPr>
              <w:t>High within-trial accuracy reported across numerous development studies</w:t>
            </w:r>
          </w:p>
        </w:tc>
        <w:tc>
          <w:tcPr>
            <w:tcW w:w="1082" w:type="pct"/>
            <w:tcMar>
              <w:top w:w="60" w:type="dxa"/>
              <w:left w:w="90" w:type="dxa"/>
              <w:bottom w:w="60" w:type="dxa"/>
              <w:right w:w="90" w:type="dxa"/>
            </w:tcMar>
          </w:tcPr>
          <w:p w14:paraId="7FCE3D9E" w14:textId="77777777" w:rsidR="00954C20" w:rsidRDefault="00000000">
            <w:pPr>
              <w:spacing w:after="40" w:line="260" w:lineRule="auto"/>
            </w:pPr>
            <w:r>
              <w:rPr>
                <w:sz w:val="20"/>
                <w:szCs w:val="20"/>
              </w:rPr>
              <w:t>The same models lost discrimination entirely in independent trials, and pooling across trials did not remedy the failure</w:t>
            </w:r>
          </w:p>
        </w:tc>
        <w:tc>
          <w:tcPr>
            <w:tcW w:w="1082" w:type="pct"/>
            <w:tcMar>
              <w:top w:w="60" w:type="dxa"/>
              <w:left w:w="90" w:type="dxa"/>
              <w:bottom w:w="60" w:type="dxa"/>
              <w:right w:w="90" w:type="dxa"/>
            </w:tcMar>
          </w:tcPr>
          <w:p w14:paraId="261EDDCC" w14:textId="77777777" w:rsidR="00954C20" w:rsidRDefault="00000000">
            <w:pPr>
              <w:spacing w:after="40" w:line="260" w:lineRule="auto"/>
            </w:pPr>
            <w:r>
              <w:rPr>
                <w:sz w:val="20"/>
                <w:szCs w:val="20"/>
              </w:rPr>
              <w:t>Within-sample estimates capture dataset-specific structure; only external validation is informative about deployment</w:t>
            </w:r>
          </w:p>
        </w:tc>
        <w:tc>
          <w:tcPr>
            <w:tcW w:w="851" w:type="pct"/>
            <w:tcMar>
              <w:top w:w="60" w:type="dxa"/>
              <w:left w:w="90" w:type="dxa"/>
              <w:bottom w:w="60" w:type="dxa"/>
              <w:right w:w="90" w:type="dxa"/>
            </w:tcMar>
          </w:tcPr>
          <w:p w14:paraId="092F9748" w14:textId="77777777" w:rsidR="00954C20" w:rsidRDefault="00000000">
            <w:pPr>
              <w:spacing w:after="40" w:line="260" w:lineRule="auto"/>
            </w:pPr>
            <w:proofErr w:type="spellStart"/>
            <w:r>
              <w:rPr>
                <w:sz w:val="20"/>
                <w:szCs w:val="20"/>
              </w:rPr>
              <w:t>Chekroud</w:t>
            </w:r>
            <w:proofErr w:type="spellEnd"/>
            <w:r>
              <w:rPr>
                <w:sz w:val="20"/>
                <w:szCs w:val="20"/>
              </w:rPr>
              <w:t xml:space="preserve"> et al. (2024); Meehan et al. (2022)</w:t>
            </w:r>
          </w:p>
        </w:tc>
      </w:tr>
      <w:tr w:rsidR="00954C20" w14:paraId="13C7C2FD" w14:textId="77777777" w:rsidTr="00A1174E">
        <w:tc>
          <w:tcPr>
            <w:tcW w:w="902" w:type="pct"/>
            <w:tcMar>
              <w:top w:w="60" w:type="dxa"/>
              <w:left w:w="90" w:type="dxa"/>
              <w:bottom w:w="60" w:type="dxa"/>
              <w:right w:w="90" w:type="dxa"/>
            </w:tcMar>
          </w:tcPr>
          <w:p w14:paraId="704239F6" w14:textId="77777777" w:rsidR="00954C20" w:rsidRDefault="00000000">
            <w:pPr>
              <w:spacing w:after="40" w:line="260" w:lineRule="auto"/>
            </w:pPr>
            <w:r>
              <w:rPr>
                <w:sz w:val="20"/>
                <w:szCs w:val="20"/>
              </w:rPr>
              <w:t>The generalisability failure reflects an intrinsic limit of precision psychiatry</w:t>
            </w:r>
          </w:p>
        </w:tc>
        <w:tc>
          <w:tcPr>
            <w:tcW w:w="1082" w:type="pct"/>
            <w:tcMar>
              <w:top w:w="60" w:type="dxa"/>
              <w:left w:w="90" w:type="dxa"/>
              <w:bottom w:w="60" w:type="dxa"/>
              <w:right w:w="90" w:type="dxa"/>
            </w:tcMar>
          </w:tcPr>
          <w:p w14:paraId="37B68C0E" w14:textId="77777777" w:rsidR="00954C20" w:rsidRDefault="00000000">
            <w:pPr>
              <w:spacing w:after="40" w:line="260" w:lineRule="auto"/>
            </w:pPr>
            <w:r>
              <w:rPr>
                <w:sz w:val="20"/>
                <w:szCs w:val="20"/>
              </w:rPr>
              <w:t>Failure persisted despite pooling data across several large independent trials</w:t>
            </w:r>
          </w:p>
        </w:tc>
        <w:tc>
          <w:tcPr>
            <w:tcW w:w="1082" w:type="pct"/>
            <w:tcMar>
              <w:top w:w="60" w:type="dxa"/>
              <w:left w:w="90" w:type="dxa"/>
              <w:bottom w:w="60" w:type="dxa"/>
              <w:right w:w="90" w:type="dxa"/>
            </w:tcMar>
          </w:tcPr>
          <w:p w14:paraId="7127BF0A" w14:textId="77777777" w:rsidR="00954C20" w:rsidRDefault="00000000">
            <w:pPr>
              <w:spacing w:after="40" w:line="260" w:lineRule="auto"/>
            </w:pPr>
            <w:r>
              <w:rPr>
                <w:sz w:val="20"/>
                <w:szCs w:val="20"/>
              </w:rPr>
              <w:t>Critics attribute the result to underpowered and overfitted analysis, protocol deviation and heterogeneous samples rather than to an intrinsic limit</w:t>
            </w:r>
          </w:p>
        </w:tc>
        <w:tc>
          <w:tcPr>
            <w:tcW w:w="1082" w:type="pct"/>
            <w:tcMar>
              <w:top w:w="60" w:type="dxa"/>
              <w:left w:w="90" w:type="dxa"/>
              <w:bottom w:w="60" w:type="dxa"/>
              <w:right w:w="90" w:type="dxa"/>
            </w:tcMar>
          </w:tcPr>
          <w:p w14:paraId="1CD8C730" w14:textId="77777777" w:rsidR="00954C20" w:rsidRDefault="00000000">
            <w:pPr>
              <w:spacing w:after="40" w:line="260" w:lineRule="auto"/>
            </w:pPr>
            <w:r>
              <w:rPr>
                <w:sz w:val="20"/>
                <w:szCs w:val="20"/>
              </w:rPr>
              <w:t>Both readings are compatible with the data; the restrained interpretation, that these models did not transport across these trials, is better supported</w:t>
            </w:r>
          </w:p>
        </w:tc>
        <w:tc>
          <w:tcPr>
            <w:tcW w:w="851" w:type="pct"/>
            <w:tcMar>
              <w:top w:w="60" w:type="dxa"/>
              <w:left w:w="90" w:type="dxa"/>
              <w:bottom w:w="60" w:type="dxa"/>
              <w:right w:w="90" w:type="dxa"/>
            </w:tcMar>
          </w:tcPr>
          <w:p w14:paraId="435E4D49" w14:textId="77777777" w:rsidR="00954C20" w:rsidRDefault="00000000">
            <w:pPr>
              <w:spacing w:after="40" w:line="260" w:lineRule="auto"/>
            </w:pPr>
            <w:proofErr w:type="spellStart"/>
            <w:r>
              <w:rPr>
                <w:sz w:val="20"/>
                <w:szCs w:val="20"/>
              </w:rPr>
              <w:t>Chekroud</w:t>
            </w:r>
            <w:proofErr w:type="spellEnd"/>
            <w:r>
              <w:rPr>
                <w:sz w:val="20"/>
                <w:szCs w:val="20"/>
              </w:rPr>
              <w:t xml:space="preserve"> et al. (2021); </w:t>
            </w:r>
            <w:proofErr w:type="spellStart"/>
            <w:r>
              <w:rPr>
                <w:sz w:val="20"/>
                <w:szCs w:val="20"/>
              </w:rPr>
              <w:t>Chekroud</w:t>
            </w:r>
            <w:proofErr w:type="spellEnd"/>
            <w:r>
              <w:rPr>
                <w:sz w:val="20"/>
                <w:szCs w:val="20"/>
              </w:rPr>
              <w:t xml:space="preserve"> et al. (2024)</w:t>
            </w:r>
          </w:p>
        </w:tc>
      </w:tr>
      <w:tr w:rsidR="00954C20" w14:paraId="50741B75" w14:textId="77777777" w:rsidTr="00A1174E">
        <w:tc>
          <w:tcPr>
            <w:tcW w:w="902" w:type="pct"/>
            <w:tcMar>
              <w:top w:w="60" w:type="dxa"/>
              <w:left w:w="90" w:type="dxa"/>
              <w:bottom w:w="60" w:type="dxa"/>
              <w:right w:w="90" w:type="dxa"/>
            </w:tcMar>
          </w:tcPr>
          <w:p w14:paraId="719012BD" w14:textId="77777777" w:rsidR="00954C20" w:rsidRDefault="00000000">
            <w:pPr>
              <w:spacing w:after="40" w:line="260" w:lineRule="auto"/>
            </w:pPr>
            <w:r>
              <w:rPr>
                <w:sz w:val="20"/>
                <w:szCs w:val="20"/>
              </w:rPr>
              <w:t xml:space="preserve">Resting-state connectivity predicts treatment </w:t>
            </w:r>
            <w:r>
              <w:rPr>
                <w:sz w:val="20"/>
                <w:szCs w:val="20"/>
              </w:rPr>
              <w:lastRenderedPageBreak/>
              <w:t>outcome in internalising disorders</w:t>
            </w:r>
          </w:p>
        </w:tc>
        <w:tc>
          <w:tcPr>
            <w:tcW w:w="1082" w:type="pct"/>
            <w:tcMar>
              <w:top w:w="60" w:type="dxa"/>
              <w:left w:w="90" w:type="dxa"/>
              <w:bottom w:w="60" w:type="dxa"/>
              <w:right w:w="90" w:type="dxa"/>
            </w:tcMar>
          </w:tcPr>
          <w:p w14:paraId="3F2BCAA8" w14:textId="77777777" w:rsidR="00954C20" w:rsidRDefault="00000000">
            <w:pPr>
              <w:spacing w:after="40" w:line="260" w:lineRule="auto"/>
            </w:pPr>
            <w:r>
              <w:rPr>
                <w:sz w:val="20"/>
                <w:szCs w:val="20"/>
              </w:rPr>
              <w:lastRenderedPageBreak/>
              <w:t xml:space="preserve">Pooled balanced accuracy of 77% (95% CI 72% to </w:t>
            </w:r>
            <w:r>
              <w:rPr>
                <w:sz w:val="20"/>
                <w:szCs w:val="20"/>
              </w:rPr>
              <w:lastRenderedPageBreak/>
              <w:t>83%) across 13 studies, with dorsolateral prefrontal features implicated in most</w:t>
            </w:r>
          </w:p>
        </w:tc>
        <w:tc>
          <w:tcPr>
            <w:tcW w:w="1082" w:type="pct"/>
            <w:tcMar>
              <w:top w:w="60" w:type="dxa"/>
              <w:left w:w="90" w:type="dxa"/>
              <w:bottom w:w="60" w:type="dxa"/>
              <w:right w:w="90" w:type="dxa"/>
            </w:tcMar>
          </w:tcPr>
          <w:p w14:paraId="0E0A5B63" w14:textId="77777777" w:rsidR="00954C20" w:rsidRDefault="00000000">
            <w:pPr>
              <w:spacing w:after="40" w:line="260" w:lineRule="auto"/>
            </w:pPr>
            <w:r>
              <w:rPr>
                <w:sz w:val="20"/>
                <w:szCs w:val="20"/>
              </w:rPr>
              <w:lastRenderedPageBreak/>
              <w:t xml:space="preserve">Formal appraisal identified high risk of </w:t>
            </w:r>
            <w:r>
              <w:rPr>
                <w:sz w:val="20"/>
                <w:szCs w:val="20"/>
              </w:rPr>
              <w:lastRenderedPageBreak/>
              <w:t>bias in every included study</w:t>
            </w:r>
          </w:p>
        </w:tc>
        <w:tc>
          <w:tcPr>
            <w:tcW w:w="1082" w:type="pct"/>
            <w:tcMar>
              <w:top w:w="60" w:type="dxa"/>
              <w:left w:w="90" w:type="dxa"/>
              <w:bottom w:w="60" w:type="dxa"/>
              <w:right w:w="90" w:type="dxa"/>
            </w:tcMar>
          </w:tcPr>
          <w:p w14:paraId="3E609BF6" w14:textId="77777777" w:rsidR="00954C20" w:rsidRDefault="00000000">
            <w:pPr>
              <w:spacing w:after="40" w:line="260" w:lineRule="auto"/>
            </w:pPr>
            <w:r>
              <w:rPr>
                <w:sz w:val="20"/>
                <w:szCs w:val="20"/>
              </w:rPr>
              <w:lastRenderedPageBreak/>
              <w:t xml:space="preserve">Consistency across studies sharing a common analytic </w:t>
            </w:r>
            <w:r>
              <w:rPr>
                <w:sz w:val="20"/>
                <w:szCs w:val="20"/>
              </w:rPr>
              <w:lastRenderedPageBreak/>
              <w:t>weakness constitutes weak corroboration</w:t>
            </w:r>
          </w:p>
        </w:tc>
        <w:tc>
          <w:tcPr>
            <w:tcW w:w="851" w:type="pct"/>
            <w:tcMar>
              <w:top w:w="60" w:type="dxa"/>
              <w:left w:w="90" w:type="dxa"/>
              <w:bottom w:w="60" w:type="dxa"/>
              <w:right w:w="90" w:type="dxa"/>
            </w:tcMar>
          </w:tcPr>
          <w:p w14:paraId="1B4C12A6" w14:textId="77777777" w:rsidR="00954C20" w:rsidRDefault="00000000">
            <w:pPr>
              <w:spacing w:after="40" w:line="260" w:lineRule="auto"/>
            </w:pPr>
            <w:r>
              <w:rPr>
                <w:sz w:val="20"/>
                <w:szCs w:val="20"/>
              </w:rPr>
              <w:lastRenderedPageBreak/>
              <w:t>Meinke et al. (2024)</w:t>
            </w:r>
          </w:p>
        </w:tc>
      </w:tr>
      <w:tr w:rsidR="00954C20" w14:paraId="527A6823" w14:textId="77777777" w:rsidTr="00A1174E">
        <w:tc>
          <w:tcPr>
            <w:tcW w:w="902" w:type="pct"/>
            <w:tcMar>
              <w:top w:w="60" w:type="dxa"/>
              <w:left w:w="90" w:type="dxa"/>
              <w:bottom w:w="60" w:type="dxa"/>
              <w:right w:w="90" w:type="dxa"/>
            </w:tcMar>
          </w:tcPr>
          <w:p w14:paraId="114E3757" w14:textId="77777777" w:rsidR="00954C20" w:rsidRDefault="00000000">
            <w:pPr>
              <w:spacing w:after="40" w:line="260" w:lineRule="auto"/>
            </w:pPr>
            <w:r>
              <w:rPr>
                <w:sz w:val="20"/>
                <w:szCs w:val="20"/>
              </w:rPr>
              <w:t>Generative systems enable continuous personalisation of therapeutic content</w:t>
            </w:r>
          </w:p>
        </w:tc>
        <w:tc>
          <w:tcPr>
            <w:tcW w:w="1082" w:type="pct"/>
            <w:tcMar>
              <w:top w:w="60" w:type="dxa"/>
              <w:left w:w="90" w:type="dxa"/>
              <w:bottom w:w="60" w:type="dxa"/>
              <w:right w:w="90" w:type="dxa"/>
            </w:tcMar>
          </w:tcPr>
          <w:p w14:paraId="00ADC44C" w14:textId="77777777" w:rsidR="00954C20" w:rsidRDefault="00000000">
            <w:pPr>
              <w:spacing w:after="40" w:line="260" w:lineRule="auto"/>
            </w:pPr>
            <w:r>
              <w:rPr>
                <w:sz w:val="20"/>
                <w:szCs w:val="20"/>
              </w:rPr>
              <w:t>Scoping review identified early promise across clinical assistance, counselling, therapy and emotional support</w:t>
            </w:r>
          </w:p>
        </w:tc>
        <w:tc>
          <w:tcPr>
            <w:tcW w:w="1082" w:type="pct"/>
            <w:tcMar>
              <w:top w:w="60" w:type="dxa"/>
              <w:left w:w="90" w:type="dxa"/>
              <w:bottom w:w="60" w:type="dxa"/>
              <w:right w:w="90" w:type="dxa"/>
            </w:tcMar>
          </w:tcPr>
          <w:p w14:paraId="25505A39" w14:textId="77777777" w:rsidR="00954C20" w:rsidRDefault="00000000">
            <w:pPr>
              <w:spacing w:after="40" w:line="260" w:lineRule="auto"/>
            </w:pPr>
            <w:r>
              <w:rPr>
                <w:sz w:val="20"/>
                <w:szCs w:val="20"/>
              </w:rPr>
              <w:t>Only 16 of 726 identified articles met inclusion criteria; evaluation was largely non-standardised and dependent on prompt-tuning of proprietary models</w:t>
            </w:r>
          </w:p>
        </w:tc>
        <w:tc>
          <w:tcPr>
            <w:tcW w:w="1082" w:type="pct"/>
            <w:tcMar>
              <w:top w:w="60" w:type="dxa"/>
              <w:left w:w="90" w:type="dxa"/>
              <w:bottom w:w="60" w:type="dxa"/>
              <w:right w:w="90" w:type="dxa"/>
            </w:tcMar>
          </w:tcPr>
          <w:p w14:paraId="16A2028B" w14:textId="77777777" w:rsidR="00954C20" w:rsidRDefault="00000000">
            <w:pPr>
              <w:spacing w:after="40" w:line="260" w:lineRule="auto"/>
            </w:pPr>
            <w:r>
              <w:rPr>
                <w:sz w:val="20"/>
                <w:szCs w:val="20"/>
              </w:rPr>
              <w:t>Capability has outpaced the development of evaluation methodology</w:t>
            </w:r>
          </w:p>
        </w:tc>
        <w:tc>
          <w:tcPr>
            <w:tcW w:w="851" w:type="pct"/>
            <w:tcMar>
              <w:top w:w="60" w:type="dxa"/>
              <w:left w:w="90" w:type="dxa"/>
              <w:bottom w:w="60" w:type="dxa"/>
              <w:right w:w="90" w:type="dxa"/>
            </w:tcMar>
          </w:tcPr>
          <w:p w14:paraId="60485890" w14:textId="77777777" w:rsidR="00954C20" w:rsidRDefault="00000000">
            <w:pPr>
              <w:spacing w:after="40" w:line="260" w:lineRule="auto"/>
            </w:pPr>
            <w:r>
              <w:rPr>
                <w:sz w:val="20"/>
                <w:szCs w:val="20"/>
              </w:rPr>
              <w:t>Hua et al. (2025); Lawrence et al. (2024); Stade et al. (2024)</w:t>
            </w:r>
          </w:p>
        </w:tc>
      </w:tr>
    </w:tbl>
    <w:p w14:paraId="3CF9E460" w14:textId="77777777" w:rsidR="00954C20" w:rsidRDefault="00000000">
      <w:pPr>
        <w:spacing w:before="100" w:after="260" w:line="280" w:lineRule="auto"/>
      </w:pPr>
      <w:r>
        <w:rPr>
          <w:i/>
          <w:iCs/>
          <w:sz w:val="20"/>
          <w:szCs w:val="20"/>
        </w:rPr>
        <w:t>Note. CI = confidence interval. The table records disagreements within the reviewed literature; it does not resolve them, and the explanations offered are the interpretations best supported by the available evidence rather than settled conclusions.</w:t>
      </w:r>
    </w:p>
    <w:p w14:paraId="59BB12A9" w14:textId="77777777" w:rsidR="00954C20" w:rsidRDefault="00000000">
      <w:pPr>
        <w:pStyle w:val="Heading1"/>
        <w:keepNext/>
        <w:spacing w:before="280" w:after="140" w:line="360" w:lineRule="auto"/>
      </w:pPr>
      <w:r>
        <w:rPr>
          <w:b/>
          <w:bCs/>
          <w:color w:val="000000"/>
          <w:sz w:val="26"/>
          <w:szCs w:val="26"/>
        </w:rPr>
        <w:t>6. Patient Monitoring</w:t>
      </w:r>
    </w:p>
    <w:p w14:paraId="78C7CAC9" w14:textId="77777777" w:rsidR="00954C20" w:rsidRDefault="00000000">
      <w:pPr>
        <w:pStyle w:val="Heading2"/>
        <w:keepNext/>
        <w:spacing w:before="280" w:after="140" w:line="360" w:lineRule="auto"/>
      </w:pPr>
      <w:r>
        <w:rPr>
          <w:b/>
          <w:bCs/>
          <w:color w:val="000000"/>
          <w:sz w:val="24"/>
          <w:szCs w:val="24"/>
        </w:rPr>
        <w:t>6.1 Passive Sensing and Digital Phenotyping</w:t>
      </w:r>
    </w:p>
    <w:p w14:paraId="23BB88B7" w14:textId="77777777" w:rsidR="00954C20" w:rsidRDefault="00000000">
      <w:pPr>
        <w:spacing w:after="120" w:line="360" w:lineRule="auto"/>
        <w:jc w:val="both"/>
      </w:pPr>
      <w:r>
        <w:t>Continuous monitoring addresses a real deficiency in psychiatric practice, where assessment is episodic, retrospective and dependent on recall during brief consultations. The conceptual case for passive sensing was set out early: personal devices generate continuous behavioural data that can be analysed to infer mental state without requiring active participation, potentially yielding measurement that is denser, more ecologically valid and less subject to recall bias than clinical interview (Mohr et al., 2017). Sleep, physical activity, mobility and communication patterns are all clinically meaningful, all disturbed in mood and psychotic disorders, and all measurable from smartphones and wearable devices.</w:t>
      </w:r>
    </w:p>
    <w:p w14:paraId="6C78AC85" w14:textId="77777777" w:rsidR="00954C20" w:rsidRDefault="00000000">
      <w:pPr>
        <w:spacing w:after="120" w:line="360" w:lineRule="auto"/>
        <w:jc w:val="both"/>
      </w:pPr>
      <w:r>
        <w:t>Empirical progress has been real but slower than the conceptual case implied. Reviews of smartphone-based digital phenotyping in depression have consistently reported moderate model performance alongside recurring difficulties with missing and complex data and an absence of external test sets. The consistency of these observations across successive reviews indicates a structural feature of the field rather than a transient limitation of early work.</w:t>
      </w:r>
    </w:p>
    <w:p w14:paraId="6C7F5490" w14:textId="77777777" w:rsidR="00954C20" w:rsidRDefault="00000000">
      <w:pPr>
        <w:pStyle w:val="Heading2"/>
        <w:keepNext/>
        <w:spacing w:before="280" w:after="140" w:line="360" w:lineRule="auto"/>
      </w:pPr>
      <w:r>
        <w:rPr>
          <w:b/>
          <w:bCs/>
          <w:color w:val="000000"/>
          <w:sz w:val="24"/>
          <w:szCs w:val="24"/>
        </w:rPr>
        <w:lastRenderedPageBreak/>
        <w:t>6.2 Relapse Prediction and Early Warning</w:t>
      </w:r>
    </w:p>
    <w:p w14:paraId="6BDC0807" w14:textId="77777777" w:rsidR="00954C20" w:rsidRDefault="00000000">
      <w:pPr>
        <w:spacing w:after="120" w:line="360" w:lineRule="auto"/>
        <w:jc w:val="both"/>
      </w:pPr>
      <w:r>
        <w:t>The clearest clinical application of continuous monitoring is early detection of deterioration, where advance warning could enable preventive intervention. A recent systematic review of passive sensing approaches to relapse prediction identified fifty-two studies encompassing 4,814 participants, distributed across schizophrenia spectrum disorders, bipolar disorder and major depressive disorder. Predictive features most frequently implicated were alterations in sleep patterns and physical activity, each reported in 83 per cent of studies, mobility derived from satellite positioning in 75 per cent, and social communication frequency in 65 per cent. Reported areas under the curve for predicting relapse one to four weeks in advance ranged from 0.70 to 0.88. The review noted that most of these estimates derived from internal validation and were likely to overestimate real-world performance, that multi-modal integration and individual-level modelling consistently outperformed single-modality and population-level approaches, and that high risk of bias was present in 75 per cent of studies, attributable principally to inadequate analytic methodology and reliance on internal validation (Fang &amp; Chen, 2026).</w:t>
      </w:r>
    </w:p>
    <w:p w14:paraId="732CEE26" w14:textId="77777777" w:rsidR="00954C20" w:rsidRDefault="00000000">
      <w:pPr>
        <w:spacing w:after="120" w:line="360" w:lineRule="auto"/>
        <w:jc w:val="both"/>
      </w:pPr>
      <w:r>
        <w:t>Three features of this synthesis deserve emphasis. First, the convergence on sleep, activity, mobility and social communication across a large number of independent studies is a genuinely convergent finding, and it is convergent with clinical knowledge of prodromal change rather than being an artefact of measurement convenience. Second, the superiority of individual-level over population-level modelling is theoretically coherent, since the clinically relevant signal is deviation from a person's own baseline rather than deviation from a population norm, and it implies that the useful unit of analysis is within-person change over time. Third, the reported discrimination remains subject to the same inflation from internal validation that affects the diagnostic literature, so the range of 0.70 to 0.88 should be read as an optimistic bound.</w:t>
      </w:r>
    </w:p>
    <w:p w14:paraId="1DB92084" w14:textId="77777777" w:rsidR="00954C20" w:rsidRDefault="00000000">
      <w:pPr>
        <w:spacing w:after="120" w:line="360" w:lineRule="auto"/>
        <w:jc w:val="both"/>
      </w:pPr>
      <w:r>
        <w:t>The decisive limitation, which the review itself identifies, is that closed-loop evaluation has not been conducted. No trial has established that detection of an early-warning signal, followed by a clinical response, reduces relapse relative to usual care. Until such a trial is performed, the clinical value of relapse prediction remains inferred rather than demonstrated, and the inference requires the additional assumption that an effective and acceptable intervention is available at the point of detection.</w:t>
      </w:r>
    </w:p>
    <w:p w14:paraId="62213367" w14:textId="77777777" w:rsidR="00954C20" w:rsidRDefault="00000000">
      <w:pPr>
        <w:pStyle w:val="Heading2"/>
        <w:keepNext/>
        <w:spacing w:before="280" w:after="140" w:line="360" w:lineRule="auto"/>
      </w:pPr>
      <w:r>
        <w:rPr>
          <w:b/>
          <w:bCs/>
          <w:color w:val="000000"/>
          <w:sz w:val="24"/>
          <w:szCs w:val="24"/>
        </w:rPr>
        <w:lastRenderedPageBreak/>
        <w:t>6.3 Missingness, Engagement and the Ecology of Continuous Measurement</w:t>
      </w:r>
    </w:p>
    <w:p w14:paraId="2EBDF340" w14:textId="77777777" w:rsidR="00954C20" w:rsidRDefault="00000000">
      <w:pPr>
        <w:spacing w:after="120" w:line="360" w:lineRule="auto"/>
        <w:jc w:val="both"/>
      </w:pPr>
      <w:r>
        <w:t>Passive sensing is often described as requiring no effort from patients, but this characterisation obscures a serious methodological problem. Data are missing when a device is uncharged, switched off, left behind or replaced, and these events are not independent of mental state. Withdrawal, disorganisation and disrupted routine, which are among the phenomena the system is intended to detect, are also among the phenomena most likely to interrupt data collection. Missingness is therefore informative in a manner that standard imputation procedures, which assume missingness at random conditional on observed data, are not designed to handle. The direction of the resulting bias is not fixed, since a gap in data may itself carry signal, but the assumption of ignorable missingness is unlikely to hold.</w:t>
      </w:r>
    </w:p>
    <w:p w14:paraId="4829A941" w14:textId="77777777" w:rsidR="00954C20" w:rsidRDefault="00000000">
      <w:pPr>
        <w:spacing w:after="120" w:line="360" w:lineRule="auto"/>
        <w:jc w:val="both"/>
      </w:pPr>
      <w:r>
        <w:t>Engagement presents a related difficulty for the monitoring applications that require active input. A meta-analytic review of attrition and adherence in smartphone-delivered mental health interventions documented substantial dropout and incomplete adherence across trials, and the pattern has persisted in subsequent syntheses (</w:t>
      </w:r>
      <w:proofErr w:type="spellStart"/>
      <w:r>
        <w:t>Linardon</w:t>
      </w:r>
      <w:proofErr w:type="spellEnd"/>
      <w:r>
        <w:t xml:space="preserve"> &amp; Fuller-Tyszkiewicz, 2020). Where monitoring depends on sustained participation, models validated on cohorts assembled and retained under research conditions will overstate the data availability achievable in routine care.</w:t>
      </w:r>
    </w:p>
    <w:p w14:paraId="014EF5A3" w14:textId="77777777" w:rsidR="00954C20" w:rsidRDefault="00000000">
      <w:pPr>
        <w:spacing w:after="120" w:line="360" w:lineRule="auto"/>
        <w:jc w:val="both"/>
      </w:pPr>
      <w:r>
        <w:t>A third consideration concerns who is monitored. Passive sensing presupposes ownership of a suitable device, network connectivity, sufficient digital literacy and a living situation compatible with continuous data collection. Qualitative work with people with serious mental illness in community settings has documented substantial barriers on each of these dimensions, and has shown that the populations who might benefit most from continuous monitoring are frequently those least able to sustain it (Kozelka et al., 2023). Monitoring technologies therefore risk improving care for those already better served unless access is addressed as a design requirement rather than a downstream implementation problem.</w:t>
      </w:r>
    </w:p>
    <w:p w14:paraId="4D322B95" w14:textId="77777777" w:rsidR="00954C20" w:rsidRDefault="00000000">
      <w:pPr>
        <w:pStyle w:val="Heading1"/>
        <w:keepNext/>
        <w:spacing w:before="280" w:after="140" w:line="360" w:lineRule="auto"/>
      </w:pPr>
      <w:r>
        <w:rPr>
          <w:b/>
          <w:bCs/>
          <w:color w:val="000000"/>
          <w:sz w:val="26"/>
          <w:szCs w:val="26"/>
        </w:rPr>
        <w:t>7. Conversational Agents at the Boundary of Monitoring and Treatment</w:t>
      </w:r>
    </w:p>
    <w:p w14:paraId="18BEC3E8" w14:textId="77777777" w:rsidR="00954C20" w:rsidRDefault="00000000">
      <w:pPr>
        <w:pStyle w:val="Heading2"/>
        <w:keepNext/>
        <w:spacing w:before="280" w:after="140" w:line="360" w:lineRule="auto"/>
      </w:pPr>
      <w:r>
        <w:rPr>
          <w:b/>
          <w:bCs/>
          <w:color w:val="000000"/>
          <w:sz w:val="24"/>
          <w:szCs w:val="24"/>
        </w:rPr>
        <w:t>7.1 Efficacy Estimates and Their Instability</w:t>
      </w:r>
    </w:p>
    <w:p w14:paraId="696E52E0" w14:textId="77777777" w:rsidR="00954C20" w:rsidRDefault="00000000">
      <w:pPr>
        <w:spacing w:after="120" w:line="360" w:lineRule="auto"/>
        <w:jc w:val="both"/>
      </w:pPr>
      <w:r>
        <w:t xml:space="preserve">Conversational agents occupy an ambiguous position between monitoring and treatment, and they constitute the only application domain in this review supported by randomised evidence and pooled effect estimates. The earliest randomised evaluation of a rule-based agent delivering cognitive behavioural content to young adults with depressive and anxiety symptoms reported </w:t>
      </w:r>
      <w:r>
        <w:lastRenderedPageBreak/>
        <w:t>reductions in depressive symptoms relative to an information-only control (Fitzpatrick et al., 2017), and a substantial trial literature has since accumulated.</w:t>
      </w:r>
    </w:p>
    <w:p w14:paraId="486E5309" w14:textId="77777777" w:rsidR="00954C20" w:rsidRDefault="00000000">
      <w:pPr>
        <w:spacing w:after="120" w:line="360" w:lineRule="auto"/>
        <w:jc w:val="both"/>
      </w:pPr>
      <w:r>
        <w:t>Pooled estimates from this literature have moved considerably as it has matured, and the trajectory is informative. An early meta-analysis of artificial-intelligence-based conversational agents identified thirty-five studies for systematic review and fifteen randomised trials for meta-analysis, reporting a standardised mean difference of 0.64 for depressive symptoms and 0.70 for distress, while finding no significant improvement in overall psychological well-being. Effects were more pronounced for agents that were multimodal, generative, integrated with messaging platforms, or targeted at clinical, subclinical and older populations (Li et al., 2023). A more recent and larger meta-analysis restricted to randomised trials, searching to October 2025 and including thirty-nine eligible studies with approximately 7,400 participants analysed for depression and 7,600 for anxiety, reported considerably smaller pooled effects of 0.31 for depressive symptoms and 0.28 for anxiety symptoms, with larger effects in clinical and subclinical than in non-clinical samples (Sohn et al., 2026).</w:t>
      </w:r>
    </w:p>
    <w:p w14:paraId="4B745D2E" w14:textId="77777777" w:rsidR="00954C20" w:rsidRDefault="00000000">
      <w:pPr>
        <w:spacing w:after="120" w:line="360" w:lineRule="auto"/>
        <w:jc w:val="both"/>
      </w:pPr>
      <w:r>
        <w:t>The reduction in estimated effect as the evidence base expanded is the expected consequence of early small trials with weak comparators giving way to larger and more rigorously controlled evaluations, and it should be read as a maturation of the estimate rather than as a decline in the technology. The revised magnitude is comparable to that reported for mental health smartphone applications generally. A meta-analysis of 176 randomised trials found small but statistically significant effects on symptoms of depression and generalised anxiety, moderate effects on social anxiety and obsessive-compulsive symptoms, a small effect on post-traumatic stress symptoms, and a non-significant negative effect on panic symptoms, while noting that most trials carried high risk of bias and used small samples. Features associated with larger effects included cognitive behavioural content, mood monitoring and chatbot technology (</w:t>
      </w:r>
      <w:proofErr w:type="spellStart"/>
      <w:r>
        <w:t>Linardon</w:t>
      </w:r>
      <w:proofErr w:type="spellEnd"/>
      <w:r>
        <w:t xml:space="preserve">, </w:t>
      </w:r>
      <w:proofErr w:type="spellStart"/>
      <w:r>
        <w:t>Torous</w:t>
      </w:r>
      <w:proofErr w:type="spellEnd"/>
      <w:r>
        <w:t>, et al., 2024). The convergence of independent syntheses on small-to-moderate effects, conditional on population severity and comparator, is one of the more secure conclusions available in this review.</w:t>
      </w:r>
    </w:p>
    <w:p w14:paraId="4A27908B" w14:textId="77777777" w:rsidR="00954C20" w:rsidRDefault="00000000">
      <w:pPr>
        <w:pStyle w:val="Heading2"/>
        <w:keepNext/>
        <w:spacing w:before="280" w:after="140" w:line="360" w:lineRule="auto"/>
      </w:pPr>
      <w:r>
        <w:rPr>
          <w:b/>
          <w:bCs/>
          <w:color w:val="000000"/>
          <w:sz w:val="24"/>
          <w:szCs w:val="24"/>
        </w:rPr>
        <w:t>7.2 The Generative Turn</w:t>
      </w:r>
    </w:p>
    <w:p w14:paraId="6AE0EE60" w14:textId="77777777" w:rsidR="00954C20" w:rsidRDefault="00000000">
      <w:pPr>
        <w:spacing w:after="120" w:line="360" w:lineRule="auto"/>
        <w:jc w:val="both"/>
      </w:pPr>
      <w:r>
        <w:t xml:space="preserve">Rule-based agents follow decision trees and can only respond within a predetermined range. Generative agents produce novel text, which permits responsiveness but removes the guarantee that responses will remain within a clinically sanctioned repertoire. The first randomised controlled trial of a fine-tuned generative agent designed for mental health treatment enrolled </w:t>
      </w:r>
      <w:r>
        <w:lastRenderedPageBreak/>
        <w:t>210 adults with clinically significant symptoms of major depressive disorder, generalised anxiety disorder, or clinically high risk for feeding and eating disorders, randomising 106 to a four-week intervention and 104 to a waiting-list control with access after the study period. Symptom improvement was observed at four and eight weeks, engagement was high, and participants rated their alliance with the system favourably (Heinz et al., 2025).</w:t>
      </w:r>
    </w:p>
    <w:p w14:paraId="5225B676" w14:textId="77777777" w:rsidR="00954C20" w:rsidRDefault="00000000">
      <w:pPr>
        <w:spacing w:after="120" w:line="360" w:lineRule="auto"/>
        <w:jc w:val="both"/>
      </w:pPr>
      <w:r>
        <w:t>The trial is a genuine advance in that it demonstrates feasibility and provides randomised evidence where none previously existed for generative systems. Its limitations are equally clear and were acknowledged by its authors and by subsequent commentary. A waiting-list comparator does not control for expectancy, attention or the effect of being observed, and consistently yields larger apparent effects than active comparators. The sample was modest, the intervention brief, and the follow-up short relative to the recurrent course of the conditions treated. Commentary in the general medical literature has emphasised that larger trials with active comparators are required before effectiveness and generalisability can be regarded as established (</w:t>
      </w:r>
      <w:proofErr w:type="spellStart"/>
      <w:r>
        <w:t>Torous</w:t>
      </w:r>
      <w:proofErr w:type="spellEnd"/>
      <w:r>
        <w:t xml:space="preserve"> &amp; Topol, 2025). Confidence in the conclusion that fine-tuned generative agents can deliver clinically meaningful benefit is therefore limited by comparator design and duration, and the appropriate reading is that the trial establishes feasibility and warrants larger evaluation rather than that it establishes efficacy.</w:t>
      </w:r>
    </w:p>
    <w:p w14:paraId="0BD5A1C4" w14:textId="77777777" w:rsidR="00954C20" w:rsidRDefault="00000000">
      <w:pPr>
        <w:spacing w:after="120" w:line="360" w:lineRule="auto"/>
        <w:jc w:val="both"/>
      </w:pPr>
      <w:r>
        <w:t>A related conceptual difficulty concerns the therapeutic alliance. Systematic reviews of conversational agents in mental health have consistently found that user experience is shaped by the perceived quality of the relationship with the system (Gaffney et al., 2019; Li et al., 2023). Alliance ratings comparable to those given to human clinicians are frequently reported as a favourable result. Whether an alliance with a system incapable of reciprocal understanding functions therapeutically in the way that alliance with a clinician does, or whether it constitutes an engagement mechanism with different and possibly less durable properties, is unresolved. Analyses of the computational and ethical dimensions of using large language models in psychotherapy have identified this question as central and as inadequately addressed by current evaluation practice (Zhang et al., 2025).</w:t>
      </w:r>
    </w:p>
    <w:p w14:paraId="1DAB87F7" w14:textId="77777777" w:rsidR="00954C20" w:rsidRDefault="00000000">
      <w:pPr>
        <w:pStyle w:val="Heading2"/>
        <w:keepNext/>
        <w:spacing w:before="280" w:after="140" w:line="360" w:lineRule="auto"/>
      </w:pPr>
      <w:r>
        <w:rPr>
          <w:b/>
          <w:bCs/>
          <w:color w:val="000000"/>
          <w:sz w:val="24"/>
          <w:szCs w:val="24"/>
        </w:rPr>
        <w:t>7.3 Safety, Crisis Response and Adverse-Event Reporting</w:t>
      </w:r>
    </w:p>
    <w:p w14:paraId="588BC534" w14:textId="77777777" w:rsidR="00954C20" w:rsidRDefault="00000000">
      <w:pPr>
        <w:spacing w:after="120" w:line="360" w:lineRule="auto"/>
        <w:jc w:val="both"/>
      </w:pPr>
      <w:r>
        <w:t xml:space="preserve">Safety evidence is the weakest component of this literature, and the deficiency is systematic rather than incidental. A systematic review and meta-analysis of adverse events in clinical trials of mental health applications found that only fifty-five of 171 identified trials reported adverse events at all. The meta-analytic deterioration rate across thirteen application conditions was 6.7 </w:t>
      </w:r>
      <w:r>
        <w:lastRenderedPageBreak/>
        <w:t>per cent, with a confidence interval from 4.3 to 10.1 per cent, and deterioration rates did not differ significantly between application and control groups. Reporting was heterogeneous in the assessments used, the events recorded and the detail provided (</w:t>
      </w:r>
      <w:proofErr w:type="spellStart"/>
      <w:r>
        <w:t>Linardon</w:t>
      </w:r>
      <w:proofErr w:type="spellEnd"/>
      <w:r>
        <w:t>, Fuller-Tyszkiewicz, et al., 2024). The absence of a detectable difference in deterioration between application and control conditions is reassuring as far as it goes, but it is derived from a small subset of trials that chose to report adverse events, and selective reporting in this direction is plausible.</w:t>
      </w:r>
    </w:p>
    <w:p w14:paraId="051937C2" w14:textId="77777777" w:rsidR="00954C20" w:rsidRDefault="00000000">
      <w:pPr>
        <w:spacing w:after="120" w:line="360" w:lineRule="auto"/>
        <w:jc w:val="both"/>
      </w:pPr>
      <w:r>
        <w:t>Direct assessment of crisis handling provides a sharper warning. An evaluation of twenty-nine artificial-intelligence-powered chatbot agents available through consumer application repositories tested each against a standardised set of prompts based on a recognised suicide severity rating scale and designed to simulate escalating suicidal risk. None of the agents satisfied the study's initial criteria for an adequate response. Approximately 52 per cent satisfied relaxed criteria for a marginal response and approximately 48 per cent were judged inadequate, with common failures including inability to provide emergency contact information and lack of contextual understanding (</w:t>
      </w:r>
      <w:proofErr w:type="spellStart"/>
      <w:r>
        <w:t>Pichowicz</w:t>
      </w:r>
      <w:proofErr w:type="spellEnd"/>
      <w:r>
        <w:t xml:space="preserve"> et al., 2025). The relevance of this finding is heightened by the fact that these were publicly available consumer products rather than research prototypes, and that they are accessible without clinical gatekeeping to people in acute distress.</w:t>
      </w:r>
    </w:p>
    <w:p w14:paraId="337CB51D" w14:textId="77777777" w:rsidR="00954C20" w:rsidRDefault="00000000">
      <w:pPr>
        <w:spacing w:after="120" w:line="360" w:lineRule="auto"/>
        <w:jc w:val="both"/>
      </w:pPr>
      <w:r>
        <w:t>A gap therefore exists between the systems evaluated in trials and the systems in widest public use. Trial evidence concerns purpose-built agents delivering structured content under research oversight; the products people actually reach for are general-purpose or lightly specialised consumer applications whose crisis handling has not been validated. Inferring the safety of the second class from evidence about the first is not defensible, and the reporting practices documented above mean that the necessary evidence about the second class is largely absent.</w:t>
      </w:r>
    </w:p>
    <w:p w14:paraId="523CF6BF" w14:textId="77777777" w:rsidR="00954C20" w:rsidRDefault="00000000">
      <w:pPr>
        <w:spacing w:after="120" w:line="360" w:lineRule="auto"/>
        <w:jc w:val="both"/>
      </w:pPr>
      <w:r>
        <w:t>Table 4 assembles the reported and pooled estimates from the monitoring and conversational intervention literatures alongside the considerations bearing on the certainty of each. Presenting them together makes visible a distinction that summary statements about the performance of artificial intelligence in mental health routinely obscure, namely the difference in evidential status between effect estimates derived from randomised comparison and discrimination estimates derived from internally validated observational models. The table also shows that the two entries carrying the clearest implications for patient safety, adverse-event reporting and crisis handling, are supported by the weakest and least systematic evidence in the set.</w:t>
      </w:r>
    </w:p>
    <w:p w14:paraId="07D2D5BB" w14:textId="77777777" w:rsidR="00954C20" w:rsidRDefault="00000000">
      <w:pPr>
        <w:keepNext/>
        <w:spacing w:before="240" w:after="120" w:line="300" w:lineRule="auto"/>
      </w:pPr>
      <w:r>
        <w:rPr>
          <w:b/>
          <w:bCs/>
          <w:sz w:val="22"/>
          <w:szCs w:val="22"/>
        </w:rPr>
        <w:lastRenderedPageBreak/>
        <w:t>Table 4. Reported and pooled estimates for monitoring and conversational intervention, with considerations bearing on certainty</w:t>
      </w:r>
    </w:p>
    <w:tbl>
      <w:tblPr>
        <w:tblW w:w="5000" w:type="pct"/>
        <w:tblBorders>
          <w:top w:val="single" w:sz="6" w:space="0" w:color="666666"/>
          <w:left w:val="single" w:sz="6" w:space="0" w:color="666666"/>
          <w:bottom w:val="single" w:sz="6" w:space="0" w:color="666666"/>
          <w:right w:val="single" w:sz="6" w:space="0" w:color="666666"/>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580"/>
        <w:gridCol w:w="2137"/>
        <w:gridCol w:w="1764"/>
        <w:gridCol w:w="1950"/>
        <w:gridCol w:w="1579"/>
      </w:tblGrid>
      <w:tr w:rsidR="00954C20" w14:paraId="29CC29D2" w14:textId="77777777" w:rsidTr="00A1174E">
        <w:trPr>
          <w:tblHeader/>
        </w:trPr>
        <w:tc>
          <w:tcPr>
            <w:tcW w:w="876" w:type="pct"/>
            <w:shd w:val="clear" w:color="auto" w:fill="E8ECF1"/>
            <w:tcMar>
              <w:top w:w="60" w:type="dxa"/>
              <w:left w:w="90" w:type="dxa"/>
              <w:bottom w:w="60" w:type="dxa"/>
              <w:right w:w="90" w:type="dxa"/>
            </w:tcMar>
          </w:tcPr>
          <w:p w14:paraId="3E5E2054" w14:textId="77777777" w:rsidR="00954C20" w:rsidRDefault="00000000">
            <w:pPr>
              <w:spacing w:after="40" w:line="260" w:lineRule="auto"/>
            </w:pPr>
            <w:r>
              <w:rPr>
                <w:b/>
                <w:bCs/>
                <w:sz w:val="20"/>
                <w:szCs w:val="20"/>
              </w:rPr>
              <w:t>Approach</w:t>
            </w:r>
          </w:p>
        </w:tc>
        <w:tc>
          <w:tcPr>
            <w:tcW w:w="1186" w:type="pct"/>
            <w:shd w:val="clear" w:color="auto" w:fill="E8ECF1"/>
            <w:tcMar>
              <w:top w:w="60" w:type="dxa"/>
              <w:left w:w="90" w:type="dxa"/>
              <w:bottom w:w="60" w:type="dxa"/>
              <w:right w:w="90" w:type="dxa"/>
            </w:tcMar>
          </w:tcPr>
          <w:p w14:paraId="3C0B159A" w14:textId="77777777" w:rsidR="00954C20" w:rsidRDefault="00000000">
            <w:pPr>
              <w:spacing w:after="40" w:line="260" w:lineRule="auto"/>
            </w:pPr>
            <w:r>
              <w:rPr>
                <w:b/>
                <w:bCs/>
                <w:sz w:val="20"/>
                <w:szCs w:val="20"/>
              </w:rPr>
              <w:t>Reported or pooled estimate</w:t>
            </w:r>
          </w:p>
        </w:tc>
        <w:tc>
          <w:tcPr>
            <w:tcW w:w="979" w:type="pct"/>
            <w:shd w:val="clear" w:color="auto" w:fill="E8ECF1"/>
            <w:tcMar>
              <w:top w:w="60" w:type="dxa"/>
              <w:left w:w="90" w:type="dxa"/>
              <w:bottom w:w="60" w:type="dxa"/>
              <w:right w:w="90" w:type="dxa"/>
            </w:tcMar>
          </w:tcPr>
          <w:p w14:paraId="10487BAE" w14:textId="77777777" w:rsidR="00954C20" w:rsidRDefault="00000000">
            <w:pPr>
              <w:spacing w:after="40" w:line="260" w:lineRule="auto"/>
            </w:pPr>
            <w:r>
              <w:rPr>
                <w:b/>
                <w:bCs/>
                <w:sz w:val="20"/>
                <w:szCs w:val="20"/>
              </w:rPr>
              <w:t>Evidence base</w:t>
            </w:r>
          </w:p>
        </w:tc>
        <w:tc>
          <w:tcPr>
            <w:tcW w:w="1082" w:type="pct"/>
            <w:shd w:val="clear" w:color="auto" w:fill="E8ECF1"/>
            <w:tcMar>
              <w:top w:w="60" w:type="dxa"/>
              <w:left w:w="90" w:type="dxa"/>
              <w:bottom w:w="60" w:type="dxa"/>
              <w:right w:w="90" w:type="dxa"/>
            </w:tcMar>
          </w:tcPr>
          <w:p w14:paraId="47BD87AB" w14:textId="77777777" w:rsidR="00954C20" w:rsidRDefault="00000000">
            <w:pPr>
              <w:spacing w:after="40" w:line="260" w:lineRule="auto"/>
            </w:pPr>
            <w:r>
              <w:rPr>
                <w:b/>
                <w:bCs/>
                <w:sz w:val="20"/>
                <w:szCs w:val="20"/>
              </w:rPr>
              <w:t>Considerations bearing on certainty</w:t>
            </w:r>
          </w:p>
        </w:tc>
        <w:tc>
          <w:tcPr>
            <w:tcW w:w="876" w:type="pct"/>
            <w:shd w:val="clear" w:color="auto" w:fill="E8ECF1"/>
            <w:tcMar>
              <w:top w:w="60" w:type="dxa"/>
              <w:left w:w="90" w:type="dxa"/>
              <w:bottom w:w="60" w:type="dxa"/>
              <w:right w:w="90" w:type="dxa"/>
            </w:tcMar>
          </w:tcPr>
          <w:p w14:paraId="4D0A9392" w14:textId="77777777" w:rsidR="00954C20" w:rsidRDefault="00000000">
            <w:pPr>
              <w:spacing w:after="40" w:line="260" w:lineRule="auto"/>
            </w:pPr>
            <w:r>
              <w:rPr>
                <w:b/>
                <w:bCs/>
                <w:sz w:val="20"/>
                <w:szCs w:val="20"/>
              </w:rPr>
              <w:t>Supporting references</w:t>
            </w:r>
          </w:p>
        </w:tc>
      </w:tr>
      <w:tr w:rsidR="00954C20" w14:paraId="78C89775" w14:textId="77777777" w:rsidTr="00A1174E">
        <w:tc>
          <w:tcPr>
            <w:tcW w:w="876" w:type="pct"/>
            <w:tcMar>
              <w:top w:w="60" w:type="dxa"/>
              <w:left w:w="90" w:type="dxa"/>
              <w:bottom w:w="60" w:type="dxa"/>
              <w:right w:w="90" w:type="dxa"/>
            </w:tcMar>
          </w:tcPr>
          <w:p w14:paraId="186D38B4" w14:textId="77777777" w:rsidR="00954C20" w:rsidRDefault="00000000">
            <w:pPr>
              <w:spacing w:after="40" w:line="260" w:lineRule="auto"/>
            </w:pPr>
            <w:r>
              <w:rPr>
                <w:sz w:val="20"/>
                <w:szCs w:val="20"/>
              </w:rPr>
              <w:t>Passive sensing for relapse prediction</w:t>
            </w:r>
          </w:p>
        </w:tc>
        <w:tc>
          <w:tcPr>
            <w:tcW w:w="1186" w:type="pct"/>
            <w:tcMar>
              <w:top w:w="60" w:type="dxa"/>
              <w:left w:w="90" w:type="dxa"/>
              <w:bottom w:w="60" w:type="dxa"/>
              <w:right w:w="90" w:type="dxa"/>
            </w:tcMar>
          </w:tcPr>
          <w:p w14:paraId="31251BF2" w14:textId="77777777" w:rsidR="00954C20" w:rsidRDefault="00000000">
            <w:pPr>
              <w:spacing w:after="40" w:line="260" w:lineRule="auto"/>
            </w:pPr>
            <w:r>
              <w:rPr>
                <w:sz w:val="20"/>
                <w:szCs w:val="20"/>
              </w:rPr>
              <w:t>AUC 0.70 to 0.88 for relapse one to four weeks in advance</w:t>
            </w:r>
          </w:p>
        </w:tc>
        <w:tc>
          <w:tcPr>
            <w:tcW w:w="979" w:type="pct"/>
            <w:tcMar>
              <w:top w:w="60" w:type="dxa"/>
              <w:left w:w="90" w:type="dxa"/>
              <w:bottom w:w="60" w:type="dxa"/>
              <w:right w:w="90" w:type="dxa"/>
            </w:tcMar>
          </w:tcPr>
          <w:p w14:paraId="77ADE27C" w14:textId="77777777" w:rsidR="00954C20" w:rsidRDefault="00000000">
            <w:pPr>
              <w:spacing w:after="40" w:line="260" w:lineRule="auto"/>
            </w:pPr>
            <w:r>
              <w:rPr>
                <w:sz w:val="20"/>
                <w:szCs w:val="20"/>
              </w:rPr>
              <w:t>52 studies; 4,814 participants</w:t>
            </w:r>
          </w:p>
        </w:tc>
        <w:tc>
          <w:tcPr>
            <w:tcW w:w="1082" w:type="pct"/>
            <w:tcMar>
              <w:top w:w="60" w:type="dxa"/>
              <w:left w:w="90" w:type="dxa"/>
              <w:bottom w:w="60" w:type="dxa"/>
              <w:right w:w="90" w:type="dxa"/>
            </w:tcMar>
          </w:tcPr>
          <w:p w14:paraId="64D6AB80" w14:textId="77777777" w:rsidR="00954C20" w:rsidRDefault="00000000">
            <w:pPr>
              <w:spacing w:after="40" w:line="260" w:lineRule="auto"/>
            </w:pPr>
            <w:r>
              <w:rPr>
                <w:sz w:val="20"/>
                <w:szCs w:val="20"/>
              </w:rPr>
              <w:t>High risk of bias in 75% of studies; predominantly internal validation; no closed-loop trials conducted</w:t>
            </w:r>
          </w:p>
        </w:tc>
        <w:tc>
          <w:tcPr>
            <w:tcW w:w="876" w:type="pct"/>
            <w:tcMar>
              <w:top w:w="60" w:type="dxa"/>
              <w:left w:w="90" w:type="dxa"/>
              <w:bottom w:w="60" w:type="dxa"/>
              <w:right w:w="90" w:type="dxa"/>
            </w:tcMar>
          </w:tcPr>
          <w:p w14:paraId="1A7E4277" w14:textId="77777777" w:rsidR="00954C20" w:rsidRDefault="00000000">
            <w:pPr>
              <w:spacing w:after="40" w:line="260" w:lineRule="auto"/>
            </w:pPr>
            <w:r>
              <w:rPr>
                <w:sz w:val="20"/>
                <w:szCs w:val="20"/>
              </w:rPr>
              <w:t>Fang and Chen (2026)</w:t>
            </w:r>
          </w:p>
        </w:tc>
      </w:tr>
      <w:tr w:rsidR="00954C20" w14:paraId="39B89E13" w14:textId="77777777" w:rsidTr="00A1174E">
        <w:tc>
          <w:tcPr>
            <w:tcW w:w="876" w:type="pct"/>
            <w:tcMar>
              <w:top w:w="60" w:type="dxa"/>
              <w:left w:w="90" w:type="dxa"/>
              <w:bottom w:w="60" w:type="dxa"/>
              <w:right w:w="90" w:type="dxa"/>
            </w:tcMar>
          </w:tcPr>
          <w:p w14:paraId="4267679A" w14:textId="77777777" w:rsidR="00954C20" w:rsidRDefault="00000000">
            <w:pPr>
              <w:spacing w:after="40" w:line="260" w:lineRule="auto"/>
            </w:pPr>
            <w:r>
              <w:rPr>
                <w:sz w:val="20"/>
                <w:szCs w:val="20"/>
              </w:rPr>
              <w:t>Mental health smartphone applications</w:t>
            </w:r>
          </w:p>
        </w:tc>
        <w:tc>
          <w:tcPr>
            <w:tcW w:w="1186" w:type="pct"/>
            <w:tcMar>
              <w:top w:w="60" w:type="dxa"/>
              <w:left w:w="90" w:type="dxa"/>
              <w:bottom w:w="60" w:type="dxa"/>
              <w:right w:w="90" w:type="dxa"/>
            </w:tcMar>
          </w:tcPr>
          <w:p w14:paraId="13FE61C7" w14:textId="77777777" w:rsidR="00954C20" w:rsidRDefault="00000000">
            <w:pPr>
              <w:spacing w:after="40" w:line="260" w:lineRule="auto"/>
            </w:pPr>
            <w:r>
              <w:rPr>
                <w:sz w:val="20"/>
                <w:szCs w:val="20"/>
              </w:rPr>
              <w:t>Small significant effects on depressive and generalised anxiety symptoms; moderate effects on social anxiety and obsessive-compulsive symptoms; non-significant negative effect on panic symptoms</w:t>
            </w:r>
          </w:p>
        </w:tc>
        <w:tc>
          <w:tcPr>
            <w:tcW w:w="979" w:type="pct"/>
            <w:tcMar>
              <w:top w:w="60" w:type="dxa"/>
              <w:left w:w="90" w:type="dxa"/>
              <w:bottom w:w="60" w:type="dxa"/>
              <w:right w:w="90" w:type="dxa"/>
            </w:tcMar>
          </w:tcPr>
          <w:p w14:paraId="20F9D92D" w14:textId="77777777" w:rsidR="00954C20" w:rsidRDefault="00000000">
            <w:pPr>
              <w:spacing w:after="40" w:line="260" w:lineRule="auto"/>
            </w:pPr>
            <w:r>
              <w:rPr>
                <w:sz w:val="20"/>
                <w:szCs w:val="20"/>
              </w:rPr>
              <w:t>176 randomised controlled trials</w:t>
            </w:r>
          </w:p>
        </w:tc>
        <w:tc>
          <w:tcPr>
            <w:tcW w:w="1082" w:type="pct"/>
            <w:tcMar>
              <w:top w:w="60" w:type="dxa"/>
              <w:left w:w="90" w:type="dxa"/>
              <w:bottom w:w="60" w:type="dxa"/>
              <w:right w:w="90" w:type="dxa"/>
            </w:tcMar>
          </w:tcPr>
          <w:p w14:paraId="2C0D4A92" w14:textId="77777777" w:rsidR="00954C20" w:rsidRDefault="00000000">
            <w:pPr>
              <w:spacing w:after="40" w:line="260" w:lineRule="auto"/>
            </w:pPr>
            <w:r>
              <w:rPr>
                <w:sz w:val="20"/>
                <w:szCs w:val="20"/>
              </w:rPr>
              <w:t>Most trials at high risk of bias and based on small samples</w:t>
            </w:r>
          </w:p>
        </w:tc>
        <w:tc>
          <w:tcPr>
            <w:tcW w:w="876" w:type="pct"/>
            <w:tcMar>
              <w:top w:w="60" w:type="dxa"/>
              <w:left w:w="90" w:type="dxa"/>
              <w:bottom w:w="60" w:type="dxa"/>
              <w:right w:w="90" w:type="dxa"/>
            </w:tcMar>
          </w:tcPr>
          <w:p w14:paraId="14F297DC" w14:textId="77777777" w:rsidR="00954C20" w:rsidRDefault="00000000">
            <w:pPr>
              <w:spacing w:after="40" w:line="260" w:lineRule="auto"/>
            </w:pPr>
            <w:proofErr w:type="spellStart"/>
            <w:r>
              <w:rPr>
                <w:sz w:val="20"/>
                <w:szCs w:val="20"/>
              </w:rPr>
              <w:t>Linardon</w:t>
            </w:r>
            <w:proofErr w:type="spellEnd"/>
            <w:r>
              <w:rPr>
                <w:sz w:val="20"/>
                <w:szCs w:val="20"/>
              </w:rPr>
              <w:t xml:space="preserve">, </w:t>
            </w:r>
            <w:proofErr w:type="spellStart"/>
            <w:r>
              <w:rPr>
                <w:sz w:val="20"/>
                <w:szCs w:val="20"/>
              </w:rPr>
              <w:t>Torous</w:t>
            </w:r>
            <w:proofErr w:type="spellEnd"/>
            <w:r>
              <w:rPr>
                <w:sz w:val="20"/>
                <w:szCs w:val="20"/>
              </w:rPr>
              <w:t>, et al. (2024)</w:t>
            </w:r>
          </w:p>
        </w:tc>
      </w:tr>
      <w:tr w:rsidR="00954C20" w14:paraId="47F28938" w14:textId="77777777" w:rsidTr="00A1174E">
        <w:tc>
          <w:tcPr>
            <w:tcW w:w="876" w:type="pct"/>
            <w:tcMar>
              <w:top w:w="60" w:type="dxa"/>
              <w:left w:w="90" w:type="dxa"/>
              <w:bottom w:w="60" w:type="dxa"/>
              <w:right w:w="90" w:type="dxa"/>
            </w:tcMar>
          </w:tcPr>
          <w:p w14:paraId="7A951FDB" w14:textId="77777777" w:rsidR="00954C20" w:rsidRDefault="00000000">
            <w:pPr>
              <w:spacing w:after="40" w:line="260" w:lineRule="auto"/>
            </w:pPr>
            <w:r>
              <w:rPr>
                <w:sz w:val="20"/>
                <w:szCs w:val="20"/>
              </w:rPr>
              <w:t>Conversational agents, earlier synthesis</w:t>
            </w:r>
          </w:p>
        </w:tc>
        <w:tc>
          <w:tcPr>
            <w:tcW w:w="1186" w:type="pct"/>
            <w:tcMar>
              <w:top w:w="60" w:type="dxa"/>
              <w:left w:w="90" w:type="dxa"/>
              <w:bottom w:w="60" w:type="dxa"/>
              <w:right w:w="90" w:type="dxa"/>
            </w:tcMar>
          </w:tcPr>
          <w:p w14:paraId="45F41669" w14:textId="77777777" w:rsidR="00954C20" w:rsidRDefault="00000000">
            <w:pPr>
              <w:spacing w:after="40" w:line="260" w:lineRule="auto"/>
            </w:pPr>
            <w:r>
              <w:rPr>
                <w:sz w:val="20"/>
                <w:szCs w:val="20"/>
              </w:rPr>
              <w:t>Hedges g 0.64 for depressive symptoms and 0.70 for distress; no significant effect on overall psychological well-being</w:t>
            </w:r>
          </w:p>
        </w:tc>
        <w:tc>
          <w:tcPr>
            <w:tcW w:w="979" w:type="pct"/>
            <w:tcMar>
              <w:top w:w="60" w:type="dxa"/>
              <w:left w:w="90" w:type="dxa"/>
              <w:bottom w:w="60" w:type="dxa"/>
              <w:right w:w="90" w:type="dxa"/>
            </w:tcMar>
          </w:tcPr>
          <w:p w14:paraId="400C8BBE" w14:textId="77777777" w:rsidR="00954C20" w:rsidRDefault="00000000">
            <w:pPr>
              <w:spacing w:after="40" w:line="260" w:lineRule="auto"/>
            </w:pPr>
            <w:r>
              <w:rPr>
                <w:sz w:val="20"/>
                <w:szCs w:val="20"/>
              </w:rPr>
              <w:t>15 randomised trials drawn from 35 studies</w:t>
            </w:r>
          </w:p>
        </w:tc>
        <w:tc>
          <w:tcPr>
            <w:tcW w:w="1082" w:type="pct"/>
            <w:tcMar>
              <w:top w:w="60" w:type="dxa"/>
              <w:left w:w="90" w:type="dxa"/>
              <w:bottom w:w="60" w:type="dxa"/>
              <w:right w:w="90" w:type="dxa"/>
            </w:tcMar>
          </w:tcPr>
          <w:p w14:paraId="3C59CA72" w14:textId="77777777" w:rsidR="00954C20" w:rsidRDefault="00000000">
            <w:pPr>
              <w:spacing w:after="40" w:line="260" w:lineRule="auto"/>
            </w:pPr>
            <w:r>
              <w:rPr>
                <w:sz w:val="20"/>
                <w:szCs w:val="20"/>
              </w:rPr>
              <w:t>Small trial pool; weak comparators common among early trials</w:t>
            </w:r>
          </w:p>
        </w:tc>
        <w:tc>
          <w:tcPr>
            <w:tcW w:w="876" w:type="pct"/>
            <w:tcMar>
              <w:top w:w="60" w:type="dxa"/>
              <w:left w:w="90" w:type="dxa"/>
              <w:bottom w:w="60" w:type="dxa"/>
              <w:right w:w="90" w:type="dxa"/>
            </w:tcMar>
          </w:tcPr>
          <w:p w14:paraId="5BB849C2" w14:textId="77777777" w:rsidR="00954C20" w:rsidRDefault="00000000">
            <w:pPr>
              <w:spacing w:after="40" w:line="260" w:lineRule="auto"/>
            </w:pPr>
            <w:r>
              <w:rPr>
                <w:sz w:val="20"/>
                <w:szCs w:val="20"/>
              </w:rPr>
              <w:t>Li et al. (2023)</w:t>
            </w:r>
          </w:p>
        </w:tc>
      </w:tr>
      <w:tr w:rsidR="00954C20" w14:paraId="78881A2A" w14:textId="77777777" w:rsidTr="00A1174E">
        <w:tc>
          <w:tcPr>
            <w:tcW w:w="876" w:type="pct"/>
            <w:tcMar>
              <w:top w:w="60" w:type="dxa"/>
              <w:left w:w="90" w:type="dxa"/>
              <w:bottom w:w="60" w:type="dxa"/>
              <w:right w:w="90" w:type="dxa"/>
            </w:tcMar>
          </w:tcPr>
          <w:p w14:paraId="3E86F8D8" w14:textId="77777777" w:rsidR="00954C20" w:rsidRDefault="00000000">
            <w:pPr>
              <w:spacing w:after="40" w:line="260" w:lineRule="auto"/>
            </w:pPr>
            <w:r>
              <w:rPr>
                <w:sz w:val="20"/>
                <w:szCs w:val="20"/>
              </w:rPr>
              <w:t>Conversational agents, more recent synthesis</w:t>
            </w:r>
          </w:p>
        </w:tc>
        <w:tc>
          <w:tcPr>
            <w:tcW w:w="1186" w:type="pct"/>
            <w:tcMar>
              <w:top w:w="60" w:type="dxa"/>
              <w:left w:w="90" w:type="dxa"/>
              <w:bottom w:w="60" w:type="dxa"/>
              <w:right w:w="90" w:type="dxa"/>
            </w:tcMar>
          </w:tcPr>
          <w:p w14:paraId="5B054597" w14:textId="77777777" w:rsidR="00954C20" w:rsidRDefault="00000000">
            <w:pPr>
              <w:spacing w:after="40" w:line="260" w:lineRule="auto"/>
            </w:pPr>
            <w:r>
              <w:rPr>
                <w:sz w:val="20"/>
                <w:szCs w:val="20"/>
              </w:rPr>
              <w:t>Hedges g 0.31 for depressive symptoms and 0.28 for anxiety symptoms</w:t>
            </w:r>
          </w:p>
        </w:tc>
        <w:tc>
          <w:tcPr>
            <w:tcW w:w="979" w:type="pct"/>
            <w:tcMar>
              <w:top w:w="60" w:type="dxa"/>
              <w:left w:w="90" w:type="dxa"/>
              <w:bottom w:w="60" w:type="dxa"/>
              <w:right w:w="90" w:type="dxa"/>
            </w:tcMar>
          </w:tcPr>
          <w:p w14:paraId="744BAADD" w14:textId="77777777" w:rsidR="00954C20" w:rsidRDefault="00000000">
            <w:pPr>
              <w:spacing w:after="40" w:line="260" w:lineRule="auto"/>
            </w:pPr>
            <w:r>
              <w:rPr>
                <w:sz w:val="20"/>
                <w:szCs w:val="20"/>
              </w:rPr>
              <w:t>39 randomised controlled trials; approximately 7,401 and 7,621 participants analysed</w:t>
            </w:r>
          </w:p>
        </w:tc>
        <w:tc>
          <w:tcPr>
            <w:tcW w:w="1082" w:type="pct"/>
            <w:tcMar>
              <w:top w:w="60" w:type="dxa"/>
              <w:left w:w="90" w:type="dxa"/>
              <w:bottom w:w="60" w:type="dxa"/>
              <w:right w:w="90" w:type="dxa"/>
            </w:tcMar>
          </w:tcPr>
          <w:p w14:paraId="15E6C78A" w14:textId="77777777" w:rsidR="00954C20" w:rsidRDefault="00000000">
            <w:pPr>
              <w:spacing w:after="40" w:line="260" w:lineRule="auto"/>
            </w:pPr>
            <w:r>
              <w:rPr>
                <w:sz w:val="20"/>
                <w:szCs w:val="20"/>
              </w:rPr>
              <w:t>Larger and more rigorously controlled evidence base; effects larger in clinical and subclinical than in non-clinical samples</w:t>
            </w:r>
          </w:p>
        </w:tc>
        <w:tc>
          <w:tcPr>
            <w:tcW w:w="876" w:type="pct"/>
            <w:tcMar>
              <w:top w:w="60" w:type="dxa"/>
              <w:left w:w="90" w:type="dxa"/>
              <w:bottom w:w="60" w:type="dxa"/>
              <w:right w:w="90" w:type="dxa"/>
            </w:tcMar>
          </w:tcPr>
          <w:p w14:paraId="5181B84C" w14:textId="77777777" w:rsidR="00954C20" w:rsidRDefault="00000000">
            <w:pPr>
              <w:spacing w:after="40" w:line="260" w:lineRule="auto"/>
            </w:pPr>
            <w:r>
              <w:rPr>
                <w:sz w:val="20"/>
                <w:szCs w:val="20"/>
              </w:rPr>
              <w:t>Sohn et al. (2026)</w:t>
            </w:r>
          </w:p>
        </w:tc>
      </w:tr>
      <w:tr w:rsidR="00954C20" w14:paraId="1C05B194" w14:textId="77777777" w:rsidTr="00A1174E">
        <w:tc>
          <w:tcPr>
            <w:tcW w:w="876" w:type="pct"/>
            <w:tcMar>
              <w:top w:w="60" w:type="dxa"/>
              <w:left w:w="90" w:type="dxa"/>
              <w:bottom w:w="60" w:type="dxa"/>
              <w:right w:w="90" w:type="dxa"/>
            </w:tcMar>
          </w:tcPr>
          <w:p w14:paraId="1860C64E" w14:textId="77777777" w:rsidR="00954C20" w:rsidRDefault="00000000">
            <w:pPr>
              <w:spacing w:after="40" w:line="260" w:lineRule="auto"/>
            </w:pPr>
            <w:r>
              <w:rPr>
                <w:sz w:val="20"/>
                <w:szCs w:val="20"/>
              </w:rPr>
              <w:t>Fine-tuned generative agent</w:t>
            </w:r>
          </w:p>
        </w:tc>
        <w:tc>
          <w:tcPr>
            <w:tcW w:w="1186" w:type="pct"/>
            <w:tcMar>
              <w:top w:w="60" w:type="dxa"/>
              <w:left w:w="90" w:type="dxa"/>
              <w:bottom w:w="60" w:type="dxa"/>
              <w:right w:w="90" w:type="dxa"/>
            </w:tcMar>
          </w:tcPr>
          <w:p w14:paraId="53A45A5A" w14:textId="77777777" w:rsidR="00954C20" w:rsidRDefault="00000000">
            <w:pPr>
              <w:spacing w:after="40" w:line="260" w:lineRule="auto"/>
            </w:pPr>
            <w:r>
              <w:rPr>
                <w:sz w:val="20"/>
                <w:szCs w:val="20"/>
              </w:rPr>
              <w:t>Symptom improvement at 4 and 8 weeks; high utilisation and favourable alliance ratings</w:t>
            </w:r>
          </w:p>
        </w:tc>
        <w:tc>
          <w:tcPr>
            <w:tcW w:w="979" w:type="pct"/>
            <w:tcMar>
              <w:top w:w="60" w:type="dxa"/>
              <w:left w:w="90" w:type="dxa"/>
              <w:bottom w:w="60" w:type="dxa"/>
              <w:right w:w="90" w:type="dxa"/>
            </w:tcMar>
          </w:tcPr>
          <w:p w14:paraId="632B1B7D" w14:textId="77777777" w:rsidR="00954C20" w:rsidRDefault="00000000">
            <w:pPr>
              <w:spacing w:after="40" w:line="260" w:lineRule="auto"/>
            </w:pPr>
            <w:r>
              <w:rPr>
                <w:sz w:val="20"/>
                <w:szCs w:val="20"/>
              </w:rPr>
              <w:t>Single randomised controlled trial; 210 participants</w:t>
            </w:r>
          </w:p>
        </w:tc>
        <w:tc>
          <w:tcPr>
            <w:tcW w:w="1082" w:type="pct"/>
            <w:tcMar>
              <w:top w:w="60" w:type="dxa"/>
              <w:left w:w="90" w:type="dxa"/>
              <w:bottom w:w="60" w:type="dxa"/>
              <w:right w:w="90" w:type="dxa"/>
            </w:tcMar>
          </w:tcPr>
          <w:p w14:paraId="07CA80BA" w14:textId="77777777" w:rsidR="00954C20" w:rsidRDefault="00000000">
            <w:pPr>
              <w:spacing w:after="40" w:line="260" w:lineRule="auto"/>
            </w:pPr>
            <w:r>
              <w:rPr>
                <w:sz w:val="20"/>
                <w:szCs w:val="20"/>
              </w:rPr>
              <w:t>Waiting-list comparator; brief intervention and follow-up; effectiveness and generalisability not yet confirmed</w:t>
            </w:r>
          </w:p>
        </w:tc>
        <w:tc>
          <w:tcPr>
            <w:tcW w:w="876" w:type="pct"/>
            <w:tcMar>
              <w:top w:w="60" w:type="dxa"/>
              <w:left w:w="90" w:type="dxa"/>
              <w:bottom w:w="60" w:type="dxa"/>
              <w:right w:w="90" w:type="dxa"/>
            </w:tcMar>
          </w:tcPr>
          <w:p w14:paraId="7EB90BC6" w14:textId="77777777" w:rsidR="00954C20" w:rsidRDefault="00000000">
            <w:pPr>
              <w:spacing w:after="40" w:line="260" w:lineRule="auto"/>
            </w:pPr>
            <w:r>
              <w:rPr>
                <w:sz w:val="20"/>
                <w:szCs w:val="20"/>
              </w:rPr>
              <w:t xml:space="preserve">Heinz et al. (2025); </w:t>
            </w:r>
            <w:proofErr w:type="spellStart"/>
            <w:r>
              <w:rPr>
                <w:sz w:val="20"/>
                <w:szCs w:val="20"/>
              </w:rPr>
              <w:t>Torous</w:t>
            </w:r>
            <w:proofErr w:type="spellEnd"/>
            <w:r>
              <w:rPr>
                <w:sz w:val="20"/>
                <w:szCs w:val="20"/>
              </w:rPr>
              <w:t xml:space="preserve"> and Topol (2025)</w:t>
            </w:r>
          </w:p>
        </w:tc>
      </w:tr>
      <w:tr w:rsidR="00954C20" w14:paraId="257AEE80" w14:textId="77777777" w:rsidTr="00A1174E">
        <w:tc>
          <w:tcPr>
            <w:tcW w:w="876" w:type="pct"/>
            <w:tcMar>
              <w:top w:w="60" w:type="dxa"/>
              <w:left w:w="90" w:type="dxa"/>
              <w:bottom w:w="60" w:type="dxa"/>
              <w:right w:w="90" w:type="dxa"/>
            </w:tcMar>
          </w:tcPr>
          <w:p w14:paraId="217A3DFA" w14:textId="77777777" w:rsidR="00954C20" w:rsidRDefault="00000000">
            <w:pPr>
              <w:spacing w:after="40" w:line="260" w:lineRule="auto"/>
            </w:pPr>
            <w:r>
              <w:rPr>
                <w:sz w:val="20"/>
                <w:szCs w:val="20"/>
              </w:rPr>
              <w:t>Adverse events in trials of mental health applications</w:t>
            </w:r>
          </w:p>
        </w:tc>
        <w:tc>
          <w:tcPr>
            <w:tcW w:w="1186" w:type="pct"/>
            <w:tcMar>
              <w:top w:w="60" w:type="dxa"/>
              <w:left w:w="90" w:type="dxa"/>
              <w:bottom w:w="60" w:type="dxa"/>
              <w:right w:w="90" w:type="dxa"/>
            </w:tcMar>
          </w:tcPr>
          <w:p w14:paraId="69A87709" w14:textId="77777777" w:rsidR="00954C20" w:rsidRDefault="00000000">
            <w:pPr>
              <w:spacing w:after="40" w:line="260" w:lineRule="auto"/>
            </w:pPr>
            <w:r>
              <w:rPr>
                <w:sz w:val="20"/>
                <w:szCs w:val="20"/>
              </w:rPr>
              <w:t>Meta-analytic deterioration rate 6.7% (95% CI 4.3% to 10.1%); no significant difference between application and control conditions</w:t>
            </w:r>
          </w:p>
        </w:tc>
        <w:tc>
          <w:tcPr>
            <w:tcW w:w="979" w:type="pct"/>
            <w:tcMar>
              <w:top w:w="60" w:type="dxa"/>
              <w:left w:w="90" w:type="dxa"/>
              <w:bottom w:w="60" w:type="dxa"/>
              <w:right w:w="90" w:type="dxa"/>
            </w:tcMar>
          </w:tcPr>
          <w:p w14:paraId="7EEB7E97" w14:textId="77777777" w:rsidR="00954C20" w:rsidRDefault="00000000">
            <w:pPr>
              <w:spacing w:after="40" w:line="260" w:lineRule="auto"/>
            </w:pPr>
            <w:r>
              <w:rPr>
                <w:sz w:val="20"/>
                <w:szCs w:val="20"/>
              </w:rPr>
              <w:t>13 application conditions drawn from the 55 of 171 trials that reported adverse events</w:t>
            </w:r>
          </w:p>
        </w:tc>
        <w:tc>
          <w:tcPr>
            <w:tcW w:w="1082" w:type="pct"/>
            <w:tcMar>
              <w:top w:w="60" w:type="dxa"/>
              <w:left w:w="90" w:type="dxa"/>
              <w:bottom w:w="60" w:type="dxa"/>
              <w:right w:w="90" w:type="dxa"/>
            </w:tcMar>
          </w:tcPr>
          <w:p w14:paraId="2B645D65" w14:textId="77777777" w:rsidR="00954C20" w:rsidRDefault="00000000">
            <w:pPr>
              <w:spacing w:after="40" w:line="260" w:lineRule="auto"/>
            </w:pPr>
            <w:r>
              <w:rPr>
                <w:sz w:val="20"/>
                <w:szCs w:val="20"/>
              </w:rPr>
              <w:t>Adverse events reported in fewer than one third of identified trials; ascertainment heterogeneous</w:t>
            </w:r>
          </w:p>
        </w:tc>
        <w:tc>
          <w:tcPr>
            <w:tcW w:w="876" w:type="pct"/>
            <w:tcMar>
              <w:top w:w="60" w:type="dxa"/>
              <w:left w:w="90" w:type="dxa"/>
              <w:bottom w:w="60" w:type="dxa"/>
              <w:right w:w="90" w:type="dxa"/>
            </w:tcMar>
          </w:tcPr>
          <w:p w14:paraId="445FACF4" w14:textId="77777777" w:rsidR="00954C20" w:rsidRDefault="00000000">
            <w:pPr>
              <w:spacing w:after="40" w:line="260" w:lineRule="auto"/>
            </w:pPr>
            <w:proofErr w:type="spellStart"/>
            <w:r>
              <w:rPr>
                <w:sz w:val="20"/>
                <w:szCs w:val="20"/>
              </w:rPr>
              <w:t>Linardon</w:t>
            </w:r>
            <w:proofErr w:type="spellEnd"/>
            <w:r>
              <w:rPr>
                <w:sz w:val="20"/>
                <w:szCs w:val="20"/>
              </w:rPr>
              <w:t>, Fuller-Tyszkiewicz, et al. (2024)</w:t>
            </w:r>
          </w:p>
        </w:tc>
      </w:tr>
      <w:tr w:rsidR="00954C20" w14:paraId="51F134AD" w14:textId="77777777" w:rsidTr="00A1174E">
        <w:tc>
          <w:tcPr>
            <w:tcW w:w="876" w:type="pct"/>
            <w:tcMar>
              <w:top w:w="60" w:type="dxa"/>
              <w:left w:w="90" w:type="dxa"/>
              <w:bottom w:w="60" w:type="dxa"/>
              <w:right w:w="90" w:type="dxa"/>
            </w:tcMar>
          </w:tcPr>
          <w:p w14:paraId="781C6084" w14:textId="77777777" w:rsidR="00954C20" w:rsidRDefault="00000000">
            <w:pPr>
              <w:spacing w:after="40" w:line="260" w:lineRule="auto"/>
            </w:pPr>
            <w:r>
              <w:rPr>
                <w:sz w:val="20"/>
                <w:szCs w:val="20"/>
              </w:rPr>
              <w:t xml:space="preserve">Crisis handling by publicly </w:t>
            </w:r>
            <w:r>
              <w:rPr>
                <w:sz w:val="20"/>
                <w:szCs w:val="20"/>
              </w:rPr>
              <w:lastRenderedPageBreak/>
              <w:t>available chatbot agents</w:t>
            </w:r>
          </w:p>
        </w:tc>
        <w:tc>
          <w:tcPr>
            <w:tcW w:w="1186" w:type="pct"/>
            <w:tcMar>
              <w:top w:w="60" w:type="dxa"/>
              <w:left w:w="90" w:type="dxa"/>
              <w:bottom w:w="60" w:type="dxa"/>
              <w:right w:w="90" w:type="dxa"/>
            </w:tcMar>
          </w:tcPr>
          <w:p w14:paraId="73AF94BF" w14:textId="77777777" w:rsidR="00954C20" w:rsidRDefault="00000000">
            <w:pPr>
              <w:spacing w:after="40" w:line="260" w:lineRule="auto"/>
            </w:pPr>
            <w:r>
              <w:rPr>
                <w:sz w:val="20"/>
                <w:szCs w:val="20"/>
              </w:rPr>
              <w:lastRenderedPageBreak/>
              <w:t xml:space="preserve">No agent met the initial criteria for an adequate response; </w:t>
            </w:r>
            <w:r>
              <w:rPr>
                <w:sz w:val="20"/>
                <w:szCs w:val="20"/>
              </w:rPr>
              <w:lastRenderedPageBreak/>
              <w:t>approximately 52% marginal and 48% inadequate</w:t>
            </w:r>
          </w:p>
        </w:tc>
        <w:tc>
          <w:tcPr>
            <w:tcW w:w="979" w:type="pct"/>
            <w:tcMar>
              <w:top w:w="60" w:type="dxa"/>
              <w:left w:w="90" w:type="dxa"/>
              <w:bottom w:w="60" w:type="dxa"/>
              <w:right w:w="90" w:type="dxa"/>
            </w:tcMar>
          </w:tcPr>
          <w:p w14:paraId="31EA59B3" w14:textId="77777777" w:rsidR="00954C20" w:rsidRDefault="00000000">
            <w:pPr>
              <w:spacing w:after="40" w:line="260" w:lineRule="auto"/>
            </w:pPr>
            <w:r>
              <w:rPr>
                <w:sz w:val="20"/>
                <w:szCs w:val="20"/>
              </w:rPr>
              <w:lastRenderedPageBreak/>
              <w:t xml:space="preserve">29 publicly available agents tested against </w:t>
            </w:r>
            <w:r>
              <w:rPr>
                <w:sz w:val="20"/>
                <w:szCs w:val="20"/>
              </w:rPr>
              <w:lastRenderedPageBreak/>
              <w:t>standardised escalating-risk prompts</w:t>
            </w:r>
          </w:p>
        </w:tc>
        <w:tc>
          <w:tcPr>
            <w:tcW w:w="1082" w:type="pct"/>
            <w:tcMar>
              <w:top w:w="60" w:type="dxa"/>
              <w:left w:w="90" w:type="dxa"/>
              <w:bottom w:w="60" w:type="dxa"/>
              <w:right w:w="90" w:type="dxa"/>
            </w:tcMar>
          </w:tcPr>
          <w:p w14:paraId="067FFAAD" w14:textId="77777777" w:rsidR="00954C20" w:rsidRDefault="00000000">
            <w:pPr>
              <w:spacing w:after="40" w:line="260" w:lineRule="auto"/>
            </w:pPr>
            <w:r>
              <w:rPr>
                <w:sz w:val="20"/>
                <w:szCs w:val="20"/>
              </w:rPr>
              <w:lastRenderedPageBreak/>
              <w:t xml:space="preserve">Scenarios were simulated rather than clinical; the products </w:t>
            </w:r>
            <w:r>
              <w:rPr>
                <w:sz w:val="20"/>
                <w:szCs w:val="20"/>
              </w:rPr>
              <w:lastRenderedPageBreak/>
              <w:t>tested are those in widest public use</w:t>
            </w:r>
          </w:p>
        </w:tc>
        <w:tc>
          <w:tcPr>
            <w:tcW w:w="876" w:type="pct"/>
            <w:tcMar>
              <w:top w:w="60" w:type="dxa"/>
              <w:left w:w="90" w:type="dxa"/>
              <w:bottom w:w="60" w:type="dxa"/>
              <w:right w:w="90" w:type="dxa"/>
            </w:tcMar>
          </w:tcPr>
          <w:p w14:paraId="76C07FBC" w14:textId="77777777" w:rsidR="00954C20" w:rsidRDefault="00000000">
            <w:pPr>
              <w:spacing w:after="40" w:line="260" w:lineRule="auto"/>
            </w:pPr>
            <w:proofErr w:type="spellStart"/>
            <w:r>
              <w:rPr>
                <w:sz w:val="20"/>
                <w:szCs w:val="20"/>
              </w:rPr>
              <w:lastRenderedPageBreak/>
              <w:t>Pichowicz</w:t>
            </w:r>
            <w:proofErr w:type="spellEnd"/>
            <w:r>
              <w:rPr>
                <w:sz w:val="20"/>
                <w:szCs w:val="20"/>
              </w:rPr>
              <w:t xml:space="preserve"> et al. (2025)</w:t>
            </w:r>
          </w:p>
        </w:tc>
      </w:tr>
    </w:tbl>
    <w:p w14:paraId="2D7EA18C" w14:textId="77777777" w:rsidR="00954C20" w:rsidRDefault="00000000">
      <w:pPr>
        <w:spacing w:before="100" w:after="260" w:line="280" w:lineRule="auto"/>
      </w:pPr>
      <w:r>
        <w:rPr>
          <w:i/>
          <w:iCs/>
          <w:sz w:val="20"/>
          <w:szCs w:val="20"/>
        </w:rPr>
        <w:t>Note. AUC = area under the receiver operating characteristic curve; CI = confidence interval. Estimates are not comparable across rows, since they derive from different designs, outcomes and comparators; the table is intended to display differences in evidential status rather than to rank approaches.</w:t>
      </w:r>
    </w:p>
    <w:p w14:paraId="6E084362" w14:textId="77777777" w:rsidR="00954C20" w:rsidRDefault="00000000">
      <w:pPr>
        <w:pStyle w:val="Heading1"/>
        <w:keepNext/>
        <w:spacing w:before="280" w:after="140" w:line="360" w:lineRule="auto"/>
      </w:pPr>
      <w:r>
        <w:rPr>
          <w:b/>
          <w:bCs/>
          <w:color w:val="000000"/>
          <w:sz w:val="26"/>
          <w:szCs w:val="26"/>
        </w:rPr>
        <w:t>8. Equity, Governance and Implementation</w:t>
      </w:r>
    </w:p>
    <w:p w14:paraId="4E0E0A66" w14:textId="77777777" w:rsidR="00954C20" w:rsidRDefault="00000000">
      <w:pPr>
        <w:pStyle w:val="Heading2"/>
        <w:keepNext/>
        <w:spacing w:before="280" w:after="140" w:line="360" w:lineRule="auto"/>
      </w:pPr>
      <w:r>
        <w:rPr>
          <w:b/>
          <w:bCs/>
          <w:color w:val="000000"/>
          <w:sz w:val="24"/>
          <w:szCs w:val="24"/>
        </w:rPr>
        <w:t>8.1 Representational Narrowness and Differential Performance</w:t>
      </w:r>
    </w:p>
    <w:p w14:paraId="0BB1D861" w14:textId="77777777" w:rsidR="00954C20" w:rsidRDefault="00000000">
      <w:pPr>
        <w:spacing w:after="120" w:line="360" w:lineRule="auto"/>
        <w:jc w:val="both"/>
      </w:pPr>
      <w:r>
        <w:t>Model performance is conditional on the population from which training data are drawn, and the training populations in this field are narrow. An early demonstration specific to mental health showed that language-based models used for psychiatric applications encoded biases with respect to religion, race, gender, nationality, sexuality and age, and that these biases were detectable in model outputs relevant to clinical inference (Straw &amp; Callison-Burch, 2020). Because psychiatric assessment depends on the interpretation of language and behaviour whose meaning varies across cultural contexts, the scope for systematic misclassification is greater than in domains with physical measurement.</w:t>
      </w:r>
    </w:p>
    <w:p w14:paraId="40C6B53D" w14:textId="77777777" w:rsidR="00954C20" w:rsidRDefault="00000000">
      <w:pPr>
        <w:spacing w:after="120" w:line="360" w:lineRule="auto"/>
        <w:jc w:val="both"/>
      </w:pPr>
      <w:r>
        <w:t>The consequences are cumulative rather than isolated. Where diagnostic models are trained on samples that under-represent particular groups, where speech models are trained on a narrow range of languages, where risk calculators are derived within single health systems with distinctive documentation practices, and where sensing studies recruit participants who own suitable devices and can sustain their use, each stage compounds the narrowing. A perspective on fair-aware artificial intelligence in mental healthcare has argued that equity must be built into problem formulation, data collection and evaluation through co-creation with affected communities rather than addressed by post-hoc correction, on the grounds that bias introduced at the stage of problem definition cannot be removed downstream (Timmons et al., 2025). The argument is conceptual rather than empirical, and the empirical literature contains few systematic fairness audits of deployed mental health models, which is itself a finding: differential performance across subgroups is widely anticipated and rarely measured.</w:t>
      </w:r>
    </w:p>
    <w:p w14:paraId="2223C140" w14:textId="77777777" w:rsidR="00954C20" w:rsidRDefault="00000000">
      <w:pPr>
        <w:pStyle w:val="Heading2"/>
        <w:keepNext/>
        <w:spacing w:before="280" w:after="140" w:line="360" w:lineRule="auto"/>
      </w:pPr>
      <w:r>
        <w:rPr>
          <w:b/>
          <w:bCs/>
          <w:color w:val="000000"/>
          <w:sz w:val="24"/>
          <w:szCs w:val="24"/>
        </w:rPr>
        <w:lastRenderedPageBreak/>
        <w:t>8.2 Privacy, Data Governance and Commercial Incentives</w:t>
      </w:r>
    </w:p>
    <w:p w14:paraId="50B970CB" w14:textId="77777777" w:rsidR="00954C20" w:rsidRDefault="00000000">
      <w:pPr>
        <w:spacing w:after="120" w:line="360" w:lineRule="auto"/>
        <w:jc w:val="both"/>
      </w:pPr>
      <w:r>
        <w:t>Mental health data are among the most sensitive categories of personal information, and their handling by consumer applications has been documented as inadequate. An assessment of data sharing and privacy practices among smartphone applications for depression and smoking cessation found substantial transmission of data to third parties, frequently for advertising and analytics purposes, and inconsistency between actual data transmission and the disclosures made in privacy policies (</w:t>
      </w:r>
      <w:proofErr w:type="spellStart"/>
      <w:r>
        <w:t>Huckvale</w:t>
      </w:r>
      <w:proofErr w:type="spellEnd"/>
      <w:r>
        <w:t xml:space="preserve"> et al., 2019). Although this study predates the current generation of generative applications, the incentive structure it documented has not changed, and continuous passive sensing generates data considerably more revealing than the periodic self-report it examined.</w:t>
      </w:r>
    </w:p>
    <w:p w14:paraId="7528EC97" w14:textId="77777777" w:rsidR="00954C20" w:rsidRDefault="00000000">
      <w:pPr>
        <w:spacing w:after="120" w:line="360" w:lineRule="auto"/>
        <w:jc w:val="both"/>
      </w:pPr>
      <w:r>
        <w:t>The governance problem is structural. Continuous sensing produces location traces, communication patterns, sleep timing and activity levels from which mental state, social network and daily routine can be inferred with a precision that consent processes at the point of installation do not meaningfully convey. Conversational systems accumulate disclosures that would be protected by confidentiality if made to a clinician and are not necessarily so protected when made to a commercial product. Reviews of digital mental health have identified this asymmetry between the sensitivity of the data and the protections attaching to it as a persistent and unresolved concern (</w:t>
      </w:r>
      <w:proofErr w:type="spellStart"/>
      <w:r>
        <w:t>Torous</w:t>
      </w:r>
      <w:proofErr w:type="spellEnd"/>
      <w:r>
        <w:t xml:space="preserve"> et al., 2025).</w:t>
      </w:r>
    </w:p>
    <w:p w14:paraId="3E095CAF" w14:textId="77777777" w:rsidR="00954C20" w:rsidRDefault="00000000">
      <w:pPr>
        <w:pStyle w:val="Heading2"/>
        <w:keepNext/>
        <w:spacing w:before="280" w:after="140" w:line="360" w:lineRule="auto"/>
      </w:pPr>
      <w:r>
        <w:rPr>
          <w:b/>
          <w:bCs/>
          <w:color w:val="000000"/>
          <w:sz w:val="24"/>
          <w:szCs w:val="24"/>
        </w:rPr>
        <w:t>8.3 Regulation, Reporting Standards and Evidentiary Thresholds</w:t>
      </w:r>
    </w:p>
    <w:p w14:paraId="08357AEC" w14:textId="77777777" w:rsidR="00954C20" w:rsidRDefault="00000000">
      <w:pPr>
        <w:spacing w:after="120" w:line="360" w:lineRule="auto"/>
        <w:jc w:val="both"/>
      </w:pPr>
      <w:r>
        <w:t>Regulatory frameworks have not kept pace. Guidance issued by the World Health Organization on the ethics and governance of large multi-modal models in health sets out recommendations addressed to governments, developers and providers, including investment in public infrastructure, enactment of laws ensuring that health applications meet ethical and human-rights obligations, assignment of regulatory responsibility for assessment and approval, mandatory post-release auditing and impact assessment by independent third parties, and engagement of diverse stakeholders from the earliest stages of development (World Health Organization, 2024). The guidance is comprehensive in scope but not binding, and its implementation depends on national regulatory capacity that varies widely.</w:t>
      </w:r>
    </w:p>
    <w:p w14:paraId="06B95EF1" w14:textId="77777777" w:rsidR="00954C20" w:rsidRDefault="00000000">
      <w:pPr>
        <w:spacing w:after="120" w:line="360" w:lineRule="auto"/>
        <w:jc w:val="both"/>
      </w:pPr>
      <w:r>
        <w:t>The specific difficulty for mental health is classification. Argument has been made that general-purpose generative systems used in healthcare require regulatory oversight proportionate to their capability and reach, and that existing device frameworks are poorly suited to systems whose behaviour changes with each model update (</w:t>
      </w:r>
      <w:proofErr w:type="spellStart"/>
      <w:r>
        <w:t>Meskó</w:t>
      </w:r>
      <w:proofErr w:type="spellEnd"/>
      <w:r>
        <w:t xml:space="preserve"> &amp; Topol, 2023). Many mental health </w:t>
      </w:r>
      <w:r>
        <w:lastRenderedPageBreak/>
        <w:t>products are marketed as wellness or self-help tools, which places them outside medical device regulation in most jurisdictions, while making claims about symptom improvement that are clinical in substance. The result is that the products most widely used are the least regulated, and the crisis-handling failures documented among consumer chatbot agents occurred within precisely this unregulated space (</w:t>
      </w:r>
      <w:proofErr w:type="spellStart"/>
      <w:r>
        <w:t>Pichowicz</w:t>
      </w:r>
      <w:proofErr w:type="spellEnd"/>
      <w:r>
        <w:t xml:space="preserve"> et al., 2025).</w:t>
      </w:r>
    </w:p>
    <w:p w14:paraId="107C07AA" w14:textId="77777777" w:rsidR="00954C20" w:rsidRDefault="00000000">
      <w:pPr>
        <w:spacing w:after="120" w:line="360" w:lineRule="auto"/>
        <w:jc w:val="both"/>
      </w:pPr>
      <w:r>
        <w:t>Reporting standards provide a partial remedy within research. Extensions of trial reporting guidance to interventions involving artificial intelligence specify additional items concerning the intended use of the algorithm, the setting and input data requirements, the handling of poor-quality input, and the analysis of performance errors (Liu et al., 2020). Updated guidance for reporting prediction models developed with regression or machine learning methods addresses calibration reporting, validation strategy and transparency of model specification (Collins et al., 2024). Consistent adherence would remove a substantial part of the ambiguity that currently obstructs appraisal, though reporting standards can only make the quality of a study visible and cannot improve its design.</w:t>
      </w:r>
    </w:p>
    <w:p w14:paraId="013EBC82" w14:textId="77777777" w:rsidR="00954C20" w:rsidRDefault="00000000">
      <w:pPr>
        <w:pStyle w:val="Heading2"/>
        <w:keepNext/>
        <w:spacing w:before="280" w:after="140" w:line="360" w:lineRule="auto"/>
      </w:pPr>
      <w:r>
        <w:rPr>
          <w:b/>
          <w:bCs/>
          <w:color w:val="000000"/>
          <w:sz w:val="24"/>
          <w:szCs w:val="24"/>
        </w:rPr>
        <w:t>8.4 Acceptance among Clinicians and Service Users</w:t>
      </w:r>
    </w:p>
    <w:p w14:paraId="5ED28018" w14:textId="77777777" w:rsidR="00954C20" w:rsidRDefault="00000000">
      <w:pPr>
        <w:spacing w:after="120" w:line="360" w:lineRule="auto"/>
        <w:jc w:val="both"/>
      </w:pPr>
      <w:r>
        <w:t>Implementation depends on the willingness of clinicians to use these systems and of patients to accept them. A global survey of psychiatrists examining expectations of artificial intelligence found broad acceptance of documentation and administrative support alongside considerable scepticism about the substitution of clinical functions such as the provision of empathic care, and a widespread view that some tasks central to psychiatric practice would not be adequately performed by machines (Doraiswamy et al., 2020). The finding predates current generative capability and attitudes may have shifted, but the underlying distinction between augmentation of clinician capacity and substitution for clinical judgement remains the pivotal issue for implementation.</w:t>
      </w:r>
    </w:p>
    <w:p w14:paraId="4C8913C0" w14:textId="77777777" w:rsidR="00954C20" w:rsidRDefault="00000000">
      <w:pPr>
        <w:spacing w:after="120" w:line="360" w:lineRule="auto"/>
        <w:jc w:val="both"/>
      </w:pPr>
      <w:r>
        <w:t xml:space="preserve">Two considerations follow. The first is that tools requiring clinicians to act on outputs they cannot interpret are unlikely to be adopted, which raises the practical importance of interpretability beyond its epistemic importance (Joyce et al., 2023). The second is that systems reaching patients directly bypass clinician acceptance entirely, which is why the governance gap around consumer products is more consequential than the adoption gap within services. The applications facing the highest evidentiary barriers are those that would enter supervised clinical practice, while those facing the lowest are those that reach users without any </w:t>
      </w:r>
      <w:r>
        <w:lastRenderedPageBreak/>
        <w:t>professional intermediary. This inversion of evidentiary burden relative to risk exposure is the single most important structural problem identified in this review.</w:t>
      </w:r>
    </w:p>
    <w:p w14:paraId="41C79BCB" w14:textId="77777777" w:rsidR="00954C20" w:rsidRDefault="00000000">
      <w:pPr>
        <w:pStyle w:val="Heading1"/>
        <w:keepNext/>
        <w:spacing w:before="280" w:after="140" w:line="360" w:lineRule="auto"/>
      </w:pPr>
      <w:r>
        <w:rPr>
          <w:b/>
          <w:bCs/>
          <w:color w:val="000000"/>
          <w:sz w:val="26"/>
          <w:szCs w:val="26"/>
        </w:rPr>
        <w:t>Future Directions</w:t>
      </w:r>
    </w:p>
    <w:p w14:paraId="21B09BEE" w14:textId="77777777" w:rsidR="00954C20" w:rsidRDefault="00000000">
      <w:pPr>
        <w:spacing w:after="120" w:line="360" w:lineRule="auto"/>
        <w:jc w:val="both"/>
      </w:pPr>
      <w:r>
        <w:t>The research priorities that follow are derived from the specific weaknesses identified above rather than from general aspiration, and they are ordered by the extent to which addressing them would unblock progress across multiple domains.</w:t>
      </w:r>
    </w:p>
    <w:p w14:paraId="0F5AC37E" w14:textId="77777777" w:rsidR="00954C20" w:rsidRDefault="00000000">
      <w:pPr>
        <w:spacing w:after="120" w:line="360" w:lineRule="auto"/>
        <w:jc w:val="both"/>
      </w:pPr>
      <w:r>
        <w:t>The most immediate priority is prospective external validation as a condition of publication for clinical prediction models. The problem is not that models perform poorly but that their performance in the settings where they would be used is unknown, since only about one fifth have been externally validated and within-sample performance has been shown to carry little information about out-of-sample performance (</w:t>
      </w:r>
      <w:proofErr w:type="spellStart"/>
      <w:r>
        <w:t>Chekroud</w:t>
      </w:r>
      <w:proofErr w:type="spellEnd"/>
      <w:r>
        <w:t xml:space="preserve"> et al., 2024; Meehan et al., 2022). The appropriate design is temporal or geographical external validation in a sample not used at any stage of development, with pre-registered analysis, reporting of calibration alongside discrimination, and presentation of predictive values at the prevalence obtaining in the intended deployment population. This requires no new methodology and no new data infrastructure beyond that already available in well-instrumented health systems, and it would immediately clarify which of the existing model inventory merits further investment. Adherence to established reporting guidance for prediction models would render the necessary information visible (Collins et al., 2024).</w:t>
      </w:r>
    </w:p>
    <w:p w14:paraId="280A7DEF" w14:textId="77777777" w:rsidR="00954C20" w:rsidRDefault="00000000">
      <w:pPr>
        <w:spacing w:after="120" w:line="360" w:lineRule="auto"/>
        <w:jc w:val="both"/>
      </w:pPr>
      <w:r>
        <w:t>The second priority is closed-loop evaluation of monitoring systems. Passive sensing has demonstrated moderate discrimination for relapse prediction up to four weeks in advance, but no trial has established that acting on an early-warning signal improves outcomes (Fang &amp; Chen, 2026). The required design is a randomised comparison in which an algorithmically generated alert triggers a specified clinical response, with relapse, hospitalisation and functional outcomes as endpoints and with attention to the burden imposed by false alerts on both patients and services. Populations with recurrent psychotic and bipolar illness are the appropriate initial focus, since relapse is well defined, consequential and preceded by a documented prodrome. Follow-up must extend across at least one expected relapse interval, which implies twelve months or longer. Until such trials are conducted, investment in improving the discrimination of relapse models addresses the wrong constraint.</w:t>
      </w:r>
    </w:p>
    <w:p w14:paraId="358E0667" w14:textId="77777777" w:rsidR="00954C20" w:rsidRDefault="00000000">
      <w:pPr>
        <w:spacing w:after="120" w:line="360" w:lineRule="auto"/>
        <w:jc w:val="both"/>
      </w:pPr>
      <w:r>
        <w:t xml:space="preserve">The third priority is safety evaluation of publicly accessible conversational systems, which is urgent because exposure is already widespread. Evidence that none of twenty-nine consumer </w:t>
      </w:r>
      <w:r>
        <w:lastRenderedPageBreak/>
        <w:t>chatbot agents met adequate criteria for responding to escalating suicidal risk, and that approximately half were judged inadequate even against relaxed criteria, indicates a hazard present in current use rather than a hypothetical future risk (</w:t>
      </w:r>
      <w:proofErr w:type="spellStart"/>
      <w:r>
        <w:t>Pichowicz</w:t>
      </w:r>
      <w:proofErr w:type="spellEnd"/>
      <w:r>
        <w:t xml:space="preserve"> et al., 2025). The required work comprises standardised adversarial safety benchmarks covering crisis disclosure, escalation and referral; mandatory adverse-event reporting in trials of conversational agents, given that fewer than one third of application trials have reported adverse events at all (</w:t>
      </w:r>
      <w:proofErr w:type="spellStart"/>
      <w:r>
        <w:t>Linardon</w:t>
      </w:r>
      <w:proofErr w:type="spellEnd"/>
      <w:r>
        <w:t>, Fuller-Tyszkiewicz, et al., 2024); and post-deployment surveillance capable of detecting harm in populations that never enter a trial. Outcome measures should include failure to escalate, provision of inaccurate crisis information and the reinforcement of harmful cognition, none of which is captured by symptom-scale change.</w:t>
      </w:r>
    </w:p>
    <w:p w14:paraId="24986953" w14:textId="77777777" w:rsidR="00954C20" w:rsidRDefault="00000000">
      <w:pPr>
        <w:spacing w:after="120" w:line="360" w:lineRule="auto"/>
        <w:jc w:val="both"/>
      </w:pPr>
      <w:r>
        <w:t>The fourth priority is the construction of representative longitudinal datasets with harmonised outcome definitions. Heterogeneity in the operationalisation of relapse, response and remission prevents comparison across studies and contributes to the instability of pooled estimates (Fang &amp; Chen, 2026; Maran et al., 2025). Linguistic and cultural narrowness in speech and language corpora limits the applicability of detection models beyond the populations on which they were trained (Straw &amp; Callison-Burch, 2020). The required work is consortium-scale, prospective, multi-site and multi-lingual data collection with common outcome definitions, deliberate over-sampling of under-represented populations, and analysis plans specifying subgroup performance reporting in advance. Equity considerations must enter at the stage of problem formulation rather than as post-hoc correction, since bias introduced in defining the prediction target cannot be removed by adjusting the model (Timmons et al., 2025). This is a longer-term undertaking, and it is the one most likely to alter what is achievable rather than merely what is known.</w:t>
      </w:r>
    </w:p>
    <w:p w14:paraId="060D48B5" w14:textId="77777777" w:rsidR="00954C20" w:rsidRDefault="00000000">
      <w:pPr>
        <w:spacing w:after="120" w:line="360" w:lineRule="auto"/>
        <w:jc w:val="both"/>
      </w:pPr>
      <w:r>
        <w:t>The fifth priority is comparative effectiveness research on generative interventions using active comparators. The available randomised evidence for a fine-tuned generative agent used a waiting-list control over four weeks (Heinz et al., 2025), and the field requires trials against guided self-help, low-intensity psychological intervention or a rule-based agent, with follow-up of at least six months, pre-registered outcomes, and evaluation of the therapeutic alliance as a mechanism rather than as a satisfaction measure (Zhang et al., 2025). Trials should adhere to reporting guidance developed for interventions involving artificial intelligence, including specification of the model version evaluated, since generative systems change with updates in ways that compromise the reproducibility of trial findings (Liu et al., 2020).</w:t>
      </w:r>
    </w:p>
    <w:p w14:paraId="46AAFA08" w14:textId="77777777" w:rsidR="00954C20" w:rsidRDefault="00000000">
      <w:pPr>
        <w:spacing w:after="120" w:line="360" w:lineRule="auto"/>
        <w:jc w:val="both"/>
      </w:pPr>
      <w:r>
        <w:lastRenderedPageBreak/>
        <w:t>Two further directions warrant attention over a longer horizon. Research is needed on how algorithmic outputs should enter clinical reasoning, since a well-validated model may still fail to improve care if clinicians cannot interpret it, do not trust it, or have no effective action available in response (Doraiswamy et al., 2020; Joyce et al., 2023). Studies of decision integration, examining what clinicians do with predictions and how outcomes change as a result, are almost entirely absent and are logically prior to deployment. Separately, evidence is needed on the implementation of these technologies in low-resource settings, where the potential benefit is greatest and the evidence is thinnest. Digital interventions have shown substantial effects in low- and middle-income countries (</w:t>
      </w:r>
      <w:proofErr w:type="spellStart"/>
      <w:r>
        <w:t>Karyotaki</w:t>
      </w:r>
      <w:proofErr w:type="spellEnd"/>
      <w:r>
        <w:t xml:space="preserve"> et al., 2023), but this evidence concerns structured digital interventions rather than algorithmic systems, and inference from one to the other is not warranted. Work in these settings should address infrastructure, linguistic adaptation and the risk that technologies developed elsewhere encode assumptions that do not transfer.</w:t>
      </w:r>
    </w:p>
    <w:p w14:paraId="2846DA2D" w14:textId="77777777" w:rsidR="00954C20" w:rsidRDefault="00000000">
      <w:pPr>
        <w:spacing w:after="120" w:line="360" w:lineRule="auto"/>
        <w:jc w:val="both"/>
      </w:pPr>
      <w:r>
        <w:t>Table 5 presents these priorities against the problems they address, the designs required and the timescales over which results could reasonably be expected.</w:t>
      </w:r>
    </w:p>
    <w:p w14:paraId="412CBEF3" w14:textId="77777777" w:rsidR="00954C20" w:rsidRDefault="00000000">
      <w:pPr>
        <w:keepNext/>
        <w:spacing w:before="240" w:after="120" w:line="300" w:lineRule="auto"/>
      </w:pPr>
      <w:r>
        <w:rPr>
          <w:b/>
          <w:bCs/>
          <w:sz w:val="22"/>
          <w:szCs w:val="22"/>
        </w:rPr>
        <w:t>Table 5. Prioritised research agenda derived from the identified weaknesses in the evidence base</w:t>
      </w:r>
    </w:p>
    <w:tbl>
      <w:tblPr>
        <w:tblW w:w="5000" w:type="pct"/>
        <w:tblBorders>
          <w:top w:val="single" w:sz="6" w:space="0" w:color="666666"/>
          <w:left w:val="single" w:sz="6" w:space="0" w:color="666666"/>
          <w:bottom w:val="single" w:sz="6" w:space="0" w:color="666666"/>
          <w:right w:val="single" w:sz="6" w:space="0" w:color="666666"/>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1714"/>
        <w:gridCol w:w="2007"/>
        <w:gridCol w:w="2449"/>
        <w:gridCol w:w="1224"/>
        <w:gridCol w:w="1616"/>
      </w:tblGrid>
      <w:tr w:rsidR="00954C20" w14:paraId="1D8D7FF8" w14:textId="77777777" w:rsidTr="00A1174E">
        <w:trPr>
          <w:tblHeader/>
        </w:trPr>
        <w:tc>
          <w:tcPr>
            <w:tcW w:w="951" w:type="pct"/>
            <w:shd w:val="clear" w:color="auto" w:fill="E8ECF1"/>
            <w:tcMar>
              <w:top w:w="60" w:type="dxa"/>
              <w:left w:w="90" w:type="dxa"/>
              <w:bottom w:w="60" w:type="dxa"/>
              <w:right w:w="90" w:type="dxa"/>
            </w:tcMar>
          </w:tcPr>
          <w:p w14:paraId="6CA63881" w14:textId="77777777" w:rsidR="00954C20" w:rsidRDefault="00000000">
            <w:pPr>
              <w:spacing w:after="40" w:line="260" w:lineRule="auto"/>
            </w:pPr>
            <w:r>
              <w:rPr>
                <w:b/>
                <w:bCs/>
                <w:sz w:val="20"/>
                <w:szCs w:val="20"/>
              </w:rPr>
              <w:t>Priority</w:t>
            </w:r>
          </w:p>
        </w:tc>
        <w:tc>
          <w:tcPr>
            <w:tcW w:w="1114" w:type="pct"/>
            <w:shd w:val="clear" w:color="auto" w:fill="E8ECF1"/>
            <w:tcMar>
              <w:top w:w="60" w:type="dxa"/>
              <w:left w:w="90" w:type="dxa"/>
              <w:bottom w:w="60" w:type="dxa"/>
              <w:right w:w="90" w:type="dxa"/>
            </w:tcMar>
          </w:tcPr>
          <w:p w14:paraId="3FD2B0F6" w14:textId="77777777" w:rsidR="00954C20" w:rsidRDefault="00000000">
            <w:pPr>
              <w:spacing w:after="40" w:line="260" w:lineRule="auto"/>
            </w:pPr>
            <w:r>
              <w:rPr>
                <w:b/>
                <w:bCs/>
                <w:sz w:val="20"/>
                <w:szCs w:val="20"/>
              </w:rPr>
              <w:t>Unresolved problem</w:t>
            </w:r>
          </w:p>
        </w:tc>
        <w:tc>
          <w:tcPr>
            <w:tcW w:w="1359" w:type="pct"/>
            <w:shd w:val="clear" w:color="auto" w:fill="E8ECF1"/>
            <w:tcMar>
              <w:top w:w="60" w:type="dxa"/>
              <w:left w:w="90" w:type="dxa"/>
              <w:bottom w:w="60" w:type="dxa"/>
              <w:right w:w="90" w:type="dxa"/>
            </w:tcMar>
          </w:tcPr>
          <w:p w14:paraId="10DBB033" w14:textId="77777777" w:rsidR="00954C20" w:rsidRDefault="00000000">
            <w:pPr>
              <w:spacing w:after="40" w:line="260" w:lineRule="auto"/>
            </w:pPr>
            <w:r>
              <w:rPr>
                <w:b/>
                <w:bCs/>
                <w:sz w:val="20"/>
                <w:szCs w:val="20"/>
              </w:rPr>
              <w:t>Required design and outcomes</w:t>
            </w:r>
          </w:p>
        </w:tc>
        <w:tc>
          <w:tcPr>
            <w:tcW w:w="679" w:type="pct"/>
            <w:shd w:val="clear" w:color="auto" w:fill="E8ECF1"/>
            <w:tcMar>
              <w:top w:w="60" w:type="dxa"/>
              <w:left w:w="90" w:type="dxa"/>
              <w:bottom w:w="60" w:type="dxa"/>
              <w:right w:w="90" w:type="dxa"/>
            </w:tcMar>
          </w:tcPr>
          <w:p w14:paraId="57035E68" w14:textId="77777777" w:rsidR="00954C20" w:rsidRDefault="00000000">
            <w:pPr>
              <w:spacing w:after="40" w:line="260" w:lineRule="auto"/>
            </w:pPr>
            <w:r>
              <w:rPr>
                <w:b/>
                <w:bCs/>
                <w:sz w:val="20"/>
                <w:szCs w:val="20"/>
              </w:rPr>
              <w:t>Timescale</w:t>
            </w:r>
          </w:p>
        </w:tc>
        <w:tc>
          <w:tcPr>
            <w:tcW w:w="897" w:type="pct"/>
            <w:shd w:val="clear" w:color="auto" w:fill="E8ECF1"/>
            <w:tcMar>
              <w:top w:w="60" w:type="dxa"/>
              <w:left w:w="90" w:type="dxa"/>
              <w:bottom w:w="60" w:type="dxa"/>
              <w:right w:w="90" w:type="dxa"/>
            </w:tcMar>
          </w:tcPr>
          <w:p w14:paraId="3749995E" w14:textId="77777777" w:rsidR="00954C20" w:rsidRDefault="00000000">
            <w:pPr>
              <w:spacing w:after="40" w:line="260" w:lineRule="auto"/>
            </w:pPr>
            <w:r>
              <w:rPr>
                <w:b/>
                <w:bCs/>
                <w:sz w:val="20"/>
                <w:szCs w:val="20"/>
              </w:rPr>
              <w:t>Supporting references</w:t>
            </w:r>
          </w:p>
        </w:tc>
      </w:tr>
      <w:tr w:rsidR="00954C20" w14:paraId="07B54A9C" w14:textId="77777777" w:rsidTr="00A1174E">
        <w:tc>
          <w:tcPr>
            <w:tcW w:w="951" w:type="pct"/>
            <w:tcMar>
              <w:top w:w="60" w:type="dxa"/>
              <w:left w:w="90" w:type="dxa"/>
              <w:bottom w:w="60" w:type="dxa"/>
              <w:right w:w="90" w:type="dxa"/>
            </w:tcMar>
          </w:tcPr>
          <w:p w14:paraId="5873183F" w14:textId="77777777" w:rsidR="00954C20" w:rsidRDefault="00000000">
            <w:pPr>
              <w:spacing w:after="40" w:line="260" w:lineRule="auto"/>
            </w:pPr>
            <w:r>
              <w:rPr>
                <w:sz w:val="20"/>
                <w:szCs w:val="20"/>
              </w:rPr>
              <w:t>Prospective external validation as a condition of publication</w:t>
            </w:r>
          </w:p>
        </w:tc>
        <w:tc>
          <w:tcPr>
            <w:tcW w:w="1114" w:type="pct"/>
            <w:tcMar>
              <w:top w:w="60" w:type="dxa"/>
              <w:left w:w="90" w:type="dxa"/>
              <w:bottom w:w="60" w:type="dxa"/>
              <w:right w:w="90" w:type="dxa"/>
            </w:tcMar>
          </w:tcPr>
          <w:p w14:paraId="527609D8" w14:textId="77777777" w:rsidR="00954C20" w:rsidRDefault="00000000">
            <w:pPr>
              <w:spacing w:after="40" w:line="260" w:lineRule="auto"/>
            </w:pPr>
            <w:r>
              <w:rPr>
                <w:sz w:val="20"/>
                <w:szCs w:val="20"/>
              </w:rPr>
              <w:t>Performance of most models in their intended settings is unknown</w:t>
            </w:r>
          </w:p>
        </w:tc>
        <w:tc>
          <w:tcPr>
            <w:tcW w:w="1359" w:type="pct"/>
            <w:tcMar>
              <w:top w:w="60" w:type="dxa"/>
              <w:left w:w="90" w:type="dxa"/>
              <w:bottom w:w="60" w:type="dxa"/>
              <w:right w:w="90" w:type="dxa"/>
            </w:tcMar>
          </w:tcPr>
          <w:p w14:paraId="15647EF6" w14:textId="77777777" w:rsidR="00954C20" w:rsidRDefault="00000000">
            <w:pPr>
              <w:spacing w:after="40" w:line="260" w:lineRule="auto"/>
            </w:pPr>
            <w:r>
              <w:rPr>
                <w:sz w:val="20"/>
                <w:szCs w:val="20"/>
              </w:rPr>
              <w:t>Temporal or geographical validation in wholly independent samples; pre-registered analysis; calibration reported alongside discrimination; predictive value at deployment prevalence</w:t>
            </w:r>
          </w:p>
        </w:tc>
        <w:tc>
          <w:tcPr>
            <w:tcW w:w="679" w:type="pct"/>
            <w:tcMar>
              <w:top w:w="60" w:type="dxa"/>
              <w:left w:w="90" w:type="dxa"/>
              <w:bottom w:w="60" w:type="dxa"/>
              <w:right w:w="90" w:type="dxa"/>
            </w:tcMar>
          </w:tcPr>
          <w:p w14:paraId="4B674E87" w14:textId="77777777" w:rsidR="00954C20" w:rsidRDefault="00000000">
            <w:pPr>
              <w:spacing w:after="40" w:line="260" w:lineRule="auto"/>
            </w:pPr>
            <w:r>
              <w:rPr>
                <w:sz w:val="20"/>
                <w:szCs w:val="20"/>
              </w:rPr>
              <w:t>Immediate</w:t>
            </w:r>
          </w:p>
        </w:tc>
        <w:tc>
          <w:tcPr>
            <w:tcW w:w="897" w:type="pct"/>
            <w:tcMar>
              <w:top w:w="60" w:type="dxa"/>
              <w:left w:w="90" w:type="dxa"/>
              <w:bottom w:w="60" w:type="dxa"/>
              <w:right w:w="90" w:type="dxa"/>
            </w:tcMar>
          </w:tcPr>
          <w:p w14:paraId="553C5C7F" w14:textId="77777777" w:rsidR="00954C20" w:rsidRDefault="00000000">
            <w:pPr>
              <w:spacing w:after="40" w:line="260" w:lineRule="auto"/>
            </w:pPr>
            <w:proofErr w:type="spellStart"/>
            <w:r>
              <w:rPr>
                <w:sz w:val="20"/>
                <w:szCs w:val="20"/>
              </w:rPr>
              <w:t>Chekroud</w:t>
            </w:r>
            <w:proofErr w:type="spellEnd"/>
            <w:r>
              <w:rPr>
                <w:sz w:val="20"/>
                <w:szCs w:val="20"/>
              </w:rPr>
              <w:t xml:space="preserve"> et al. (2024); Collins et al. (2024); Meehan et al. (2022)</w:t>
            </w:r>
          </w:p>
        </w:tc>
      </w:tr>
      <w:tr w:rsidR="00954C20" w14:paraId="4265689A" w14:textId="77777777" w:rsidTr="00A1174E">
        <w:tc>
          <w:tcPr>
            <w:tcW w:w="951" w:type="pct"/>
            <w:tcMar>
              <w:top w:w="60" w:type="dxa"/>
              <w:left w:w="90" w:type="dxa"/>
              <w:bottom w:w="60" w:type="dxa"/>
              <w:right w:w="90" w:type="dxa"/>
            </w:tcMar>
          </w:tcPr>
          <w:p w14:paraId="50FBE750" w14:textId="77777777" w:rsidR="00954C20" w:rsidRDefault="00000000">
            <w:pPr>
              <w:spacing w:after="40" w:line="260" w:lineRule="auto"/>
            </w:pPr>
            <w:r>
              <w:rPr>
                <w:sz w:val="20"/>
                <w:szCs w:val="20"/>
              </w:rPr>
              <w:t>Closed-loop trials of monitoring systems</w:t>
            </w:r>
          </w:p>
        </w:tc>
        <w:tc>
          <w:tcPr>
            <w:tcW w:w="1114" w:type="pct"/>
            <w:tcMar>
              <w:top w:w="60" w:type="dxa"/>
              <w:left w:w="90" w:type="dxa"/>
              <w:bottom w:w="60" w:type="dxa"/>
              <w:right w:w="90" w:type="dxa"/>
            </w:tcMar>
          </w:tcPr>
          <w:p w14:paraId="6AE5BB15" w14:textId="77777777" w:rsidR="00954C20" w:rsidRDefault="00000000">
            <w:pPr>
              <w:spacing w:after="40" w:line="260" w:lineRule="auto"/>
            </w:pPr>
            <w:r>
              <w:rPr>
                <w:sz w:val="20"/>
                <w:szCs w:val="20"/>
              </w:rPr>
              <w:t>No evidence that acting on an early-warning signal improves outcomes</w:t>
            </w:r>
          </w:p>
        </w:tc>
        <w:tc>
          <w:tcPr>
            <w:tcW w:w="1359" w:type="pct"/>
            <w:tcMar>
              <w:top w:w="60" w:type="dxa"/>
              <w:left w:w="90" w:type="dxa"/>
              <w:bottom w:w="60" w:type="dxa"/>
              <w:right w:w="90" w:type="dxa"/>
            </w:tcMar>
          </w:tcPr>
          <w:p w14:paraId="0A46F85D" w14:textId="77777777" w:rsidR="00954C20" w:rsidRDefault="00000000">
            <w:pPr>
              <w:spacing w:after="40" w:line="260" w:lineRule="auto"/>
            </w:pPr>
            <w:r>
              <w:rPr>
                <w:sz w:val="20"/>
                <w:szCs w:val="20"/>
              </w:rPr>
              <w:t>Randomised comparison in recurrent psychotic and bipolar illness; alert-triggered clinical response; relapse, admission and functioning over 12 months or longer; burden of false alerts measured</w:t>
            </w:r>
          </w:p>
        </w:tc>
        <w:tc>
          <w:tcPr>
            <w:tcW w:w="679" w:type="pct"/>
            <w:tcMar>
              <w:top w:w="60" w:type="dxa"/>
              <w:left w:w="90" w:type="dxa"/>
              <w:bottom w:w="60" w:type="dxa"/>
              <w:right w:w="90" w:type="dxa"/>
            </w:tcMar>
          </w:tcPr>
          <w:p w14:paraId="5FB2B245" w14:textId="77777777" w:rsidR="00954C20" w:rsidRDefault="00000000">
            <w:pPr>
              <w:spacing w:after="40" w:line="260" w:lineRule="auto"/>
            </w:pPr>
            <w:r>
              <w:rPr>
                <w:sz w:val="20"/>
                <w:szCs w:val="20"/>
              </w:rPr>
              <w:t>Immediate to medium term</w:t>
            </w:r>
          </w:p>
        </w:tc>
        <w:tc>
          <w:tcPr>
            <w:tcW w:w="897" w:type="pct"/>
            <w:tcMar>
              <w:top w:w="60" w:type="dxa"/>
              <w:left w:w="90" w:type="dxa"/>
              <w:bottom w:w="60" w:type="dxa"/>
              <w:right w:w="90" w:type="dxa"/>
            </w:tcMar>
          </w:tcPr>
          <w:p w14:paraId="656DDA87" w14:textId="77777777" w:rsidR="00954C20" w:rsidRDefault="00000000">
            <w:pPr>
              <w:spacing w:after="40" w:line="260" w:lineRule="auto"/>
            </w:pPr>
            <w:r>
              <w:rPr>
                <w:sz w:val="20"/>
                <w:szCs w:val="20"/>
              </w:rPr>
              <w:t>Fang and Chen (2026)</w:t>
            </w:r>
          </w:p>
        </w:tc>
      </w:tr>
      <w:tr w:rsidR="00954C20" w14:paraId="373259D3" w14:textId="77777777" w:rsidTr="00A1174E">
        <w:tc>
          <w:tcPr>
            <w:tcW w:w="951" w:type="pct"/>
            <w:tcMar>
              <w:top w:w="60" w:type="dxa"/>
              <w:left w:w="90" w:type="dxa"/>
              <w:bottom w:w="60" w:type="dxa"/>
              <w:right w:w="90" w:type="dxa"/>
            </w:tcMar>
          </w:tcPr>
          <w:p w14:paraId="476AA394" w14:textId="77777777" w:rsidR="00954C20" w:rsidRDefault="00000000">
            <w:pPr>
              <w:spacing w:after="40" w:line="260" w:lineRule="auto"/>
            </w:pPr>
            <w:r>
              <w:rPr>
                <w:sz w:val="20"/>
                <w:szCs w:val="20"/>
              </w:rPr>
              <w:t>Safety evaluation of publicly accessible conversational systems</w:t>
            </w:r>
          </w:p>
        </w:tc>
        <w:tc>
          <w:tcPr>
            <w:tcW w:w="1114" w:type="pct"/>
            <w:tcMar>
              <w:top w:w="60" w:type="dxa"/>
              <w:left w:w="90" w:type="dxa"/>
              <w:bottom w:w="60" w:type="dxa"/>
              <w:right w:w="90" w:type="dxa"/>
            </w:tcMar>
          </w:tcPr>
          <w:p w14:paraId="6112311E" w14:textId="77777777" w:rsidR="00954C20" w:rsidRDefault="00000000">
            <w:pPr>
              <w:spacing w:after="40" w:line="260" w:lineRule="auto"/>
            </w:pPr>
            <w:r>
              <w:rPr>
                <w:sz w:val="20"/>
                <w:szCs w:val="20"/>
              </w:rPr>
              <w:t>Consumer products respond inadequately to escalating suicidal risk, and adverse events are seldom reported</w:t>
            </w:r>
          </w:p>
        </w:tc>
        <w:tc>
          <w:tcPr>
            <w:tcW w:w="1359" w:type="pct"/>
            <w:tcMar>
              <w:top w:w="60" w:type="dxa"/>
              <w:left w:w="90" w:type="dxa"/>
              <w:bottom w:w="60" w:type="dxa"/>
              <w:right w:w="90" w:type="dxa"/>
            </w:tcMar>
          </w:tcPr>
          <w:p w14:paraId="11F32943" w14:textId="77777777" w:rsidR="00954C20" w:rsidRDefault="00000000">
            <w:pPr>
              <w:spacing w:after="40" w:line="260" w:lineRule="auto"/>
            </w:pPr>
            <w:r>
              <w:rPr>
                <w:sz w:val="20"/>
                <w:szCs w:val="20"/>
              </w:rPr>
              <w:t xml:space="preserve">Standardised adversarial safety benchmarks; mandatory adverse-event reporting; post-deployment surveillance; outcomes including failure to escalate </w:t>
            </w:r>
            <w:r>
              <w:rPr>
                <w:sz w:val="20"/>
                <w:szCs w:val="20"/>
              </w:rPr>
              <w:lastRenderedPageBreak/>
              <w:t>and provision of inaccurate crisis information</w:t>
            </w:r>
          </w:p>
        </w:tc>
        <w:tc>
          <w:tcPr>
            <w:tcW w:w="679" w:type="pct"/>
            <w:tcMar>
              <w:top w:w="60" w:type="dxa"/>
              <w:left w:w="90" w:type="dxa"/>
              <w:bottom w:w="60" w:type="dxa"/>
              <w:right w:w="90" w:type="dxa"/>
            </w:tcMar>
          </w:tcPr>
          <w:p w14:paraId="3882AF41" w14:textId="77777777" w:rsidR="00954C20" w:rsidRDefault="00000000">
            <w:pPr>
              <w:spacing w:after="40" w:line="260" w:lineRule="auto"/>
            </w:pPr>
            <w:r>
              <w:rPr>
                <w:sz w:val="20"/>
                <w:szCs w:val="20"/>
              </w:rPr>
              <w:lastRenderedPageBreak/>
              <w:t>Immediate</w:t>
            </w:r>
          </w:p>
        </w:tc>
        <w:tc>
          <w:tcPr>
            <w:tcW w:w="897" w:type="pct"/>
            <w:tcMar>
              <w:top w:w="60" w:type="dxa"/>
              <w:left w:w="90" w:type="dxa"/>
              <w:bottom w:w="60" w:type="dxa"/>
              <w:right w:w="90" w:type="dxa"/>
            </w:tcMar>
          </w:tcPr>
          <w:p w14:paraId="088A2822" w14:textId="77777777" w:rsidR="00954C20" w:rsidRDefault="00000000">
            <w:pPr>
              <w:spacing w:after="40" w:line="260" w:lineRule="auto"/>
            </w:pPr>
            <w:proofErr w:type="spellStart"/>
            <w:r>
              <w:rPr>
                <w:sz w:val="20"/>
                <w:szCs w:val="20"/>
              </w:rPr>
              <w:t>Linardon</w:t>
            </w:r>
            <w:proofErr w:type="spellEnd"/>
            <w:r>
              <w:rPr>
                <w:sz w:val="20"/>
                <w:szCs w:val="20"/>
              </w:rPr>
              <w:t xml:space="preserve">, Fuller-Tyszkiewicz, et al. (2024); </w:t>
            </w:r>
            <w:proofErr w:type="spellStart"/>
            <w:r>
              <w:rPr>
                <w:sz w:val="20"/>
                <w:szCs w:val="20"/>
              </w:rPr>
              <w:t>Pichowicz</w:t>
            </w:r>
            <w:proofErr w:type="spellEnd"/>
            <w:r>
              <w:rPr>
                <w:sz w:val="20"/>
                <w:szCs w:val="20"/>
              </w:rPr>
              <w:t xml:space="preserve"> et al. (2025)</w:t>
            </w:r>
          </w:p>
        </w:tc>
      </w:tr>
      <w:tr w:rsidR="00954C20" w14:paraId="6779844E" w14:textId="77777777" w:rsidTr="00A1174E">
        <w:tc>
          <w:tcPr>
            <w:tcW w:w="951" w:type="pct"/>
            <w:tcMar>
              <w:top w:w="60" w:type="dxa"/>
              <w:left w:w="90" w:type="dxa"/>
              <w:bottom w:w="60" w:type="dxa"/>
              <w:right w:w="90" w:type="dxa"/>
            </w:tcMar>
          </w:tcPr>
          <w:p w14:paraId="21ACB358" w14:textId="77777777" w:rsidR="00954C20" w:rsidRDefault="00000000">
            <w:pPr>
              <w:spacing w:after="40" w:line="260" w:lineRule="auto"/>
            </w:pPr>
            <w:r>
              <w:rPr>
                <w:sz w:val="20"/>
                <w:szCs w:val="20"/>
              </w:rPr>
              <w:t>Representative longitudinal datasets with harmonised outcomes</w:t>
            </w:r>
          </w:p>
        </w:tc>
        <w:tc>
          <w:tcPr>
            <w:tcW w:w="1114" w:type="pct"/>
            <w:tcMar>
              <w:top w:w="60" w:type="dxa"/>
              <w:left w:w="90" w:type="dxa"/>
              <w:bottom w:w="60" w:type="dxa"/>
              <w:right w:w="90" w:type="dxa"/>
            </w:tcMar>
          </w:tcPr>
          <w:p w14:paraId="7968F994" w14:textId="77777777" w:rsidR="00954C20" w:rsidRDefault="00000000">
            <w:pPr>
              <w:spacing w:after="40" w:line="260" w:lineRule="auto"/>
            </w:pPr>
            <w:r>
              <w:rPr>
                <w:sz w:val="20"/>
                <w:szCs w:val="20"/>
              </w:rPr>
              <w:t>Inconsistent outcome definitions and narrow linguistic and demographic coverage prevent comparison and transfer</w:t>
            </w:r>
          </w:p>
        </w:tc>
        <w:tc>
          <w:tcPr>
            <w:tcW w:w="1359" w:type="pct"/>
            <w:tcMar>
              <w:top w:w="60" w:type="dxa"/>
              <w:left w:w="90" w:type="dxa"/>
              <w:bottom w:w="60" w:type="dxa"/>
              <w:right w:w="90" w:type="dxa"/>
            </w:tcMar>
          </w:tcPr>
          <w:p w14:paraId="4B3B8EF6" w14:textId="77777777" w:rsidR="00954C20" w:rsidRDefault="00000000">
            <w:pPr>
              <w:spacing w:after="40" w:line="260" w:lineRule="auto"/>
            </w:pPr>
            <w:r>
              <w:rPr>
                <w:sz w:val="20"/>
                <w:szCs w:val="20"/>
              </w:rPr>
              <w:t>Consortium-scale multi-site and multi-lingual prospective collection; common outcome definitions; pre-specified subgroup performance reporting; equity addressed at the stage of problem formulation</w:t>
            </w:r>
          </w:p>
        </w:tc>
        <w:tc>
          <w:tcPr>
            <w:tcW w:w="679" w:type="pct"/>
            <w:tcMar>
              <w:top w:w="60" w:type="dxa"/>
              <w:left w:w="90" w:type="dxa"/>
              <w:bottom w:w="60" w:type="dxa"/>
              <w:right w:w="90" w:type="dxa"/>
            </w:tcMar>
          </w:tcPr>
          <w:p w14:paraId="46E8584C" w14:textId="77777777" w:rsidR="00954C20" w:rsidRDefault="00000000">
            <w:pPr>
              <w:spacing w:after="40" w:line="260" w:lineRule="auto"/>
            </w:pPr>
            <w:r>
              <w:rPr>
                <w:sz w:val="20"/>
                <w:szCs w:val="20"/>
              </w:rPr>
              <w:t>Long term</w:t>
            </w:r>
          </w:p>
        </w:tc>
        <w:tc>
          <w:tcPr>
            <w:tcW w:w="897" w:type="pct"/>
            <w:tcMar>
              <w:top w:w="60" w:type="dxa"/>
              <w:left w:w="90" w:type="dxa"/>
              <w:bottom w:w="60" w:type="dxa"/>
              <w:right w:w="90" w:type="dxa"/>
            </w:tcMar>
          </w:tcPr>
          <w:p w14:paraId="5A9028C9" w14:textId="77777777" w:rsidR="00954C20" w:rsidRDefault="00000000">
            <w:pPr>
              <w:spacing w:after="40" w:line="260" w:lineRule="auto"/>
            </w:pPr>
            <w:r>
              <w:rPr>
                <w:sz w:val="20"/>
                <w:szCs w:val="20"/>
              </w:rPr>
              <w:t>Maran et al. (2025); Straw and Callison-Burch (2020); Timmons et al. (2025)</w:t>
            </w:r>
          </w:p>
        </w:tc>
      </w:tr>
      <w:tr w:rsidR="00954C20" w14:paraId="5F69E4D5" w14:textId="77777777" w:rsidTr="00A1174E">
        <w:tc>
          <w:tcPr>
            <w:tcW w:w="951" w:type="pct"/>
            <w:tcMar>
              <w:top w:w="60" w:type="dxa"/>
              <w:left w:w="90" w:type="dxa"/>
              <w:bottom w:w="60" w:type="dxa"/>
              <w:right w:w="90" w:type="dxa"/>
            </w:tcMar>
          </w:tcPr>
          <w:p w14:paraId="3BD583A5" w14:textId="77777777" w:rsidR="00954C20" w:rsidRDefault="00000000">
            <w:pPr>
              <w:spacing w:after="40" w:line="260" w:lineRule="auto"/>
            </w:pPr>
            <w:r>
              <w:rPr>
                <w:sz w:val="20"/>
                <w:szCs w:val="20"/>
              </w:rPr>
              <w:t>Comparative effectiveness trials of generative interventions</w:t>
            </w:r>
          </w:p>
        </w:tc>
        <w:tc>
          <w:tcPr>
            <w:tcW w:w="1114" w:type="pct"/>
            <w:tcMar>
              <w:top w:w="60" w:type="dxa"/>
              <w:left w:w="90" w:type="dxa"/>
              <w:bottom w:w="60" w:type="dxa"/>
              <w:right w:w="90" w:type="dxa"/>
            </w:tcMar>
          </w:tcPr>
          <w:p w14:paraId="09282C95" w14:textId="77777777" w:rsidR="00954C20" w:rsidRDefault="00000000">
            <w:pPr>
              <w:spacing w:after="40" w:line="260" w:lineRule="auto"/>
            </w:pPr>
            <w:r>
              <w:rPr>
                <w:sz w:val="20"/>
                <w:szCs w:val="20"/>
              </w:rPr>
              <w:t>Existing randomised evidence relies on a waiting-list comparator over four weeks</w:t>
            </w:r>
          </w:p>
        </w:tc>
        <w:tc>
          <w:tcPr>
            <w:tcW w:w="1359" w:type="pct"/>
            <w:tcMar>
              <w:top w:w="60" w:type="dxa"/>
              <w:left w:w="90" w:type="dxa"/>
              <w:bottom w:w="60" w:type="dxa"/>
              <w:right w:w="90" w:type="dxa"/>
            </w:tcMar>
          </w:tcPr>
          <w:p w14:paraId="65430939" w14:textId="77777777" w:rsidR="00954C20" w:rsidRDefault="00000000">
            <w:pPr>
              <w:spacing w:after="40" w:line="260" w:lineRule="auto"/>
            </w:pPr>
            <w:r>
              <w:rPr>
                <w:sz w:val="20"/>
                <w:szCs w:val="20"/>
              </w:rPr>
              <w:t>Active comparators including guided self-help and rule-based agents; follow-up of at least six months; pre-registered outcomes; therapeutic alliance evaluated as a mechanism; model version specified</w:t>
            </w:r>
          </w:p>
        </w:tc>
        <w:tc>
          <w:tcPr>
            <w:tcW w:w="679" w:type="pct"/>
            <w:tcMar>
              <w:top w:w="60" w:type="dxa"/>
              <w:left w:w="90" w:type="dxa"/>
              <w:bottom w:w="60" w:type="dxa"/>
              <w:right w:w="90" w:type="dxa"/>
            </w:tcMar>
          </w:tcPr>
          <w:p w14:paraId="57C5B948" w14:textId="77777777" w:rsidR="00954C20" w:rsidRDefault="00000000">
            <w:pPr>
              <w:spacing w:after="40" w:line="260" w:lineRule="auto"/>
            </w:pPr>
            <w:r>
              <w:rPr>
                <w:sz w:val="20"/>
                <w:szCs w:val="20"/>
              </w:rPr>
              <w:t>Medium term</w:t>
            </w:r>
          </w:p>
        </w:tc>
        <w:tc>
          <w:tcPr>
            <w:tcW w:w="897" w:type="pct"/>
            <w:tcMar>
              <w:top w:w="60" w:type="dxa"/>
              <w:left w:w="90" w:type="dxa"/>
              <w:bottom w:w="60" w:type="dxa"/>
              <w:right w:w="90" w:type="dxa"/>
            </w:tcMar>
          </w:tcPr>
          <w:p w14:paraId="5761D65F" w14:textId="77777777" w:rsidR="00954C20" w:rsidRDefault="00000000">
            <w:pPr>
              <w:spacing w:after="40" w:line="260" w:lineRule="auto"/>
            </w:pPr>
            <w:r>
              <w:rPr>
                <w:sz w:val="20"/>
                <w:szCs w:val="20"/>
              </w:rPr>
              <w:t>Heinz et al. (2025); Liu et al. (2020); Zhang et al. (2025)</w:t>
            </w:r>
          </w:p>
        </w:tc>
      </w:tr>
      <w:tr w:rsidR="00954C20" w14:paraId="4D95574B" w14:textId="77777777" w:rsidTr="00A1174E">
        <w:tc>
          <w:tcPr>
            <w:tcW w:w="951" w:type="pct"/>
            <w:tcMar>
              <w:top w:w="60" w:type="dxa"/>
              <w:left w:w="90" w:type="dxa"/>
              <w:bottom w:w="60" w:type="dxa"/>
              <w:right w:w="90" w:type="dxa"/>
            </w:tcMar>
          </w:tcPr>
          <w:p w14:paraId="7C7CB5E9" w14:textId="77777777" w:rsidR="00954C20" w:rsidRDefault="00000000">
            <w:pPr>
              <w:spacing w:after="40" w:line="260" w:lineRule="auto"/>
            </w:pPr>
            <w:r>
              <w:rPr>
                <w:sz w:val="20"/>
                <w:szCs w:val="20"/>
              </w:rPr>
              <w:t>Decision-integration research</w:t>
            </w:r>
          </w:p>
        </w:tc>
        <w:tc>
          <w:tcPr>
            <w:tcW w:w="1114" w:type="pct"/>
            <w:tcMar>
              <w:top w:w="60" w:type="dxa"/>
              <w:left w:w="90" w:type="dxa"/>
              <w:bottom w:w="60" w:type="dxa"/>
              <w:right w:w="90" w:type="dxa"/>
            </w:tcMar>
          </w:tcPr>
          <w:p w14:paraId="575BB97C" w14:textId="77777777" w:rsidR="00954C20" w:rsidRDefault="00000000">
            <w:pPr>
              <w:spacing w:after="40" w:line="260" w:lineRule="auto"/>
            </w:pPr>
            <w:r>
              <w:rPr>
                <w:sz w:val="20"/>
                <w:szCs w:val="20"/>
              </w:rPr>
              <w:t>The effect of algorithmic output on clinician reasoning and subsequent action is unknown</w:t>
            </w:r>
          </w:p>
        </w:tc>
        <w:tc>
          <w:tcPr>
            <w:tcW w:w="1359" w:type="pct"/>
            <w:tcMar>
              <w:top w:w="60" w:type="dxa"/>
              <w:left w:w="90" w:type="dxa"/>
              <w:bottom w:w="60" w:type="dxa"/>
              <w:right w:w="90" w:type="dxa"/>
            </w:tcMar>
          </w:tcPr>
          <w:p w14:paraId="74E79E0A" w14:textId="77777777" w:rsidR="00954C20" w:rsidRDefault="00000000">
            <w:pPr>
              <w:spacing w:after="40" w:line="260" w:lineRule="auto"/>
            </w:pPr>
            <w:r>
              <w:rPr>
                <w:sz w:val="20"/>
                <w:szCs w:val="20"/>
              </w:rPr>
              <w:t>Prospective studies of clinician response to model predictions, with downstream decisions and patient outcomes as endpoints</w:t>
            </w:r>
          </w:p>
        </w:tc>
        <w:tc>
          <w:tcPr>
            <w:tcW w:w="679" w:type="pct"/>
            <w:tcMar>
              <w:top w:w="60" w:type="dxa"/>
              <w:left w:w="90" w:type="dxa"/>
              <w:bottom w:w="60" w:type="dxa"/>
              <w:right w:w="90" w:type="dxa"/>
            </w:tcMar>
          </w:tcPr>
          <w:p w14:paraId="74A6D739" w14:textId="77777777" w:rsidR="00954C20" w:rsidRDefault="00000000">
            <w:pPr>
              <w:spacing w:after="40" w:line="260" w:lineRule="auto"/>
            </w:pPr>
            <w:r>
              <w:rPr>
                <w:sz w:val="20"/>
                <w:szCs w:val="20"/>
              </w:rPr>
              <w:t>Medium term</w:t>
            </w:r>
          </w:p>
        </w:tc>
        <w:tc>
          <w:tcPr>
            <w:tcW w:w="897" w:type="pct"/>
            <w:tcMar>
              <w:top w:w="60" w:type="dxa"/>
              <w:left w:w="90" w:type="dxa"/>
              <w:bottom w:w="60" w:type="dxa"/>
              <w:right w:w="90" w:type="dxa"/>
            </w:tcMar>
          </w:tcPr>
          <w:p w14:paraId="3F9B8DA2" w14:textId="77777777" w:rsidR="00954C20" w:rsidRDefault="00000000">
            <w:pPr>
              <w:spacing w:after="40" w:line="260" w:lineRule="auto"/>
            </w:pPr>
            <w:r>
              <w:rPr>
                <w:sz w:val="20"/>
                <w:szCs w:val="20"/>
              </w:rPr>
              <w:t>Doraiswamy et al. (2020); Joyce et al. (2023)</w:t>
            </w:r>
          </w:p>
        </w:tc>
      </w:tr>
      <w:tr w:rsidR="00954C20" w14:paraId="5DF1E5CA" w14:textId="77777777" w:rsidTr="00A1174E">
        <w:tc>
          <w:tcPr>
            <w:tcW w:w="951" w:type="pct"/>
            <w:tcMar>
              <w:top w:w="60" w:type="dxa"/>
              <w:left w:w="90" w:type="dxa"/>
              <w:bottom w:w="60" w:type="dxa"/>
              <w:right w:w="90" w:type="dxa"/>
            </w:tcMar>
          </w:tcPr>
          <w:p w14:paraId="7542B11C" w14:textId="77777777" w:rsidR="00954C20" w:rsidRDefault="00000000">
            <w:pPr>
              <w:spacing w:after="40" w:line="260" w:lineRule="auto"/>
            </w:pPr>
            <w:r>
              <w:rPr>
                <w:sz w:val="20"/>
                <w:szCs w:val="20"/>
              </w:rPr>
              <w:t>Implementation in low-resource settings</w:t>
            </w:r>
          </w:p>
        </w:tc>
        <w:tc>
          <w:tcPr>
            <w:tcW w:w="1114" w:type="pct"/>
            <w:tcMar>
              <w:top w:w="60" w:type="dxa"/>
              <w:left w:w="90" w:type="dxa"/>
              <w:bottom w:w="60" w:type="dxa"/>
              <w:right w:w="90" w:type="dxa"/>
            </w:tcMar>
          </w:tcPr>
          <w:p w14:paraId="1A916959" w14:textId="77777777" w:rsidR="00954C20" w:rsidRDefault="00000000">
            <w:pPr>
              <w:spacing w:after="40" w:line="260" w:lineRule="auto"/>
            </w:pPr>
            <w:r>
              <w:rPr>
                <w:sz w:val="20"/>
                <w:szCs w:val="20"/>
              </w:rPr>
              <w:t>Available evidence concerns structured digital interventions rather than algorithmic systems</w:t>
            </w:r>
          </w:p>
        </w:tc>
        <w:tc>
          <w:tcPr>
            <w:tcW w:w="1359" w:type="pct"/>
            <w:tcMar>
              <w:top w:w="60" w:type="dxa"/>
              <w:left w:w="90" w:type="dxa"/>
              <w:bottom w:w="60" w:type="dxa"/>
              <w:right w:w="90" w:type="dxa"/>
            </w:tcMar>
          </w:tcPr>
          <w:p w14:paraId="57833DA4" w14:textId="77777777" w:rsidR="00954C20" w:rsidRDefault="00000000">
            <w:pPr>
              <w:spacing w:after="40" w:line="260" w:lineRule="auto"/>
            </w:pPr>
            <w:r>
              <w:rPr>
                <w:sz w:val="20"/>
                <w:szCs w:val="20"/>
              </w:rPr>
              <w:t>Pragmatic trials incorporating local linguistic and cultural adaptation, with infrastructure and access treated as measured variables rather than assumptions</w:t>
            </w:r>
          </w:p>
        </w:tc>
        <w:tc>
          <w:tcPr>
            <w:tcW w:w="679" w:type="pct"/>
            <w:tcMar>
              <w:top w:w="60" w:type="dxa"/>
              <w:left w:w="90" w:type="dxa"/>
              <w:bottom w:w="60" w:type="dxa"/>
              <w:right w:w="90" w:type="dxa"/>
            </w:tcMar>
          </w:tcPr>
          <w:p w14:paraId="60E0B343" w14:textId="77777777" w:rsidR="00954C20" w:rsidRDefault="00000000">
            <w:pPr>
              <w:spacing w:after="40" w:line="260" w:lineRule="auto"/>
            </w:pPr>
            <w:r>
              <w:rPr>
                <w:sz w:val="20"/>
                <w:szCs w:val="20"/>
              </w:rPr>
              <w:t>Long term</w:t>
            </w:r>
          </w:p>
        </w:tc>
        <w:tc>
          <w:tcPr>
            <w:tcW w:w="897" w:type="pct"/>
            <w:tcMar>
              <w:top w:w="60" w:type="dxa"/>
              <w:left w:w="90" w:type="dxa"/>
              <w:bottom w:w="60" w:type="dxa"/>
              <w:right w:w="90" w:type="dxa"/>
            </w:tcMar>
          </w:tcPr>
          <w:p w14:paraId="274A06C1" w14:textId="77777777" w:rsidR="00954C20" w:rsidRDefault="00000000">
            <w:pPr>
              <w:spacing w:after="40" w:line="260" w:lineRule="auto"/>
            </w:pPr>
            <w:proofErr w:type="spellStart"/>
            <w:r>
              <w:rPr>
                <w:sz w:val="20"/>
                <w:szCs w:val="20"/>
              </w:rPr>
              <w:t>Karyotaki</w:t>
            </w:r>
            <w:proofErr w:type="spellEnd"/>
            <w:r>
              <w:rPr>
                <w:sz w:val="20"/>
                <w:szCs w:val="20"/>
              </w:rPr>
              <w:t xml:space="preserve"> et al. (2023); Kozelka et al. (2023); World Health Organization (2024)</w:t>
            </w:r>
          </w:p>
        </w:tc>
      </w:tr>
    </w:tbl>
    <w:p w14:paraId="240961C2" w14:textId="77777777" w:rsidR="00954C20" w:rsidRDefault="00000000">
      <w:pPr>
        <w:spacing w:before="100" w:after="260" w:line="280" w:lineRule="auto"/>
      </w:pPr>
      <w:r>
        <w:rPr>
          <w:i/>
          <w:iCs/>
          <w:sz w:val="20"/>
          <w:szCs w:val="20"/>
        </w:rPr>
        <w:t>Note. Timescales indicate the period within which informative results could reasonably be expected given existing infrastructure, not the period required to complete all work in the category. Priorities are ordered by the extent to which addressing them would remove obstacles common to more than one application domain.</w:t>
      </w:r>
    </w:p>
    <w:p w14:paraId="16F80E1F" w14:textId="77777777" w:rsidR="00954C20" w:rsidRDefault="00000000">
      <w:pPr>
        <w:pStyle w:val="Heading1"/>
        <w:keepNext/>
        <w:spacing w:before="280" w:after="140" w:line="360" w:lineRule="auto"/>
      </w:pPr>
      <w:r>
        <w:rPr>
          <w:b/>
          <w:bCs/>
          <w:color w:val="000000"/>
          <w:sz w:val="26"/>
          <w:szCs w:val="26"/>
        </w:rPr>
        <w:t>Conclusions</w:t>
      </w:r>
    </w:p>
    <w:p w14:paraId="4542690B" w14:textId="77777777" w:rsidR="00954C20" w:rsidRDefault="00000000">
      <w:pPr>
        <w:spacing w:after="120" w:line="360" w:lineRule="auto"/>
        <w:jc w:val="both"/>
      </w:pPr>
      <w:r>
        <w:t>The evidence examined in this review supports a small number of defensible conclusions and does not support several claims that are commonly made.</w:t>
      </w:r>
    </w:p>
    <w:p w14:paraId="1FC4A42A" w14:textId="77777777" w:rsidR="00954C20" w:rsidRDefault="00000000">
      <w:pPr>
        <w:spacing w:after="120" w:line="360" w:lineRule="auto"/>
        <w:jc w:val="both"/>
      </w:pPr>
      <w:r>
        <w:t xml:space="preserve">The most secure conclusion concerns the gap between technical performance and clinical benefit. Across diagnosis, treatment personalisation and monitoring, models frequently achieve high accuracy within the datasets on which they were developed, and this accuracy has </w:t>
      </w:r>
      <w:r>
        <w:lastRenderedPageBreak/>
        <w:t>repeatedly failed to persist under independent evaluation. The demonstration that models predicting antipsychotic treatment outcome performed at chance level when applied to independent trials, and that pooling data across trials did not remedy the failure, is the clearest instance, and it is corroborated by the finding that the large majority of psychiatric prediction models carry high risk of bias and that only a minority have been externally validated at all. Within-sample performance should therefore be treated as uninformative about clinical prospects. This conclusion is strongly supported and is not seriously contested, although its scope remains debated: whether it reflects an intrinsic limit on prediction in psychiatry or the consequences of prevailing methodological practice is not settled by the available evidence, and the more restrained interpretation is better supported.</w:t>
      </w:r>
    </w:p>
    <w:p w14:paraId="55DA9894" w14:textId="77777777" w:rsidR="00954C20" w:rsidRDefault="00000000">
      <w:pPr>
        <w:spacing w:after="120" w:line="360" w:lineRule="auto"/>
        <w:jc w:val="both"/>
      </w:pPr>
      <w:r>
        <w:t>A second conclusion concerns the ordering of evidential maturity across domains. Conversational interventions, the most recently established application, are supported by randomised trials and by pooled effect estimates that have converged on small-to-moderate benefit conditional on baseline severity and comparator. Monitoring has reached the stage of prospective observational evaluation with moderate discrimination for relapse prediction, but without any trial demonstrating that acting on an early-warning signal improves outcomes. Diagnostic classification and treatment-response prediction, despite attracting the greatest research volume, remain almost entirely at the model-development stage. Evidential progress has tracked the availability of a well-defined outcome and a feasible comparator rather than the sophistication of the method, and this observation carries direct implications for where further investment is likely to yield returns.</w:t>
      </w:r>
    </w:p>
    <w:p w14:paraId="3E1C3DE2" w14:textId="77777777" w:rsidR="00954C20" w:rsidRDefault="00000000">
      <w:pPr>
        <w:spacing w:after="120" w:line="360" w:lineRule="auto"/>
        <w:jc w:val="both"/>
      </w:pPr>
      <w:r>
        <w:t>A third conclusion concerns the nature of the constraints. The obstacles identified across all three domains are substantially the same: internal validation in place of external validation, analytic flexibility that inflates apparent performance, development samples that are easier than target populations, outcome labels of limited reliability, neglect of calibration and of predictive value at realistic prevalence, and the near-absence of prospective evaluation of clinical impact. These are properties of the research infrastructure and of prevailing evidentiary practice rather than of the algorithms, and they will not be resolved by improved model architectures. The suicide risk prediction literature demonstrates the point most starkly, since models achieving areas under the curve conventionally described as excellent yield positive predictive values that preclude use as screening instruments in unselected populations.</w:t>
      </w:r>
    </w:p>
    <w:p w14:paraId="5C7ED1F4" w14:textId="77777777" w:rsidR="00954C20" w:rsidRDefault="00000000">
      <w:pPr>
        <w:spacing w:after="120" w:line="360" w:lineRule="auto"/>
        <w:jc w:val="both"/>
      </w:pPr>
      <w:r>
        <w:t xml:space="preserve">A fourth conclusion concerns governance. The evidentiary burden currently falls most heavily on applications that would enter supervised clinical practice and most lightly on those that </w:t>
      </w:r>
      <w:r>
        <w:lastRenderedPageBreak/>
        <w:t>reach users directly without professional intermediation. Consumer conversational products, which are accessible without clinical gatekeeping to people in acute distress, have been shown to respond inadequately to escalating suicidal risk, and adverse events are reported in only a minority of trials of mental health applications. This inversion of scrutiny relative to risk exposure is the most consequential structural problem identified here, and it is a matter of regulatory classification rather than of technical capability.</w:t>
      </w:r>
    </w:p>
    <w:p w14:paraId="08496917" w14:textId="77777777" w:rsidR="00954C20" w:rsidRDefault="00000000">
      <w:pPr>
        <w:spacing w:after="120" w:line="360" w:lineRule="auto"/>
        <w:jc w:val="both"/>
      </w:pPr>
      <w:r>
        <w:t>Taken together, these findings do not warrant either the enthusiasm or the dismissal that characterise much commentary. Artificial intelligence has produced measurable and replicated benefit in one narrow area, has produced credible but unconfirmed signals in another, and has produced an extensive model inventory of unestablished value in a third. The broader significance of this pattern lies in what it reveals about the conditions under which computational methods become clinically useful. Those conditions are reliable outcome measurement, representative and independent data, prospective evaluation against realistic comparators, and governance that attaches scrutiny to exposure. Where they have been met, progress has followed; where they have not, two decades of increasingly capable methods have produced very little that has changed what happens to patients.</w:t>
      </w:r>
    </w:p>
    <w:p w14:paraId="03515CF8" w14:textId="77777777" w:rsidR="00954C20" w:rsidRDefault="00000000">
      <w:pPr>
        <w:pStyle w:val="Heading1"/>
        <w:keepNext/>
        <w:spacing w:before="280" w:after="140" w:line="360" w:lineRule="auto"/>
      </w:pPr>
      <w:r>
        <w:rPr>
          <w:b/>
          <w:bCs/>
          <w:color w:val="000000"/>
          <w:sz w:val="26"/>
          <w:szCs w:val="26"/>
        </w:rPr>
        <w:t>Limitations</w:t>
      </w:r>
    </w:p>
    <w:p w14:paraId="63683FC1" w14:textId="77777777" w:rsidR="00954C20" w:rsidRDefault="00000000">
      <w:pPr>
        <w:spacing w:after="120" w:line="360" w:lineRule="auto"/>
        <w:jc w:val="both"/>
      </w:pPr>
      <w:r>
        <w:t>This review is subject to the limitations intrinsic to the narrative form. Study selection was purposive rather than exhaustive, and the identification, weighting and interpretation of evidence reflect analytic judgements that another reviewer might have made differently. Although the search strategy, sources, period and eligibility criteria have been reported so that the basis of selection can be examined, the possibility of selection bias and of interpretive bias cannot be excluded, and no formal procedure was used to protect against either. The absence of duplicate independent screening and of a second appraiser is a further constraint on reliability.</w:t>
      </w:r>
    </w:p>
    <w:p w14:paraId="3162A8A8" w14:textId="77777777" w:rsidR="00954C20" w:rsidRDefault="00000000">
      <w:pPr>
        <w:spacing w:after="120" w:line="360" w:lineRule="auto"/>
        <w:jc w:val="both"/>
      </w:pPr>
      <w:r>
        <w:t xml:space="preserve">Access to subscription-only citation indexes and to specialist psychological and biomedical databases was not available during preparation. Retrieval therefore depended on a bibliographic metadata registry, a biomedical citation index, targeted searching of scholarly and institutional sources, and citation tracking. Literature indexed exclusively in inaccessible resources, and literature in disciplines whose principal outlets are not covered by the sources used, may consequently be under-represented. Where full text could not be obtained, appraisal </w:t>
      </w:r>
      <w:r>
        <w:lastRenderedPageBreak/>
        <w:t>relied on abstracts containing sufficient methodological and numerical detail, which permits verification of reported findings but not independent scrutiny of their derivation.</w:t>
      </w:r>
    </w:p>
    <w:p w14:paraId="30ED01D6" w14:textId="77777777" w:rsidR="00954C20" w:rsidRDefault="00000000">
      <w:pPr>
        <w:spacing w:after="120" w:line="360" w:lineRule="auto"/>
        <w:jc w:val="both"/>
      </w:pPr>
      <w:r>
        <w:t>The review was restricted to sources in English. Given that linguistic and cultural narrowness of training data is identified here as a substantive weakness of the underlying evidence base, this restriction is likely to have compounded the geographical imbalance it describes, and evidence from non-English-speaking research communities is probably under-represented in the synthesis.</w:t>
      </w:r>
    </w:p>
    <w:p w14:paraId="0F6C2931" w14:textId="77777777" w:rsidR="00954C20" w:rsidRDefault="00000000">
      <w:pPr>
        <w:spacing w:after="120" w:line="360" w:lineRule="auto"/>
        <w:jc w:val="both"/>
      </w:pPr>
      <w:r>
        <w:t>Heterogeneity across the evidence base constrains what could be concluded. The included literature spans case-control classification studies, prognostic modelling in routinely collected records, observational sensing cohorts and randomised trials, and these designs differ in outcome definition, performance metric and unit of analysis to a degree that precludes quantitative synthesis. Comparisons across domains are therefore qualitative, and statements about relative evidential maturity should be read as structured judgements rather than as measured quantities. Where pooled estimates are reported, they derive from published meta-analyses whose inclusion criteria and analytic decisions were not independently verified.</w:t>
      </w:r>
    </w:p>
    <w:p w14:paraId="4374E3FD" w14:textId="77777777" w:rsidR="00954C20" w:rsidRDefault="00000000">
      <w:pPr>
        <w:spacing w:after="120" w:line="360" w:lineRule="auto"/>
        <w:jc w:val="both"/>
      </w:pPr>
      <w:r>
        <w:t>Several features of the primary literature limit confidence further. Much of the evidence rests on observational designs and on internally validated models whose performance in deployment is unknown. Comparability among studies is restricted by inconsistent operationalisation of central outcomes including relapse, response and remission. Long-term evidence is scarce across every domain, with follow-up in intervention trials typically measured in weeks, so conclusions about durability are not available. Publication bias is likely, since models yielding poor performance are less likely to be published and adverse events are reported in only a minority of intervention trials, and the direction of both biases favours optimistic conclusions. Geographical representation is uneven, with evidence concentrated in high-income settings.</w:t>
      </w:r>
    </w:p>
    <w:p w14:paraId="765B3AAC" w14:textId="77777777" w:rsidR="00954C20" w:rsidRDefault="00000000">
      <w:pPr>
        <w:spacing w:after="120" w:line="360" w:lineRule="auto"/>
        <w:jc w:val="both"/>
      </w:pPr>
      <w:r>
        <w:t>Finally, this is a field in which capability changes rapidly. Generative systems are updated frequently, and evidence concerning a specific model version may not describe its successors. Findings reported here reflect the literature available to the stated search date and should be revisited as the evidence base develops.</w:t>
      </w:r>
    </w:p>
    <w:p w14:paraId="0E8405C1" w14:textId="77777777" w:rsidR="0031696A" w:rsidRDefault="0031696A">
      <w:pPr>
        <w:spacing w:after="120" w:line="360" w:lineRule="auto"/>
        <w:jc w:val="both"/>
      </w:pPr>
    </w:p>
    <w:p w14:paraId="2C0462DF" w14:textId="77777777" w:rsidR="0031696A" w:rsidRPr="000839CE" w:rsidRDefault="0031696A" w:rsidP="0031696A">
      <w:pPr>
        <w:rPr>
          <w:b/>
        </w:rPr>
      </w:pPr>
      <w:r w:rsidRPr="000839CE">
        <w:rPr>
          <w:b/>
        </w:rPr>
        <w:t>Declaration of AI Use</w:t>
      </w:r>
    </w:p>
    <w:p w14:paraId="3F51DCE7" w14:textId="77777777" w:rsidR="0031696A" w:rsidRPr="000839CE" w:rsidRDefault="0031696A" w:rsidP="0031696A"/>
    <w:p w14:paraId="4294663B" w14:textId="77777777" w:rsidR="0031696A" w:rsidRPr="000839CE" w:rsidRDefault="0031696A" w:rsidP="0031696A">
      <w:pPr>
        <w:jc w:val="both"/>
      </w:pPr>
      <w:r w:rsidRPr="00C56790">
        <w:t xml:space="preserve">This manuscript was prepared through the combined contributions of all author(s), including contributions to the study design, data, content development, results, interpretation, and related </w:t>
      </w:r>
      <w:r w:rsidRPr="00C56790">
        <w:lastRenderedPageBreak/>
        <w:t>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3F6A5023" w14:textId="77777777" w:rsidR="0031696A" w:rsidRDefault="0031696A">
      <w:pPr>
        <w:spacing w:after="120" w:line="360" w:lineRule="auto"/>
        <w:jc w:val="both"/>
      </w:pPr>
    </w:p>
    <w:p w14:paraId="24E6C98E" w14:textId="77777777" w:rsidR="00954C20" w:rsidRDefault="00000000">
      <w:pPr>
        <w:pStyle w:val="Heading1"/>
        <w:keepNext/>
        <w:spacing w:before="280" w:after="140" w:line="360" w:lineRule="auto"/>
      </w:pPr>
      <w:r>
        <w:rPr>
          <w:b/>
          <w:bCs/>
          <w:color w:val="000000"/>
          <w:sz w:val="26"/>
          <w:szCs w:val="26"/>
        </w:rPr>
        <w:t>References</w:t>
      </w:r>
    </w:p>
    <w:p w14:paraId="44CF03CF" w14:textId="77777777" w:rsidR="00954C20" w:rsidRDefault="00000000">
      <w:pPr>
        <w:spacing w:after="160" w:line="360" w:lineRule="auto"/>
        <w:ind w:left="720" w:hanging="720"/>
      </w:pPr>
      <w:r>
        <w:t xml:space="preserve">Briganti, G., &amp; Lechien, J. R. (2025). Speech and voice quality as digital biomarkers in depression: A systematic review. </w:t>
      </w:r>
      <w:r>
        <w:rPr>
          <w:i/>
          <w:iCs/>
        </w:rPr>
        <w:t>Journal of Voice</w:t>
      </w:r>
      <w:r>
        <w:t>. Advance online publication. https://doi.org/10.1016/j.jvoice.2025.05.002</w:t>
      </w:r>
    </w:p>
    <w:p w14:paraId="54D1F104" w14:textId="77777777" w:rsidR="00954C20" w:rsidRDefault="00000000">
      <w:pPr>
        <w:spacing w:after="160" w:line="360" w:lineRule="auto"/>
        <w:ind w:left="720" w:hanging="720"/>
      </w:pPr>
      <w:proofErr w:type="spellStart"/>
      <w:r>
        <w:t>Chekroud</w:t>
      </w:r>
      <w:proofErr w:type="spellEnd"/>
      <w:r>
        <w:t xml:space="preserve">, A. M., Bondar, J., Delgadillo, J., Doherty, G., Wasil, A., </w:t>
      </w:r>
      <w:proofErr w:type="spellStart"/>
      <w:r>
        <w:t>Fokkema</w:t>
      </w:r>
      <w:proofErr w:type="spellEnd"/>
      <w:r>
        <w:t xml:space="preserve">, M., Cohen, Z., Belgrave, D., DeRubeis, R., Iniesta, R., Dwyer, D., &amp; Choi, K. (2021). The promise of machine learning in predicting treatment outcomes in psychiatry. </w:t>
      </w:r>
      <w:r>
        <w:rPr>
          <w:i/>
          <w:iCs/>
        </w:rPr>
        <w:t>World Psychiatry, 20</w:t>
      </w:r>
      <w:r>
        <w:t>(2), 154-170. https://doi.org/10.1002/wps.20882</w:t>
      </w:r>
    </w:p>
    <w:p w14:paraId="151817F9" w14:textId="77777777" w:rsidR="00954C20" w:rsidRDefault="00000000">
      <w:pPr>
        <w:spacing w:after="160" w:line="360" w:lineRule="auto"/>
        <w:ind w:left="720" w:hanging="720"/>
      </w:pPr>
      <w:proofErr w:type="spellStart"/>
      <w:r>
        <w:t>Chekroud</w:t>
      </w:r>
      <w:proofErr w:type="spellEnd"/>
      <w:r>
        <w:t xml:space="preserve">, A. M., Hawrilenko, M., </w:t>
      </w:r>
      <w:proofErr w:type="spellStart"/>
      <w:r>
        <w:t>Loho</w:t>
      </w:r>
      <w:proofErr w:type="spellEnd"/>
      <w:r>
        <w:t xml:space="preserve">, H., Bondar, J., Gueorguieva, R., Hasan, A., Kambeitz, J., Corlett, P. R., </w:t>
      </w:r>
      <w:proofErr w:type="spellStart"/>
      <w:r>
        <w:t>Koutsouleris</w:t>
      </w:r>
      <w:proofErr w:type="spellEnd"/>
      <w:r>
        <w:t xml:space="preserve">, N., Krumholz, H. M., Krystal, J. H., &amp; Paulus, M. (2024). Illusory generalizability of clinical prediction models. </w:t>
      </w:r>
      <w:r>
        <w:rPr>
          <w:i/>
          <w:iCs/>
        </w:rPr>
        <w:t>Science, 383</w:t>
      </w:r>
      <w:r>
        <w:t>(6679), 164-167. https://doi.org/10.1126/science.adg8538</w:t>
      </w:r>
    </w:p>
    <w:p w14:paraId="585C660D" w14:textId="77777777" w:rsidR="00954C20" w:rsidRDefault="00000000">
      <w:pPr>
        <w:spacing w:after="160" w:line="360" w:lineRule="auto"/>
        <w:ind w:left="720" w:hanging="720"/>
      </w:pPr>
      <w:proofErr w:type="spellStart"/>
      <w:r>
        <w:t>Chekroud</w:t>
      </w:r>
      <w:proofErr w:type="spellEnd"/>
      <w:r>
        <w:t xml:space="preserve">, A. M., Zotti, R. J., Shehzad, Z., Gueorguieva, R., Johnson, M. K., Trivedi, M. H., Cannon, T. D., Krystal, J. H., &amp; Corlett, P. R. (2016). Cross-trial prediction of treatment outcome in depression: A machine learning approach. </w:t>
      </w:r>
      <w:r>
        <w:rPr>
          <w:i/>
          <w:iCs/>
        </w:rPr>
        <w:t>The Lancet Psychiatry, 3</w:t>
      </w:r>
      <w:r>
        <w:t>(3), 243-250. https://doi.org/10.1016/S2215-0366(15)00471-X</w:t>
      </w:r>
    </w:p>
    <w:p w14:paraId="6BC3DC35" w14:textId="77777777" w:rsidR="00954C20" w:rsidRDefault="00000000">
      <w:pPr>
        <w:spacing w:after="160" w:line="360" w:lineRule="auto"/>
        <w:ind w:left="720" w:hanging="720"/>
      </w:pPr>
      <w:r>
        <w:t xml:space="preserve">Collins, G. S., Moons, K. G. M., Dhiman, P., Riley, R. D., Beam, A. L., Van </w:t>
      </w:r>
      <w:proofErr w:type="spellStart"/>
      <w:r>
        <w:t>Calster</w:t>
      </w:r>
      <w:proofErr w:type="spellEnd"/>
      <w:r>
        <w:t xml:space="preserve">, B., Ghassemi, M., Liu, X., Reitsma, J. B., van Smeden, M., Boulesteix, A.-L., </w:t>
      </w:r>
      <w:proofErr w:type="spellStart"/>
      <w:r>
        <w:t>Camaradou</w:t>
      </w:r>
      <w:proofErr w:type="spellEnd"/>
      <w:r>
        <w:t xml:space="preserve">, J. C., Celi, L. A., </w:t>
      </w:r>
      <w:proofErr w:type="spellStart"/>
      <w:r>
        <w:t>Denaxas</w:t>
      </w:r>
      <w:proofErr w:type="spellEnd"/>
      <w:r>
        <w:t xml:space="preserve">, S., Denniston, A. K., Glocker, B., Golub, R. M., Harvey, H., Heinze, G., ... Logullo, P. (2024). TRIPOD+AI statement: Updated guidance for reporting clinical prediction models that use regression or machine learning methods. </w:t>
      </w:r>
      <w:r>
        <w:rPr>
          <w:i/>
          <w:iCs/>
        </w:rPr>
        <w:t>BMJ, 385</w:t>
      </w:r>
      <w:r>
        <w:t>, e078378. https://doi.org/10.1136/bmj-2023-078378</w:t>
      </w:r>
    </w:p>
    <w:p w14:paraId="53E3D523" w14:textId="77777777" w:rsidR="00954C20" w:rsidRDefault="00000000">
      <w:pPr>
        <w:spacing w:after="160" w:line="360" w:lineRule="auto"/>
        <w:ind w:left="720" w:hanging="720"/>
      </w:pPr>
      <w:r>
        <w:t xml:space="preserve">Cruz-Gonzalez, P., He, A. W.-J., Lam, E. P., Ng, I. M. C., Li, M. W., Hou, R., Chan, J. N.-M., Sahni, Y., Vinas Guasch, N., Miller, T., Lau, B. W.-M., &amp; Sanchez Vidana, D. I. (2025). Artificial intelligence in mental health care: A systematic review of diagnosis, </w:t>
      </w:r>
      <w:r>
        <w:lastRenderedPageBreak/>
        <w:t xml:space="preserve">monitoring, and intervention applications. </w:t>
      </w:r>
      <w:r>
        <w:rPr>
          <w:i/>
          <w:iCs/>
        </w:rPr>
        <w:t>Psychological Medicine, 55</w:t>
      </w:r>
      <w:r>
        <w:t>, e18. https://doi.org/10.1017/S0033291724003295</w:t>
      </w:r>
    </w:p>
    <w:p w14:paraId="66749187" w14:textId="77777777" w:rsidR="00954C20" w:rsidRDefault="00000000">
      <w:pPr>
        <w:spacing w:after="160" w:line="360" w:lineRule="auto"/>
        <w:ind w:left="720" w:hanging="720"/>
      </w:pPr>
      <w:proofErr w:type="spellStart"/>
      <w:r>
        <w:t>Dehbozorgi</w:t>
      </w:r>
      <w:proofErr w:type="spellEnd"/>
      <w:r>
        <w:t xml:space="preserve">, R., Zangeneh, S., </w:t>
      </w:r>
      <w:proofErr w:type="spellStart"/>
      <w:r>
        <w:t>Khooshab</w:t>
      </w:r>
      <w:proofErr w:type="spellEnd"/>
      <w:r>
        <w:t xml:space="preserve">, E., Nia, D. H., Hanif, H. R., Samian, P., Yousefi, M., Hashemi, F. H., Vakili, M., </w:t>
      </w:r>
      <w:proofErr w:type="spellStart"/>
      <w:r>
        <w:t>Jamalimoghadam</w:t>
      </w:r>
      <w:proofErr w:type="spellEnd"/>
      <w:r>
        <w:t xml:space="preserve">, N., &amp; </w:t>
      </w:r>
      <w:proofErr w:type="spellStart"/>
      <w:r>
        <w:t>Lohrasebi</w:t>
      </w:r>
      <w:proofErr w:type="spellEnd"/>
      <w:r>
        <w:t xml:space="preserve">, F. (2025). The application of artificial intelligence in the field of mental health: A systematic review. </w:t>
      </w:r>
      <w:r>
        <w:rPr>
          <w:i/>
          <w:iCs/>
        </w:rPr>
        <w:t>BMC Psychiatry, 25</w:t>
      </w:r>
      <w:r>
        <w:t>, 132. https://doi.org/10.1186/s12888-025-06483-2</w:t>
      </w:r>
    </w:p>
    <w:p w14:paraId="20FFE4E0" w14:textId="77777777" w:rsidR="00954C20" w:rsidRDefault="00000000">
      <w:pPr>
        <w:spacing w:after="160" w:line="360" w:lineRule="auto"/>
        <w:ind w:left="720" w:hanging="720"/>
      </w:pPr>
      <w:r>
        <w:t xml:space="preserve">Doraiswamy, P. M., Blease, C., &amp; Bodner, K. (2020). Artificial intelligence and the future of psychiatry: Insights from a global physician survey. </w:t>
      </w:r>
      <w:r>
        <w:rPr>
          <w:i/>
          <w:iCs/>
        </w:rPr>
        <w:t>Artificial Intelligence in Medicine, 102</w:t>
      </w:r>
      <w:r>
        <w:t>, 101753. https://doi.org/10.1016/j.artmed.2019.101753</w:t>
      </w:r>
    </w:p>
    <w:p w14:paraId="13FC3062" w14:textId="77777777" w:rsidR="00954C20" w:rsidRDefault="00000000">
      <w:pPr>
        <w:spacing w:after="160" w:line="360" w:lineRule="auto"/>
        <w:ind w:left="720" w:hanging="720"/>
      </w:pPr>
      <w:r>
        <w:t xml:space="preserve">Fang, S.-S., &amp; Chen, S.-H. (2026). Digital phenotyping for predicting relapse in psychiatric disorders: A systematic review of passive sensing approaches. </w:t>
      </w:r>
      <w:r>
        <w:rPr>
          <w:i/>
          <w:iCs/>
        </w:rPr>
        <w:t>BMC Psychiatry, 26</w:t>
      </w:r>
      <w:r>
        <w:t>, 507. https://doi.org/10.1186/s12888-026-08157-z</w:t>
      </w:r>
    </w:p>
    <w:p w14:paraId="4CD8CC42" w14:textId="77777777" w:rsidR="00954C20" w:rsidRDefault="00000000">
      <w:pPr>
        <w:spacing w:after="160" w:line="360" w:lineRule="auto"/>
        <w:ind w:left="720" w:hanging="720"/>
      </w:pPr>
      <w:r>
        <w:t xml:space="preserve">Fitzpatrick, K. K., Darcy, A., &amp; </w:t>
      </w:r>
      <w:proofErr w:type="spellStart"/>
      <w:r>
        <w:t>Vierhile</w:t>
      </w:r>
      <w:proofErr w:type="spellEnd"/>
      <w:r>
        <w:t xml:space="preserve">, M. (2017). Delivering cognitive </w:t>
      </w:r>
      <w:proofErr w:type="spellStart"/>
      <w:r>
        <w:t>behavior</w:t>
      </w:r>
      <w:proofErr w:type="spellEnd"/>
      <w:r>
        <w:t xml:space="preserve"> therapy to young adults with symptoms of depression and anxiety using a fully automated conversational agent (</w:t>
      </w:r>
      <w:proofErr w:type="spellStart"/>
      <w:r>
        <w:t>Woebot</w:t>
      </w:r>
      <w:proofErr w:type="spellEnd"/>
      <w:r>
        <w:t xml:space="preserve">): A randomized controlled trial. </w:t>
      </w:r>
      <w:r>
        <w:rPr>
          <w:i/>
          <w:iCs/>
        </w:rPr>
        <w:t>JMIR Mental Health, 4</w:t>
      </w:r>
      <w:r>
        <w:t>(2), e19. https://doi.org/10.2196/mental.7785</w:t>
      </w:r>
    </w:p>
    <w:p w14:paraId="3420E3B5" w14:textId="77777777" w:rsidR="00954C20" w:rsidRDefault="00000000">
      <w:pPr>
        <w:spacing w:after="160" w:line="360" w:lineRule="auto"/>
        <w:ind w:left="720" w:hanging="720"/>
      </w:pPr>
      <w:r>
        <w:t xml:space="preserve">Gaffney, H., Mansell, W., &amp; Tai, S. (2019). Conversational agents in the treatment of mental health problems: Mixed-method systematic review. </w:t>
      </w:r>
      <w:r>
        <w:rPr>
          <w:i/>
          <w:iCs/>
        </w:rPr>
        <w:t>JMIR Mental Health, 6</w:t>
      </w:r>
      <w:r>
        <w:t>(10), e14166. https://doi.org/10.2196/14166</w:t>
      </w:r>
    </w:p>
    <w:p w14:paraId="6CCC6786" w14:textId="77777777" w:rsidR="00954C20" w:rsidRDefault="00000000">
      <w:pPr>
        <w:spacing w:after="160" w:line="360" w:lineRule="auto"/>
        <w:ind w:left="720" w:hanging="720"/>
      </w:pPr>
      <w:r>
        <w:t xml:space="preserve">GBD 2019 Mental Disorders Collaborators. (2022). Global, regional, and national burden of 12 mental disorders in 204 countries and territories, 1990-2019: A systematic analysis for the Global Burden of Disease Study 2019. </w:t>
      </w:r>
      <w:r>
        <w:rPr>
          <w:i/>
          <w:iCs/>
        </w:rPr>
        <w:t>The Lancet Psychiatry, 9</w:t>
      </w:r>
      <w:r>
        <w:t>(2), 137-150. https://doi.org/10.1016/S2215-0366(21)00395-3</w:t>
      </w:r>
    </w:p>
    <w:p w14:paraId="78AC7889" w14:textId="77777777" w:rsidR="00954C20" w:rsidRDefault="00000000">
      <w:pPr>
        <w:spacing w:after="160" w:line="360" w:lineRule="auto"/>
        <w:ind w:left="720" w:hanging="720"/>
      </w:pPr>
      <w:r>
        <w:t xml:space="preserve">Heinz, M. V., Mackin, D. M., Trudeau, B. M., Bhattacharya, S., Wang, Y., Banta, H. A., Jewett, A. D., </w:t>
      </w:r>
      <w:proofErr w:type="spellStart"/>
      <w:r>
        <w:t>Salzhauer</w:t>
      </w:r>
      <w:proofErr w:type="spellEnd"/>
      <w:r>
        <w:t xml:space="preserve">, A. J., Griffin, T. Z., &amp; Jacobson, N. C. (2025). Randomized trial of a generative AI chatbot for mental health treatment. </w:t>
      </w:r>
      <w:r>
        <w:rPr>
          <w:i/>
          <w:iCs/>
        </w:rPr>
        <w:t>NEJM AI, 2</w:t>
      </w:r>
      <w:r>
        <w:t>(4). https://doi.org/10.1056/AIoa2400802</w:t>
      </w:r>
    </w:p>
    <w:p w14:paraId="0B991F87" w14:textId="77777777" w:rsidR="00954C20" w:rsidRDefault="00000000">
      <w:pPr>
        <w:spacing w:after="160" w:line="360" w:lineRule="auto"/>
        <w:ind w:left="720" w:hanging="720"/>
      </w:pPr>
      <w:r>
        <w:t xml:space="preserve">Hua, Y., Na, H., Li, Z., Liu, F., Fang, X., Clifton, D., &amp; </w:t>
      </w:r>
      <w:proofErr w:type="spellStart"/>
      <w:r>
        <w:t>Torous</w:t>
      </w:r>
      <w:proofErr w:type="spellEnd"/>
      <w:r>
        <w:t xml:space="preserve">, J. (2025). A scoping review of large language models for generative tasks in mental health care. </w:t>
      </w:r>
      <w:proofErr w:type="spellStart"/>
      <w:r>
        <w:rPr>
          <w:i/>
          <w:iCs/>
        </w:rPr>
        <w:t>npj</w:t>
      </w:r>
      <w:proofErr w:type="spellEnd"/>
      <w:r>
        <w:rPr>
          <w:i/>
          <w:iCs/>
        </w:rPr>
        <w:t xml:space="preserve"> Digital Medicine, 8</w:t>
      </w:r>
      <w:r>
        <w:t>, 230. https://doi.org/10.1038/s41746-025-01611-4</w:t>
      </w:r>
    </w:p>
    <w:p w14:paraId="0C5B25FC" w14:textId="77777777" w:rsidR="00954C20" w:rsidRDefault="00000000">
      <w:pPr>
        <w:spacing w:after="160" w:line="360" w:lineRule="auto"/>
        <w:ind w:left="720" w:hanging="720"/>
      </w:pPr>
      <w:r>
        <w:lastRenderedPageBreak/>
        <w:t xml:space="preserve">Huckvale, K., </w:t>
      </w:r>
      <w:proofErr w:type="spellStart"/>
      <w:r>
        <w:t>Torous</w:t>
      </w:r>
      <w:proofErr w:type="spellEnd"/>
      <w:r>
        <w:t xml:space="preserve">, J., &amp; Larsen, M. E. (2019). Assessment of the data sharing and privacy practices of smartphone apps for depression and smoking cessation. </w:t>
      </w:r>
      <w:r>
        <w:rPr>
          <w:i/>
          <w:iCs/>
        </w:rPr>
        <w:t>JAMA Network Open, 2</w:t>
      </w:r>
      <w:r>
        <w:t>(4), e192542. https://doi.org/10.1001/jamanetworkopen.2019.2542</w:t>
      </w:r>
    </w:p>
    <w:p w14:paraId="1FCCE0E8" w14:textId="77777777" w:rsidR="00954C20" w:rsidRDefault="00000000">
      <w:pPr>
        <w:spacing w:after="160" w:line="360" w:lineRule="auto"/>
        <w:ind w:left="720" w:hanging="720"/>
      </w:pPr>
      <w:r>
        <w:t xml:space="preserve">Irving, J., Patel, R., Oliver, D., Colling, C., Pritchard, M., Broadbent, M., Baldwin, H., Stahl, D., Stewart, R., &amp; </w:t>
      </w:r>
      <w:proofErr w:type="spellStart"/>
      <w:r>
        <w:t>Fusar</w:t>
      </w:r>
      <w:proofErr w:type="spellEnd"/>
      <w:r>
        <w:t xml:space="preserve">-Poli, P. (2021). Using natural language processing on electronic health records to enhance detection and prediction of psychosis risk. </w:t>
      </w:r>
      <w:r>
        <w:rPr>
          <w:i/>
          <w:iCs/>
        </w:rPr>
        <w:t>Schizophrenia Bulletin, 47</w:t>
      </w:r>
      <w:r>
        <w:t>(2), 405-414. https://doi.org/10.1093/schbul/sbaa126</w:t>
      </w:r>
    </w:p>
    <w:p w14:paraId="11DCEC24" w14:textId="77777777" w:rsidR="00954C20" w:rsidRDefault="00000000">
      <w:pPr>
        <w:spacing w:after="160" w:line="360" w:lineRule="auto"/>
        <w:ind w:left="720" w:hanging="720"/>
      </w:pPr>
      <w:r>
        <w:t xml:space="preserve">Joyce, D. W., </w:t>
      </w:r>
      <w:proofErr w:type="spellStart"/>
      <w:r>
        <w:t>Kormilitzin</w:t>
      </w:r>
      <w:proofErr w:type="spellEnd"/>
      <w:r>
        <w:t xml:space="preserve">, A., Smith, K. A., &amp; Cipriani, A. (2023). Explainable artificial intelligence for mental health through transparency and interpretability for understandability. </w:t>
      </w:r>
      <w:proofErr w:type="spellStart"/>
      <w:r>
        <w:rPr>
          <w:i/>
          <w:iCs/>
        </w:rPr>
        <w:t>npj</w:t>
      </w:r>
      <w:proofErr w:type="spellEnd"/>
      <w:r>
        <w:rPr>
          <w:i/>
          <w:iCs/>
        </w:rPr>
        <w:t xml:space="preserve"> Digital Medicine, 6</w:t>
      </w:r>
      <w:r>
        <w:t>, 6. https://doi.org/10.1038/s41746-023-00751-9</w:t>
      </w:r>
    </w:p>
    <w:p w14:paraId="635BDBF8" w14:textId="77777777" w:rsidR="00954C20" w:rsidRDefault="00000000">
      <w:pPr>
        <w:spacing w:after="160" w:line="360" w:lineRule="auto"/>
        <w:ind w:left="720" w:hanging="720"/>
      </w:pPr>
      <w:r>
        <w:t xml:space="preserve">Karyotaki, E., Miguel, C., Panagiotopoulou, O. M., Harrer, M., Seward, N., </w:t>
      </w:r>
      <w:proofErr w:type="spellStart"/>
      <w:r>
        <w:t>Sijbrandij</w:t>
      </w:r>
      <w:proofErr w:type="spellEnd"/>
      <w:r>
        <w:t xml:space="preserve">, M., Araya, R., Patel, V., &amp; Cuijpers, P. (2023). Digital interventions for common mental disorders in low- and middle-income countries: A systematic review and meta-analysis. </w:t>
      </w:r>
      <w:r>
        <w:rPr>
          <w:i/>
          <w:iCs/>
        </w:rPr>
        <w:t>Cambridge Prisms: Global Mental Health, 10</w:t>
      </w:r>
      <w:r>
        <w:t>, e68. https://doi.org/10.1017/gmh.2023.50</w:t>
      </w:r>
    </w:p>
    <w:p w14:paraId="5612B074" w14:textId="77777777" w:rsidR="00954C20" w:rsidRDefault="00000000">
      <w:pPr>
        <w:spacing w:after="160" w:line="360" w:lineRule="auto"/>
        <w:ind w:left="720" w:hanging="720"/>
      </w:pPr>
      <w:proofErr w:type="spellStart"/>
      <w:r>
        <w:t>Koutsouleris</w:t>
      </w:r>
      <w:proofErr w:type="spellEnd"/>
      <w:r>
        <w:t xml:space="preserve">, N., Kahn, R. S., </w:t>
      </w:r>
      <w:proofErr w:type="spellStart"/>
      <w:r>
        <w:t>Chekroud</w:t>
      </w:r>
      <w:proofErr w:type="spellEnd"/>
      <w:r>
        <w:t xml:space="preserve">, A. M., Leucht, S., </w:t>
      </w:r>
      <w:proofErr w:type="spellStart"/>
      <w:r>
        <w:t>Falkai</w:t>
      </w:r>
      <w:proofErr w:type="spellEnd"/>
      <w:r>
        <w:t xml:space="preserve">, P., </w:t>
      </w:r>
      <w:proofErr w:type="spellStart"/>
      <w:r>
        <w:t>Wobrock</w:t>
      </w:r>
      <w:proofErr w:type="spellEnd"/>
      <w:r>
        <w:t xml:space="preserve">, T., Derks, E. M., Fleischhacker, W. W., &amp; Hasan, A. (2016). Multisite prediction of 4-week and 52-week treatment outcomes in patients with first-episode psychosis: A machine learning approach. </w:t>
      </w:r>
      <w:r>
        <w:rPr>
          <w:i/>
          <w:iCs/>
        </w:rPr>
        <w:t>The Lancet Psychiatry, 3</w:t>
      </w:r>
      <w:r>
        <w:t>(10), 935-946. https://doi.org/10.1016/S2215-0366(16)30171-7</w:t>
      </w:r>
    </w:p>
    <w:p w14:paraId="2608398B" w14:textId="77777777" w:rsidR="00954C20" w:rsidRDefault="00000000">
      <w:pPr>
        <w:spacing w:after="160" w:line="360" w:lineRule="auto"/>
        <w:ind w:left="720" w:hanging="720"/>
      </w:pPr>
      <w:r>
        <w:t xml:space="preserve">Kozelka, E. E., Acquilano, S. C., Al-Abdulmunem, M., Guarino, S., Elwyn, G., Drake, R. E., &amp; Carpenter-Song, E. (2023). Documenting the digital divide: Identifying barriers to digital mental health access among people with serious mental illness in community settings. </w:t>
      </w:r>
      <w:r>
        <w:rPr>
          <w:i/>
          <w:iCs/>
        </w:rPr>
        <w:t>SSM - Mental Health, 4</w:t>
      </w:r>
      <w:r>
        <w:t>, 100241. https://doi.org/10.1016/j.ssmmh.2023.100241</w:t>
      </w:r>
    </w:p>
    <w:p w14:paraId="24945673" w14:textId="77777777" w:rsidR="00954C20" w:rsidRDefault="00000000">
      <w:pPr>
        <w:spacing w:after="160" w:line="360" w:lineRule="auto"/>
        <w:ind w:left="720" w:hanging="720"/>
      </w:pPr>
      <w:r>
        <w:t xml:space="preserve">Lawrence, H. R., Schneider, R. A., Rubin, S. B., </w:t>
      </w:r>
      <w:proofErr w:type="spellStart"/>
      <w:r>
        <w:t>Mataric</w:t>
      </w:r>
      <w:proofErr w:type="spellEnd"/>
      <w:r>
        <w:t xml:space="preserve">, M. J., McDuff, D. J., &amp; Jones Bell, M. (2024). The opportunities and risks of large language models in mental health. </w:t>
      </w:r>
      <w:r>
        <w:rPr>
          <w:i/>
          <w:iCs/>
        </w:rPr>
        <w:t>JMIR Mental Health, 11</w:t>
      </w:r>
      <w:r>
        <w:t>, e59479. https://doi.org/10.2196/59479</w:t>
      </w:r>
    </w:p>
    <w:p w14:paraId="69C54228" w14:textId="77777777" w:rsidR="00954C20" w:rsidRDefault="00000000">
      <w:pPr>
        <w:spacing w:after="160" w:line="360" w:lineRule="auto"/>
        <w:ind w:left="720" w:hanging="720"/>
      </w:pPr>
      <w:r>
        <w:lastRenderedPageBreak/>
        <w:t xml:space="preserve">Li, H., Zhang, R., Lee, Y.-C., Kraut, R. E., &amp; Mohr, D. C. (2023). Systematic review and meta-analysis of AI-based conversational agents for promoting mental health and well-being. </w:t>
      </w:r>
      <w:proofErr w:type="spellStart"/>
      <w:r>
        <w:rPr>
          <w:i/>
          <w:iCs/>
        </w:rPr>
        <w:t>npj</w:t>
      </w:r>
      <w:proofErr w:type="spellEnd"/>
      <w:r>
        <w:rPr>
          <w:i/>
          <w:iCs/>
        </w:rPr>
        <w:t xml:space="preserve"> Digital Medicine, 6</w:t>
      </w:r>
      <w:r>
        <w:t>, 236. https://doi.org/10.1038/s41746-023-00979-5</w:t>
      </w:r>
    </w:p>
    <w:p w14:paraId="4F87E434" w14:textId="77777777" w:rsidR="00954C20" w:rsidRDefault="00000000">
      <w:pPr>
        <w:spacing w:after="160" w:line="360" w:lineRule="auto"/>
        <w:ind w:left="720" w:hanging="720"/>
      </w:pPr>
      <w:proofErr w:type="spellStart"/>
      <w:r>
        <w:t>Linardon</w:t>
      </w:r>
      <w:proofErr w:type="spellEnd"/>
      <w:r>
        <w:t xml:space="preserve">, J., &amp; Fuller-Tyszkiewicz, M. (2020). Attrition and adherence in smartphone-delivered interventions for mental health problems: A systematic and meta-analytic review. </w:t>
      </w:r>
      <w:r>
        <w:rPr>
          <w:i/>
          <w:iCs/>
        </w:rPr>
        <w:t>Journal of Consulting and Clinical Psychology, 88</w:t>
      </w:r>
      <w:r>
        <w:t>(1), 1-13. https://doi.org/10.1037/ccp0000459</w:t>
      </w:r>
    </w:p>
    <w:p w14:paraId="2B4A7968" w14:textId="77777777" w:rsidR="00954C20" w:rsidRDefault="00000000">
      <w:pPr>
        <w:spacing w:after="160" w:line="360" w:lineRule="auto"/>
        <w:ind w:left="720" w:hanging="720"/>
      </w:pPr>
      <w:proofErr w:type="spellStart"/>
      <w:r>
        <w:t>Linardon</w:t>
      </w:r>
      <w:proofErr w:type="spellEnd"/>
      <w:r>
        <w:t xml:space="preserve">, J., Fuller-Tyszkiewicz, M., Firth, J., Goldberg, S. B., Anderson, C., McClure, Z., &amp; </w:t>
      </w:r>
      <w:proofErr w:type="spellStart"/>
      <w:r>
        <w:t>Torous</w:t>
      </w:r>
      <w:proofErr w:type="spellEnd"/>
      <w:r>
        <w:t xml:space="preserve">, J. (2024). Systematic review and meta-analysis of adverse events in clinical trials of mental health apps. </w:t>
      </w:r>
      <w:proofErr w:type="spellStart"/>
      <w:r>
        <w:rPr>
          <w:i/>
          <w:iCs/>
        </w:rPr>
        <w:t>npj</w:t>
      </w:r>
      <w:proofErr w:type="spellEnd"/>
      <w:r>
        <w:rPr>
          <w:i/>
          <w:iCs/>
        </w:rPr>
        <w:t xml:space="preserve"> Digital Medicine, 7</w:t>
      </w:r>
      <w:r>
        <w:t>, 363. https://doi.org/10.1038/s41746-024-01388-y</w:t>
      </w:r>
    </w:p>
    <w:p w14:paraId="63204E71" w14:textId="77777777" w:rsidR="00954C20" w:rsidRDefault="00000000">
      <w:pPr>
        <w:spacing w:after="160" w:line="360" w:lineRule="auto"/>
        <w:ind w:left="720" w:hanging="720"/>
      </w:pPr>
      <w:proofErr w:type="spellStart"/>
      <w:r>
        <w:t>Linardon</w:t>
      </w:r>
      <w:proofErr w:type="spellEnd"/>
      <w:r>
        <w:t xml:space="preserve">, J., </w:t>
      </w:r>
      <w:proofErr w:type="spellStart"/>
      <w:r>
        <w:t>Torous</w:t>
      </w:r>
      <w:proofErr w:type="spellEnd"/>
      <w:r>
        <w:t xml:space="preserve">, J., Firth, J., Cuijpers, P., Messer, M., &amp; Fuller-Tyszkiewicz, M. (2024). Current evidence on the efficacy of mental health smartphone apps for symptoms of depression and anxiety. A meta-analysis of 176 randomized controlled trials. </w:t>
      </w:r>
      <w:r>
        <w:rPr>
          <w:i/>
          <w:iCs/>
        </w:rPr>
        <w:t>World Psychiatry, 23</w:t>
      </w:r>
      <w:r>
        <w:t>(1), 139-149. https://doi.org/10.1002/wps.21183</w:t>
      </w:r>
    </w:p>
    <w:p w14:paraId="696E1FB6" w14:textId="77777777" w:rsidR="00954C20" w:rsidRDefault="00000000">
      <w:pPr>
        <w:spacing w:after="160" w:line="360" w:lineRule="auto"/>
        <w:ind w:left="720" w:hanging="720"/>
      </w:pPr>
      <w:r>
        <w:t xml:space="preserve">Liu, X., Cruz Rivera, S., Moher, D., Calvert, M. J., &amp; Denniston, A. K. (2020). Reporting guidelines for clinical trial reports for interventions involving artificial intelligence: The CONSORT-AI Extension. </w:t>
      </w:r>
      <w:r>
        <w:rPr>
          <w:i/>
          <w:iCs/>
        </w:rPr>
        <w:t>BMJ, 370</w:t>
      </w:r>
      <w:r>
        <w:t>, m3164. https://doi.org/10.1136/bmj.m3164</w:t>
      </w:r>
    </w:p>
    <w:p w14:paraId="40C38114" w14:textId="77777777" w:rsidR="00954C20" w:rsidRDefault="00000000">
      <w:pPr>
        <w:spacing w:after="160" w:line="360" w:lineRule="auto"/>
        <w:ind w:left="720" w:hanging="720"/>
      </w:pPr>
      <w:r>
        <w:t xml:space="preserve">Maran, P. L., </w:t>
      </w:r>
      <w:proofErr w:type="spellStart"/>
      <w:r>
        <w:t>Braquehais</w:t>
      </w:r>
      <w:proofErr w:type="spellEnd"/>
      <w:r>
        <w:t xml:space="preserve">, M. D., </w:t>
      </w:r>
      <w:proofErr w:type="spellStart"/>
      <w:r>
        <w:t>Vlaic</w:t>
      </w:r>
      <w:proofErr w:type="spellEnd"/>
      <w:r>
        <w:t xml:space="preserve">, A., Alonzo-Castillo, M. T., Vendrell-Serres, J., Ramos-Quiroga, J. A., &amp; Rodriguez-Urrutia, A. (2025). Performance of automatic speech analysis in detecting depression: Systematic review and meta-analysis. </w:t>
      </w:r>
      <w:r>
        <w:rPr>
          <w:i/>
          <w:iCs/>
        </w:rPr>
        <w:t>JMIR Mental Health, 12</w:t>
      </w:r>
      <w:r>
        <w:t>, e67802. https://doi.org/10.2196/67802</w:t>
      </w:r>
    </w:p>
    <w:p w14:paraId="273BAEB0" w14:textId="77777777" w:rsidR="00954C20" w:rsidRDefault="00000000">
      <w:pPr>
        <w:spacing w:after="160" w:line="360" w:lineRule="auto"/>
        <w:ind w:left="720" w:hanging="720"/>
      </w:pPr>
      <w:r>
        <w:t xml:space="preserve">Meehan, A. J., Lewis, S. J., Fazel, S., </w:t>
      </w:r>
      <w:proofErr w:type="spellStart"/>
      <w:r>
        <w:t>Fusar</w:t>
      </w:r>
      <w:proofErr w:type="spellEnd"/>
      <w:r>
        <w:t xml:space="preserve">-Poli, P., Steyerberg, E. W., Stahl, D., &amp; Danese, A. (2022). Clinical prediction models in psychiatry: A systematic review of two decades of progress and challenges. </w:t>
      </w:r>
      <w:r>
        <w:rPr>
          <w:i/>
          <w:iCs/>
        </w:rPr>
        <w:t>Molecular Psychiatry, 27</w:t>
      </w:r>
      <w:r>
        <w:t>(6), 2700-2708. https://doi.org/10.1038/s41380-022-01528-4</w:t>
      </w:r>
    </w:p>
    <w:p w14:paraId="37A96849" w14:textId="77777777" w:rsidR="00954C20" w:rsidRDefault="00000000">
      <w:pPr>
        <w:spacing w:after="160" w:line="360" w:lineRule="auto"/>
        <w:ind w:left="720" w:hanging="720"/>
      </w:pPr>
      <w:r>
        <w:t xml:space="preserve">Meinke, C., Lueken, U., Walter, H., &amp; Hilbert, K. (2024). Predicting treatment outcome based on resting-state functional connectivity in internalizing mental disorders: A systematic review and meta-analysis. </w:t>
      </w:r>
      <w:r>
        <w:rPr>
          <w:i/>
          <w:iCs/>
        </w:rPr>
        <w:t xml:space="preserve">Neuroscience and </w:t>
      </w:r>
      <w:proofErr w:type="spellStart"/>
      <w:r>
        <w:rPr>
          <w:i/>
          <w:iCs/>
        </w:rPr>
        <w:t>Biobehavioral</w:t>
      </w:r>
      <w:proofErr w:type="spellEnd"/>
      <w:r>
        <w:rPr>
          <w:i/>
          <w:iCs/>
        </w:rPr>
        <w:t xml:space="preserve"> Reviews, 160</w:t>
      </w:r>
      <w:r>
        <w:t>, 105640. https://doi.org/10.1016/j.neubiorev.2024.105640</w:t>
      </w:r>
    </w:p>
    <w:p w14:paraId="791283E5" w14:textId="77777777" w:rsidR="00954C20" w:rsidRDefault="00000000">
      <w:pPr>
        <w:spacing w:after="160" w:line="360" w:lineRule="auto"/>
        <w:ind w:left="720" w:hanging="720"/>
      </w:pPr>
      <w:r>
        <w:lastRenderedPageBreak/>
        <w:t xml:space="preserve">Mesko, B., &amp; Topol, E. J. (2023). The imperative for regulatory oversight of large language models (or generative AI) in healthcare. </w:t>
      </w:r>
      <w:proofErr w:type="spellStart"/>
      <w:r>
        <w:rPr>
          <w:i/>
          <w:iCs/>
        </w:rPr>
        <w:t>npj</w:t>
      </w:r>
      <w:proofErr w:type="spellEnd"/>
      <w:r>
        <w:rPr>
          <w:i/>
          <w:iCs/>
        </w:rPr>
        <w:t xml:space="preserve"> Digital Medicine, 6</w:t>
      </w:r>
      <w:r>
        <w:t>, 120. https://doi.org/10.1038/s41746-023-00873-0</w:t>
      </w:r>
    </w:p>
    <w:p w14:paraId="565ADE0D" w14:textId="77777777" w:rsidR="00954C20" w:rsidRDefault="00000000">
      <w:pPr>
        <w:spacing w:after="160" w:line="360" w:lineRule="auto"/>
        <w:ind w:left="720" w:hanging="720"/>
      </w:pPr>
      <w:r>
        <w:t xml:space="preserve">Mohr, D. C., Zhang, M., &amp; Schueller, S. M. (2017). Personal sensing: Understanding mental health using ubiquitous sensors and machine learning. </w:t>
      </w:r>
      <w:r>
        <w:rPr>
          <w:i/>
          <w:iCs/>
        </w:rPr>
        <w:t>Annual Review of Clinical Psychology, 13</w:t>
      </w:r>
      <w:r>
        <w:t>, 23-47. https://doi.org/10.1146/annurev-clinpsy-032816-044949</w:t>
      </w:r>
    </w:p>
    <w:p w14:paraId="77058E48" w14:textId="77777777" w:rsidR="00954C20" w:rsidRDefault="00000000">
      <w:pPr>
        <w:spacing w:after="160" w:line="360" w:lineRule="auto"/>
        <w:ind w:left="720" w:hanging="720"/>
      </w:pPr>
      <w:r>
        <w:t xml:space="preserve">Obradovich, N., Khalsa, S. S., Khan, W. U., Suh, J., Perlis, R. H., Ajilore, O., &amp; Paulus, M. P. (2024). Opportunities and risks of large language models in psychiatry. </w:t>
      </w:r>
      <w:r>
        <w:rPr>
          <w:i/>
          <w:iCs/>
        </w:rPr>
        <w:t>NPP-Digital Psychiatry and Neuroscience, 2</w:t>
      </w:r>
      <w:r>
        <w:t>, 8. https://doi.org/10.1038/s44277-024-00010-z</w:t>
      </w:r>
    </w:p>
    <w:p w14:paraId="2B306023" w14:textId="77777777" w:rsidR="00954C20" w:rsidRDefault="00000000">
      <w:pPr>
        <w:spacing w:after="160" w:line="360" w:lineRule="auto"/>
        <w:ind w:left="720" w:hanging="720"/>
      </w:pPr>
      <w:r>
        <w:t xml:space="preserve">Pichowicz, W., Kotas, M., &amp; Piotrowski, P. (2025). Performance of mental health chatbot agents in detecting and managing suicidal ideation. </w:t>
      </w:r>
      <w:r>
        <w:rPr>
          <w:i/>
          <w:iCs/>
        </w:rPr>
        <w:t>Scientific Reports, 15</w:t>
      </w:r>
      <w:r>
        <w:t>, 31652. https://doi.org/10.1038/s41598-025-17242-4</w:t>
      </w:r>
    </w:p>
    <w:p w14:paraId="79E4DB7A" w14:textId="77777777" w:rsidR="00954C20" w:rsidRDefault="00000000">
      <w:pPr>
        <w:spacing w:after="160" w:line="360" w:lineRule="auto"/>
        <w:ind w:left="720" w:hanging="720"/>
      </w:pPr>
      <w:proofErr w:type="spellStart"/>
      <w:r>
        <w:t>Pulini</w:t>
      </w:r>
      <w:proofErr w:type="spellEnd"/>
      <w:r>
        <w:t xml:space="preserve">, A. A., Kerr, W. T., Loo, S. K., &amp; Lenartowicz, A. (2019). Classification accuracy of neuroimaging biomarkers in attention-deficit/hyperactivity disorder: Effects of sample size and circular analysis. </w:t>
      </w:r>
      <w:r>
        <w:rPr>
          <w:i/>
          <w:iCs/>
        </w:rPr>
        <w:t>Biological Psychiatry: Cognitive Neuroscience and Neuroimaging, 4</w:t>
      </w:r>
      <w:r>
        <w:t>(2), 108-120. https://doi.org/10.1016/j.bpsc.2018.06.003</w:t>
      </w:r>
    </w:p>
    <w:p w14:paraId="5BC4E36F" w14:textId="77777777" w:rsidR="00954C20" w:rsidRDefault="00000000">
      <w:pPr>
        <w:spacing w:after="160" w:line="360" w:lineRule="auto"/>
        <w:ind w:left="720" w:hanging="720"/>
      </w:pPr>
      <w:proofErr w:type="spellStart"/>
      <w:r>
        <w:t>Quaak</w:t>
      </w:r>
      <w:proofErr w:type="spellEnd"/>
      <w:r>
        <w:t xml:space="preserve">, M., van de Mortel, L., Thomas, R. M., &amp; van Wingen, G. (2021). Deep learning applications for the classification of psychiatric disorders using neuroimaging data: Systematic review and meta-analysis. </w:t>
      </w:r>
      <w:proofErr w:type="spellStart"/>
      <w:r>
        <w:rPr>
          <w:i/>
          <w:iCs/>
        </w:rPr>
        <w:t>NeuroImage</w:t>
      </w:r>
      <w:proofErr w:type="spellEnd"/>
      <w:r>
        <w:rPr>
          <w:i/>
          <w:iCs/>
        </w:rPr>
        <w:t>: Clinical, 30</w:t>
      </w:r>
      <w:r>
        <w:t>, 102584. https://doi.org/10.1016/j.nicl.2021.102584</w:t>
      </w:r>
    </w:p>
    <w:p w14:paraId="2B560CF1" w14:textId="77777777" w:rsidR="00954C20" w:rsidRDefault="00000000">
      <w:pPr>
        <w:spacing w:after="160" w:line="360" w:lineRule="auto"/>
        <w:ind w:left="720" w:hanging="720"/>
      </w:pPr>
      <w:r>
        <w:t xml:space="preserve">Rony, M. K. K., Das, D. C., Khatun, M. T., Ferdousi, S., Akter, M. R., Khatun, M. A., Begum, M. H., Khalil, M. I., Parvin, M. R., </w:t>
      </w:r>
      <w:proofErr w:type="spellStart"/>
      <w:r>
        <w:t>Alrazeeni</w:t>
      </w:r>
      <w:proofErr w:type="spellEnd"/>
      <w:r>
        <w:t xml:space="preserve">, D. M., &amp; Akter, F. (2025). Artificial intelligence in psychiatry: A systematic review and meta-analysis of diagnostic and therapeutic efficacy. </w:t>
      </w:r>
      <w:r>
        <w:rPr>
          <w:i/>
          <w:iCs/>
        </w:rPr>
        <w:t>Digital Health, 11</w:t>
      </w:r>
      <w:r>
        <w:t>, 20552076251330528. https://doi.org/10.1177/20552076251330528</w:t>
      </w:r>
    </w:p>
    <w:p w14:paraId="1F3B3772" w14:textId="77777777" w:rsidR="00954C20" w:rsidRDefault="00000000">
      <w:pPr>
        <w:spacing w:after="160" w:line="360" w:lineRule="auto"/>
        <w:ind w:left="720" w:hanging="720"/>
      </w:pPr>
      <w:r>
        <w:t xml:space="preserve">Schnack, H. G., &amp; Kahn, R. S. (2016). Detecting neuroimaging biomarkers for psychiatric disorders: Sample size matters. </w:t>
      </w:r>
      <w:r>
        <w:rPr>
          <w:i/>
          <w:iCs/>
        </w:rPr>
        <w:t>Frontiers in Psychiatry, 7</w:t>
      </w:r>
      <w:r>
        <w:t>, 50. https://doi.org/10.3389/fpsyt.2016.00050</w:t>
      </w:r>
    </w:p>
    <w:p w14:paraId="3DCAC53D" w14:textId="77777777" w:rsidR="00954C20" w:rsidRDefault="00000000">
      <w:pPr>
        <w:spacing w:after="160" w:line="360" w:lineRule="auto"/>
        <w:ind w:left="720" w:hanging="720"/>
      </w:pPr>
      <w:proofErr w:type="spellStart"/>
      <w:r>
        <w:lastRenderedPageBreak/>
        <w:t>Shatte</w:t>
      </w:r>
      <w:proofErr w:type="spellEnd"/>
      <w:r>
        <w:t xml:space="preserve">, A. B. R., Hutchinson, D. M., &amp; Teague, S. J. (2019). Machine learning in mental health: A scoping review of methods and applications. </w:t>
      </w:r>
      <w:r>
        <w:rPr>
          <w:i/>
          <w:iCs/>
        </w:rPr>
        <w:t>Psychological Medicine, 49</w:t>
      </w:r>
      <w:r>
        <w:t>(9), 1426-1448. https://doi.org/10.1017/S0033291719000151</w:t>
      </w:r>
    </w:p>
    <w:p w14:paraId="26FD912D" w14:textId="77777777" w:rsidR="00954C20" w:rsidRDefault="00000000">
      <w:pPr>
        <w:spacing w:after="160" w:line="360" w:lineRule="auto"/>
        <w:ind w:left="720" w:hanging="720"/>
      </w:pPr>
      <w:r>
        <w:t xml:space="preserve">Sohn, J.-S., Ha, B.-G., Park, S., Kim, J.-J., Lee, E., Oh, H., Lee, S., &amp; Kim, E. (2026). Systematic review and </w:t>
      </w:r>
      <w:proofErr w:type="spellStart"/>
      <w:proofErr w:type="gramStart"/>
      <w:r>
        <w:t>meta analysis</w:t>
      </w:r>
      <w:proofErr w:type="spellEnd"/>
      <w:proofErr w:type="gramEnd"/>
      <w:r>
        <w:t xml:space="preserve"> of chatbots in the management of depressive and anxiety symptoms. </w:t>
      </w:r>
      <w:proofErr w:type="spellStart"/>
      <w:r>
        <w:rPr>
          <w:i/>
          <w:iCs/>
        </w:rPr>
        <w:t>npj</w:t>
      </w:r>
      <w:proofErr w:type="spellEnd"/>
      <w:r>
        <w:rPr>
          <w:i/>
          <w:iCs/>
        </w:rPr>
        <w:t xml:space="preserve"> Digital Medicine, 9</w:t>
      </w:r>
      <w:r>
        <w:t>, 377. https://doi.org/10.1038/s41746-026-02566-w</w:t>
      </w:r>
    </w:p>
    <w:p w14:paraId="68B720EB" w14:textId="77777777" w:rsidR="00954C20" w:rsidRDefault="00000000">
      <w:pPr>
        <w:spacing w:after="160" w:line="360" w:lineRule="auto"/>
        <w:ind w:left="720" w:hanging="720"/>
      </w:pPr>
      <w:r>
        <w:t xml:space="preserve">Spittal, M. J., Guo, X. A., Kang, L., Kirtley, O. J., Clapperton, A., Hawton, K., Kapur, N., </w:t>
      </w:r>
      <w:proofErr w:type="spellStart"/>
      <w:r>
        <w:t>Pirkis</w:t>
      </w:r>
      <w:proofErr w:type="spellEnd"/>
      <w:r>
        <w:t xml:space="preserve">, J., &amp; Carter, G. (2025). Machine learning algorithms and their predictive accuracy for suicide and self-harm: Systematic review and meta-analysis. </w:t>
      </w:r>
      <w:r>
        <w:rPr>
          <w:i/>
          <w:iCs/>
        </w:rPr>
        <w:t>PLOS Medicine, 22</w:t>
      </w:r>
      <w:r>
        <w:t>(9), e1004581. https://doi.org/10.1371/journal.pmed.1004581</w:t>
      </w:r>
    </w:p>
    <w:p w14:paraId="5476D2B4" w14:textId="77777777" w:rsidR="00954C20" w:rsidRDefault="00000000">
      <w:pPr>
        <w:spacing w:after="160" w:line="360" w:lineRule="auto"/>
        <w:ind w:left="720" w:hanging="720"/>
      </w:pPr>
      <w:r>
        <w:t xml:space="preserve">Stade, E. C., Stirman, S. W., Ungar, L. H., Boland, C. L., Schwartz, H. A., Yaden, D. B., </w:t>
      </w:r>
      <w:proofErr w:type="spellStart"/>
      <w:r>
        <w:t>Sedoc</w:t>
      </w:r>
      <w:proofErr w:type="spellEnd"/>
      <w:r>
        <w:t xml:space="preserve">, J., DeRubeis, R. J., Willer, R., &amp; Eichstaedt, J. C. (2024). Large language models could change the future of </w:t>
      </w:r>
      <w:proofErr w:type="spellStart"/>
      <w:r>
        <w:t>behavioral</w:t>
      </w:r>
      <w:proofErr w:type="spellEnd"/>
      <w:r>
        <w:t xml:space="preserve"> healthcare: A proposal for responsible development and evaluation. </w:t>
      </w:r>
      <w:proofErr w:type="spellStart"/>
      <w:r>
        <w:rPr>
          <w:i/>
          <w:iCs/>
        </w:rPr>
        <w:t>npj</w:t>
      </w:r>
      <w:proofErr w:type="spellEnd"/>
      <w:r>
        <w:rPr>
          <w:i/>
          <w:iCs/>
        </w:rPr>
        <w:t xml:space="preserve"> Mental Health Research, 3</w:t>
      </w:r>
      <w:r>
        <w:t>, 12. https://doi.org/10.1038/s44184-024-00056-z</w:t>
      </w:r>
    </w:p>
    <w:p w14:paraId="6D7E1C7A" w14:textId="77777777" w:rsidR="00954C20" w:rsidRDefault="00000000">
      <w:pPr>
        <w:spacing w:after="160" w:line="360" w:lineRule="auto"/>
        <w:ind w:left="720" w:hanging="720"/>
      </w:pPr>
      <w:r>
        <w:t xml:space="preserve">Straw, I., &amp; Callison-Burch, C. (2020). Artificial intelligence in mental health and the biases of </w:t>
      </w:r>
      <w:proofErr w:type="gramStart"/>
      <w:r>
        <w:t>language based</w:t>
      </w:r>
      <w:proofErr w:type="gramEnd"/>
      <w:r>
        <w:t xml:space="preserve"> models. </w:t>
      </w:r>
      <w:r>
        <w:rPr>
          <w:i/>
          <w:iCs/>
        </w:rPr>
        <w:t>PLOS ONE, 15</w:t>
      </w:r>
      <w:r>
        <w:t>(12), e0240376. https://doi.org/10.1371/journal.pone.0240376</w:t>
      </w:r>
    </w:p>
    <w:p w14:paraId="1A177367" w14:textId="77777777" w:rsidR="00954C20" w:rsidRDefault="00000000">
      <w:pPr>
        <w:spacing w:after="160" w:line="360" w:lineRule="auto"/>
        <w:ind w:left="720" w:hanging="720"/>
      </w:pPr>
      <w:r>
        <w:t xml:space="preserve">Timmons, A. C., Duong, J. B., Walters, S. N., Carta, K. E., Jumonville, G. A., Carrasco, A. S., Romero, D. N., Ahle, M. W., Comer, J. S., Khurd, I. P., &amp; </w:t>
      </w:r>
      <w:proofErr w:type="spellStart"/>
      <w:r>
        <w:t>Chaspari</w:t>
      </w:r>
      <w:proofErr w:type="spellEnd"/>
      <w:r>
        <w:t xml:space="preserve">, T. (2025). Bridging fair-aware artificial intelligence and co-creation for equitable mental healthcare. </w:t>
      </w:r>
      <w:r>
        <w:rPr>
          <w:i/>
          <w:iCs/>
        </w:rPr>
        <w:t>Nature Reviews Psychology, 4</w:t>
      </w:r>
      <w:r>
        <w:t>(12), 793-807. https://doi.org/10.1038/s44159-025-00491-5</w:t>
      </w:r>
    </w:p>
    <w:p w14:paraId="10B2EC4B" w14:textId="77777777" w:rsidR="00954C20" w:rsidRDefault="00000000">
      <w:pPr>
        <w:spacing w:after="160" w:line="360" w:lineRule="auto"/>
        <w:ind w:left="720" w:hanging="720"/>
      </w:pPr>
      <w:proofErr w:type="spellStart"/>
      <w:r>
        <w:t>Torous</w:t>
      </w:r>
      <w:proofErr w:type="spellEnd"/>
      <w:r>
        <w:t xml:space="preserve">, J., &amp; Topol, E. J. (2025). Assessing generative artificial intelligence for mental health. </w:t>
      </w:r>
      <w:r>
        <w:rPr>
          <w:i/>
          <w:iCs/>
        </w:rPr>
        <w:t>The Lancet, 406</w:t>
      </w:r>
      <w:r>
        <w:t>(10504), 683. https://doi.org/10.1016/S0140-6736(25)01237-1</w:t>
      </w:r>
    </w:p>
    <w:p w14:paraId="3B1FC3BA" w14:textId="77777777" w:rsidR="00954C20" w:rsidRDefault="00000000">
      <w:pPr>
        <w:spacing w:after="160" w:line="360" w:lineRule="auto"/>
        <w:ind w:left="720" w:hanging="720"/>
      </w:pPr>
      <w:proofErr w:type="spellStart"/>
      <w:r>
        <w:t>Torous</w:t>
      </w:r>
      <w:proofErr w:type="spellEnd"/>
      <w:r>
        <w:t xml:space="preserve">, J., Bucci, S., Bell, I. H., Kessing, L. V., Faurholt-Jepsen, M., Whelan, P., Carvalho, A. F., Keshavan, M., </w:t>
      </w:r>
      <w:proofErr w:type="spellStart"/>
      <w:r>
        <w:t>Linardon</w:t>
      </w:r>
      <w:proofErr w:type="spellEnd"/>
      <w:r>
        <w:t xml:space="preserve">, J., &amp; Firth, J. (2021). The growing field of digital psychiatry: Current evidence and the future of apps, social media, chatbots, and virtual reality. </w:t>
      </w:r>
      <w:r>
        <w:rPr>
          <w:i/>
          <w:iCs/>
        </w:rPr>
        <w:t>World Psychiatry, 20</w:t>
      </w:r>
      <w:r>
        <w:t>(3), 318-335. https://doi.org/10.1002/wps.20883</w:t>
      </w:r>
    </w:p>
    <w:p w14:paraId="4CA47F2D" w14:textId="77777777" w:rsidR="00954C20" w:rsidRDefault="00000000">
      <w:pPr>
        <w:spacing w:after="160" w:line="360" w:lineRule="auto"/>
        <w:ind w:left="720" w:hanging="720"/>
      </w:pPr>
      <w:proofErr w:type="spellStart"/>
      <w:r>
        <w:lastRenderedPageBreak/>
        <w:t>Torous</w:t>
      </w:r>
      <w:proofErr w:type="spellEnd"/>
      <w:r>
        <w:t xml:space="preserve">, J., </w:t>
      </w:r>
      <w:proofErr w:type="spellStart"/>
      <w:r>
        <w:t>Linardon</w:t>
      </w:r>
      <w:proofErr w:type="spellEnd"/>
      <w:r>
        <w:t xml:space="preserve">, J., Goldberg, S. B., Sun, S., Bell, I., Nicholas, J., Hassan, L., Hua, Y., Milton, A., &amp; Firth, J. (2025). The evolving field of digital mental health: Current evidence and implementation issues for smartphone apps, generative artificial intelligence, and virtual reality. </w:t>
      </w:r>
      <w:r>
        <w:rPr>
          <w:i/>
          <w:iCs/>
        </w:rPr>
        <w:t>World Psychiatry, 24</w:t>
      </w:r>
      <w:r>
        <w:t>(2), 156-174. https://doi.org/10.1002/wps.21299</w:t>
      </w:r>
    </w:p>
    <w:p w14:paraId="5DAFBB8F" w14:textId="77777777" w:rsidR="00954C20" w:rsidRDefault="00000000">
      <w:pPr>
        <w:spacing w:after="160" w:line="360" w:lineRule="auto"/>
        <w:ind w:left="720" w:hanging="720"/>
      </w:pPr>
      <w:r>
        <w:t xml:space="preserve">World Health Organization. (2024). </w:t>
      </w:r>
      <w:r>
        <w:rPr>
          <w:i/>
          <w:iCs/>
        </w:rPr>
        <w:t>Ethics and governance of artificial intelligence for health: Guidance on large multi-modal models</w:t>
      </w:r>
      <w:r>
        <w:t>. https://iris.who.int/handle/10665/375579</w:t>
      </w:r>
    </w:p>
    <w:p w14:paraId="39BB5177" w14:textId="77777777" w:rsidR="00954C20" w:rsidRDefault="00000000">
      <w:pPr>
        <w:spacing w:after="160" w:line="360" w:lineRule="auto"/>
        <w:ind w:left="720" w:hanging="720"/>
      </w:pPr>
      <w:r>
        <w:t xml:space="preserve">Zhang, R., Meng, H., Neubronner, M., &amp; Lee, Y.-C. (2025). Computational and ethical considerations for using large language models in psychotherapy. </w:t>
      </w:r>
      <w:r>
        <w:rPr>
          <w:i/>
          <w:iCs/>
        </w:rPr>
        <w:t>Nature Computational Science, 5</w:t>
      </w:r>
      <w:r>
        <w:t>(10), 854-862. https://doi.org/10.1038/s43588-025-00874-x</w:t>
      </w:r>
    </w:p>
    <w:p w14:paraId="62310703" w14:textId="77777777" w:rsidR="00954C20" w:rsidRDefault="00000000">
      <w:pPr>
        <w:spacing w:after="160" w:line="360" w:lineRule="auto"/>
        <w:ind w:left="720" w:hanging="720"/>
      </w:pPr>
      <w:r>
        <w:t xml:space="preserve">Zhang, T., Schoene, A. M., Ji, S., &amp; </w:t>
      </w:r>
      <w:proofErr w:type="spellStart"/>
      <w:r>
        <w:t>Ananiadou</w:t>
      </w:r>
      <w:proofErr w:type="spellEnd"/>
      <w:r>
        <w:t xml:space="preserve">, S. (2022). Natural language processing applied to mental illness detection: A narrative review. </w:t>
      </w:r>
      <w:proofErr w:type="spellStart"/>
      <w:r>
        <w:rPr>
          <w:i/>
          <w:iCs/>
        </w:rPr>
        <w:t>npj</w:t>
      </w:r>
      <w:proofErr w:type="spellEnd"/>
      <w:r>
        <w:rPr>
          <w:i/>
          <w:iCs/>
        </w:rPr>
        <w:t xml:space="preserve"> Digital Medicine, 5</w:t>
      </w:r>
      <w:r>
        <w:t>, 46. https://doi.org/10.1038/s41746-022-00589-7</w:t>
      </w:r>
    </w:p>
    <w:sectPr w:rsidR="00954C20">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0D4AE" w14:textId="77777777" w:rsidR="006D2797" w:rsidRDefault="006D2797" w:rsidP="006A402E">
      <w:r>
        <w:separator/>
      </w:r>
    </w:p>
  </w:endnote>
  <w:endnote w:type="continuationSeparator" w:id="0">
    <w:p w14:paraId="600FB0CE" w14:textId="77777777" w:rsidR="006D2797" w:rsidRDefault="006D2797" w:rsidP="006A4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0B748" w14:textId="77777777" w:rsidR="006A402E" w:rsidRDefault="006A40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AA6A3" w14:textId="77777777" w:rsidR="006A402E" w:rsidRDefault="006A40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A3DC3" w14:textId="77777777" w:rsidR="006A402E" w:rsidRDefault="006A40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BA16B" w14:textId="77777777" w:rsidR="006D2797" w:rsidRDefault="006D2797" w:rsidP="006A402E">
      <w:r>
        <w:separator/>
      </w:r>
    </w:p>
  </w:footnote>
  <w:footnote w:type="continuationSeparator" w:id="0">
    <w:p w14:paraId="7B4A5003" w14:textId="77777777" w:rsidR="006D2797" w:rsidRDefault="006D2797" w:rsidP="006A40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60DAD" w14:textId="1177E3D0" w:rsidR="006A402E" w:rsidRDefault="006A402E">
    <w:pPr>
      <w:pStyle w:val="Header"/>
    </w:pPr>
    <w:r>
      <w:rPr>
        <w:noProof/>
      </w:rPr>
      <w:pict w14:anchorId="0B7137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1"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4274B" w14:textId="3DA95767" w:rsidR="006A402E" w:rsidRDefault="006A402E">
    <w:pPr>
      <w:pStyle w:val="Header"/>
    </w:pPr>
    <w:r>
      <w:rPr>
        <w:noProof/>
      </w:rPr>
      <w:pict w14:anchorId="0E4D11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2"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143D" w14:textId="14B7849C" w:rsidR="006A402E" w:rsidRDefault="006A402E">
    <w:pPr>
      <w:pStyle w:val="Header"/>
    </w:pPr>
    <w:r>
      <w:rPr>
        <w:noProof/>
      </w:rPr>
      <w:pict w14:anchorId="36C0924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251500"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D183F"/>
    <w:multiLevelType w:val="hybridMultilevel"/>
    <w:tmpl w:val="C380BB6C"/>
    <w:lvl w:ilvl="0" w:tplc="94D63DE6">
      <w:start w:val="1"/>
      <w:numFmt w:val="bullet"/>
      <w:lvlText w:val="●"/>
      <w:lvlJc w:val="left"/>
      <w:pPr>
        <w:ind w:left="720" w:hanging="360"/>
      </w:pPr>
    </w:lvl>
    <w:lvl w:ilvl="1" w:tplc="139A80D0">
      <w:start w:val="1"/>
      <w:numFmt w:val="bullet"/>
      <w:lvlText w:val="○"/>
      <w:lvlJc w:val="left"/>
      <w:pPr>
        <w:ind w:left="1440" w:hanging="360"/>
      </w:pPr>
    </w:lvl>
    <w:lvl w:ilvl="2" w:tplc="3E06F86C">
      <w:start w:val="1"/>
      <w:numFmt w:val="bullet"/>
      <w:lvlText w:val="■"/>
      <w:lvlJc w:val="left"/>
      <w:pPr>
        <w:ind w:left="2160" w:hanging="360"/>
      </w:pPr>
    </w:lvl>
    <w:lvl w:ilvl="3" w:tplc="F6CCB0C4">
      <w:start w:val="1"/>
      <w:numFmt w:val="bullet"/>
      <w:lvlText w:val="●"/>
      <w:lvlJc w:val="left"/>
      <w:pPr>
        <w:ind w:left="2880" w:hanging="360"/>
      </w:pPr>
    </w:lvl>
    <w:lvl w:ilvl="4" w:tplc="C458F3AC">
      <w:start w:val="1"/>
      <w:numFmt w:val="bullet"/>
      <w:lvlText w:val="○"/>
      <w:lvlJc w:val="left"/>
      <w:pPr>
        <w:ind w:left="3600" w:hanging="360"/>
      </w:pPr>
    </w:lvl>
    <w:lvl w:ilvl="5" w:tplc="B9CC548A">
      <w:start w:val="1"/>
      <w:numFmt w:val="bullet"/>
      <w:lvlText w:val="■"/>
      <w:lvlJc w:val="left"/>
      <w:pPr>
        <w:ind w:left="4320" w:hanging="360"/>
      </w:pPr>
    </w:lvl>
    <w:lvl w:ilvl="6" w:tplc="841EFA4E">
      <w:start w:val="1"/>
      <w:numFmt w:val="bullet"/>
      <w:lvlText w:val="●"/>
      <w:lvlJc w:val="left"/>
      <w:pPr>
        <w:ind w:left="5040" w:hanging="360"/>
      </w:pPr>
    </w:lvl>
    <w:lvl w:ilvl="7" w:tplc="31C484D8">
      <w:start w:val="1"/>
      <w:numFmt w:val="bullet"/>
      <w:lvlText w:val="●"/>
      <w:lvlJc w:val="left"/>
      <w:pPr>
        <w:ind w:left="5760" w:hanging="360"/>
      </w:pPr>
    </w:lvl>
    <w:lvl w:ilvl="8" w:tplc="C26C3A54">
      <w:start w:val="1"/>
      <w:numFmt w:val="bullet"/>
      <w:lvlText w:val="●"/>
      <w:lvlJc w:val="left"/>
      <w:pPr>
        <w:ind w:left="6480" w:hanging="360"/>
      </w:pPr>
    </w:lvl>
  </w:abstractNum>
  <w:num w:numId="1" w16cid:durableId="11672898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4C20"/>
    <w:rsid w:val="00291B05"/>
    <w:rsid w:val="0031696A"/>
    <w:rsid w:val="00672710"/>
    <w:rsid w:val="006A402E"/>
    <w:rsid w:val="006D2797"/>
    <w:rsid w:val="00954C20"/>
    <w:rsid w:val="009B5A02"/>
    <w:rsid w:val="00A1174E"/>
    <w:rsid w:val="00EA406B"/>
    <w:rsid w:val="00F642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B10C9"/>
  <w15:docId w15:val="{E0B221E0-C950-4AC1-9163-AF9A2AE28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A402E"/>
    <w:pPr>
      <w:tabs>
        <w:tab w:val="center" w:pos="4513"/>
        <w:tab w:val="right" w:pos="9026"/>
      </w:tabs>
    </w:pPr>
  </w:style>
  <w:style w:type="character" w:customStyle="1" w:styleId="HeaderChar">
    <w:name w:val="Header Char"/>
    <w:basedOn w:val="DefaultParagraphFont"/>
    <w:link w:val="Header"/>
    <w:uiPriority w:val="99"/>
    <w:rsid w:val="006A402E"/>
  </w:style>
  <w:style w:type="paragraph" w:styleId="Footer">
    <w:name w:val="footer"/>
    <w:basedOn w:val="Normal"/>
    <w:link w:val="FooterChar"/>
    <w:uiPriority w:val="99"/>
    <w:unhideWhenUsed/>
    <w:rsid w:val="006A402E"/>
    <w:pPr>
      <w:tabs>
        <w:tab w:val="center" w:pos="4513"/>
        <w:tab w:val="right" w:pos="9026"/>
      </w:tabs>
    </w:pPr>
  </w:style>
  <w:style w:type="character" w:customStyle="1" w:styleId="FooterChar">
    <w:name w:val="Footer Char"/>
    <w:basedOn w:val="DefaultParagraphFont"/>
    <w:link w:val="Footer"/>
    <w:uiPriority w:val="99"/>
    <w:rsid w:val="006A40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45</Pages>
  <Words>17211</Words>
  <Characters>98104</Characters>
  <Application>Microsoft Office Word</Application>
  <DocSecurity>0</DocSecurity>
  <Lines>817</Lines>
  <Paragraphs>230</Paragraphs>
  <ScaleCrop>false</ScaleCrop>
  <Company>HP</Company>
  <LinksUpToDate>false</LinksUpToDate>
  <CharactersWithSpaces>115085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Artificial Intelligence in Mental Healthcare</dc:title>
  <cp:lastModifiedBy>SDI 1166</cp:lastModifiedBy>
  <cp:revision>6</cp:revision>
  <dcterms:created xsi:type="dcterms:W3CDTF">2026-08-10T18:03:00Z</dcterms:created>
  <dcterms:modified xsi:type="dcterms:W3CDTF">2026-08-12T12:11:00Z</dcterms:modified>
</cp:coreProperties>
</file>