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A8FFA" w14:textId="77777777" w:rsidR="00D9534F" w:rsidRPr="006D641C" w:rsidRDefault="00D9534F" w:rsidP="00D9534F">
      <w:pPr>
        <w:pStyle w:val="Author"/>
        <w:spacing w:line="240" w:lineRule="auto"/>
        <w:outlineLvl w:val="0"/>
        <w:rPr>
          <w:rFonts w:ascii="Arial" w:hAnsi="Arial" w:cs="Arial"/>
          <w:bCs/>
          <w:i/>
          <w:iCs/>
          <w:kern w:val="28"/>
          <w:sz w:val="36"/>
          <w:u w:val="single"/>
        </w:rPr>
      </w:pPr>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49B5C065" w14:textId="77777777" w:rsidR="004971F5" w:rsidRDefault="00000000" w:rsidP="00A71138">
      <w:pPr>
        <w:spacing w:before="100" w:beforeAutospacing="1" w:after="100" w:afterAutospacing="1"/>
      </w:pPr>
      <w:r>
        <w:rPr>
          <w:b/>
          <w:bCs/>
          <w:sz w:val="30"/>
          <w:szCs w:val="30"/>
        </w:rPr>
        <w:t>Artificial intelligence in the optimisation of glucagon-like peptide-1 receptor agonist therapy for obesity and type 2 diabetes: a critical narrative review of treatment monitoring and clinical decision support</w:t>
      </w:r>
    </w:p>
    <w:p w14:paraId="5CA2CFB6" w14:textId="77777777" w:rsidR="004971F5" w:rsidRDefault="00000000" w:rsidP="00A71138">
      <w:pPr>
        <w:pStyle w:val="Heading1"/>
        <w:spacing w:before="100" w:beforeAutospacing="1" w:after="100" w:afterAutospacing="1"/>
      </w:pPr>
      <w:r>
        <w:rPr>
          <w:b/>
          <w:bCs/>
          <w:sz w:val="26"/>
          <w:szCs w:val="26"/>
        </w:rPr>
        <w:t>Abstract</w:t>
      </w:r>
    </w:p>
    <w:p w14:paraId="6D075DF8" w14:textId="77777777" w:rsidR="004971F5" w:rsidRDefault="00000000" w:rsidP="00A71138">
      <w:pPr>
        <w:spacing w:before="100" w:beforeAutospacing="1" w:after="100" w:afterAutospacing="1"/>
        <w:jc w:val="both"/>
      </w:pPr>
      <w:r>
        <w:t>Glucagon-like peptide-1 receptor agonists have changed what can be achieved pharmacologically in obesity and type 2 diabetes, yet the average effects reported in registration trials conceal wide interindividual variation in weight and glycaemic response, high rates of early discontinuation, incomplete dose escalation in routine care, and pronounced inequity in who receives treatment. These features have prompted the claim that artificial intelligence, and machine learning in particular, can improve candidate selection, treatment monitoring and prescribing decisions. This critical narrative review evaluates whether the accessible evidence supports that claim. Literature was identified through structured searching of a biomedical bibliographic index and a scholarly metadata registry, supplemented by backward citation searching and verification against publisher records. Five interrelated domains were examined: prediction of response and identification of candidates; monitoring through continuous physiological, behavioural and imaging data streams; decision support ranging from registry-derived rule induction to large language models; automated safety signal detection; and the methodological, regulatory and equity conditions under which such systems would have to operate. The evidence base is expanding quickly but remains immature. Most predictive models are developed retrospectively in single data environments, evaluated by discrimination alone, and reported without calibration, decision-curve analysis or external validation. Several report performance figures that appear strong but depend on outcome definitions dominated by baseline values, so the apparent accuracy reflects arithmetic rather than clinical insight. Monitoring applications and digital engagement platforms show consistent associations with better outcomes, but the observational designs cannot separate the effect of the technology from the characteristics of people who engage with it. No randomised evaluation has yet demonstrated that an artificial intelligence system improves patient-relevant outcomes specifically in glucagon-like peptide-1 receptor agonist therapy. Prospective, calibration-aware, externally validated and equity-audited evaluation is the principal requirement before deployment can be justified.</w:t>
      </w:r>
    </w:p>
    <w:p w14:paraId="4EACDFAA" w14:textId="77777777" w:rsidR="004971F5" w:rsidRDefault="00000000" w:rsidP="00A71138">
      <w:pPr>
        <w:pStyle w:val="Heading1"/>
        <w:spacing w:before="100" w:beforeAutospacing="1" w:after="100" w:afterAutospacing="1"/>
      </w:pPr>
      <w:r>
        <w:rPr>
          <w:b/>
          <w:bCs/>
          <w:sz w:val="26"/>
          <w:szCs w:val="26"/>
        </w:rPr>
        <w:t>Keywords</w:t>
      </w:r>
    </w:p>
    <w:p w14:paraId="590D5E3D" w14:textId="77777777" w:rsidR="004971F5" w:rsidRDefault="00000000" w:rsidP="00A71138">
      <w:pPr>
        <w:spacing w:before="100" w:beforeAutospacing="1" w:after="100" w:afterAutospacing="1"/>
        <w:jc w:val="both"/>
      </w:pPr>
      <w:r>
        <w:t>Artificial intelligence; machine learning; glucagon-like peptide-1 receptor agonists; obesity; type 2 diabetes; clinical decision support systems; treatment response prediction; pharmacovigilance</w:t>
      </w:r>
    </w:p>
    <w:p w14:paraId="70E5300F" w14:textId="77777777" w:rsidR="004971F5" w:rsidRDefault="00000000" w:rsidP="00A71138">
      <w:pPr>
        <w:pStyle w:val="Heading1"/>
        <w:spacing w:before="100" w:beforeAutospacing="1" w:after="100" w:afterAutospacing="1"/>
      </w:pPr>
      <w:r>
        <w:rPr>
          <w:b/>
          <w:bCs/>
          <w:sz w:val="26"/>
          <w:szCs w:val="26"/>
        </w:rPr>
        <w:t>1. Introduction</w:t>
      </w:r>
    </w:p>
    <w:p w14:paraId="2371B0DA" w14:textId="77777777" w:rsidR="004971F5" w:rsidRDefault="00000000" w:rsidP="00A71138">
      <w:pPr>
        <w:spacing w:before="100" w:beforeAutospacing="1" w:after="100" w:afterAutospacing="1"/>
        <w:jc w:val="both"/>
      </w:pPr>
      <w:r>
        <w:t xml:space="preserve">Pharmacological management of obesity and type 2 diabetes has been reorganised within a single decade by agonism at the glucagon-like peptide-1 (GLP-1) receptor and, more recently, by combined agonism at the GLP-1 and glucose-dependent insulinotropic polypeptide receptors. In a 68-week randomised trial of once-weekly semaglutide 2.4 mg in adults with </w:t>
      </w:r>
      <w:r>
        <w:lastRenderedPageBreak/>
        <w:t>overweight or obesity and without diabetes, mean body weight fell by 14.9 per cent compared with 2.4 per cent under placebo, and half of treated participants lost at least 15 per cent of baseline weight (Wilding et al., 2021). A 72-week trial of tirzepatide reported mean weight reductions of 15.0 to 20.9 per cent across three doses (</w:t>
      </w:r>
      <w:proofErr w:type="spellStart"/>
      <w:r>
        <w:t>Jastreboff</w:t>
      </w:r>
      <w:proofErr w:type="spellEnd"/>
      <w:r>
        <w:t xml:space="preserve"> et al., 2022), and a head-to-head comparison subsequently favoured tirzepatide over semaglutide (Aronne et al., 2025). Cardiovascular benefit has been demonstrated in people with established cardiovascular disease and overweight or obesity but without diabetes, with a 20 per cent relative reduction in the composite of cardiovascular death, non-fatal myocardial infarction and non-fatal stroke (</w:t>
      </w:r>
      <w:proofErr w:type="spellStart"/>
      <w:r>
        <w:t>Lincoff</w:t>
      </w:r>
      <w:proofErr w:type="spellEnd"/>
      <w:r>
        <w:t xml:space="preserve"> et al., 2023). Contemporary guidance accordingly positions these agents as central rather than adjunctive components of cardiometabolic care (American Diabetes Association Professional Practice Committee, 2026).</w:t>
      </w:r>
    </w:p>
    <w:p w14:paraId="5B9A6958" w14:textId="77777777" w:rsidR="004971F5" w:rsidRDefault="00000000" w:rsidP="00A71138">
      <w:pPr>
        <w:spacing w:before="100" w:beforeAutospacing="1" w:after="100" w:afterAutospacing="1"/>
        <w:jc w:val="both"/>
      </w:pPr>
      <w:r>
        <w:t>The clinical problem has therefore shifted. Efficacy at the level of the trial population is no longer the principal uncertainty; the difficulty lies in translating that efficacy into benefit for particular people under conditions of constrained supply, high cost and imperfect tolerability. Three observations define the translational gap. First, response is highly variable: in the semaglutide trial cited above, a substantial minority of participants did not reach the 5 per cent threshold conventionally regarded as clinically meaningful, and the determinants of that variation are only partly understood (Wilding et al., 2021). Second, real-world persistence is far below trial adherence. Among commercially insured adults without diabetes initiating GLP-1 receptor agonist therapy for obesity, persistence was 46.3 per cent at 180 days and 32.3 per cent at one year, with a mean proportion of days covered of 51.0 per cent (Gleason et al., 2024). In United Kingdom primary care, the one-year discontinuation risk among adults with type 2 diabetes initiating these agents was 41.1 per cent, and only 58 per cent of subcutaneous or oral semaglutide initiators reached recommended maintenance doses (Ulrich et al., 2026). Third, benefit is not durable after withdrawal: participants regained approximately two-thirds of lost weight within a year of stopping semaglutide, with cardiometabolic variables reverting towards baseline (Wilding et al., 2022).</w:t>
      </w:r>
    </w:p>
    <w:p w14:paraId="4DC8401E" w14:textId="77777777" w:rsidR="004971F5" w:rsidRDefault="00000000" w:rsidP="00A71138">
      <w:pPr>
        <w:spacing w:before="100" w:beforeAutospacing="1" w:after="100" w:afterAutospacing="1"/>
        <w:jc w:val="both"/>
      </w:pPr>
      <w:r>
        <w:t>These characteristics describe a therapy whose value depends on sustained, individualised management rather than on a single prescribing decision. Selection, titration, tolerability management, adherence support, monitoring of unintended effects and decisions about continuation all determine realised benefit. Each of these tasks generates and consumes large quantities of routinely collected data, and each has been proposed as a target for computational assistance. Machine learning applied to electronic health records, claims databases, registries, continuous glucose monitoring streams, digital engagement platforms, imaging and spontaneous adverse event reports has been advanced as a means of predicting who will respond, detecting deterioration in adherence, guiding titration, flagging safety signals and supporting prescribers at the point of decision (Lee et al., 2025). Large language models have been proposed for a further set of tasks spanning patient education, documentation and clinical reasoning (Law et al., 2024).</w:t>
      </w:r>
    </w:p>
    <w:p w14:paraId="16508F00" w14:textId="77777777" w:rsidR="004971F5" w:rsidRDefault="00000000" w:rsidP="00A71138">
      <w:pPr>
        <w:spacing w:before="100" w:beforeAutospacing="1" w:after="100" w:afterAutospacing="1"/>
        <w:jc w:val="both"/>
      </w:pPr>
      <w:r>
        <w:t>Enthusiasm has outpaced appraisal. The wider literature on clinical prediction models developed with supervised machine learning has documented a high prevalence of methodological weaknesses, including inadequate handling of missing data, absent calibration assessment and optimistic performance estimates arising from inappropriate validation (</w:t>
      </w:r>
      <w:proofErr w:type="spellStart"/>
      <w:r>
        <w:t>Andaur</w:t>
      </w:r>
      <w:proofErr w:type="spellEnd"/>
      <w:r>
        <w:t xml:space="preserve"> Navarro et al., 2021). Reporting standards specific to artificial intelligence have been developed for prediction models, trial protocols, trial reports and early clinical evaluation of decision support (Collins et al., 2024; Liu et al., 2020; Vasey et al., 2022), yet their uptake in cardiometabolic applications has not been systematically characterised. The demonstration that </w:t>
      </w:r>
      <w:r>
        <w:lastRenderedPageBreak/>
        <w:t>a widely used commercial risk algorithm systematically underestimated illness in Black patients because it used health expenditure as a proxy for health need (Obermeyer et al., 2019) remains directly pertinent to a therapeutic area in which access is already stratified by race, ethnicity and socioeconomic position (Eberly et al., 2021).</w:t>
      </w:r>
    </w:p>
    <w:p w14:paraId="2B8AAD25" w14:textId="77777777" w:rsidR="004971F5" w:rsidRDefault="00000000" w:rsidP="00A71138">
      <w:pPr>
        <w:spacing w:before="100" w:beforeAutospacing="1" w:after="100" w:afterAutospacing="1"/>
        <w:jc w:val="both"/>
      </w:pPr>
      <w:r>
        <w:t xml:space="preserve">Existing reviews address adjacent but distinct questions. Precision medicine in obesity has been reviewed with emphasis on phenotyping and biological heterogeneity rather than on computational infrastructure (Anazco &amp; Acosta, 2025). Multimodal artificial intelligence in obesity has been surveyed with a broad technological remit that encompasses risk prediction, decision support, language models and digital therapeutics, but without sustained critical appraisal of the incretin-specific evidence (Lee et al., 2025). Real-world evidence on newer weight-loss therapies has been reviewed comprehensively from a </w:t>
      </w:r>
      <w:proofErr w:type="spellStart"/>
      <w:r>
        <w:t>pharmacoepidemiological</w:t>
      </w:r>
      <w:proofErr w:type="spellEnd"/>
      <w:r>
        <w:t xml:space="preserve"> standpoint, with computational methods treated as analytical tools rather than as candidate clinical interventions (Thomsen et al., 2025). Consensus work on precision diabetes medicine has documented the general gap between analytical promise and clinical translation, but was not designed to appraise incretin therapy specifically (Tobias et al., 2023). No accessible review has taken the intersection itself as its object and asked, with methodological scepticism, what the artificial intelligence literature has actually established about optimising GLP-1 receptor agonist therapy.</w:t>
      </w:r>
    </w:p>
    <w:p w14:paraId="02213C7C" w14:textId="77777777" w:rsidR="004971F5" w:rsidRDefault="00000000" w:rsidP="00A71138">
      <w:pPr>
        <w:pStyle w:val="Heading2"/>
        <w:spacing w:before="100" w:beforeAutospacing="1" w:after="100" w:afterAutospacing="1"/>
      </w:pPr>
      <w:r>
        <w:rPr>
          <w:b/>
          <w:bCs/>
          <w:sz w:val="24"/>
          <w:szCs w:val="24"/>
        </w:rPr>
        <w:t>1.1 Scope, Research Gap and Objectives</w:t>
      </w:r>
    </w:p>
    <w:p w14:paraId="501A24EE" w14:textId="77777777" w:rsidR="004971F5" w:rsidRDefault="00000000" w:rsidP="00A71138">
      <w:pPr>
        <w:spacing w:before="100" w:beforeAutospacing="1" w:after="100" w:afterAutospacing="1"/>
        <w:jc w:val="both"/>
      </w:pPr>
      <w:r>
        <w:t>This review concerns the application of artificial intelligence and machine learning to the clinical optimisation of GLP-1 receptor agonist therapy, including dual glucose-dependent insulinotropic polypeptide and GLP-1 receptor agonism, in adults with obesity or type 2 diabetes. Optimisation is defined as the set of decisions that determine who is offered treatment, how treatment is monitored and adjusted, how tolerability and safety are managed, and when treatment is continued or stopped. Two functional domains are examined in depth: treatment monitoring, meaning the use of computational methods to track response, adherence, tolerability and unintended physiological consequences during therapy; and clinical decision support, meaning systems that generate recommendations, risk estimates, alerts or explanatory output intended to inform a clinician or patient decision.</w:t>
      </w:r>
    </w:p>
    <w:p w14:paraId="1607AE09" w14:textId="77777777" w:rsidR="004971F5" w:rsidRDefault="00000000" w:rsidP="00A71138">
      <w:pPr>
        <w:spacing w:before="100" w:beforeAutospacing="1" w:after="100" w:afterAutospacing="1"/>
        <w:jc w:val="both"/>
      </w:pPr>
      <w:r>
        <w:t>The research gap addressed is the absence of a critical appraisal that treats the artificial intelligence and incretin literatures as a single evidentiary problem. Reviews of computational obesity medicine describe capability without appraising the specific evidence relating to incretin therapy; reviews of incretin therapy describe clinical effectiveness without appraising the methodological adequacy of the computational tools proposed to improve it. As a result, claims about predictive performance, monitoring benefit and decision-support utility circulate without the calibration, validation and equity scrutiny that would ordinarily accompany a proposed clinical intervention.</w:t>
      </w:r>
    </w:p>
    <w:p w14:paraId="3FAC4525" w14:textId="77777777" w:rsidR="004971F5" w:rsidRDefault="00000000" w:rsidP="00A71138">
      <w:pPr>
        <w:spacing w:before="100" w:beforeAutospacing="1" w:after="100" w:afterAutospacing="1"/>
        <w:jc w:val="both"/>
      </w:pPr>
      <w:r>
        <w:t>The objectives are fivefold: to characterise the computational tasks that have been attempted across the treatment pathway and the data environments in which they were undertaken; to appraise the methodological quality, validation status and interpretability of the resulting models against contemporary standards for prediction-model research; to distinguish findings that support clinical inference from those that are artefacts of design, outcome definition or data structure; to examine the implementation, regulatory and equity conditions under which such systems could plausibly deliver benefit; and to derive prioritised, design-specific research recommendations.</w:t>
      </w:r>
    </w:p>
    <w:p w14:paraId="4EE566EB" w14:textId="77777777" w:rsidR="004971F5" w:rsidRDefault="00000000" w:rsidP="00A71138">
      <w:pPr>
        <w:spacing w:before="100" w:beforeAutospacing="1" w:after="100" w:afterAutospacing="1"/>
        <w:jc w:val="both"/>
      </w:pPr>
      <w:r>
        <w:lastRenderedPageBreak/>
        <w:t>Several areas are excluded. Computational drug discovery, molecular design and preclinical pharmacology are outside the scope except where they illustrate the boundary between discovery and clinical optimisation. Bariatric and metabolic surgery is considered only where surgical prediction models illuminate methodological issues common to obesity pharmacotherapy. Paediatric populations, pregnancy and type 1 diabetes are not treated systematically, since the evidence in each is sparse and the relevant clinical questions differ. Health-economic modelling, supply-chain forecasting and administrative applications are excluded.</w:t>
      </w:r>
    </w:p>
    <w:p w14:paraId="51AA3457" w14:textId="77777777" w:rsidR="004971F5" w:rsidRDefault="00000000" w:rsidP="00A71138">
      <w:pPr>
        <w:pStyle w:val="Heading1"/>
        <w:spacing w:before="100" w:beforeAutospacing="1" w:after="100" w:afterAutospacing="1"/>
      </w:pPr>
      <w:r>
        <w:rPr>
          <w:b/>
          <w:bCs/>
          <w:sz w:val="26"/>
          <w:szCs w:val="26"/>
        </w:rPr>
        <w:t>2. Methods for Literature Selection</w:t>
      </w:r>
    </w:p>
    <w:p w14:paraId="09A6C7D3" w14:textId="77777777" w:rsidR="004971F5" w:rsidRDefault="00000000" w:rsidP="00A71138">
      <w:pPr>
        <w:pStyle w:val="Heading2"/>
        <w:spacing w:before="100" w:beforeAutospacing="1" w:after="100" w:afterAutospacing="1"/>
      </w:pPr>
      <w:r>
        <w:rPr>
          <w:b/>
          <w:bCs/>
          <w:sz w:val="24"/>
          <w:szCs w:val="24"/>
        </w:rPr>
        <w:t>2.1 Review Design and Rationale</w:t>
      </w:r>
    </w:p>
    <w:p w14:paraId="5E4C9170" w14:textId="77777777" w:rsidR="004971F5" w:rsidRDefault="00000000" w:rsidP="00A71138">
      <w:pPr>
        <w:spacing w:before="100" w:beforeAutospacing="1" w:after="100" w:afterAutospacing="1"/>
        <w:jc w:val="both"/>
      </w:pPr>
      <w:r>
        <w:t xml:space="preserve">A critical narrative review was selected in preference to a systematic review, scoping review or meta-analysis because the review question is interpretive rather than enumerative. The relevant literature spans clinical trials, </w:t>
      </w:r>
      <w:proofErr w:type="spellStart"/>
      <w:r>
        <w:t>pharmacoepidemiological</w:t>
      </w:r>
      <w:proofErr w:type="spellEnd"/>
      <w:r>
        <w:t xml:space="preserve"> cohorts, prediction-model development studies, human-factors research, reporting-guideline documents and regulatory analyses. These bodies of work use incompatible outcome definitions, incommensurable performance metrics and different units of analysis, so pooled estimation would be misleading and a formal systematic search would return a corpus whose heterogeneity precludes synthesis by aggregation. The analytical task is to evaluate whether the accumulated claims withstand methodological scrutiny, which requires selective, argument-driven engagement with the strongest and the most contested evidence.</w:t>
      </w:r>
    </w:p>
    <w:p w14:paraId="3A7460D6" w14:textId="77777777" w:rsidR="004971F5" w:rsidRDefault="00000000" w:rsidP="00A71138">
      <w:pPr>
        <w:spacing w:before="100" w:beforeAutospacing="1" w:after="100" w:afterAutospacing="1"/>
        <w:jc w:val="both"/>
      </w:pPr>
      <w:r>
        <w:t xml:space="preserve">Adopting a narrative design does not relax the obligations of transparency or appraisal. The review was structured according to the quality criteria for narrative review articles articulated by </w:t>
      </w:r>
      <w:proofErr w:type="spellStart"/>
      <w:r>
        <w:t>Baethge</w:t>
      </w:r>
      <w:proofErr w:type="spellEnd"/>
      <w:r>
        <w:t xml:space="preserve"> et al. (2019), which require explicit justification of importance, statement of aims, description of literature search, referencing of statements, appropriate presentation of evidence, and scientific reasoning. Appraisal of prediction-model studies was anchored in the reporting expectations of Collins et al. (2024) and in the empirical evidence on risk of bias in machine-learning prediction research assembled by </w:t>
      </w:r>
      <w:proofErr w:type="spellStart"/>
      <w:r>
        <w:t>Andaur</w:t>
      </w:r>
      <w:proofErr w:type="spellEnd"/>
      <w:r>
        <w:t xml:space="preserve"> Navarro et al. (2021). Where interventional claims were assessed, the expectations set out for trials of artificial intelligence interventions (Liu et al., 2020) and for early-stage clinical evaluation of decision support (Vasey et al., 2022) were used as reference standards.</w:t>
      </w:r>
    </w:p>
    <w:p w14:paraId="1DB3C1D8" w14:textId="77777777" w:rsidR="004971F5" w:rsidRDefault="00000000" w:rsidP="00A71138">
      <w:pPr>
        <w:pStyle w:val="Heading2"/>
        <w:spacing w:before="100" w:beforeAutospacing="1" w:after="100" w:afterAutospacing="1"/>
      </w:pPr>
      <w:r>
        <w:rPr>
          <w:b/>
          <w:bCs/>
          <w:sz w:val="24"/>
          <w:szCs w:val="24"/>
        </w:rPr>
        <w:t>2.2 Information Sources</w:t>
      </w:r>
    </w:p>
    <w:p w14:paraId="1420359E" w14:textId="77777777" w:rsidR="004971F5" w:rsidRDefault="00000000" w:rsidP="00A71138">
      <w:pPr>
        <w:spacing w:before="100" w:beforeAutospacing="1" w:after="100" w:afterAutospacing="1"/>
        <w:jc w:val="both"/>
      </w:pPr>
      <w:r>
        <w:t xml:space="preserve">Two scholarly sources were searched directly during preparation of this review. The first was the National Library of Medicine biomedical bibliographic index, accessed programmatically through its public retrieval interface, which provided indexed records, publication types and abstracts. The second was the </w:t>
      </w:r>
      <w:proofErr w:type="spellStart"/>
      <w:r>
        <w:t>Crossref</w:t>
      </w:r>
      <w:proofErr w:type="spellEnd"/>
      <w:r>
        <w:t xml:space="preserve"> metadata registry, queried both by bibliographic string and by Digital Object Identifier, which provided authoritative deposited metadata including author lists, journal titles, volume, issue, pagination and separate print and online publication dates. General web searching was used only to locate publisher landing pages for records whose pagination or abstract was incomplete in the indexed sources, and not as a means of identifying literature.</w:t>
      </w:r>
    </w:p>
    <w:p w14:paraId="32B5A014" w14:textId="77777777" w:rsidR="004971F5" w:rsidRDefault="00000000" w:rsidP="00A71138">
      <w:pPr>
        <w:spacing w:before="100" w:beforeAutospacing="1" w:after="100" w:afterAutospacing="1"/>
        <w:jc w:val="both"/>
      </w:pPr>
      <w:r>
        <w:t xml:space="preserve">Subscription-based indexes, including Web of Science Core Collection, Scopus and Embase, were not accessible during preparation and were not searched. No claim is made here about coverage that those indexes would have provided. Backward citation searching was performed </w:t>
      </w:r>
      <w:r>
        <w:lastRenderedPageBreak/>
        <w:t>on retrieved articles, and reference lists of recent reviews and guideline documents were examined to identify sources not surfaced by keyword searching. Guideline and consensus documents were retrieved directly from the indexed record of the issuing professional body.</w:t>
      </w:r>
    </w:p>
    <w:p w14:paraId="7CCAE326" w14:textId="77777777" w:rsidR="004971F5" w:rsidRDefault="00000000" w:rsidP="00A71138">
      <w:pPr>
        <w:pStyle w:val="Heading2"/>
        <w:spacing w:before="100" w:beforeAutospacing="1" w:after="100" w:afterAutospacing="1"/>
      </w:pPr>
      <w:r>
        <w:rPr>
          <w:b/>
          <w:bCs/>
          <w:sz w:val="24"/>
          <w:szCs w:val="24"/>
        </w:rPr>
        <w:t>2.3 Search Strategy and Search Period</w:t>
      </w:r>
    </w:p>
    <w:p w14:paraId="0E791860" w14:textId="77777777" w:rsidR="004971F5" w:rsidRDefault="00000000" w:rsidP="00A71138">
      <w:pPr>
        <w:spacing w:before="100" w:beforeAutospacing="1" w:after="100" w:afterAutospacing="1"/>
        <w:jc w:val="both"/>
      </w:pPr>
      <w:r>
        <w:t>Search concepts were constructed around four axes and combined with Boolean operators. The pharmacological axis combined the class term with individual agent names, expressed as (glucagon-like peptide-1 receptor agonist OR GLP-1 OR semaglutide OR tirzepatide OR liraglutide OR dulaglutide OR exenatide). The computational axis combined (artificial intelligence OR machine learning OR deep learning OR large language model OR clinical decision support OR predictive model OR explainable). The clinical axis combined (obesity OR overweight OR type 2 diabetes OR weight loss OR glycaemic control OR adherence OR persistence OR discontinuation OR titration OR adverse event). The methodological axis combined (external validation OR calibration OR risk of bias OR reporting guideline OR algorithmic bias OR disproportionality analysis). Terms were restricted to title and abstract fields where the indexing interface permitted, and searches were repeated with field restriction removed when yield was low. Representative strings included the combination of machine learning with each agent name in title and abstract fields, and the combination of clinical decision support with type 2 diabetes and randomised design.</w:t>
      </w:r>
    </w:p>
    <w:p w14:paraId="56A8E02F" w14:textId="77777777" w:rsidR="004971F5" w:rsidRDefault="00000000" w:rsidP="00A71138">
      <w:pPr>
        <w:spacing w:before="100" w:beforeAutospacing="1" w:after="100" w:afterAutospacing="1"/>
        <w:jc w:val="both"/>
      </w:pPr>
      <w:r>
        <w:t>The search period opened on 1 January 2005, the year in which the first GLP-1 receptor agonist entered clinical use and the clinical era addressed by this review therefore began. The final search date was 9 June 2026. Foundational publications preceding the opening date were admitted where necessary to explain conceptual development, and are identified as such in the text.</w:t>
      </w:r>
    </w:p>
    <w:p w14:paraId="27AD4597" w14:textId="77777777" w:rsidR="004971F5" w:rsidRDefault="00000000" w:rsidP="00A71138">
      <w:pPr>
        <w:pStyle w:val="Heading2"/>
        <w:spacing w:before="100" w:beforeAutospacing="1" w:after="100" w:afterAutospacing="1"/>
      </w:pPr>
      <w:r>
        <w:rPr>
          <w:b/>
          <w:bCs/>
          <w:sz w:val="24"/>
          <w:szCs w:val="24"/>
        </w:rPr>
        <w:t>2.4 Eligibility Criteria</w:t>
      </w:r>
    </w:p>
    <w:p w14:paraId="3D537584" w14:textId="77777777" w:rsidR="004971F5" w:rsidRDefault="00000000" w:rsidP="00A71138">
      <w:pPr>
        <w:spacing w:before="100" w:beforeAutospacing="1" w:after="100" w:afterAutospacing="1"/>
        <w:jc w:val="both"/>
      </w:pPr>
      <w:r>
        <w:t>Eligible publications were peer-reviewed journal articles, guideline or consensus documents issued by recognised professional bodies, and methodological reporting standards. Eligible content addressed at least one of the following: application of computational methods to the selection, monitoring, titration, adherence support, safety surveillance or discontinuation of incretin-based therapy; clinical evidence on the efficacy, effectiveness, tolerability, persistence or equity of that therapy where required to establish the clinical problem; or methodological, regulatory and governance standards bearing on the evaluation of clinical artificial intelligence. Studies in adults were prioritised.</w:t>
      </w:r>
    </w:p>
    <w:p w14:paraId="45D0239E" w14:textId="77777777" w:rsidR="004971F5" w:rsidRDefault="00000000" w:rsidP="00A71138">
      <w:pPr>
        <w:spacing w:before="100" w:beforeAutospacing="1" w:after="100" w:afterAutospacing="1"/>
        <w:jc w:val="both"/>
      </w:pPr>
      <w:r>
        <w:t>Publications were excluded when they were commentaries, editorials or letters without primary content, conference abstracts, preprints for which peer-reviewed equivalents existed, or non-scholarly material. Purely preclinical pharmacology and molecular design studies were excluded except where a single illustrative example was required to demarcate the boundary between discovery and clinical optimisation. Articles were excluded when bibliographic identity could not be confirmed against deposited metadata, and articles were excluded when the retrievable record did not support the claim for which citation was contemplated. Language was restricted to English, which is a substantive restriction acknowledged in the Limitations.</w:t>
      </w:r>
    </w:p>
    <w:p w14:paraId="5CF335FE" w14:textId="77777777" w:rsidR="004971F5" w:rsidRDefault="00000000" w:rsidP="00A71138">
      <w:pPr>
        <w:pStyle w:val="Heading2"/>
        <w:spacing w:before="100" w:beforeAutospacing="1" w:after="100" w:afterAutospacing="1"/>
      </w:pPr>
      <w:r>
        <w:rPr>
          <w:b/>
          <w:bCs/>
          <w:sz w:val="24"/>
          <w:szCs w:val="24"/>
        </w:rPr>
        <w:t>2.5 Screening, Duplicate Handling and Study Selection</w:t>
      </w:r>
    </w:p>
    <w:p w14:paraId="796B4A0E" w14:textId="77777777" w:rsidR="004971F5" w:rsidRDefault="00000000" w:rsidP="00A71138">
      <w:pPr>
        <w:spacing w:before="100" w:beforeAutospacing="1" w:after="100" w:afterAutospacing="1"/>
        <w:jc w:val="both"/>
      </w:pPr>
      <w:r>
        <w:lastRenderedPageBreak/>
        <w:t>Retrieved records were screened first by title and abstract against the eligibility criteria, and records passing that stage were assessed against the full abstract and, where accessible, the full text or the publisher record. Duplicates arising because the same article was retrieved by more than one search string, or was represented in both the bibliographic index and the metadata registry, were identified by Digital Object Identifier and by matched title and author strings, and were consolidated to a single record. Records representing components rather than articles, such as deposited supplementary files and peer-review reports carrying derivative identifiers, were removed. Where the bibliographic index and the metadata registry disagreed on publication year, the year of the version of record was adopted, determined from the deposited print publication date.</w:t>
      </w:r>
    </w:p>
    <w:p w14:paraId="2404F3CC" w14:textId="77777777" w:rsidR="004971F5" w:rsidRDefault="00000000" w:rsidP="00A71138">
      <w:pPr>
        <w:spacing w:before="100" w:beforeAutospacing="1" w:after="100" w:afterAutospacing="1"/>
        <w:jc w:val="both"/>
      </w:pPr>
      <w:r>
        <w:t>Sources that could not be retrieved in sufficient detail to confirm both bibliographic identity and claim relevance were not cited. No formal count of records screened at each stage is reported, because the selection process was purposive and iterative rather than exhaustive, and reporting counts derived from such a process would imply a systematic procedure that was not undertaken. For the same reason, no study-flow diagram is presented.</w:t>
      </w:r>
    </w:p>
    <w:p w14:paraId="6D09A48F" w14:textId="77777777" w:rsidR="004971F5" w:rsidRDefault="00000000" w:rsidP="00A71138">
      <w:pPr>
        <w:pStyle w:val="Heading2"/>
        <w:spacing w:before="100" w:beforeAutospacing="1" w:after="100" w:afterAutospacing="1"/>
      </w:pPr>
      <w:r>
        <w:rPr>
          <w:b/>
          <w:bCs/>
          <w:sz w:val="24"/>
          <w:szCs w:val="24"/>
        </w:rPr>
        <w:t>2.6 Critical Appraisal and Evidence Synthesis</w:t>
      </w:r>
    </w:p>
    <w:p w14:paraId="25FAFEC8" w14:textId="77777777" w:rsidR="004971F5" w:rsidRDefault="00000000" w:rsidP="00A71138">
      <w:pPr>
        <w:spacing w:before="100" w:beforeAutospacing="1" w:after="100" w:afterAutospacing="1"/>
        <w:jc w:val="both"/>
      </w:pPr>
      <w:r>
        <w:t>Clinical studies were appraised for design appropriateness, sample size and representativeness, comparator adequacy, outcome definition, handling of confounding and channelling, completeness of follow-up and generalisability. Prediction-model studies were appraised for data source and provenance, sample size relative to the number of candidate predictors, outcome definition and its relationship to baseline covariates, handling of missing data, the nature of any validation, and whether calibration and clinical utility were assessed alongside discrimination. Studies of language models were appraised for prompt standardisation, model versioning, reference-standard construction and rater independence. Pharmacovigilance analyses were appraised for comparator selection, susceptibility to reporting and channelling bias, and whether disproportionality output was interpreted as hypothesis-generating.</w:t>
      </w:r>
    </w:p>
    <w:p w14:paraId="290D09D0" w14:textId="77777777" w:rsidR="004971F5" w:rsidRDefault="00000000" w:rsidP="00A71138">
      <w:pPr>
        <w:spacing w:before="100" w:beforeAutospacing="1" w:after="100" w:afterAutospacing="1"/>
        <w:jc w:val="both"/>
      </w:pPr>
      <w:r>
        <w:t>Themes were developed inductively from the retrieved evidence and then organised around the clinical decision pathway, which provided a common structure for comparing otherwise heterogeneous work. Where studies disagreed, the reasons were sought in differences of data environment, outcome definition, case mix and analytical specification rather than treated as unexplained inconsistency. Where a single study provided the only evidence for a claim, this is stated. Confidence in each conclusion is expressed in the text through explicit qualification rather than through a formal grading instrument, since the constituent literatures are not amenable to a common grading framework.</w:t>
      </w:r>
    </w:p>
    <w:p w14:paraId="743E2B27" w14:textId="77777777" w:rsidR="004971F5" w:rsidRDefault="00000000" w:rsidP="00A71138">
      <w:pPr>
        <w:pStyle w:val="Heading1"/>
        <w:spacing w:before="100" w:beforeAutospacing="1" w:after="100" w:afterAutospacing="1"/>
      </w:pPr>
      <w:r>
        <w:rPr>
          <w:b/>
          <w:bCs/>
          <w:sz w:val="26"/>
          <w:szCs w:val="26"/>
        </w:rPr>
        <w:t>3. The Optimisation Problem in Incretin Therapy</w:t>
      </w:r>
    </w:p>
    <w:p w14:paraId="100A7906" w14:textId="77777777" w:rsidR="004971F5" w:rsidRDefault="00000000" w:rsidP="00A71138">
      <w:pPr>
        <w:spacing w:before="100" w:beforeAutospacing="1" w:after="100" w:afterAutospacing="1"/>
        <w:jc w:val="both"/>
      </w:pPr>
      <w:r>
        <w:t>Any assessment of computational support must begin from a precise account of what needs optimising. The proposition that artificial intelligence can improve GLP-1 receptor agonist therapy is only meaningful if there exist decisions that are currently made poorly, that generate measurable losses, and that depend on information a model could plausibly supply. Three such decision problems are well documented.</w:t>
      </w:r>
    </w:p>
    <w:p w14:paraId="7CD18669" w14:textId="77777777" w:rsidR="004971F5" w:rsidRDefault="00000000" w:rsidP="00A71138">
      <w:pPr>
        <w:pStyle w:val="Heading2"/>
        <w:spacing w:before="100" w:beforeAutospacing="1" w:after="100" w:afterAutospacing="1"/>
      </w:pPr>
      <w:r>
        <w:rPr>
          <w:b/>
          <w:bCs/>
          <w:sz w:val="24"/>
          <w:szCs w:val="24"/>
        </w:rPr>
        <w:t>3.1 Response Heterogeneity and the Inadequacy of Anthropometric Selection</w:t>
      </w:r>
    </w:p>
    <w:p w14:paraId="0D1E62EF" w14:textId="77777777" w:rsidR="004971F5" w:rsidRDefault="00000000" w:rsidP="00A71138">
      <w:pPr>
        <w:spacing w:before="100" w:beforeAutospacing="1" w:after="100" w:afterAutospacing="1"/>
        <w:jc w:val="both"/>
      </w:pPr>
      <w:r>
        <w:lastRenderedPageBreak/>
        <w:t>Mean effects in registration trials are large, but the distribution around those means is wide. In the semaglutide obesity trial, 86.4 per cent of treated participants achieved at least 5 per cent weight loss and 50.5 per cent achieved at least 15 per cent, which implies that roughly one in seven derived no clinically meaningful weight benefit and that the difference between a modest and a transformative response was not predictable at initiation (Wilding et al., 2021). The tirzepatide trial showed a similar spread, with 5 per cent response rates between 85 and 91 per cent but 20 per cent response rates of 50 to 57 per cent at the higher doses (</w:t>
      </w:r>
      <w:proofErr w:type="spellStart"/>
      <w:r>
        <w:t>Jastreboff</w:t>
      </w:r>
      <w:proofErr w:type="spellEnd"/>
      <w:r>
        <w:t xml:space="preserve"> et al., 2022). Variation of this magnitude is the necessary precondition for any predictive enterprise; without it, prediction would have nothing to explain.</w:t>
      </w:r>
    </w:p>
    <w:p w14:paraId="61C616CE" w14:textId="77777777" w:rsidR="004971F5" w:rsidRDefault="00000000" w:rsidP="00A71138">
      <w:pPr>
        <w:spacing w:before="100" w:beforeAutospacing="1" w:after="100" w:afterAutospacing="1"/>
        <w:jc w:val="both"/>
      </w:pPr>
      <w:r>
        <w:t>Selection in practice relies principally on body mass index and the presence of weight-related complications, criteria that were designed for trial eligibility rather than for individual benefit estimation. Analysis of a large national diabetes registry using an explainable rule-induction method found that GLP-1 receptor agonist prescribing was driven predominantly by higher body mass index, younger age and glycaemic extremes, and was only weakly related to cardiorenal risk; individuals with lower body mass index were less frequently prescribed these agents even when renal or cardiovascular risk was present (Tuccinardi et al., 2025). The models predicting GLP-1 receptor agonist prescription performed considerably worse than those predicting sodium-glucose co-transporter 2 inhibitor prescription, with accuracies of 31.6 to 54.1 per cent against 63.7 to 83.1 per cent, indicating that incretin prescribing followed no consistent clinical logic that the algorithm could recover. That finding is an important one for this review: it locates the deficiency not in the absence of a predictive tool but in the absence of a coherent decision rule for the tool to formalise.</w:t>
      </w:r>
    </w:p>
    <w:p w14:paraId="0765CE95" w14:textId="77777777" w:rsidR="004971F5" w:rsidRDefault="00000000" w:rsidP="00A71138">
      <w:pPr>
        <w:spacing w:before="100" w:beforeAutospacing="1" w:after="100" w:afterAutospacing="1"/>
        <w:jc w:val="both"/>
      </w:pPr>
      <w:r>
        <w:t>Biological work supports the view that anthropometry is an impoverished selection variable. Detailed physiological phenotyping of satiation, quantified as calories consumed to satiation during an ad libitum meal, showed wide variation that baseline characteristics, body composition and hormone concentrations explained only partly (Cifuentes et al., 2025). Earlier pragmatic work in an obesity clinic reported greater weight loss when anti-obesity medication was selected according to phenotype rather than by standard care (Acosta et al., 2021). Together these findings indicate that clinically consequential heterogeneity exists at a level below that captured by routine anthropometric data, which is precisely the level at which computational methods would need to operate to add value.</w:t>
      </w:r>
    </w:p>
    <w:p w14:paraId="67B2D343" w14:textId="77777777" w:rsidR="004971F5" w:rsidRDefault="00000000" w:rsidP="00A71138">
      <w:pPr>
        <w:pStyle w:val="Heading2"/>
        <w:spacing w:before="100" w:beforeAutospacing="1" w:after="100" w:afterAutospacing="1"/>
      </w:pPr>
      <w:r>
        <w:rPr>
          <w:b/>
          <w:bCs/>
          <w:sz w:val="24"/>
          <w:szCs w:val="24"/>
        </w:rPr>
        <w:t>3.2 Tolerability, Titration and Discontinuation as Determinants of Realised Effectiveness</w:t>
      </w:r>
    </w:p>
    <w:p w14:paraId="525FA6D4" w14:textId="77777777" w:rsidR="004971F5" w:rsidRDefault="00000000" w:rsidP="00A71138">
      <w:pPr>
        <w:spacing w:before="100" w:beforeAutospacing="1" w:after="100" w:afterAutospacing="1"/>
        <w:jc w:val="both"/>
      </w:pPr>
      <w:r>
        <w:t>Efficacy observed under protocolised dose escalation is not the effectiveness observed under routine prescribing. Gastrointestinal adverse events are common with semaglutide, with nausea reported by 43.9 per cent, diarrhoea by 29.7 per cent, vomiting by 24.5 per cent and constipation by 24.2 per cent of treated trial participants, although these events were overwhelmingly non-serious, mild to moderate, transient and concentrated during or shortly after dose escalation, and led to permanent discontinuation in only 4.3 per cent (Wharton et al., 2022). Mediation analysis in the same pooled dataset showed that weight loss was largely independent of gastrointestinal adverse events, with less than one percentage point of the additional weight loss attributable to them. This finding is clinically important because it undermines the intuition that symptomatic burden is the price of efficacy, and therefore establishes that better tolerability management is not expected to compromise benefit.</w:t>
      </w:r>
    </w:p>
    <w:p w14:paraId="3A8FE5AA" w14:textId="77777777" w:rsidR="004971F5" w:rsidRDefault="00000000" w:rsidP="00A71138">
      <w:pPr>
        <w:spacing w:before="100" w:beforeAutospacing="1" w:after="100" w:afterAutospacing="1"/>
        <w:jc w:val="both"/>
      </w:pPr>
      <w:r>
        <w:lastRenderedPageBreak/>
        <w:t>Routine practice nevertheless loses much of the trial effect. Persistence of 32.3 per cent at one year in an insured obesity cohort (Gleason et al., 2024) and a 41.1 per cent one-year discontinuation risk in United Kingdom primary care (Ulrich et al., 2026) are not marginal shortfalls. The titration data are equally consequential: only 58 per cent of semaglutide initiators reached recommended maintenance doses after the initial four weeks, and 21 per cent remained at starting doses, with faster escalation among those with higher body mass index (Ulrich et al., 2026). Therapeutic inertia in this class has also been documented in Mediterranean practice, where persistence and adherence were both suboptimal (Palanca et al., 2023). Given that withdrawal is followed by regain of approximately two-thirds of lost weight within a year (Wilding et al., 2022), the aggregate loss attributable to premature discontinuation and under-titration is likely to exceed any plausible gain from improved initial patient selection. This asymmetry has been largely neglected in the computational literature, which has concentrated on prediction at initiation.</w:t>
      </w:r>
    </w:p>
    <w:p w14:paraId="3D6A6BA5" w14:textId="77777777" w:rsidR="004971F5" w:rsidRDefault="00000000" w:rsidP="00A71138">
      <w:pPr>
        <w:pStyle w:val="Heading2"/>
        <w:spacing w:before="100" w:beforeAutospacing="1" w:after="100" w:afterAutospacing="1"/>
      </w:pPr>
      <w:r>
        <w:rPr>
          <w:b/>
          <w:bCs/>
          <w:sz w:val="24"/>
          <w:szCs w:val="24"/>
        </w:rPr>
        <w:t>3.3 Access, Cost and Equity as Constraints on Optimisation</w:t>
      </w:r>
    </w:p>
    <w:p w14:paraId="36B07E52" w14:textId="77777777" w:rsidR="004971F5" w:rsidRDefault="00000000" w:rsidP="00A71138">
      <w:pPr>
        <w:spacing w:before="100" w:beforeAutospacing="1" w:after="100" w:afterAutospacing="1"/>
        <w:jc w:val="both"/>
      </w:pPr>
      <w:r>
        <w:t>Optimisation cannot be treated as a purely clinical problem when supply and cost are binding constraints. Inequities in GLP-1 receptor agonist use by race, ethnicity and socioeconomic position were documented early in the diffusion of these agents among people with diabetes in the United States (Eberly et al., 2021), and analysis within a university-affiliated health maintenance organisation subsequently found differences in prescribing for obesity by race, ethnicity and socioeconomic status (Chen et al., 2026). Commentary on primary-care readiness has framed the risk explicitly as the emergence of a two-tiered treatment landscape (Ahmed et al., 2026).</w:t>
      </w:r>
    </w:p>
    <w:p w14:paraId="2BEAE06A" w14:textId="77777777" w:rsidR="004971F5" w:rsidRDefault="00000000" w:rsidP="00A71138">
      <w:pPr>
        <w:spacing w:before="100" w:beforeAutospacing="1" w:after="100" w:afterAutospacing="1"/>
        <w:jc w:val="both"/>
      </w:pPr>
      <w:r>
        <w:t>This context alters the meaning of an eligibility-prediction tool. A model that identifies who should receive an expensive and supply-constrained therapy is not a neutral clinical aid but an allocation instrument, and its errors are distributed along the same social gradients as the data from which it was built. The demonstration that a widely deployed risk algorithm reproduced racial bias because expenditure was used as a proxy for need (Obermeyer et al., 2019) is directly transferable: prior utilisation, coverage status and documented comorbidity are all endogenous to access. Any evaluation of computational allocation in this field that does not include a subgroup-stratified error analysis is therefore incomplete.</w:t>
      </w:r>
    </w:p>
    <w:p w14:paraId="6CB00711" w14:textId="77777777" w:rsidR="004971F5" w:rsidRDefault="00000000" w:rsidP="00A71138">
      <w:pPr>
        <w:spacing w:before="100" w:beforeAutospacing="1" w:after="100" w:afterAutospacing="1"/>
        <w:jc w:val="both"/>
      </w:pPr>
      <w:r>
        <w:t>Table 1 summarises the computational tasks that have been proposed across the treatment pathway, the data environments on which they depend and the maturity of the supporting evidence. The table makes plain that activity is concentrated at the initiation end of the pathway, where retrospective data are most readily assembled, and is sparsest at the points where the preceding analysis suggests the largest losses occur, namely titration, tolerability management and continuation decisions. The evidentiary status column also shows that no task in the pathway is currently supported by prospective interventional evidence specific to incretin therapy.</w:t>
      </w:r>
    </w:p>
    <w:p w14:paraId="380BF8BC" w14:textId="77777777" w:rsidR="004971F5" w:rsidRDefault="00000000" w:rsidP="00A71138">
      <w:pPr>
        <w:keepNext/>
        <w:spacing w:before="100" w:beforeAutospacing="1" w:after="100" w:afterAutospacing="1"/>
      </w:pPr>
      <w:r>
        <w:rPr>
          <w:b/>
          <w:bCs/>
          <w:sz w:val="22"/>
          <w:szCs w:val="22"/>
        </w:rPr>
        <w:lastRenderedPageBreak/>
        <w:t>Table 1. Proposed applications of artificial intelligence across the glucagon-like peptide-1 receptor agonist treatment pathway, with data requirements and current evidentiary status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2434"/>
        <w:gridCol w:w="2059"/>
        <w:gridCol w:w="2059"/>
        <w:gridCol w:w="1685"/>
        <w:gridCol w:w="1123"/>
      </w:tblGrid>
      <w:tr w:rsidR="004971F5" w14:paraId="44511140" w14:textId="77777777">
        <w:trPr>
          <w:tblHeader/>
        </w:trPr>
        <w:tc>
          <w:tcPr>
            <w:tcW w:w="2434" w:type="dxa"/>
            <w:shd w:val="clear" w:color="auto" w:fill="E8E8E8"/>
            <w:tcMar>
              <w:top w:w="60" w:type="dxa"/>
              <w:left w:w="90" w:type="dxa"/>
              <w:bottom w:w="60" w:type="dxa"/>
              <w:right w:w="90" w:type="dxa"/>
            </w:tcMar>
          </w:tcPr>
          <w:p w14:paraId="3E520AF4" w14:textId="77777777" w:rsidR="004971F5" w:rsidRDefault="00000000" w:rsidP="00A71138">
            <w:pPr>
              <w:spacing w:before="100" w:beforeAutospacing="1" w:after="100" w:afterAutospacing="1"/>
            </w:pPr>
            <w:r>
              <w:rPr>
                <w:b/>
                <w:bCs/>
                <w:sz w:val="18"/>
                <w:szCs w:val="18"/>
              </w:rPr>
              <w:t>Pathway stage and task</w:t>
            </w:r>
          </w:p>
        </w:tc>
        <w:tc>
          <w:tcPr>
            <w:tcW w:w="2059" w:type="dxa"/>
            <w:shd w:val="clear" w:color="auto" w:fill="E8E8E8"/>
            <w:tcMar>
              <w:top w:w="60" w:type="dxa"/>
              <w:left w:w="90" w:type="dxa"/>
              <w:bottom w:w="60" w:type="dxa"/>
              <w:right w:w="90" w:type="dxa"/>
            </w:tcMar>
          </w:tcPr>
          <w:p w14:paraId="6C7B177E" w14:textId="77777777" w:rsidR="004971F5" w:rsidRDefault="00000000" w:rsidP="00A71138">
            <w:pPr>
              <w:spacing w:before="100" w:beforeAutospacing="1" w:after="100" w:afterAutospacing="1"/>
            </w:pPr>
            <w:r>
              <w:rPr>
                <w:b/>
                <w:bCs/>
                <w:sz w:val="18"/>
                <w:szCs w:val="18"/>
              </w:rPr>
              <w:t>Representative computational approach</w:t>
            </w:r>
          </w:p>
        </w:tc>
        <w:tc>
          <w:tcPr>
            <w:tcW w:w="2059" w:type="dxa"/>
            <w:shd w:val="clear" w:color="auto" w:fill="E8E8E8"/>
            <w:tcMar>
              <w:top w:w="60" w:type="dxa"/>
              <w:left w:w="90" w:type="dxa"/>
              <w:bottom w:w="60" w:type="dxa"/>
              <w:right w:w="90" w:type="dxa"/>
            </w:tcMar>
          </w:tcPr>
          <w:p w14:paraId="49412958" w14:textId="77777777" w:rsidR="004971F5" w:rsidRDefault="00000000" w:rsidP="00A71138">
            <w:pPr>
              <w:spacing w:before="100" w:beforeAutospacing="1" w:after="100" w:afterAutospacing="1"/>
            </w:pPr>
            <w:r>
              <w:rPr>
                <w:b/>
                <w:bCs/>
                <w:sz w:val="18"/>
                <w:szCs w:val="18"/>
              </w:rPr>
              <w:t>Principal data sources</w:t>
            </w:r>
          </w:p>
        </w:tc>
        <w:tc>
          <w:tcPr>
            <w:tcW w:w="1685" w:type="dxa"/>
            <w:shd w:val="clear" w:color="auto" w:fill="E8E8E8"/>
            <w:tcMar>
              <w:top w:w="60" w:type="dxa"/>
              <w:left w:w="90" w:type="dxa"/>
              <w:bottom w:w="60" w:type="dxa"/>
              <w:right w:w="90" w:type="dxa"/>
            </w:tcMar>
          </w:tcPr>
          <w:p w14:paraId="63DBF673" w14:textId="77777777" w:rsidR="004971F5" w:rsidRDefault="00000000" w:rsidP="00A71138">
            <w:pPr>
              <w:spacing w:before="100" w:beforeAutospacing="1" w:after="100" w:afterAutospacing="1"/>
            </w:pPr>
            <w:r>
              <w:rPr>
                <w:b/>
                <w:bCs/>
                <w:sz w:val="18"/>
                <w:szCs w:val="18"/>
              </w:rPr>
              <w:t>Current evidentiary status</w:t>
            </w:r>
          </w:p>
        </w:tc>
        <w:tc>
          <w:tcPr>
            <w:tcW w:w="1123" w:type="dxa"/>
            <w:shd w:val="clear" w:color="auto" w:fill="E8E8E8"/>
            <w:tcMar>
              <w:top w:w="60" w:type="dxa"/>
              <w:left w:w="90" w:type="dxa"/>
              <w:bottom w:w="60" w:type="dxa"/>
              <w:right w:w="90" w:type="dxa"/>
            </w:tcMar>
          </w:tcPr>
          <w:p w14:paraId="088A7FAF" w14:textId="77777777" w:rsidR="004971F5" w:rsidRDefault="00000000" w:rsidP="00A71138">
            <w:pPr>
              <w:spacing w:before="100" w:beforeAutospacing="1" w:after="100" w:afterAutospacing="1"/>
            </w:pPr>
            <w:r>
              <w:rPr>
                <w:b/>
                <w:bCs/>
                <w:sz w:val="18"/>
                <w:szCs w:val="18"/>
              </w:rPr>
              <w:t>Supporting references</w:t>
            </w:r>
          </w:p>
        </w:tc>
      </w:tr>
      <w:tr w:rsidR="004971F5" w14:paraId="0A67E615" w14:textId="77777777">
        <w:tc>
          <w:tcPr>
            <w:tcW w:w="2434" w:type="dxa"/>
            <w:tcMar>
              <w:top w:w="60" w:type="dxa"/>
              <w:left w:w="90" w:type="dxa"/>
              <w:bottom w:w="60" w:type="dxa"/>
              <w:right w:w="90" w:type="dxa"/>
            </w:tcMar>
          </w:tcPr>
          <w:p w14:paraId="750F9253" w14:textId="77777777" w:rsidR="004971F5" w:rsidRDefault="00000000" w:rsidP="00A71138">
            <w:pPr>
              <w:spacing w:before="100" w:beforeAutospacing="1" w:after="100" w:afterAutospacing="1"/>
            </w:pPr>
            <w:r>
              <w:rPr>
                <w:sz w:val="18"/>
                <w:szCs w:val="18"/>
              </w:rPr>
              <w:t>Candidate identification and eligibility determination</w:t>
            </w:r>
          </w:p>
        </w:tc>
        <w:tc>
          <w:tcPr>
            <w:tcW w:w="2059" w:type="dxa"/>
            <w:tcMar>
              <w:top w:w="60" w:type="dxa"/>
              <w:left w:w="90" w:type="dxa"/>
              <w:bottom w:w="60" w:type="dxa"/>
              <w:right w:w="90" w:type="dxa"/>
            </w:tcMar>
          </w:tcPr>
          <w:p w14:paraId="716D5E54" w14:textId="77777777" w:rsidR="004971F5" w:rsidRDefault="00000000" w:rsidP="00A71138">
            <w:pPr>
              <w:spacing w:before="100" w:beforeAutospacing="1" w:after="100" w:afterAutospacing="1"/>
            </w:pPr>
            <w:r>
              <w:rPr>
                <w:sz w:val="18"/>
                <w:szCs w:val="18"/>
              </w:rPr>
              <w:t>Supervised classification against guideline-derived labels; risk-based prioritisation using complication prediction</w:t>
            </w:r>
          </w:p>
        </w:tc>
        <w:tc>
          <w:tcPr>
            <w:tcW w:w="2059" w:type="dxa"/>
            <w:tcMar>
              <w:top w:w="60" w:type="dxa"/>
              <w:left w:w="90" w:type="dxa"/>
              <w:bottom w:w="60" w:type="dxa"/>
              <w:right w:w="90" w:type="dxa"/>
            </w:tcMar>
          </w:tcPr>
          <w:p w14:paraId="0BC8B72D" w14:textId="77777777" w:rsidR="004971F5" w:rsidRDefault="00000000" w:rsidP="00A71138">
            <w:pPr>
              <w:spacing w:before="100" w:beforeAutospacing="1" w:after="100" w:afterAutospacing="1"/>
            </w:pPr>
            <w:r>
              <w:rPr>
                <w:sz w:val="18"/>
                <w:szCs w:val="18"/>
              </w:rPr>
              <w:t>Electronic health records; population cohorts with proteomic or metabolomic assays</w:t>
            </w:r>
          </w:p>
        </w:tc>
        <w:tc>
          <w:tcPr>
            <w:tcW w:w="1685" w:type="dxa"/>
            <w:tcMar>
              <w:top w:w="60" w:type="dxa"/>
              <w:left w:w="90" w:type="dxa"/>
              <w:bottom w:w="60" w:type="dxa"/>
              <w:right w:w="90" w:type="dxa"/>
            </w:tcMar>
          </w:tcPr>
          <w:p w14:paraId="2E27FA29" w14:textId="77777777" w:rsidR="004971F5" w:rsidRDefault="00000000" w:rsidP="00A71138">
            <w:pPr>
              <w:spacing w:before="100" w:beforeAutospacing="1" w:after="100" w:afterAutospacing="1"/>
            </w:pPr>
            <w:r>
              <w:rPr>
                <w:sz w:val="18"/>
                <w:szCs w:val="18"/>
              </w:rPr>
              <w:t>Retrospective development; partial external replication for risk prioritisation; no prospective evaluation</w:t>
            </w:r>
          </w:p>
        </w:tc>
        <w:tc>
          <w:tcPr>
            <w:tcW w:w="1123" w:type="dxa"/>
            <w:tcMar>
              <w:top w:w="60" w:type="dxa"/>
              <w:left w:w="90" w:type="dxa"/>
              <w:bottom w:w="60" w:type="dxa"/>
              <w:right w:w="90" w:type="dxa"/>
            </w:tcMar>
          </w:tcPr>
          <w:p w14:paraId="4EB4D54E" w14:textId="77777777" w:rsidR="004971F5" w:rsidRDefault="00000000" w:rsidP="00A71138">
            <w:pPr>
              <w:spacing w:before="100" w:beforeAutospacing="1" w:after="100" w:afterAutospacing="1"/>
            </w:pPr>
            <w:r>
              <w:rPr>
                <w:sz w:val="18"/>
                <w:szCs w:val="18"/>
              </w:rPr>
              <w:t>Demircan et al. (2026); Srivastava et al. (2025)</w:t>
            </w:r>
          </w:p>
        </w:tc>
      </w:tr>
      <w:tr w:rsidR="004971F5" w14:paraId="77EB8522" w14:textId="77777777">
        <w:tc>
          <w:tcPr>
            <w:tcW w:w="2434" w:type="dxa"/>
            <w:tcMar>
              <w:top w:w="60" w:type="dxa"/>
              <w:left w:w="90" w:type="dxa"/>
              <w:bottom w:w="60" w:type="dxa"/>
              <w:right w:w="90" w:type="dxa"/>
            </w:tcMar>
          </w:tcPr>
          <w:p w14:paraId="4EF277D0" w14:textId="77777777" w:rsidR="004971F5" w:rsidRDefault="00000000" w:rsidP="00A71138">
            <w:pPr>
              <w:spacing w:before="100" w:beforeAutospacing="1" w:after="100" w:afterAutospacing="1"/>
            </w:pPr>
            <w:r>
              <w:rPr>
                <w:sz w:val="18"/>
                <w:szCs w:val="18"/>
              </w:rPr>
              <w:t>Prediction of weight and glycaemic response</w:t>
            </w:r>
          </w:p>
        </w:tc>
        <w:tc>
          <w:tcPr>
            <w:tcW w:w="2059" w:type="dxa"/>
            <w:tcMar>
              <w:top w:w="60" w:type="dxa"/>
              <w:left w:w="90" w:type="dxa"/>
              <w:bottom w:w="60" w:type="dxa"/>
              <w:right w:w="90" w:type="dxa"/>
            </w:tcMar>
          </w:tcPr>
          <w:p w14:paraId="46EB4BA4" w14:textId="77777777" w:rsidR="004971F5" w:rsidRDefault="00000000" w:rsidP="00A71138">
            <w:pPr>
              <w:spacing w:before="100" w:beforeAutospacing="1" w:after="100" w:afterAutospacing="1"/>
            </w:pPr>
            <w:r>
              <w:rPr>
                <w:sz w:val="18"/>
                <w:szCs w:val="18"/>
              </w:rPr>
              <w:t>Tree-based ensembles with post hoc attribution; machine-learning-assisted genetic risk scoring</w:t>
            </w:r>
          </w:p>
        </w:tc>
        <w:tc>
          <w:tcPr>
            <w:tcW w:w="2059" w:type="dxa"/>
            <w:tcMar>
              <w:top w:w="60" w:type="dxa"/>
              <w:left w:w="90" w:type="dxa"/>
              <w:bottom w:w="60" w:type="dxa"/>
              <w:right w:w="90" w:type="dxa"/>
            </w:tcMar>
          </w:tcPr>
          <w:p w14:paraId="4BC1ADB1" w14:textId="77777777" w:rsidR="004971F5" w:rsidRDefault="00000000" w:rsidP="00A71138">
            <w:pPr>
              <w:spacing w:before="100" w:beforeAutospacing="1" w:after="100" w:afterAutospacing="1"/>
            </w:pPr>
            <w:r>
              <w:rPr>
                <w:sz w:val="18"/>
                <w:szCs w:val="18"/>
              </w:rPr>
              <w:t>Research programme cohorts; deep physiological phenotyping with randomised follow-up</w:t>
            </w:r>
          </w:p>
        </w:tc>
        <w:tc>
          <w:tcPr>
            <w:tcW w:w="1685" w:type="dxa"/>
            <w:tcMar>
              <w:top w:w="60" w:type="dxa"/>
              <w:left w:w="90" w:type="dxa"/>
              <w:bottom w:w="60" w:type="dxa"/>
              <w:right w:w="90" w:type="dxa"/>
            </w:tcMar>
          </w:tcPr>
          <w:p w14:paraId="60313458" w14:textId="77777777" w:rsidR="004971F5" w:rsidRDefault="00000000" w:rsidP="00A71138">
            <w:pPr>
              <w:spacing w:before="100" w:beforeAutospacing="1" w:after="100" w:afterAutospacing="1"/>
            </w:pPr>
            <w:r>
              <w:rPr>
                <w:sz w:val="18"/>
                <w:szCs w:val="18"/>
              </w:rPr>
              <w:t>Retrospective development with internal cross-validation; one randomised phenotype-anchored evaluation</w:t>
            </w:r>
          </w:p>
        </w:tc>
        <w:tc>
          <w:tcPr>
            <w:tcW w:w="1123" w:type="dxa"/>
            <w:tcMar>
              <w:top w:w="60" w:type="dxa"/>
              <w:left w:w="90" w:type="dxa"/>
              <w:bottom w:w="60" w:type="dxa"/>
              <w:right w:w="90" w:type="dxa"/>
            </w:tcMar>
          </w:tcPr>
          <w:p w14:paraId="5AB1F407" w14:textId="77777777" w:rsidR="004971F5" w:rsidRDefault="00000000" w:rsidP="00A71138">
            <w:pPr>
              <w:spacing w:before="100" w:beforeAutospacing="1" w:after="100" w:afterAutospacing="1"/>
            </w:pPr>
            <w:r>
              <w:rPr>
                <w:sz w:val="18"/>
                <w:szCs w:val="18"/>
              </w:rPr>
              <w:t>Abegaz &amp; Frietze (2026); Cifuentes et al. (2025)</w:t>
            </w:r>
          </w:p>
        </w:tc>
      </w:tr>
      <w:tr w:rsidR="004971F5" w14:paraId="178380E1" w14:textId="77777777">
        <w:tc>
          <w:tcPr>
            <w:tcW w:w="2434" w:type="dxa"/>
            <w:tcMar>
              <w:top w:w="60" w:type="dxa"/>
              <w:left w:w="90" w:type="dxa"/>
              <w:bottom w:w="60" w:type="dxa"/>
              <w:right w:w="90" w:type="dxa"/>
            </w:tcMar>
          </w:tcPr>
          <w:p w14:paraId="215F6C54" w14:textId="77777777" w:rsidR="004971F5" w:rsidRDefault="00000000" w:rsidP="00A71138">
            <w:pPr>
              <w:spacing w:before="100" w:beforeAutospacing="1" w:after="100" w:afterAutospacing="1"/>
            </w:pPr>
            <w:r>
              <w:rPr>
                <w:sz w:val="18"/>
                <w:szCs w:val="18"/>
              </w:rPr>
              <w:t>Characterisation of prescribing behaviour</w:t>
            </w:r>
          </w:p>
        </w:tc>
        <w:tc>
          <w:tcPr>
            <w:tcW w:w="2059" w:type="dxa"/>
            <w:tcMar>
              <w:top w:w="60" w:type="dxa"/>
              <w:left w:w="90" w:type="dxa"/>
              <w:bottom w:w="60" w:type="dxa"/>
              <w:right w:w="90" w:type="dxa"/>
            </w:tcMar>
          </w:tcPr>
          <w:p w14:paraId="64CB9979" w14:textId="77777777" w:rsidR="004971F5" w:rsidRDefault="00000000" w:rsidP="00A71138">
            <w:pPr>
              <w:spacing w:before="100" w:beforeAutospacing="1" w:after="100" w:afterAutospacing="1"/>
            </w:pPr>
            <w:r>
              <w:rPr>
                <w:sz w:val="18"/>
                <w:szCs w:val="18"/>
              </w:rPr>
              <w:t>Explainable rule induction over registry data</w:t>
            </w:r>
          </w:p>
        </w:tc>
        <w:tc>
          <w:tcPr>
            <w:tcW w:w="2059" w:type="dxa"/>
            <w:tcMar>
              <w:top w:w="60" w:type="dxa"/>
              <w:left w:w="90" w:type="dxa"/>
              <w:bottom w:w="60" w:type="dxa"/>
              <w:right w:w="90" w:type="dxa"/>
            </w:tcMar>
          </w:tcPr>
          <w:p w14:paraId="71CB9151" w14:textId="77777777" w:rsidR="004971F5" w:rsidRDefault="00000000" w:rsidP="00A71138">
            <w:pPr>
              <w:spacing w:before="100" w:beforeAutospacing="1" w:after="100" w:afterAutospacing="1"/>
            </w:pPr>
            <w:r>
              <w:rPr>
                <w:sz w:val="18"/>
                <w:szCs w:val="18"/>
              </w:rPr>
              <w:t>National diabetes registries</w:t>
            </w:r>
          </w:p>
        </w:tc>
        <w:tc>
          <w:tcPr>
            <w:tcW w:w="1685" w:type="dxa"/>
            <w:tcMar>
              <w:top w:w="60" w:type="dxa"/>
              <w:left w:w="90" w:type="dxa"/>
              <w:bottom w:w="60" w:type="dxa"/>
              <w:right w:w="90" w:type="dxa"/>
            </w:tcMar>
          </w:tcPr>
          <w:p w14:paraId="2992D2E1" w14:textId="77777777" w:rsidR="004971F5" w:rsidRDefault="00000000" w:rsidP="00A71138">
            <w:pPr>
              <w:spacing w:before="100" w:beforeAutospacing="1" w:after="100" w:afterAutospacing="1"/>
            </w:pPr>
            <w:r>
              <w:rPr>
                <w:sz w:val="18"/>
                <w:szCs w:val="18"/>
              </w:rPr>
              <w:t>Descriptive; establishes the decision problem rather than solving it</w:t>
            </w:r>
          </w:p>
        </w:tc>
        <w:tc>
          <w:tcPr>
            <w:tcW w:w="1123" w:type="dxa"/>
            <w:tcMar>
              <w:top w:w="60" w:type="dxa"/>
              <w:left w:w="90" w:type="dxa"/>
              <w:bottom w:w="60" w:type="dxa"/>
              <w:right w:w="90" w:type="dxa"/>
            </w:tcMar>
          </w:tcPr>
          <w:p w14:paraId="00B0BE5C" w14:textId="77777777" w:rsidR="004971F5" w:rsidRDefault="00000000" w:rsidP="00A71138">
            <w:pPr>
              <w:spacing w:before="100" w:beforeAutospacing="1" w:after="100" w:afterAutospacing="1"/>
            </w:pPr>
            <w:proofErr w:type="spellStart"/>
            <w:r>
              <w:rPr>
                <w:sz w:val="18"/>
                <w:szCs w:val="18"/>
              </w:rPr>
              <w:t>Giorda</w:t>
            </w:r>
            <w:proofErr w:type="spellEnd"/>
            <w:r>
              <w:rPr>
                <w:sz w:val="18"/>
                <w:szCs w:val="18"/>
              </w:rPr>
              <w:t xml:space="preserve"> et al. (2023); Tuccinardi et al. (2025)</w:t>
            </w:r>
          </w:p>
        </w:tc>
      </w:tr>
      <w:tr w:rsidR="004971F5" w14:paraId="50E7C49F" w14:textId="77777777">
        <w:tc>
          <w:tcPr>
            <w:tcW w:w="2434" w:type="dxa"/>
            <w:tcMar>
              <w:top w:w="60" w:type="dxa"/>
              <w:left w:w="90" w:type="dxa"/>
              <w:bottom w:w="60" w:type="dxa"/>
              <w:right w:w="90" w:type="dxa"/>
            </w:tcMar>
          </w:tcPr>
          <w:p w14:paraId="2AF3E6B9" w14:textId="77777777" w:rsidR="004971F5" w:rsidRDefault="00000000" w:rsidP="00A71138">
            <w:pPr>
              <w:spacing w:before="100" w:beforeAutospacing="1" w:after="100" w:afterAutospacing="1"/>
            </w:pPr>
            <w:r>
              <w:rPr>
                <w:sz w:val="18"/>
                <w:szCs w:val="18"/>
              </w:rPr>
              <w:t>Monitoring of glycaemic and metabolic response</w:t>
            </w:r>
          </w:p>
        </w:tc>
        <w:tc>
          <w:tcPr>
            <w:tcW w:w="2059" w:type="dxa"/>
            <w:tcMar>
              <w:top w:w="60" w:type="dxa"/>
              <w:left w:w="90" w:type="dxa"/>
              <w:bottom w:w="60" w:type="dxa"/>
              <w:right w:w="90" w:type="dxa"/>
            </w:tcMar>
          </w:tcPr>
          <w:p w14:paraId="69E701E9" w14:textId="77777777" w:rsidR="004971F5" w:rsidRDefault="00000000" w:rsidP="00A71138">
            <w:pPr>
              <w:spacing w:before="100" w:beforeAutospacing="1" w:after="100" w:afterAutospacing="1"/>
            </w:pPr>
            <w:r>
              <w:rPr>
                <w:sz w:val="18"/>
                <w:szCs w:val="18"/>
              </w:rPr>
              <w:t>Machine learning and foundation models applied to continuous glucose monitoring streams</w:t>
            </w:r>
          </w:p>
        </w:tc>
        <w:tc>
          <w:tcPr>
            <w:tcW w:w="2059" w:type="dxa"/>
            <w:tcMar>
              <w:top w:w="60" w:type="dxa"/>
              <w:left w:w="90" w:type="dxa"/>
              <w:bottom w:w="60" w:type="dxa"/>
              <w:right w:w="90" w:type="dxa"/>
            </w:tcMar>
          </w:tcPr>
          <w:p w14:paraId="5E4140C4" w14:textId="77777777" w:rsidR="004971F5" w:rsidRDefault="00000000" w:rsidP="00A71138">
            <w:pPr>
              <w:spacing w:before="100" w:beforeAutospacing="1" w:after="100" w:afterAutospacing="1"/>
            </w:pPr>
            <w:r>
              <w:rPr>
                <w:sz w:val="18"/>
                <w:szCs w:val="18"/>
              </w:rPr>
              <w:t>Continuous glucose monitoring; paired metabolic testing</w:t>
            </w:r>
          </w:p>
        </w:tc>
        <w:tc>
          <w:tcPr>
            <w:tcW w:w="1685" w:type="dxa"/>
            <w:tcMar>
              <w:top w:w="60" w:type="dxa"/>
              <w:left w:w="90" w:type="dxa"/>
              <w:bottom w:w="60" w:type="dxa"/>
              <w:right w:w="90" w:type="dxa"/>
            </w:tcMar>
          </w:tcPr>
          <w:p w14:paraId="085E7DC4" w14:textId="77777777" w:rsidR="004971F5" w:rsidRDefault="00000000" w:rsidP="00A71138">
            <w:pPr>
              <w:spacing w:before="100" w:beforeAutospacing="1" w:after="100" w:afterAutospacing="1"/>
            </w:pPr>
            <w:r>
              <w:rPr>
                <w:sz w:val="18"/>
                <w:szCs w:val="18"/>
              </w:rPr>
              <w:t>Analytical validation demonstrated; no evaluation within incretin therapy</w:t>
            </w:r>
          </w:p>
        </w:tc>
        <w:tc>
          <w:tcPr>
            <w:tcW w:w="1123" w:type="dxa"/>
            <w:tcMar>
              <w:top w:w="60" w:type="dxa"/>
              <w:left w:w="90" w:type="dxa"/>
              <w:bottom w:w="60" w:type="dxa"/>
              <w:right w:w="90" w:type="dxa"/>
            </w:tcMar>
          </w:tcPr>
          <w:p w14:paraId="2C0B8486" w14:textId="77777777" w:rsidR="004971F5" w:rsidRDefault="00000000" w:rsidP="00A71138">
            <w:pPr>
              <w:spacing w:before="100" w:beforeAutospacing="1" w:after="100" w:afterAutospacing="1"/>
            </w:pPr>
            <w:proofErr w:type="spellStart"/>
            <w:r>
              <w:rPr>
                <w:sz w:val="18"/>
                <w:szCs w:val="18"/>
              </w:rPr>
              <w:t>Lutsker</w:t>
            </w:r>
            <w:proofErr w:type="spellEnd"/>
            <w:r>
              <w:rPr>
                <w:sz w:val="18"/>
                <w:szCs w:val="18"/>
              </w:rPr>
              <w:t xml:space="preserve"> et al. (2026); Metwally et al. (2025)</w:t>
            </w:r>
          </w:p>
        </w:tc>
      </w:tr>
      <w:tr w:rsidR="004971F5" w14:paraId="5045B99B" w14:textId="77777777">
        <w:tc>
          <w:tcPr>
            <w:tcW w:w="2434" w:type="dxa"/>
            <w:tcMar>
              <w:top w:w="60" w:type="dxa"/>
              <w:left w:w="90" w:type="dxa"/>
              <w:bottom w:w="60" w:type="dxa"/>
              <w:right w:w="90" w:type="dxa"/>
            </w:tcMar>
          </w:tcPr>
          <w:p w14:paraId="666EED96" w14:textId="77777777" w:rsidR="004971F5" w:rsidRDefault="00000000" w:rsidP="00A71138">
            <w:pPr>
              <w:spacing w:before="100" w:beforeAutospacing="1" w:after="100" w:afterAutospacing="1"/>
            </w:pPr>
            <w:r>
              <w:rPr>
                <w:sz w:val="18"/>
                <w:szCs w:val="18"/>
              </w:rPr>
              <w:t>Monitoring of adherence and behavioural engagement</w:t>
            </w:r>
          </w:p>
        </w:tc>
        <w:tc>
          <w:tcPr>
            <w:tcW w:w="2059" w:type="dxa"/>
            <w:tcMar>
              <w:top w:w="60" w:type="dxa"/>
              <w:left w:w="90" w:type="dxa"/>
              <w:bottom w:w="60" w:type="dxa"/>
              <w:right w:w="90" w:type="dxa"/>
            </w:tcMar>
          </w:tcPr>
          <w:p w14:paraId="489D8DED" w14:textId="77777777" w:rsidR="004971F5" w:rsidRDefault="00000000" w:rsidP="00A71138">
            <w:pPr>
              <w:spacing w:before="100" w:beforeAutospacing="1" w:after="100" w:afterAutospacing="1"/>
            </w:pPr>
            <w:r>
              <w:rPr>
                <w:sz w:val="18"/>
                <w:szCs w:val="18"/>
              </w:rPr>
              <w:t>Engagement metrics and behavioural feature attribution</w:t>
            </w:r>
          </w:p>
        </w:tc>
        <w:tc>
          <w:tcPr>
            <w:tcW w:w="2059" w:type="dxa"/>
            <w:tcMar>
              <w:top w:w="60" w:type="dxa"/>
              <w:left w:w="90" w:type="dxa"/>
              <w:bottom w:w="60" w:type="dxa"/>
              <w:right w:w="90" w:type="dxa"/>
            </w:tcMar>
          </w:tcPr>
          <w:p w14:paraId="5F5A8F4B" w14:textId="77777777" w:rsidR="004971F5" w:rsidRDefault="00000000" w:rsidP="00A71138">
            <w:pPr>
              <w:spacing w:before="100" w:beforeAutospacing="1" w:after="100" w:afterAutospacing="1"/>
            </w:pPr>
            <w:r>
              <w:rPr>
                <w:sz w:val="18"/>
                <w:szCs w:val="18"/>
              </w:rPr>
              <w:t>Digital service platforms; structured lifestyle programme data</w:t>
            </w:r>
          </w:p>
        </w:tc>
        <w:tc>
          <w:tcPr>
            <w:tcW w:w="1685" w:type="dxa"/>
            <w:tcMar>
              <w:top w:w="60" w:type="dxa"/>
              <w:left w:w="90" w:type="dxa"/>
              <w:bottom w:w="60" w:type="dxa"/>
              <w:right w:w="90" w:type="dxa"/>
            </w:tcMar>
          </w:tcPr>
          <w:p w14:paraId="3038140D" w14:textId="77777777" w:rsidR="004971F5" w:rsidRDefault="00000000" w:rsidP="00A71138">
            <w:pPr>
              <w:spacing w:before="100" w:beforeAutospacing="1" w:after="100" w:afterAutospacing="1"/>
            </w:pPr>
            <w:r>
              <w:rPr>
                <w:sz w:val="18"/>
                <w:szCs w:val="18"/>
              </w:rPr>
              <w:t>Observational association only; confounding by indication unresolved</w:t>
            </w:r>
          </w:p>
        </w:tc>
        <w:tc>
          <w:tcPr>
            <w:tcW w:w="1123" w:type="dxa"/>
            <w:tcMar>
              <w:top w:w="60" w:type="dxa"/>
              <w:left w:w="90" w:type="dxa"/>
              <w:bottom w:w="60" w:type="dxa"/>
              <w:right w:w="90" w:type="dxa"/>
            </w:tcMar>
          </w:tcPr>
          <w:p w14:paraId="72660E76" w14:textId="77777777" w:rsidR="004971F5" w:rsidRDefault="00000000" w:rsidP="00A71138">
            <w:pPr>
              <w:spacing w:before="100" w:beforeAutospacing="1" w:after="100" w:afterAutospacing="1"/>
            </w:pPr>
            <w:r>
              <w:rPr>
                <w:sz w:val="18"/>
                <w:szCs w:val="18"/>
              </w:rPr>
              <w:t>Johnson et al. (2026); Yang et al. (2025)</w:t>
            </w:r>
          </w:p>
        </w:tc>
      </w:tr>
      <w:tr w:rsidR="004971F5" w14:paraId="6E81952F" w14:textId="77777777">
        <w:tc>
          <w:tcPr>
            <w:tcW w:w="2434" w:type="dxa"/>
            <w:tcMar>
              <w:top w:w="60" w:type="dxa"/>
              <w:left w:w="90" w:type="dxa"/>
              <w:bottom w:w="60" w:type="dxa"/>
              <w:right w:w="90" w:type="dxa"/>
            </w:tcMar>
          </w:tcPr>
          <w:p w14:paraId="1DEE4926" w14:textId="77777777" w:rsidR="004971F5" w:rsidRDefault="00000000" w:rsidP="00A71138">
            <w:pPr>
              <w:spacing w:before="100" w:beforeAutospacing="1" w:after="100" w:afterAutospacing="1"/>
            </w:pPr>
            <w:r>
              <w:rPr>
                <w:sz w:val="18"/>
                <w:szCs w:val="18"/>
              </w:rPr>
              <w:t>Monitoring of body composition and unintended effects</w:t>
            </w:r>
          </w:p>
        </w:tc>
        <w:tc>
          <w:tcPr>
            <w:tcW w:w="2059" w:type="dxa"/>
            <w:tcMar>
              <w:top w:w="60" w:type="dxa"/>
              <w:left w:w="90" w:type="dxa"/>
              <w:bottom w:w="60" w:type="dxa"/>
              <w:right w:w="90" w:type="dxa"/>
            </w:tcMar>
          </w:tcPr>
          <w:p w14:paraId="5979087A" w14:textId="77777777" w:rsidR="004971F5" w:rsidRDefault="00000000" w:rsidP="00A71138">
            <w:pPr>
              <w:spacing w:before="100" w:beforeAutospacing="1" w:after="100" w:afterAutospacing="1"/>
            </w:pPr>
            <w:r>
              <w:rPr>
                <w:sz w:val="18"/>
                <w:szCs w:val="18"/>
              </w:rPr>
              <w:t>Automated segmentation of cross-sectional imaging</w:t>
            </w:r>
          </w:p>
        </w:tc>
        <w:tc>
          <w:tcPr>
            <w:tcW w:w="2059" w:type="dxa"/>
            <w:tcMar>
              <w:top w:w="60" w:type="dxa"/>
              <w:left w:w="90" w:type="dxa"/>
              <w:bottom w:w="60" w:type="dxa"/>
              <w:right w:w="90" w:type="dxa"/>
            </w:tcMar>
          </w:tcPr>
          <w:p w14:paraId="134709B6" w14:textId="77777777" w:rsidR="004971F5" w:rsidRDefault="00000000" w:rsidP="00A71138">
            <w:pPr>
              <w:spacing w:before="100" w:beforeAutospacing="1" w:after="100" w:afterAutospacing="1"/>
            </w:pPr>
            <w:r>
              <w:rPr>
                <w:sz w:val="18"/>
                <w:szCs w:val="18"/>
              </w:rPr>
              <w:t>Computed tomography acquired for other indications</w:t>
            </w:r>
          </w:p>
        </w:tc>
        <w:tc>
          <w:tcPr>
            <w:tcW w:w="1685" w:type="dxa"/>
            <w:tcMar>
              <w:top w:w="60" w:type="dxa"/>
              <w:left w:w="90" w:type="dxa"/>
              <w:bottom w:w="60" w:type="dxa"/>
              <w:right w:w="90" w:type="dxa"/>
            </w:tcMar>
          </w:tcPr>
          <w:p w14:paraId="274C5958" w14:textId="77777777" w:rsidR="004971F5" w:rsidRDefault="00000000" w:rsidP="00A71138">
            <w:pPr>
              <w:spacing w:before="100" w:beforeAutospacing="1" w:after="100" w:afterAutospacing="1"/>
            </w:pPr>
            <w:r>
              <w:rPr>
                <w:sz w:val="18"/>
                <w:szCs w:val="18"/>
              </w:rPr>
              <w:t>Analytical validation in non-incretin populations; not yet applied in this therapeutic context</w:t>
            </w:r>
          </w:p>
        </w:tc>
        <w:tc>
          <w:tcPr>
            <w:tcW w:w="1123" w:type="dxa"/>
            <w:tcMar>
              <w:top w:w="60" w:type="dxa"/>
              <w:left w:w="90" w:type="dxa"/>
              <w:bottom w:w="60" w:type="dxa"/>
              <w:right w:w="90" w:type="dxa"/>
            </w:tcMar>
          </w:tcPr>
          <w:p w14:paraId="370C50B9" w14:textId="77777777" w:rsidR="004971F5" w:rsidRDefault="00000000" w:rsidP="00A71138">
            <w:pPr>
              <w:spacing w:before="100" w:beforeAutospacing="1" w:after="100" w:afterAutospacing="1"/>
            </w:pPr>
            <w:r>
              <w:rPr>
                <w:sz w:val="18"/>
                <w:szCs w:val="18"/>
              </w:rPr>
              <w:t>Batsis et al. (2026); Nowak et al. (2022)</w:t>
            </w:r>
          </w:p>
        </w:tc>
      </w:tr>
      <w:tr w:rsidR="004971F5" w14:paraId="2A2B27E1" w14:textId="77777777">
        <w:tc>
          <w:tcPr>
            <w:tcW w:w="2434" w:type="dxa"/>
            <w:tcMar>
              <w:top w:w="60" w:type="dxa"/>
              <w:left w:w="90" w:type="dxa"/>
              <w:bottom w:w="60" w:type="dxa"/>
              <w:right w:w="90" w:type="dxa"/>
            </w:tcMar>
          </w:tcPr>
          <w:p w14:paraId="7C450CF4" w14:textId="77777777" w:rsidR="004971F5" w:rsidRDefault="00000000" w:rsidP="00A71138">
            <w:pPr>
              <w:spacing w:before="100" w:beforeAutospacing="1" w:after="100" w:afterAutospacing="1"/>
            </w:pPr>
            <w:r>
              <w:rPr>
                <w:sz w:val="18"/>
                <w:szCs w:val="18"/>
              </w:rPr>
              <w:t>Point-of-care decision support and counselling</w:t>
            </w:r>
          </w:p>
        </w:tc>
        <w:tc>
          <w:tcPr>
            <w:tcW w:w="2059" w:type="dxa"/>
            <w:tcMar>
              <w:top w:w="60" w:type="dxa"/>
              <w:left w:w="90" w:type="dxa"/>
              <w:bottom w:w="60" w:type="dxa"/>
              <w:right w:w="90" w:type="dxa"/>
            </w:tcMar>
          </w:tcPr>
          <w:p w14:paraId="000EE79A" w14:textId="77777777" w:rsidR="004971F5" w:rsidRDefault="00000000" w:rsidP="00A71138">
            <w:pPr>
              <w:spacing w:before="100" w:beforeAutospacing="1" w:after="100" w:afterAutospacing="1"/>
            </w:pPr>
            <w:r>
              <w:rPr>
                <w:sz w:val="18"/>
                <w:szCs w:val="18"/>
              </w:rPr>
              <w:t>Rule-based alerting; retrieval-augmented and general-purpose large language models</w:t>
            </w:r>
          </w:p>
        </w:tc>
        <w:tc>
          <w:tcPr>
            <w:tcW w:w="2059" w:type="dxa"/>
            <w:tcMar>
              <w:top w:w="60" w:type="dxa"/>
              <w:left w:w="90" w:type="dxa"/>
              <w:bottom w:w="60" w:type="dxa"/>
              <w:right w:w="90" w:type="dxa"/>
            </w:tcMar>
          </w:tcPr>
          <w:p w14:paraId="56D7B544" w14:textId="77777777" w:rsidR="004971F5" w:rsidRDefault="00000000" w:rsidP="00A71138">
            <w:pPr>
              <w:spacing w:before="100" w:beforeAutospacing="1" w:after="100" w:afterAutospacing="1"/>
            </w:pPr>
            <w:r>
              <w:rPr>
                <w:sz w:val="18"/>
                <w:szCs w:val="18"/>
              </w:rPr>
              <w:t>Electronic health records; curated guideline corpora; clinical vignettes</w:t>
            </w:r>
          </w:p>
        </w:tc>
        <w:tc>
          <w:tcPr>
            <w:tcW w:w="1685" w:type="dxa"/>
            <w:tcMar>
              <w:top w:w="60" w:type="dxa"/>
              <w:left w:w="90" w:type="dxa"/>
              <w:bottom w:w="60" w:type="dxa"/>
              <w:right w:w="90" w:type="dxa"/>
            </w:tcMar>
          </w:tcPr>
          <w:p w14:paraId="2C51E5FF" w14:textId="77777777" w:rsidR="004971F5" w:rsidRDefault="00000000" w:rsidP="00A71138">
            <w:pPr>
              <w:spacing w:before="100" w:beforeAutospacing="1" w:after="100" w:afterAutospacing="1"/>
            </w:pPr>
            <w:r>
              <w:rPr>
                <w:sz w:val="18"/>
                <w:szCs w:val="18"/>
              </w:rPr>
              <w:t>Simulation and benchmark performance only; unsafe outputs persist</w:t>
            </w:r>
          </w:p>
        </w:tc>
        <w:tc>
          <w:tcPr>
            <w:tcW w:w="1123" w:type="dxa"/>
            <w:tcMar>
              <w:top w:w="60" w:type="dxa"/>
              <w:left w:w="90" w:type="dxa"/>
              <w:bottom w:w="60" w:type="dxa"/>
              <w:right w:w="90" w:type="dxa"/>
            </w:tcMar>
          </w:tcPr>
          <w:p w14:paraId="5CF12527" w14:textId="77777777" w:rsidR="004971F5" w:rsidRDefault="00000000" w:rsidP="00A71138">
            <w:pPr>
              <w:spacing w:before="100" w:beforeAutospacing="1" w:after="100" w:afterAutospacing="1"/>
            </w:pPr>
            <w:proofErr w:type="spellStart"/>
            <w:r>
              <w:rPr>
                <w:sz w:val="18"/>
                <w:szCs w:val="18"/>
              </w:rPr>
              <w:t>Çalışkan</w:t>
            </w:r>
            <w:proofErr w:type="spellEnd"/>
            <w:r>
              <w:rPr>
                <w:sz w:val="18"/>
                <w:szCs w:val="18"/>
              </w:rPr>
              <w:t xml:space="preserve"> &amp; Başak (2026); Wang et al. (2024)</w:t>
            </w:r>
          </w:p>
        </w:tc>
      </w:tr>
      <w:tr w:rsidR="004971F5" w14:paraId="4D10475F" w14:textId="77777777">
        <w:tc>
          <w:tcPr>
            <w:tcW w:w="2434" w:type="dxa"/>
            <w:tcMar>
              <w:top w:w="60" w:type="dxa"/>
              <w:left w:w="90" w:type="dxa"/>
              <w:bottom w:w="60" w:type="dxa"/>
              <w:right w:w="90" w:type="dxa"/>
            </w:tcMar>
          </w:tcPr>
          <w:p w14:paraId="54A5ACFE" w14:textId="77777777" w:rsidR="004971F5" w:rsidRDefault="00000000" w:rsidP="00A71138">
            <w:pPr>
              <w:spacing w:before="100" w:beforeAutospacing="1" w:after="100" w:afterAutospacing="1"/>
            </w:pPr>
            <w:r>
              <w:rPr>
                <w:sz w:val="18"/>
                <w:szCs w:val="18"/>
              </w:rPr>
              <w:t>Safety signal detection</w:t>
            </w:r>
          </w:p>
        </w:tc>
        <w:tc>
          <w:tcPr>
            <w:tcW w:w="2059" w:type="dxa"/>
            <w:tcMar>
              <w:top w:w="60" w:type="dxa"/>
              <w:left w:w="90" w:type="dxa"/>
              <w:bottom w:w="60" w:type="dxa"/>
              <w:right w:w="90" w:type="dxa"/>
            </w:tcMar>
          </w:tcPr>
          <w:p w14:paraId="72EA6656" w14:textId="77777777" w:rsidR="004971F5" w:rsidRDefault="00000000" w:rsidP="00A71138">
            <w:pPr>
              <w:spacing w:before="100" w:beforeAutospacing="1" w:after="100" w:afterAutospacing="1"/>
            </w:pPr>
            <w:r>
              <w:rPr>
                <w:sz w:val="18"/>
                <w:szCs w:val="18"/>
              </w:rPr>
              <w:t>Disproportionality analysis coupled with gradient-boosted classification and attribution</w:t>
            </w:r>
          </w:p>
        </w:tc>
        <w:tc>
          <w:tcPr>
            <w:tcW w:w="2059" w:type="dxa"/>
            <w:tcMar>
              <w:top w:w="60" w:type="dxa"/>
              <w:left w:w="90" w:type="dxa"/>
              <w:bottom w:w="60" w:type="dxa"/>
              <w:right w:w="90" w:type="dxa"/>
            </w:tcMar>
          </w:tcPr>
          <w:p w14:paraId="2564D7D2" w14:textId="77777777" w:rsidR="004971F5" w:rsidRDefault="00000000" w:rsidP="00A71138">
            <w:pPr>
              <w:spacing w:before="100" w:beforeAutospacing="1" w:after="100" w:afterAutospacing="1"/>
            </w:pPr>
            <w:r>
              <w:rPr>
                <w:sz w:val="18"/>
                <w:szCs w:val="18"/>
              </w:rPr>
              <w:t>Spontaneous adverse event reporting systems; international pharmacovigilance databases</w:t>
            </w:r>
          </w:p>
        </w:tc>
        <w:tc>
          <w:tcPr>
            <w:tcW w:w="1685" w:type="dxa"/>
            <w:tcMar>
              <w:top w:w="60" w:type="dxa"/>
              <w:left w:w="90" w:type="dxa"/>
              <w:bottom w:w="60" w:type="dxa"/>
              <w:right w:w="90" w:type="dxa"/>
            </w:tcMar>
          </w:tcPr>
          <w:p w14:paraId="28B86064" w14:textId="77777777" w:rsidR="004971F5" w:rsidRDefault="00000000" w:rsidP="00A71138">
            <w:pPr>
              <w:spacing w:before="100" w:beforeAutospacing="1" w:after="100" w:afterAutospacing="1"/>
            </w:pPr>
            <w:r>
              <w:rPr>
                <w:sz w:val="18"/>
                <w:szCs w:val="18"/>
              </w:rPr>
              <w:t>Hypothesis-generating; confounded by channelling and reporting bias</w:t>
            </w:r>
          </w:p>
        </w:tc>
        <w:tc>
          <w:tcPr>
            <w:tcW w:w="1123" w:type="dxa"/>
            <w:tcMar>
              <w:top w:w="60" w:type="dxa"/>
              <w:left w:w="90" w:type="dxa"/>
              <w:bottom w:w="60" w:type="dxa"/>
              <w:right w:w="90" w:type="dxa"/>
            </w:tcMar>
          </w:tcPr>
          <w:p w14:paraId="4456B2A5" w14:textId="77777777" w:rsidR="004971F5" w:rsidRDefault="00000000" w:rsidP="00A71138">
            <w:pPr>
              <w:spacing w:before="100" w:beforeAutospacing="1" w:after="100" w:afterAutospacing="1"/>
            </w:pPr>
            <w:r>
              <w:rPr>
                <w:sz w:val="18"/>
                <w:szCs w:val="18"/>
              </w:rPr>
              <w:t>Li et al. (2026); Moon et al. (2026)</w:t>
            </w:r>
          </w:p>
        </w:tc>
      </w:tr>
    </w:tbl>
    <w:p w14:paraId="048EE2C7" w14:textId="77777777" w:rsidR="004971F5" w:rsidRDefault="00000000" w:rsidP="00A71138">
      <w:pPr>
        <w:spacing w:before="100" w:beforeAutospacing="1" w:after="100" w:afterAutospacing="1"/>
      </w:pPr>
      <w:r>
        <w:rPr>
          <w:i/>
          <w:iCs/>
          <w:sz w:val="20"/>
          <w:szCs w:val="20"/>
        </w:rPr>
        <w:t>Note. Evidentiary status is assigned on the basis of the strongest design identified for each task in the sources cited. Prospective interventional evidence specific to glucagon-like peptide-1 receptor agonist therapy was not identified for any task.</w:t>
      </w:r>
    </w:p>
    <w:p w14:paraId="789EA8E8" w14:textId="77777777" w:rsidR="004971F5" w:rsidRDefault="00000000" w:rsidP="00A71138">
      <w:pPr>
        <w:pStyle w:val="Heading1"/>
        <w:spacing w:before="100" w:beforeAutospacing="1" w:after="100" w:afterAutospacing="1"/>
      </w:pPr>
      <w:r>
        <w:rPr>
          <w:b/>
          <w:bCs/>
          <w:sz w:val="26"/>
          <w:szCs w:val="26"/>
        </w:rPr>
        <w:t>4. Candidate Identification and Response Prediction</w:t>
      </w:r>
    </w:p>
    <w:p w14:paraId="79C2CA75" w14:textId="77777777" w:rsidR="004971F5" w:rsidRDefault="00000000" w:rsidP="00A71138">
      <w:pPr>
        <w:spacing w:before="100" w:beforeAutospacing="1" w:after="100" w:afterAutospacing="1"/>
        <w:jc w:val="both"/>
      </w:pPr>
      <w:r>
        <w:lastRenderedPageBreak/>
        <w:t>Prediction at the point of initiation dominates the computational literature in this field. The attraction is obvious: retrospective datasets containing baseline covariates and subsequent outcomes are comparatively easy to assemble, and the resulting models produce headline discrimination statistics that are readily communicated. The critical question is whether these models estimate anything that a clinician does not already know, and whether the reported performance would survive contact with a new population.</w:t>
      </w:r>
    </w:p>
    <w:p w14:paraId="40DDE636" w14:textId="77777777" w:rsidR="004971F5" w:rsidRDefault="00000000" w:rsidP="00A71138">
      <w:pPr>
        <w:pStyle w:val="Heading2"/>
        <w:spacing w:before="100" w:beforeAutospacing="1" w:after="100" w:afterAutospacing="1"/>
      </w:pPr>
      <w:r>
        <w:rPr>
          <w:b/>
          <w:bCs/>
          <w:sz w:val="24"/>
          <w:szCs w:val="24"/>
        </w:rPr>
        <w:t>4.1 Prediction of Weight and Glycaemic Response from Routinely Collected Data</w:t>
      </w:r>
    </w:p>
    <w:p w14:paraId="1BD57B43" w14:textId="77777777" w:rsidR="004971F5" w:rsidRDefault="00000000" w:rsidP="00A71138">
      <w:pPr>
        <w:spacing w:before="100" w:beforeAutospacing="1" w:after="100" w:afterAutospacing="1"/>
        <w:jc w:val="both"/>
      </w:pPr>
      <w:r>
        <w:t>The most direct attempt to predict incretin response from routine data used a national research programme cohort to build separate models for glycaemic control and weight outcomes in adults initiating GLP-1 receptor agonist therapy (Abegaz &amp; Frietze, 2026). Seven algorithm families were compared under ten-fold cross-validation, with attribution performed using Shapley additive explanations. Tree-based ensembles achieved an area under the receiver operating characteristic curve of approximately 0.94 for the weight outcome and approximately 0.79 for glycaemic control, with corresponding accuracies of 0.89 to 0.90 and approximately 0.73.</w:t>
      </w:r>
    </w:p>
    <w:p w14:paraId="67E6846A" w14:textId="77777777" w:rsidR="004971F5" w:rsidRDefault="00000000" w:rsidP="00A71138">
      <w:pPr>
        <w:spacing w:before="100" w:beforeAutospacing="1" w:after="100" w:afterAutospacing="1"/>
        <w:jc w:val="both"/>
      </w:pPr>
      <w:r>
        <w:t>These figures require careful reading. The weight outcome was defined as attainment of a body mass index below 30 kg/m² at follow-up, and the attribution analysis identified baseline body mass index and baseline body weight as the dominant contributors. A model predicting whether a person will cross a fixed anthropometric threshold, using their distance from that threshold as the principal input, is largely reconstructing an arithmetic relationship. Discrimination of 0.94 under those conditions is not evidence of insight into drug response; it is evidence that people close to the threshold are more likely to cross it. The glycaemic model is the more informative of the two precisely because its performance is lower and its leading features, namely diabetes duration, baseline glycated haemoglobin and background sulfonylurea or insulin use, correspond to recognised determinants of residual beta-cell function. The pattern illustrates a general hazard in this literature: outcome definitions anchored to absolute thresholds rather than to change from baseline inflate apparent performance while reducing clinical meaning.</w:t>
      </w:r>
    </w:p>
    <w:p w14:paraId="1172D6DD" w14:textId="77777777" w:rsidR="004971F5" w:rsidRDefault="00000000" w:rsidP="00A71138">
      <w:pPr>
        <w:spacing w:before="100" w:beforeAutospacing="1" w:after="100" w:afterAutospacing="1"/>
        <w:jc w:val="both"/>
      </w:pPr>
      <w:r>
        <w:t>Work on eligibility prediction has a related difficulty. A study developing machine-learning classifiers for GLP-1 receptor agonist eligibility trained on a synthetic dataset generated by a rule-based algorithm derived from clinical guidelines, and tested on a modest set of records extracted from electronic health records (Srivastava et al., 2025). When training labels are produced by a deterministic rule, a classifier that recovers that rule demonstrates successful function approximation rather than clinical prediction. The exercise is legitimate as a proof of concept for automated guideline application, and the authors frame the cost and coverage rationale explicitly, but it should not be read as evidence that machine learning identifies suitable candidates better than the guideline it encodes.</w:t>
      </w:r>
    </w:p>
    <w:p w14:paraId="7DA99587" w14:textId="77777777" w:rsidR="004971F5" w:rsidRDefault="00000000" w:rsidP="00A71138">
      <w:pPr>
        <w:spacing w:before="100" w:beforeAutospacing="1" w:after="100" w:afterAutospacing="1"/>
        <w:jc w:val="both"/>
      </w:pPr>
      <w:r>
        <w:t>Registry-based simulation offers a different use of the same techniques. Applying machine learning to a large national diabetes registry, a counterfactual analysis estimated that guideline-concordant early prescribing of sodium-glucose co-transporter 2 inhibitors and GLP-1 receptor agonists would have raised attainment of a combined glycaemic and weight target from 38.8 per cent under observed practice to 66.5 per cent under simulated practice (</w:t>
      </w:r>
      <w:proofErr w:type="spellStart"/>
      <w:r>
        <w:t>Giorda</w:t>
      </w:r>
      <w:proofErr w:type="spellEnd"/>
      <w:r>
        <w:t xml:space="preserve"> et al., 2023). The reported sensitivity and specificity of the underlying query models, in the range of 0.70 and 0.67 to 0.76 respectively, indicate that the simulation rests on moderately discriminating classifiers. The estimate is best interpreted as quantifying the cost of therapeutic inertia rather </w:t>
      </w:r>
      <w:r>
        <w:lastRenderedPageBreak/>
        <w:t>than as a prediction of what would occur under an intervention, since the counterfactual assumes that patients not prescribed these agents in practice would have responded as those who were.</w:t>
      </w:r>
    </w:p>
    <w:p w14:paraId="6DDA538D" w14:textId="77777777" w:rsidR="004971F5" w:rsidRDefault="00000000" w:rsidP="00A71138">
      <w:pPr>
        <w:pStyle w:val="Heading2"/>
        <w:spacing w:before="100" w:beforeAutospacing="1" w:after="100" w:afterAutospacing="1"/>
      </w:pPr>
      <w:r>
        <w:rPr>
          <w:b/>
          <w:bCs/>
          <w:sz w:val="24"/>
          <w:szCs w:val="24"/>
        </w:rPr>
        <w:t>4.2 Phenotype-Anchored and Biologically Grounded Prediction</w:t>
      </w:r>
    </w:p>
    <w:p w14:paraId="6BC43DA2" w14:textId="77777777" w:rsidR="004971F5" w:rsidRDefault="00000000" w:rsidP="00A71138">
      <w:pPr>
        <w:spacing w:before="100" w:beforeAutospacing="1" w:after="100" w:afterAutospacing="1"/>
        <w:jc w:val="both"/>
      </w:pPr>
      <w:r>
        <w:t>The most methodologically substantial evidence for predictive selection in obesity pharmacotherapy comes not from routine data but from deep phenotyping combined with modest computational modelling. Calories to satiation, measured through an ad libitum meal and supported by calorimetry, imaging, blood sampling and gastric emptying testing, varied widely among adults with obesity, and a machine-learning-assisted genetic risk score was developed to predict a high satiation threshold (Cifuentes et al., 2025). In randomised evaluation, participants with high measured satiation or a high genetic score achieved greater weight loss with phentermine-topiramate over 52 weeks, whereas those with low values responded better to liraglutide at 16 weeks in a separate trial. This is the only identified example in which a computationally derived stratification variable was tested prospectively against differential treatment response involving a GLP-1 receptor agonist.</w:t>
      </w:r>
    </w:p>
    <w:p w14:paraId="627D61F7" w14:textId="77777777" w:rsidR="004971F5" w:rsidRDefault="00000000" w:rsidP="00A71138">
      <w:pPr>
        <w:spacing w:before="100" w:beforeAutospacing="1" w:after="100" w:afterAutospacing="1"/>
        <w:jc w:val="both"/>
      </w:pPr>
      <w:r>
        <w:t>Three qualifications limit how far this result can be extended. The liraglutide comparison was conducted over 16 weeks, which is short relative to the trajectory of incretin-induced weight loss and shorter than the phentermine-topiramate comparison, so the two arms of the argument are not symmetrical. Liraglutide is the least potent of the agents in current use, and it does not follow that stratification predictive of liraglutide response would predict response to semaglutide or to dual receptor agonism. The phenotyping protocol requires resources unavailable in routine practice, so the genetic score rather than the physiological measurement would have to carry the clinical burden, and the score was developed in a single research setting. The finding nevertheless establishes an important principle: stratification that is anchored in a measured physiological mechanism performed better than stratification derived from routine covariates, which is consistent with the earlier pragmatic phenotype-guided trial (Acosta et al., 2021).</w:t>
      </w:r>
    </w:p>
    <w:p w14:paraId="7F243324" w14:textId="77777777" w:rsidR="004971F5" w:rsidRDefault="00000000" w:rsidP="00A71138">
      <w:pPr>
        <w:spacing w:before="100" w:beforeAutospacing="1" w:after="100" w:afterAutospacing="1"/>
        <w:jc w:val="both"/>
      </w:pPr>
      <w:r>
        <w:t>Behavioural determinants have been examined with similar methods in a structured lifestyle programme, where gradient boosting applied to 138 candidate variables in 1810 participants identified treatment duration, initial body mass index and sustained motivation as leading contributors to weight loss, with attrition of 33 per cent (Yang et al., 2025). The finding that participants maintaining motivation lost 1.4 percentage points more of initial body weight than those who did not is modest in magnitude and reflects in-treatment rather than baseline variables, so it cannot inform selection at initiation. Its relevance is to monitoring: the variables that predicted outcome were those that change during therapy, which suggests that the more tractable prediction problem is dynamic rather than static.</w:t>
      </w:r>
    </w:p>
    <w:p w14:paraId="2ACAFA4B" w14:textId="77777777" w:rsidR="004971F5" w:rsidRDefault="00000000" w:rsidP="00A71138">
      <w:pPr>
        <w:pStyle w:val="Heading2"/>
        <w:spacing w:before="100" w:beforeAutospacing="1" w:after="100" w:afterAutospacing="1"/>
      </w:pPr>
      <w:r>
        <w:rPr>
          <w:b/>
          <w:bCs/>
          <w:sz w:val="24"/>
          <w:szCs w:val="24"/>
        </w:rPr>
        <w:t>4.3 Risk-Based Prioritisation as an Alternative Target</w:t>
      </w:r>
    </w:p>
    <w:p w14:paraId="47F0DFCB" w14:textId="77777777" w:rsidR="004971F5" w:rsidRDefault="00000000" w:rsidP="00A71138">
      <w:pPr>
        <w:spacing w:before="100" w:beforeAutospacing="1" w:after="100" w:afterAutospacing="1"/>
        <w:jc w:val="both"/>
      </w:pPr>
      <w:r>
        <w:t>A conceptually different approach abandons response prediction and predicts instead the risk of the complications that treatment is intended to prevent. A machine-learning framework applied to approximately 200,000 individuals with a body mass index above 27 kg/m² selected 20 informative features from among thousands tested to predict onset of 18 obesity-related complications, and integrated them into a composite score (Demircan et al., 2026). Ten-year incidence of cardiovascular mortality across the resulting strata ranged from 5.7 per cent to 0.1 per cent, generalisability was examined in independent populations of European and non-</w:t>
      </w:r>
      <w:r>
        <w:lastRenderedPageBreak/>
        <w:t>European ancestry, and analysis within participants of a tirzepatide trial showed that weight loss was similar across baseline risk strata while predicted risk decreased following treatment.</w:t>
      </w:r>
    </w:p>
    <w:p w14:paraId="7EC652B2" w14:textId="77777777" w:rsidR="004971F5" w:rsidRDefault="00000000" w:rsidP="00A71138">
      <w:pPr>
        <w:spacing w:before="100" w:beforeAutospacing="1" w:after="100" w:afterAutospacing="1"/>
        <w:jc w:val="both"/>
      </w:pPr>
      <w:r>
        <w:t>The design merits attention for two reasons. First, the risk gradient is far steeper than the gradient of weight response, so prioritisation by absolute risk separates individuals more effectively than prioritisation by expected weight loss. Second, the observation that weight loss was comparable across risk strata is the analytically decisive point: if the treatment effect on the intermediate outcome does not vary by predicted risk, then absolute benefit is greatest in those at highest risk, and prioritisation by risk is justified without any need to predict response. This reasoning is more secure than that underlying response-prediction models, because it depends on a well-established relationship between baseline risk and absolute benefit rather than on the existence of treatment-effect heterogeneity that has not been demonstrated.</w:t>
      </w:r>
    </w:p>
    <w:p w14:paraId="195F82B5" w14:textId="77777777" w:rsidR="004971F5" w:rsidRDefault="00000000" w:rsidP="00A71138">
      <w:pPr>
        <w:spacing w:before="100" w:beforeAutospacing="1" w:after="100" w:afterAutospacing="1"/>
        <w:jc w:val="both"/>
      </w:pPr>
      <w:r>
        <w:t>A conventional imaging-based analogue reinforces the point. Among individuals resembling a cardiovascular outcome trial population but without known cardiovascular disease, obstructive or extensive non-obstructive coronary artery disease on computed tomography angiography identified people whose four-year event risk approximated that of the trial control arm, yielding numbers needed to treat comparable to those observed in the trial when the trial relative risk reduction was applied (Blair et al., 2025). No machine learning was involved. The comparison is instructive because it shows that the prioritisation objective can be met by established risk stratification, and that computational methods must be judged against that benchmark rather than against unaided clinical judgement.</w:t>
      </w:r>
    </w:p>
    <w:p w14:paraId="00261FF7" w14:textId="77777777" w:rsidR="004971F5" w:rsidRDefault="00000000" w:rsidP="00A71138">
      <w:pPr>
        <w:pStyle w:val="Heading2"/>
        <w:spacing w:before="100" w:beforeAutospacing="1" w:after="100" w:afterAutospacing="1"/>
      </w:pPr>
      <w:r>
        <w:rPr>
          <w:b/>
          <w:bCs/>
          <w:sz w:val="24"/>
          <w:szCs w:val="24"/>
        </w:rPr>
        <w:t>4.4 What the Reported Performance Does and Does Not Establish</w:t>
      </w:r>
    </w:p>
    <w:p w14:paraId="51A501C6" w14:textId="77777777" w:rsidR="004971F5" w:rsidRDefault="00000000" w:rsidP="00A71138">
      <w:pPr>
        <w:spacing w:before="100" w:beforeAutospacing="1" w:after="100" w:afterAutospacing="1"/>
        <w:jc w:val="both"/>
      </w:pPr>
      <w:r>
        <w:t>Across this body of work, several evidentiary shortfalls recur. Discrimination is almost always reported; calibration, which determines whether predicted probabilities correspond to observed frequencies and therefore whether a model can safely inform a threshold-based decision, is rarely reported. Decision-curve analysis or any other assessment of clinical utility is essentially absent. External validation in an independent healthcare system is reported in only one of the studies considered here, and even there the validation addressed complication risk rather than treatment response. Outcome definitions vary so widely, encompassing threshold attainment, percentage change, achievement of a glycaemic target and composite risk, that reported performance figures are not comparable across studies.</w:t>
      </w:r>
    </w:p>
    <w:p w14:paraId="4241E7DE" w14:textId="77777777" w:rsidR="004971F5" w:rsidRDefault="00000000" w:rsidP="00A71138">
      <w:pPr>
        <w:spacing w:before="100" w:beforeAutospacing="1" w:after="100" w:afterAutospacing="1"/>
        <w:jc w:val="both"/>
      </w:pPr>
      <w:r>
        <w:t>Attribution methods deserve particular scrutiny. Shapley additive explanations are used in almost every study reviewed here, and their output is routinely described in causal or mechanistic language. These methods quantify a feature's contribution to a model's output within a specific fitted model and data distribution; they do not identify causes, and they are unstable under feature correlation, which is severe in cardiometabolic data where body mass index, weight, waist circumference and comorbidity burden are mutually entangled. The finding that baseline body mass index dominates attribution in a model predicting a body mass index threshold (Abegaz &amp; Frietze, 2026) exemplifies the interpretive risk. Attribution output should be treated as a description of model behaviour and a diagnostic for label leakage, not as evidence about the biology of drug response.</w:t>
      </w:r>
    </w:p>
    <w:p w14:paraId="7568F6D4" w14:textId="77777777" w:rsidR="004971F5" w:rsidRDefault="00000000" w:rsidP="00A71138">
      <w:pPr>
        <w:spacing w:before="100" w:beforeAutospacing="1" w:after="100" w:afterAutospacing="1"/>
        <w:jc w:val="both"/>
      </w:pPr>
      <w:r>
        <w:t xml:space="preserve">Table 2 sets out the principal studies in this domain with their data sources, modelling approach, reported performance and validation status. Reading down the validation column shows that internal cross-validation is the modal standard, that external validation is exceptional, and that the single study with prospective randomised evidence achieved it by </w:t>
      </w:r>
      <w:r>
        <w:lastRenderedPageBreak/>
        <w:t>anchoring stratification in measured physiology rather than in routinely collected covariates. The performance column should be interpreted alongside the outcome definitions, since the highest reported discrimination corresponds to the outcome most closely determined by baseline values.</w:t>
      </w:r>
    </w:p>
    <w:p w14:paraId="56D21248" w14:textId="77777777" w:rsidR="004971F5" w:rsidRDefault="00000000" w:rsidP="00A71138">
      <w:pPr>
        <w:keepNext/>
        <w:spacing w:before="100" w:beforeAutospacing="1" w:after="100" w:afterAutospacing="1"/>
      </w:pPr>
      <w:r>
        <w:rPr>
          <w:b/>
          <w:bCs/>
          <w:sz w:val="22"/>
          <w:szCs w:val="22"/>
        </w:rPr>
        <w:t>Table 2. Representative studies applying computational methods to candidate identification and response prediction in obesity and type 2 diabetes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1873"/>
        <w:gridCol w:w="2059"/>
        <w:gridCol w:w="2059"/>
        <w:gridCol w:w="2059"/>
        <w:gridCol w:w="1310"/>
      </w:tblGrid>
      <w:tr w:rsidR="004971F5" w14:paraId="6F2298C9" w14:textId="77777777">
        <w:trPr>
          <w:tblHeader/>
        </w:trPr>
        <w:tc>
          <w:tcPr>
            <w:tcW w:w="1873" w:type="dxa"/>
            <w:shd w:val="clear" w:color="auto" w:fill="E8E8E8"/>
            <w:tcMar>
              <w:top w:w="60" w:type="dxa"/>
              <w:left w:w="90" w:type="dxa"/>
              <w:bottom w:w="60" w:type="dxa"/>
              <w:right w:w="90" w:type="dxa"/>
            </w:tcMar>
          </w:tcPr>
          <w:p w14:paraId="54144A51" w14:textId="77777777" w:rsidR="004971F5" w:rsidRDefault="00000000" w:rsidP="00A71138">
            <w:pPr>
              <w:spacing w:before="100" w:beforeAutospacing="1" w:after="100" w:afterAutospacing="1"/>
            </w:pPr>
            <w:r>
              <w:rPr>
                <w:b/>
                <w:bCs/>
                <w:sz w:val="18"/>
                <w:szCs w:val="18"/>
              </w:rPr>
              <w:t>Study and setting</w:t>
            </w:r>
          </w:p>
        </w:tc>
        <w:tc>
          <w:tcPr>
            <w:tcW w:w="2059" w:type="dxa"/>
            <w:shd w:val="clear" w:color="auto" w:fill="E8E8E8"/>
            <w:tcMar>
              <w:top w:w="60" w:type="dxa"/>
              <w:left w:w="90" w:type="dxa"/>
              <w:bottom w:w="60" w:type="dxa"/>
              <w:right w:w="90" w:type="dxa"/>
            </w:tcMar>
          </w:tcPr>
          <w:p w14:paraId="2973F06D" w14:textId="77777777" w:rsidR="004971F5" w:rsidRDefault="00000000" w:rsidP="00A71138">
            <w:pPr>
              <w:spacing w:before="100" w:beforeAutospacing="1" w:after="100" w:afterAutospacing="1"/>
            </w:pPr>
            <w:r>
              <w:rPr>
                <w:b/>
                <w:bCs/>
                <w:sz w:val="18"/>
                <w:szCs w:val="18"/>
              </w:rPr>
              <w:t>Data source and sample</w:t>
            </w:r>
          </w:p>
        </w:tc>
        <w:tc>
          <w:tcPr>
            <w:tcW w:w="2059" w:type="dxa"/>
            <w:shd w:val="clear" w:color="auto" w:fill="E8E8E8"/>
            <w:tcMar>
              <w:top w:w="60" w:type="dxa"/>
              <w:left w:w="90" w:type="dxa"/>
              <w:bottom w:w="60" w:type="dxa"/>
              <w:right w:w="90" w:type="dxa"/>
            </w:tcMar>
          </w:tcPr>
          <w:p w14:paraId="5FDB47C2" w14:textId="77777777" w:rsidR="004971F5" w:rsidRDefault="00000000" w:rsidP="00A71138">
            <w:pPr>
              <w:spacing w:before="100" w:beforeAutospacing="1" w:after="100" w:afterAutospacing="1"/>
            </w:pPr>
            <w:r>
              <w:rPr>
                <w:b/>
                <w:bCs/>
                <w:sz w:val="18"/>
                <w:szCs w:val="18"/>
              </w:rPr>
              <w:t>Modelling approach and predicted outcome</w:t>
            </w:r>
          </w:p>
        </w:tc>
        <w:tc>
          <w:tcPr>
            <w:tcW w:w="2059" w:type="dxa"/>
            <w:shd w:val="clear" w:color="auto" w:fill="E8E8E8"/>
            <w:tcMar>
              <w:top w:w="60" w:type="dxa"/>
              <w:left w:w="90" w:type="dxa"/>
              <w:bottom w:w="60" w:type="dxa"/>
              <w:right w:w="90" w:type="dxa"/>
            </w:tcMar>
          </w:tcPr>
          <w:p w14:paraId="7A5CC639" w14:textId="77777777" w:rsidR="004971F5" w:rsidRDefault="00000000" w:rsidP="00A71138">
            <w:pPr>
              <w:spacing w:before="100" w:beforeAutospacing="1" w:after="100" w:afterAutospacing="1"/>
            </w:pPr>
            <w:r>
              <w:rPr>
                <w:b/>
                <w:bCs/>
                <w:sz w:val="18"/>
                <w:szCs w:val="18"/>
              </w:rPr>
              <w:t>Reported performance and validation status</w:t>
            </w:r>
          </w:p>
        </w:tc>
        <w:tc>
          <w:tcPr>
            <w:tcW w:w="1310" w:type="dxa"/>
            <w:shd w:val="clear" w:color="auto" w:fill="E8E8E8"/>
            <w:tcMar>
              <w:top w:w="60" w:type="dxa"/>
              <w:left w:w="90" w:type="dxa"/>
              <w:bottom w:w="60" w:type="dxa"/>
              <w:right w:w="90" w:type="dxa"/>
            </w:tcMar>
          </w:tcPr>
          <w:p w14:paraId="542D765C" w14:textId="77777777" w:rsidR="004971F5" w:rsidRDefault="00000000" w:rsidP="00A71138">
            <w:pPr>
              <w:spacing w:before="100" w:beforeAutospacing="1" w:after="100" w:afterAutospacing="1"/>
            </w:pPr>
            <w:r>
              <w:rPr>
                <w:b/>
                <w:bCs/>
                <w:sz w:val="18"/>
                <w:szCs w:val="18"/>
              </w:rPr>
              <w:t>Supporting references</w:t>
            </w:r>
          </w:p>
        </w:tc>
      </w:tr>
      <w:tr w:rsidR="004971F5" w14:paraId="127AC84B" w14:textId="77777777">
        <w:tc>
          <w:tcPr>
            <w:tcW w:w="1873" w:type="dxa"/>
            <w:tcMar>
              <w:top w:w="60" w:type="dxa"/>
              <w:left w:w="90" w:type="dxa"/>
              <w:bottom w:w="60" w:type="dxa"/>
              <w:right w:w="90" w:type="dxa"/>
            </w:tcMar>
          </w:tcPr>
          <w:p w14:paraId="1D4C5068" w14:textId="77777777" w:rsidR="004971F5" w:rsidRDefault="00000000" w:rsidP="00A71138">
            <w:pPr>
              <w:spacing w:before="100" w:beforeAutospacing="1" w:after="100" w:afterAutospacing="1"/>
            </w:pPr>
            <w:r>
              <w:rPr>
                <w:sz w:val="18"/>
                <w:szCs w:val="18"/>
              </w:rPr>
              <w:t>Response prediction in incretin initiators, United States</w:t>
            </w:r>
          </w:p>
        </w:tc>
        <w:tc>
          <w:tcPr>
            <w:tcW w:w="2059" w:type="dxa"/>
            <w:tcMar>
              <w:top w:w="60" w:type="dxa"/>
              <w:left w:w="90" w:type="dxa"/>
              <w:bottom w:w="60" w:type="dxa"/>
              <w:right w:w="90" w:type="dxa"/>
            </w:tcMar>
          </w:tcPr>
          <w:p w14:paraId="13B56327" w14:textId="77777777" w:rsidR="004971F5" w:rsidRDefault="00000000" w:rsidP="00A71138">
            <w:pPr>
              <w:spacing w:before="100" w:beforeAutospacing="1" w:after="100" w:afterAutospacing="1"/>
            </w:pPr>
            <w:r>
              <w:rPr>
                <w:sz w:val="18"/>
                <w:szCs w:val="18"/>
              </w:rPr>
              <w:t>National research programme cohort; 3,975 for glycaemic outcome and 11,420 for weight outcome</w:t>
            </w:r>
          </w:p>
        </w:tc>
        <w:tc>
          <w:tcPr>
            <w:tcW w:w="2059" w:type="dxa"/>
            <w:tcMar>
              <w:top w:w="60" w:type="dxa"/>
              <w:left w:w="90" w:type="dxa"/>
              <w:bottom w:w="60" w:type="dxa"/>
              <w:right w:w="90" w:type="dxa"/>
            </w:tcMar>
          </w:tcPr>
          <w:p w14:paraId="30A97994" w14:textId="77777777" w:rsidR="004971F5" w:rsidRDefault="00000000" w:rsidP="00A71138">
            <w:pPr>
              <w:spacing w:before="100" w:beforeAutospacing="1" w:after="100" w:afterAutospacing="1"/>
            </w:pPr>
            <w:r>
              <w:rPr>
                <w:sz w:val="18"/>
                <w:szCs w:val="18"/>
              </w:rPr>
              <w:t>Seven algorithm families with Shapley attribution; attainment of glycated haemoglobin below 7 per cent and of body mass index below 30 kg/m²</w:t>
            </w:r>
          </w:p>
        </w:tc>
        <w:tc>
          <w:tcPr>
            <w:tcW w:w="2059" w:type="dxa"/>
            <w:tcMar>
              <w:top w:w="60" w:type="dxa"/>
              <w:left w:w="90" w:type="dxa"/>
              <w:bottom w:w="60" w:type="dxa"/>
              <w:right w:w="90" w:type="dxa"/>
            </w:tcMar>
          </w:tcPr>
          <w:p w14:paraId="70A9F542" w14:textId="77777777" w:rsidR="004971F5" w:rsidRDefault="00000000" w:rsidP="00A71138">
            <w:pPr>
              <w:spacing w:before="100" w:beforeAutospacing="1" w:after="100" w:afterAutospacing="1"/>
            </w:pPr>
            <w:r>
              <w:rPr>
                <w:sz w:val="18"/>
                <w:szCs w:val="18"/>
              </w:rPr>
              <w:t>Area under the curve approximately 0.94 for weight and 0.79 for glycaemia; ten-fold cross-validation only; no external validation or calibration reported</w:t>
            </w:r>
          </w:p>
        </w:tc>
        <w:tc>
          <w:tcPr>
            <w:tcW w:w="1310" w:type="dxa"/>
            <w:tcMar>
              <w:top w:w="60" w:type="dxa"/>
              <w:left w:w="90" w:type="dxa"/>
              <w:bottom w:w="60" w:type="dxa"/>
              <w:right w:w="90" w:type="dxa"/>
            </w:tcMar>
          </w:tcPr>
          <w:p w14:paraId="4332E4A8" w14:textId="77777777" w:rsidR="004971F5" w:rsidRDefault="00000000" w:rsidP="00A71138">
            <w:pPr>
              <w:spacing w:before="100" w:beforeAutospacing="1" w:after="100" w:afterAutospacing="1"/>
            </w:pPr>
            <w:r>
              <w:rPr>
                <w:sz w:val="18"/>
                <w:szCs w:val="18"/>
              </w:rPr>
              <w:t>Abegaz &amp; Frietze (2026)</w:t>
            </w:r>
          </w:p>
        </w:tc>
      </w:tr>
      <w:tr w:rsidR="004971F5" w14:paraId="796871DD" w14:textId="77777777">
        <w:tc>
          <w:tcPr>
            <w:tcW w:w="1873" w:type="dxa"/>
            <w:tcMar>
              <w:top w:w="60" w:type="dxa"/>
              <w:left w:w="90" w:type="dxa"/>
              <w:bottom w:w="60" w:type="dxa"/>
              <w:right w:w="90" w:type="dxa"/>
            </w:tcMar>
          </w:tcPr>
          <w:p w14:paraId="0B628EC3" w14:textId="77777777" w:rsidR="004971F5" w:rsidRDefault="00000000" w:rsidP="00A71138">
            <w:pPr>
              <w:spacing w:before="100" w:beforeAutospacing="1" w:after="100" w:afterAutospacing="1"/>
            </w:pPr>
            <w:r>
              <w:rPr>
                <w:sz w:val="18"/>
                <w:szCs w:val="18"/>
              </w:rPr>
              <w:t>Eligibility classification, single academic centre</w:t>
            </w:r>
          </w:p>
        </w:tc>
        <w:tc>
          <w:tcPr>
            <w:tcW w:w="2059" w:type="dxa"/>
            <w:tcMar>
              <w:top w:w="60" w:type="dxa"/>
              <w:left w:w="90" w:type="dxa"/>
              <w:bottom w:w="60" w:type="dxa"/>
              <w:right w:w="90" w:type="dxa"/>
            </w:tcMar>
          </w:tcPr>
          <w:p w14:paraId="5F0B7414" w14:textId="77777777" w:rsidR="004971F5" w:rsidRDefault="00000000" w:rsidP="00A71138">
            <w:pPr>
              <w:spacing w:before="100" w:beforeAutospacing="1" w:after="100" w:afterAutospacing="1"/>
            </w:pPr>
            <w:r>
              <w:rPr>
                <w:sz w:val="18"/>
                <w:szCs w:val="18"/>
              </w:rPr>
              <w:t>Rule-generated synthetic training set of 256 records; electronic health record test set of 287 records</w:t>
            </w:r>
          </w:p>
        </w:tc>
        <w:tc>
          <w:tcPr>
            <w:tcW w:w="2059" w:type="dxa"/>
            <w:tcMar>
              <w:top w:w="60" w:type="dxa"/>
              <w:left w:w="90" w:type="dxa"/>
              <w:bottom w:w="60" w:type="dxa"/>
              <w:right w:w="90" w:type="dxa"/>
            </w:tcMar>
          </w:tcPr>
          <w:p w14:paraId="557107AB" w14:textId="77777777" w:rsidR="004971F5" w:rsidRDefault="00000000" w:rsidP="00A71138">
            <w:pPr>
              <w:spacing w:before="100" w:beforeAutospacing="1" w:after="100" w:afterAutospacing="1"/>
            </w:pPr>
            <w:r>
              <w:rPr>
                <w:sz w:val="18"/>
                <w:szCs w:val="18"/>
              </w:rPr>
              <w:t>Supervised classification of guideline-derived eligibility labels</w:t>
            </w:r>
          </w:p>
        </w:tc>
        <w:tc>
          <w:tcPr>
            <w:tcW w:w="2059" w:type="dxa"/>
            <w:tcMar>
              <w:top w:w="60" w:type="dxa"/>
              <w:left w:w="90" w:type="dxa"/>
              <w:bottom w:w="60" w:type="dxa"/>
              <w:right w:w="90" w:type="dxa"/>
            </w:tcMar>
          </w:tcPr>
          <w:p w14:paraId="6C40143E" w14:textId="77777777" w:rsidR="004971F5" w:rsidRDefault="00000000" w:rsidP="00A71138">
            <w:pPr>
              <w:spacing w:before="100" w:beforeAutospacing="1" w:after="100" w:afterAutospacing="1"/>
            </w:pPr>
            <w:r>
              <w:rPr>
                <w:sz w:val="18"/>
                <w:szCs w:val="18"/>
              </w:rPr>
              <w:t>Labels generated by deterministic rule; performance reflects function approximation rather than clinical prediction</w:t>
            </w:r>
          </w:p>
        </w:tc>
        <w:tc>
          <w:tcPr>
            <w:tcW w:w="1310" w:type="dxa"/>
            <w:tcMar>
              <w:top w:w="60" w:type="dxa"/>
              <w:left w:w="90" w:type="dxa"/>
              <w:bottom w:w="60" w:type="dxa"/>
              <w:right w:w="90" w:type="dxa"/>
            </w:tcMar>
          </w:tcPr>
          <w:p w14:paraId="715588A7" w14:textId="77777777" w:rsidR="004971F5" w:rsidRDefault="00000000" w:rsidP="00A71138">
            <w:pPr>
              <w:spacing w:before="100" w:beforeAutospacing="1" w:after="100" w:afterAutospacing="1"/>
            </w:pPr>
            <w:r>
              <w:rPr>
                <w:sz w:val="18"/>
                <w:szCs w:val="18"/>
              </w:rPr>
              <w:t>Srivastava et al. (2025)</w:t>
            </w:r>
          </w:p>
        </w:tc>
      </w:tr>
      <w:tr w:rsidR="004971F5" w14:paraId="393B2C7A" w14:textId="77777777">
        <w:tc>
          <w:tcPr>
            <w:tcW w:w="1873" w:type="dxa"/>
            <w:tcMar>
              <w:top w:w="60" w:type="dxa"/>
              <w:left w:w="90" w:type="dxa"/>
              <w:bottom w:w="60" w:type="dxa"/>
              <w:right w:w="90" w:type="dxa"/>
            </w:tcMar>
          </w:tcPr>
          <w:p w14:paraId="36E52D96" w14:textId="77777777" w:rsidR="004971F5" w:rsidRDefault="00000000" w:rsidP="00A71138">
            <w:pPr>
              <w:spacing w:before="100" w:beforeAutospacing="1" w:after="100" w:afterAutospacing="1"/>
            </w:pPr>
            <w:r>
              <w:rPr>
                <w:sz w:val="18"/>
                <w:szCs w:val="18"/>
              </w:rPr>
              <w:t>Prescribing-pattern characterisation, Italy</w:t>
            </w:r>
          </w:p>
        </w:tc>
        <w:tc>
          <w:tcPr>
            <w:tcW w:w="2059" w:type="dxa"/>
            <w:tcMar>
              <w:top w:w="60" w:type="dxa"/>
              <w:left w:w="90" w:type="dxa"/>
              <w:bottom w:w="60" w:type="dxa"/>
              <w:right w:w="90" w:type="dxa"/>
            </w:tcMar>
          </w:tcPr>
          <w:p w14:paraId="1112A88A" w14:textId="77777777" w:rsidR="004971F5" w:rsidRDefault="00000000" w:rsidP="00A71138">
            <w:pPr>
              <w:spacing w:before="100" w:beforeAutospacing="1" w:after="100" w:afterAutospacing="1"/>
            </w:pPr>
            <w:r>
              <w:rPr>
                <w:sz w:val="18"/>
                <w:szCs w:val="18"/>
              </w:rPr>
              <w:t>National diabetes registry; 139,202 adults with type 2 diabetes</w:t>
            </w:r>
          </w:p>
        </w:tc>
        <w:tc>
          <w:tcPr>
            <w:tcW w:w="2059" w:type="dxa"/>
            <w:tcMar>
              <w:top w:w="60" w:type="dxa"/>
              <w:left w:w="90" w:type="dxa"/>
              <w:bottom w:w="60" w:type="dxa"/>
              <w:right w:w="90" w:type="dxa"/>
            </w:tcMar>
          </w:tcPr>
          <w:p w14:paraId="13D86FD5" w14:textId="77777777" w:rsidR="004971F5" w:rsidRDefault="00000000" w:rsidP="00A71138">
            <w:pPr>
              <w:spacing w:before="100" w:beforeAutospacing="1" w:after="100" w:afterAutospacing="1"/>
            </w:pPr>
            <w:r>
              <w:rPr>
                <w:sz w:val="18"/>
                <w:szCs w:val="18"/>
              </w:rPr>
              <w:t>Logic learning machine with normalised relevance scoring; receipt of each drug class</w:t>
            </w:r>
          </w:p>
        </w:tc>
        <w:tc>
          <w:tcPr>
            <w:tcW w:w="2059" w:type="dxa"/>
            <w:tcMar>
              <w:top w:w="60" w:type="dxa"/>
              <w:left w:w="90" w:type="dxa"/>
              <w:bottom w:w="60" w:type="dxa"/>
              <w:right w:w="90" w:type="dxa"/>
            </w:tcMar>
          </w:tcPr>
          <w:p w14:paraId="7146EC9B" w14:textId="77777777" w:rsidR="004971F5" w:rsidRDefault="00000000" w:rsidP="00A71138">
            <w:pPr>
              <w:spacing w:before="100" w:beforeAutospacing="1" w:after="100" w:afterAutospacing="1"/>
            </w:pPr>
            <w:r>
              <w:rPr>
                <w:sz w:val="18"/>
                <w:szCs w:val="18"/>
              </w:rPr>
              <w:t>Accuracy 31.6 to 54.1 per cent for incretin prescribing against 63.7 to 83.1 per cent for the comparator class; internal validation</w:t>
            </w:r>
          </w:p>
        </w:tc>
        <w:tc>
          <w:tcPr>
            <w:tcW w:w="1310" w:type="dxa"/>
            <w:tcMar>
              <w:top w:w="60" w:type="dxa"/>
              <w:left w:w="90" w:type="dxa"/>
              <w:bottom w:w="60" w:type="dxa"/>
              <w:right w:w="90" w:type="dxa"/>
            </w:tcMar>
          </w:tcPr>
          <w:p w14:paraId="48EFF948" w14:textId="77777777" w:rsidR="004971F5" w:rsidRDefault="00000000" w:rsidP="00A71138">
            <w:pPr>
              <w:spacing w:before="100" w:beforeAutospacing="1" w:after="100" w:afterAutospacing="1"/>
            </w:pPr>
            <w:r>
              <w:rPr>
                <w:sz w:val="18"/>
                <w:szCs w:val="18"/>
              </w:rPr>
              <w:t>Tuccinardi et al. (2025)</w:t>
            </w:r>
          </w:p>
        </w:tc>
      </w:tr>
      <w:tr w:rsidR="004971F5" w14:paraId="7875D14E" w14:textId="77777777">
        <w:tc>
          <w:tcPr>
            <w:tcW w:w="1873" w:type="dxa"/>
            <w:tcMar>
              <w:top w:w="60" w:type="dxa"/>
              <w:left w:w="90" w:type="dxa"/>
              <w:bottom w:w="60" w:type="dxa"/>
              <w:right w:w="90" w:type="dxa"/>
            </w:tcMar>
          </w:tcPr>
          <w:p w14:paraId="2E261EAF" w14:textId="77777777" w:rsidR="004971F5" w:rsidRDefault="00000000" w:rsidP="00A71138">
            <w:pPr>
              <w:spacing w:before="100" w:beforeAutospacing="1" w:after="100" w:afterAutospacing="1"/>
            </w:pPr>
            <w:r>
              <w:rPr>
                <w:sz w:val="18"/>
                <w:szCs w:val="18"/>
              </w:rPr>
              <w:t>Counterfactual prescribing simulation, Italy</w:t>
            </w:r>
          </w:p>
        </w:tc>
        <w:tc>
          <w:tcPr>
            <w:tcW w:w="2059" w:type="dxa"/>
            <w:tcMar>
              <w:top w:w="60" w:type="dxa"/>
              <w:left w:w="90" w:type="dxa"/>
              <w:bottom w:w="60" w:type="dxa"/>
              <w:right w:w="90" w:type="dxa"/>
            </w:tcMar>
          </w:tcPr>
          <w:p w14:paraId="0773FBAA" w14:textId="77777777" w:rsidR="004971F5" w:rsidRDefault="00000000" w:rsidP="00A71138">
            <w:pPr>
              <w:spacing w:before="100" w:beforeAutospacing="1" w:after="100" w:afterAutospacing="1"/>
            </w:pPr>
            <w:r>
              <w:rPr>
                <w:sz w:val="18"/>
                <w:szCs w:val="18"/>
              </w:rPr>
              <w:t>National diabetes registry; 4,927,548 visits in 558,097 patients</w:t>
            </w:r>
          </w:p>
        </w:tc>
        <w:tc>
          <w:tcPr>
            <w:tcW w:w="2059" w:type="dxa"/>
            <w:tcMar>
              <w:top w:w="60" w:type="dxa"/>
              <w:left w:w="90" w:type="dxa"/>
              <w:bottom w:w="60" w:type="dxa"/>
              <w:right w:w="90" w:type="dxa"/>
            </w:tcMar>
          </w:tcPr>
          <w:p w14:paraId="078A654E" w14:textId="77777777" w:rsidR="004971F5" w:rsidRDefault="00000000" w:rsidP="00A71138">
            <w:pPr>
              <w:spacing w:before="100" w:beforeAutospacing="1" w:after="100" w:afterAutospacing="1"/>
            </w:pPr>
            <w:r>
              <w:rPr>
                <w:sz w:val="18"/>
                <w:szCs w:val="18"/>
              </w:rPr>
              <w:t>Machine-learning query models simulating guideline-concordant prescribing; combined glycaemic and weight target</w:t>
            </w:r>
          </w:p>
        </w:tc>
        <w:tc>
          <w:tcPr>
            <w:tcW w:w="2059" w:type="dxa"/>
            <w:tcMar>
              <w:top w:w="60" w:type="dxa"/>
              <w:left w:w="90" w:type="dxa"/>
              <w:bottom w:w="60" w:type="dxa"/>
              <w:right w:w="90" w:type="dxa"/>
            </w:tcMar>
          </w:tcPr>
          <w:p w14:paraId="635D0BD2" w14:textId="77777777" w:rsidR="004971F5" w:rsidRDefault="00000000" w:rsidP="00A71138">
            <w:pPr>
              <w:spacing w:before="100" w:beforeAutospacing="1" w:after="100" w:afterAutospacing="1"/>
            </w:pPr>
            <w:r>
              <w:rPr>
                <w:sz w:val="18"/>
                <w:szCs w:val="18"/>
              </w:rPr>
              <w:t>Sensitivity approximately 0.70 and specificity 0.67 to 0.76; simulated target attainment 66.5 per cent against 38.8 per cent observed</w:t>
            </w:r>
          </w:p>
        </w:tc>
        <w:tc>
          <w:tcPr>
            <w:tcW w:w="1310" w:type="dxa"/>
            <w:tcMar>
              <w:top w:w="60" w:type="dxa"/>
              <w:left w:w="90" w:type="dxa"/>
              <w:bottom w:w="60" w:type="dxa"/>
              <w:right w:w="90" w:type="dxa"/>
            </w:tcMar>
          </w:tcPr>
          <w:p w14:paraId="039B50C2" w14:textId="77777777" w:rsidR="004971F5" w:rsidRDefault="00000000" w:rsidP="00A71138">
            <w:pPr>
              <w:spacing w:before="100" w:beforeAutospacing="1" w:after="100" w:afterAutospacing="1"/>
            </w:pPr>
            <w:proofErr w:type="spellStart"/>
            <w:r>
              <w:rPr>
                <w:sz w:val="18"/>
                <w:szCs w:val="18"/>
              </w:rPr>
              <w:t>Giorda</w:t>
            </w:r>
            <w:proofErr w:type="spellEnd"/>
            <w:r>
              <w:rPr>
                <w:sz w:val="18"/>
                <w:szCs w:val="18"/>
              </w:rPr>
              <w:t xml:space="preserve"> et al. (2023)</w:t>
            </w:r>
          </w:p>
        </w:tc>
      </w:tr>
      <w:tr w:rsidR="004971F5" w14:paraId="75E8A37F" w14:textId="77777777">
        <w:tc>
          <w:tcPr>
            <w:tcW w:w="1873" w:type="dxa"/>
            <w:tcMar>
              <w:top w:w="60" w:type="dxa"/>
              <w:left w:w="90" w:type="dxa"/>
              <w:bottom w:w="60" w:type="dxa"/>
              <w:right w:w="90" w:type="dxa"/>
            </w:tcMar>
          </w:tcPr>
          <w:p w14:paraId="5AEB8B54" w14:textId="77777777" w:rsidR="004971F5" w:rsidRDefault="00000000" w:rsidP="00A71138">
            <w:pPr>
              <w:spacing w:before="100" w:beforeAutospacing="1" w:after="100" w:afterAutospacing="1"/>
            </w:pPr>
            <w:r>
              <w:rPr>
                <w:sz w:val="18"/>
                <w:szCs w:val="18"/>
              </w:rPr>
              <w:t>Satiation phenotyping with randomised follow-up, United States</w:t>
            </w:r>
          </w:p>
        </w:tc>
        <w:tc>
          <w:tcPr>
            <w:tcW w:w="2059" w:type="dxa"/>
            <w:tcMar>
              <w:top w:w="60" w:type="dxa"/>
              <w:left w:w="90" w:type="dxa"/>
              <w:bottom w:w="60" w:type="dxa"/>
              <w:right w:w="90" w:type="dxa"/>
            </w:tcMar>
          </w:tcPr>
          <w:p w14:paraId="194D083C" w14:textId="77777777" w:rsidR="004971F5" w:rsidRDefault="00000000" w:rsidP="00A71138">
            <w:pPr>
              <w:spacing w:before="100" w:beforeAutospacing="1" w:after="100" w:afterAutospacing="1"/>
            </w:pPr>
            <w:r>
              <w:rPr>
                <w:sz w:val="18"/>
                <w:szCs w:val="18"/>
              </w:rPr>
              <w:t>Deep physiological phenotyping with randomised treatment allocation</w:t>
            </w:r>
          </w:p>
        </w:tc>
        <w:tc>
          <w:tcPr>
            <w:tcW w:w="2059" w:type="dxa"/>
            <w:tcMar>
              <w:top w:w="60" w:type="dxa"/>
              <w:left w:w="90" w:type="dxa"/>
              <w:bottom w:w="60" w:type="dxa"/>
              <w:right w:w="90" w:type="dxa"/>
            </w:tcMar>
          </w:tcPr>
          <w:p w14:paraId="3B419CCB" w14:textId="77777777" w:rsidR="004971F5" w:rsidRDefault="00000000" w:rsidP="00A71138">
            <w:pPr>
              <w:spacing w:before="100" w:beforeAutospacing="1" w:after="100" w:afterAutospacing="1"/>
            </w:pPr>
            <w:r>
              <w:rPr>
                <w:sz w:val="18"/>
                <w:szCs w:val="18"/>
              </w:rPr>
              <w:t>Machine-learning-assisted genetic risk score for high calories to satiation</w:t>
            </w:r>
          </w:p>
        </w:tc>
        <w:tc>
          <w:tcPr>
            <w:tcW w:w="2059" w:type="dxa"/>
            <w:tcMar>
              <w:top w:w="60" w:type="dxa"/>
              <w:left w:w="90" w:type="dxa"/>
              <w:bottom w:w="60" w:type="dxa"/>
              <w:right w:w="90" w:type="dxa"/>
            </w:tcMar>
          </w:tcPr>
          <w:p w14:paraId="5F28FE06" w14:textId="77777777" w:rsidR="004971F5" w:rsidRDefault="00000000" w:rsidP="00A71138">
            <w:pPr>
              <w:spacing w:before="100" w:beforeAutospacing="1" w:after="100" w:afterAutospacing="1"/>
            </w:pPr>
            <w:r>
              <w:rPr>
                <w:sz w:val="18"/>
                <w:szCs w:val="18"/>
              </w:rPr>
              <w:t>Differential response demonstrated prospectively; greater weight loss with liraglutide at 16 weeks in the low-satiation stratum</w:t>
            </w:r>
          </w:p>
        </w:tc>
        <w:tc>
          <w:tcPr>
            <w:tcW w:w="1310" w:type="dxa"/>
            <w:tcMar>
              <w:top w:w="60" w:type="dxa"/>
              <w:left w:w="90" w:type="dxa"/>
              <w:bottom w:w="60" w:type="dxa"/>
              <w:right w:w="90" w:type="dxa"/>
            </w:tcMar>
          </w:tcPr>
          <w:p w14:paraId="42A603B2" w14:textId="77777777" w:rsidR="004971F5" w:rsidRDefault="00000000" w:rsidP="00A71138">
            <w:pPr>
              <w:spacing w:before="100" w:beforeAutospacing="1" w:after="100" w:afterAutospacing="1"/>
            </w:pPr>
            <w:r>
              <w:rPr>
                <w:sz w:val="18"/>
                <w:szCs w:val="18"/>
              </w:rPr>
              <w:t>Cifuentes et al. (2025)</w:t>
            </w:r>
          </w:p>
        </w:tc>
      </w:tr>
      <w:tr w:rsidR="004971F5" w14:paraId="56924537" w14:textId="77777777">
        <w:tc>
          <w:tcPr>
            <w:tcW w:w="1873" w:type="dxa"/>
            <w:tcMar>
              <w:top w:w="60" w:type="dxa"/>
              <w:left w:w="90" w:type="dxa"/>
              <w:bottom w:w="60" w:type="dxa"/>
              <w:right w:w="90" w:type="dxa"/>
            </w:tcMar>
          </w:tcPr>
          <w:p w14:paraId="78D52530" w14:textId="77777777" w:rsidR="004971F5" w:rsidRDefault="00000000" w:rsidP="00A71138">
            <w:pPr>
              <w:spacing w:before="100" w:beforeAutospacing="1" w:after="100" w:afterAutospacing="1"/>
            </w:pPr>
            <w:r>
              <w:rPr>
                <w:sz w:val="18"/>
                <w:szCs w:val="18"/>
              </w:rPr>
              <w:t>Complication risk prioritisation, multinational</w:t>
            </w:r>
          </w:p>
        </w:tc>
        <w:tc>
          <w:tcPr>
            <w:tcW w:w="2059" w:type="dxa"/>
            <w:tcMar>
              <w:top w:w="60" w:type="dxa"/>
              <w:left w:w="90" w:type="dxa"/>
              <w:bottom w:w="60" w:type="dxa"/>
              <w:right w:w="90" w:type="dxa"/>
            </w:tcMar>
          </w:tcPr>
          <w:p w14:paraId="24008B90" w14:textId="77777777" w:rsidR="004971F5" w:rsidRDefault="00000000" w:rsidP="00A71138">
            <w:pPr>
              <w:spacing w:before="100" w:beforeAutospacing="1" w:after="100" w:afterAutospacing="1"/>
            </w:pPr>
            <w:r>
              <w:rPr>
                <w:sz w:val="18"/>
                <w:szCs w:val="18"/>
              </w:rPr>
              <w:t>Population-based sample of approximately 200,000 adults with body mass index above 27 kg/m²</w:t>
            </w:r>
          </w:p>
        </w:tc>
        <w:tc>
          <w:tcPr>
            <w:tcW w:w="2059" w:type="dxa"/>
            <w:tcMar>
              <w:top w:w="60" w:type="dxa"/>
              <w:left w:w="90" w:type="dxa"/>
              <w:bottom w:w="60" w:type="dxa"/>
              <w:right w:w="90" w:type="dxa"/>
            </w:tcMar>
          </w:tcPr>
          <w:p w14:paraId="43F6E728" w14:textId="77777777" w:rsidR="004971F5" w:rsidRDefault="00000000" w:rsidP="00A71138">
            <w:pPr>
              <w:spacing w:before="100" w:beforeAutospacing="1" w:after="100" w:afterAutospacing="1"/>
            </w:pPr>
            <w:r>
              <w:rPr>
                <w:sz w:val="18"/>
                <w:szCs w:val="18"/>
              </w:rPr>
              <w:t>Feature selection from thousands of candidates; integrated score predicting 18 obesity complications</w:t>
            </w:r>
          </w:p>
        </w:tc>
        <w:tc>
          <w:tcPr>
            <w:tcW w:w="2059" w:type="dxa"/>
            <w:tcMar>
              <w:top w:w="60" w:type="dxa"/>
              <w:left w:w="90" w:type="dxa"/>
              <w:bottom w:w="60" w:type="dxa"/>
              <w:right w:w="90" w:type="dxa"/>
            </w:tcMar>
          </w:tcPr>
          <w:p w14:paraId="720ECD2F" w14:textId="77777777" w:rsidR="004971F5" w:rsidRDefault="00000000" w:rsidP="00A71138">
            <w:pPr>
              <w:spacing w:before="100" w:beforeAutospacing="1" w:after="100" w:afterAutospacing="1"/>
            </w:pPr>
            <w:r>
              <w:rPr>
                <w:sz w:val="18"/>
                <w:szCs w:val="18"/>
              </w:rPr>
              <w:t>Ten-year cardiovascular mortality 5.7 to 0.1 per cent across strata; replication in independent European and non-European ancestry populations</w:t>
            </w:r>
          </w:p>
        </w:tc>
        <w:tc>
          <w:tcPr>
            <w:tcW w:w="1310" w:type="dxa"/>
            <w:tcMar>
              <w:top w:w="60" w:type="dxa"/>
              <w:left w:w="90" w:type="dxa"/>
              <w:bottom w:w="60" w:type="dxa"/>
              <w:right w:w="90" w:type="dxa"/>
            </w:tcMar>
          </w:tcPr>
          <w:p w14:paraId="3CE2743E" w14:textId="77777777" w:rsidR="004971F5" w:rsidRDefault="00000000" w:rsidP="00A71138">
            <w:pPr>
              <w:spacing w:before="100" w:beforeAutospacing="1" w:after="100" w:afterAutospacing="1"/>
            </w:pPr>
            <w:r>
              <w:rPr>
                <w:sz w:val="18"/>
                <w:szCs w:val="18"/>
              </w:rPr>
              <w:t>Demircan et al. (2026)</w:t>
            </w:r>
          </w:p>
        </w:tc>
      </w:tr>
      <w:tr w:rsidR="004971F5" w14:paraId="7DD122D6" w14:textId="77777777">
        <w:tc>
          <w:tcPr>
            <w:tcW w:w="1873" w:type="dxa"/>
            <w:tcMar>
              <w:top w:w="60" w:type="dxa"/>
              <w:left w:w="90" w:type="dxa"/>
              <w:bottom w:w="60" w:type="dxa"/>
              <w:right w:w="90" w:type="dxa"/>
            </w:tcMar>
          </w:tcPr>
          <w:p w14:paraId="44762EE4" w14:textId="77777777" w:rsidR="004971F5" w:rsidRDefault="00000000" w:rsidP="00A71138">
            <w:pPr>
              <w:spacing w:before="100" w:beforeAutospacing="1" w:after="100" w:afterAutospacing="1"/>
            </w:pPr>
            <w:r>
              <w:rPr>
                <w:sz w:val="18"/>
                <w:szCs w:val="18"/>
              </w:rPr>
              <w:t>Behavioural determinants in structured weight management, Spain</w:t>
            </w:r>
          </w:p>
        </w:tc>
        <w:tc>
          <w:tcPr>
            <w:tcW w:w="2059" w:type="dxa"/>
            <w:tcMar>
              <w:top w:w="60" w:type="dxa"/>
              <w:left w:w="90" w:type="dxa"/>
              <w:bottom w:w="60" w:type="dxa"/>
              <w:right w:w="90" w:type="dxa"/>
            </w:tcMar>
          </w:tcPr>
          <w:p w14:paraId="04F1A77D" w14:textId="77777777" w:rsidR="004971F5" w:rsidRDefault="00000000" w:rsidP="00A71138">
            <w:pPr>
              <w:spacing w:before="100" w:beforeAutospacing="1" w:after="100" w:afterAutospacing="1"/>
            </w:pPr>
            <w:r>
              <w:rPr>
                <w:sz w:val="18"/>
                <w:szCs w:val="18"/>
              </w:rPr>
              <w:t>Cognitive-behavioural programme; 1,810 participants and 138 candidate variables</w:t>
            </w:r>
          </w:p>
        </w:tc>
        <w:tc>
          <w:tcPr>
            <w:tcW w:w="2059" w:type="dxa"/>
            <w:tcMar>
              <w:top w:w="60" w:type="dxa"/>
              <w:left w:w="90" w:type="dxa"/>
              <w:bottom w:w="60" w:type="dxa"/>
              <w:right w:w="90" w:type="dxa"/>
            </w:tcMar>
          </w:tcPr>
          <w:p w14:paraId="45B324E6" w14:textId="77777777" w:rsidR="004971F5" w:rsidRDefault="00000000" w:rsidP="00A71138">
            <w:pPr>
              <w:spacing w:before="100" w:beforeAutospacing="1" w:after="100" w:afterAutospacing="1"/>
            </w:pPr>
            <w:r>
              <w:rPr>
                <w:sz w:val="18"/>
                <w:szCs w:val="18"/>
              </w:rPr>
              <w:t>Gradient boosting with Shapley attribution; total weight loss, rate of loss and attrition</w:t>
            </w:r>
          </w:p>
        </w:tc>
        <w:tc>
          <w:tcPr>
            <w:tcW w:w="2059" w:type="dxa"/>
            <w:tcMar>
              <w:top w:w="60" w:type="dxa"/>
              <w:left w:w="90" w:type="dxa"/>
              <w:bottom w:w="60" w:type="dxa"/>
              <w:right w:w="90" w:type="dxa"/>
            </w:tcMar>
          </w:tcPr>
          <w:p w14:paraId="049B7821" w14:textId="77777777" w:rsidR="004971F5" w:rsidRDefault="00000000" w:rsidP="00A71138">
            <w:pPr>
              <w:spacing w:before="100" w:beforeAutospacing="1" w:after="100" w:afterAutospacing="1"/>
            </w:pPr>
            <w:r>
              <w:rPr>
                <w:sz w:val="18"/>
                <w:szCs w:val="18"/>
              </w:rPr>
              <w:t>Motivation, self-monitoring and eating behaviour identified as leading in-treatment contributors; internal validation only</w:t>
            </w:r>
          </w:p>
        </w:tc>
        <w:tc>
          <w:tcPr>
            <w:tcW w:w="1310" w:type="dxa"/>
            <w:tcMar>
              <w:top w:w="60" w:type="dxa"/>
              <w:left w:w="90" w:type="dxa"/>
              <w:bottom w:w="60" w:type="dxa"/>
              <w:right w:w="90" w:type="dxa"/>
            </w:tcMar>
          </w:tcPr>
          <w:p w14:paraId="5B5C4508" w14:textId="77777777" w:rsidR="004971F5" w:rsidRDefault="00000000" w:rsidP="00A71138">
            <w:pPr>
              <w:spacing w:before="100" w:beforeAutospacing="1" w:after="100" w:afterAutospacing="1"/>
            </w:pPr>
            <w:r>
              <w:rPr>
                <w:sz w:val="18"/>
                <w:szCs w:val="18"/>
              </w:rPr>
              <w:t>Yang et al. (2025)</w:t>
            </w:r>
          </w:p>
        </w:tc>
      </w:tr>
    </w:tbl>
    <w:p w14:paraId="5B327143" w14:textId="77777777" w:rsidR="004971F5" w:rsidRDefault="00000000" w:rsidP="00A71138">
      <w:pPr>
        <w:spacing w:before="100" w:beforeAutospacing="1" w:after="100" w:afterAutospacing="1"/>
      </w:pPr>
      <w:r>
        <w:rPr>
          <w:i/>
          <w:iCs/>
          <w:sz w:val="20"/>
          <w:szCs w:val="20"/>
        </w:rPr>
        <w:t>Note. Performance figures are those reported by the cited investigators and are not directly comparable across studies because outcome definitions differ. Area under the curve refers to the area under the receiver operating characteristic curve.</w:t>
      </w:r>
    </w:p>
    <w:p w14:paraId="39300B8E" w14:textId="77777777" w:rsidR="004971F5" w:rsidRDefault="00000000" w:rsidP="00A71138">
      <w:pPr>
        <w:pStyle w:val="Heading1"/>
        <w:spacing w:before="100" w:beforeAutospacing="1" w:after="100" w:afterAutospacing="1"/>
      </w:pPr>
      <w:r>
        <w:rPr>
          <w:b/>
          <w:bCs/>
          <w:sz w:val="26"/>
          <w:szCs w:val="26"/>
        </w:rPr>
        <w:lastRenderedPageBreak/>
        <w:t>5. Treatment Monitoring During Therapy</w:t>
      </w:r>
    </w:p>
    <w:p w14:paraId="033815DD" w14:textId="77777777" w:rsidR="004971F5" w:rsidRDefault="00000000" w:rsidP="00A71138">
      <w:pPr>
        <w:spacing w:before="100" w:beforeAutospacing="1" w:after="100" w:afterAutospacing="1"/>
        <w:jc w:val="both"/>
      </w:pPr>
      <w:r>
        <w:t>If the analysis in Section 3 is correct, the largest recoverable losses in incretin therapy occur after initiation rather than at it. Monitoring is therefore the domain in which computational assistance has the greatest theoretical value and, at present, the least direct evidence.</w:t>
      </w:r>
    </w:p>
    <w:p w14:paraId="19AB7982" w14:textId="77777777" w:rsidR="004971F5" w:rsidRDefault="00000000" w:rsidP="00A71138">
      <w:pPr>
        <w:pStyle w:val="Heading2"/>
        <w:spacing w:before="100" w:beforeAutospacing="1" w:after="100" w:afterAutospacing="1"/>
      </w:pPr>
      <w:r>
        <w:rPr>
          <w:b/>
          <w:bCs/>
          <w:sz w:val="24"/>
          <w:szCs w:val="24"/>
        </w:rPr>
        <w:t>5.1 Continuous Physiological Data Streams</w:t>
      </w:r>
    </w:p>
    <w:p w14:paraId="626128DF" w14:textId="77777777" w:rsidR="004971F5" w:rsidRDefault="00000000" w:rsidP="00A71138">
      <w:pPr>
        <w:spacing w:before="100" w:beforeAutospacing="1" w:after="100" w:afterAutospacing="1"/>
        <w:jc w:val="both"/>
      </w:pPr>
      <w:r>
        <w:t xml:space="preserve">Continuous glucose monitoring generates dense time series that exceed the interpretive capacity of episodic clinical review and are consequently well suited to automated analysis. Machine learning applied to continuous glucose monitoring profiles, with gold-standard metabolic testing as reference, has been used to infer metabolic </w:t>
      </w:r>
      <w:proofErr w:type="spellStart"/>
      <w:r>
        <w:t>subphenotypes</w:t>
      </w:r>
      <w:proofErr w:type="spellEnd"/>
      <w:r>
        <w:t xml:space="preserve"> including insulin resistance and beta-cell dysfunction (Metwally et al., 2025). A subsequent foundation model trained on large volumes of continuous glucose monitoring data produced representations transferable across downstream tasks (</w:t>
      </w:r>
      <w:proofErr w:type="spellStart"/>
      <w:r>
        <w:t>Lutsker</w:t>
      </w:r>
      <w:proofErr w:type="spellEnd"/>
      <w:r>
        <w:t xml:space="preserve"> et al., 2026). Both studies establish that physiologically meaningful information can be extracted from a signal already collected in routine care.</w:t>
      </w:r>
    </w:p>
    <w:p w14:paraId="4469F024" w14:textId="77777777" w:rsidR="004971F5" w:rsidRDefault="00000000" w:rsidP="00A71138">
      <w:pPr>
        <w:spacing w:before="100" w:beforeAutospacing="1" w:after="100" w:afterAutospacing="1"/>
        <w:jc w:val="both"/>
      </w:pPr>
      <w:r>
        <w:t xml:space="preserve">Neither has been evaluated in the context of incretin therapy, and the translational step is not trivial. GLP-1 receptor agonism alters gastric emptying and postprandial glucose excursions directly, so continuous glucose monitoring features that index beta-cell function or insulin sensitivity in untreated individuals may index drug pharmacodynamics in treated ones. A model trained to infer </w:t>
      </w:r>
      <w:proofErr w:type="spellStart"/>
      <w:r>
        <w:t>subphenotype</w:t>
      </w:r>
      <w:proofErr w:type="spellEnd"/>
      <w:r>
        <w:t xml:space="preserve"> in the absence of the drug cannot be assumed to retain that meaning during treatment. The plausible near-term application is different and more modest: using the same signal to detect early pharmacodynamic response, to identify individuals in whom glycaemic improvement is disproportionate to weight change, and to time titration decisions. That application has not been tested.</w:t>
      </w:r>
    </w:p>
    <w:p w14:paraId="2F2E7BF5" w14:textId="77777777" w:rsidR="004971F5" w:rsidRDefault="00000000" w:rsidP="00A71138">
      <w:pPr>
        <w:spacing w:before="100" w:beforeAutospacing="1" w:after="100" w:afterAutospacing="1"/>
        <w:jc w:val="both"/>
      </w:pPr>
      <w:r>
        <w:t>Related evidence from integrated digital platforms is nevertheless encouraging about the general strategy. In a 48-week randomised trial in adults with type 2 diabetes, a digital platform incorporating artificial-intelligence-based dietary management produced greater reductions in glycated haemoglobin than routine care, with further improvement when clinician feedback and intermittent continuous glucose monitoring were added (Lee et al., 2023). A separate randomised non-inferiority trial found that referral to a fully automated artificial-intelligence-led lifestyle intervention was non-inferior to referral to human coaching on a composite of weight, physical activity and glycated haemoglobin outcomes among adults with prediabetes (</w:t>
      </w:r>
      <w:proofErr w:type="spellStart"/>
      <w:r>
        <w:t>Mathioudakis</w:t>
      </w:r>
      <w:proofErr w:type="spellEnd"/>
      <w:r>
        <w:t xml:space="preserve"> et al., 2025). These are among the few randomised evaluations of artificial intelligence in cardiometabolic care, and both concern lifestyle rather than pharmacological management. They establish feasibility and a modest effect on intermediate outcomes; they do not establish that comparable systems would improve incretin therapy, in which the pharmacological effect is considerably larger than the behavioural increment being measured.</w:t>
      </w:r>
    </w:p>
    <w:p w14:paraId="2556288B" w14:textId="77777777" w:rsidR="004971F5" w:rsidRDefault="00000000" w:rsidP="00A71138">
      <w:pPr>
        <w:pStyle w:val="Heading2"/>
        <w:spacing w:before="100" w:beforeAutospacing="1" w:after="100" w:afterAutospacing="1"/>
      </w:pPr>
      <w:r>
        <w:rPr>
          <w:b/>
          <w:bCs/>
          <w:sz w:val="24"/>
          <w:szCs w:val="24"/>
        </w:rPr>
        <w:t>5.2 Digital Engagement Platforms and Behavioural Monitoring</w:t>
      </w:r>
    </w:p>
    <w:p w14:paraId="755E1B5C" w14:textId="77777777" w:rsidR="004971F5" w:rsidRDefault="00000000" w:rsidP="00A71138">
      <w:pPr>
        <w:spacing w:before="100" w:beforeAutospacing="1" w:after="100" w:afterAutospacing="1"/>
        <w:jc w:val="both"/>
      </w:pPr>
      <w:r>
        <w:t xml:space="preserve">The largest dataset addressing monitoring during incretin therapy comes from a national digital weight-loss service. In a retrospective cohort of 106,653 adults prescribed dual glucose-dependent insulinotropic polypeptide and GLP-1 receptor agonists or GLP-1 receptor agonists, participants classified as digitally engaged achieved adjusted weight loss of 21.5 per cent over 11 months compared with 17.0 per cent among those not engaged, an absolute difference of </w:t>
      </w:r>
      <w:r>
        <w:lastRenderedPageBreak/>
        <w:t>4.5 percentage points, with higher hazards of reaching every weight-loss milestone and no excess in adverse event rates (Johnson et al., 2026).</w:t>
      </w:r>
    </w:p>
    <w:p w14:paraId="364C8179" w14:textId="77777777" w:rsidR="004971F5" w:rsidRDefault="00000000" w:rsidP="00A71138">
      <w:pPr>
        <w:spacing w:before="100" w:beforeAutospacing="1" w:after="100" w:afterAutospacing="1"/>
        <w:jc w:val="both"/>
      </w:pPr>
      <w:r>
        <w:t>The magnitude of the association is clinically substantial and the safety data are reassuring, but the design cannot support a causal reading. Engagement was defined by attending at least one coaching session, logging weight at least four times monthly and performing at least one additional in-application interaction, and only 5.7 per cent of the cohort met this definition while 100,567 were classified as not engaged. Weekly weight logging is itself a marker of the behavioural persistence, self-efficacy and initial success that independently predict weight loss, and people whose early response is poor or whose tolerability is problematic are precisely those least likely to keep logging. The exposure is therefore partly a consequence of the outcome. Reverse causation of this kind is difficult to eliminate by covariate adjustment because the confounding operates through unmeasured trajectory rather than through baseline characteristics. The finding is best read as showing that engagement identifies a favourable trajectory, which is a monitoring signal of real value, rather than as showing that promoting engagement would produce 4.5 percentage points of additional weight loss.</w:t>
      </w:r>
    </w:p>
    <w:p w14:paraId="300FCBE9" w14:textId="77777777" w:rsidR="004971F5" w:rsidRDefault="00000000" w:rsidP="00A71138">
      <w:pPr>
        <w:spacing w:before="100" w:beforeAutospacing="1" w:after="100" w:afterAutospacing="1"/>
        <w:jc w:val="both"/>
      </w:pPr>
      <w:r>
        <w:t>The behavioural modelling literature converges on the same conclusion from a different direction. In structured weight management, the variables carrying most predictive weight were in-treatment behaviours rather than baseline characteristics (Yang et al., 2025). Combined with the titration data showing that most initiators do not reach maintenance doses (Ulrich et al., 2026), this points towards a specific and testable application: early-trajectory models that use the first weeks of weight, symptom and dispensing data to identify individuals at high risk of under-titration or discontinuation, triggering proactive contact. No such model has been reported for incretin therapy, and its evaluation would require a randomised design because the outcome of interest is behaviour that the prediction is intended to change.</w:t>
      </w:r>
    </w:p>
    <w:p w14:paraId="690E7206" w14:textId="77777777" w:rsidR="004971F5" w:rsidRDefault="00000000" w:rsidP="00A71138">
      <w:pPr>
        <w:pStyle w:val="Heading2"/>
        <w:spacing w:before="100" w:beforeAutospacing="1" w:after="100" w:afterAutospacing="1"/>
      </w:pPr>
      <w:r>
        <w:rPr>
          <w:b/>
          <w:bCs/>
          <w:sz w:val="24"/>
          <w:szCs w:val="24"/>
        </w:rPr>
        <w:t>5.3 Monitoring Body Composition and Unintended Physiological Consequences</w:t>
      </w:r>
    </w:p>
    <w:p w14:paraId="6A393BD9" w14:textId="77777777" w:rsidR="004971F5" w:rsidRDefault="00000000" w:rsidP="00A71138">
      <w:pPr>
        <w:spacing w:before="100" w:beforeAutospacing="1" w:after="100" w:afterAutospacing="1"/>
        <w:jc w:val="both"/>
      </w:pPr>
      <w:r>
        <w:t>Concern that substantial weight loss with incretin therapy includes loss of fat-free mass has become prominent, and a systematic review of incretin-based and non-pharmacological weight loss has examined body composition outcomes across this literature (Batsis et al., 2026). Routine monitoring of body composition is not currently feasible at scale, since dual-energy X-ray absorptiometry is not universally available and bioelectrical impedance is imprecise in this population.</w:t>
      </w:r>
    </w:p>
    <w:p w14:paraId="30B9F4B6" w14:textId="77777777" w:rsidR="004971F5" w:rsidRDefault="00000000" w:rsidP="00A71138">
      <w:pPr>
        <w:spacing w:before="100" w:beforeAutospacing="1" w:after="100" w:afterAutospacing="1"/>
        <w:jc w:val="both"/>
      </w:pPr>
      <w:r>
        <w:t>Automated analysis of cross-sectional imaging offers a possible route. End-to-end automated body composition analysis with integrated quality control has been demonstrated for opportunistic assessment of sarcopenia on computed tomography examinations acquired for other clinical indications (Nowak et al., 2022). Applied to people receiving incretin therapy who undergo imaging for unrelated reasons, such methods could in principle provide longitudinal skeletal muscle and adipose measurements at no additional radiation or cost. Two cautions apply. The method was validated for a different purpose in a different population, and its measurement properties during rapid weight loss are unknown. More importantly, opportunistic imaging is not acquired at random; people who undergo repeated computed tomography differ systematically from those who do not, so any cohort assembled in this way would be subject to strong selection. This application is at the stage of technical plausibility rather than clinical evidence, and it is included here because it illustrates a general pattern in which mature analytical tools from one domain are proposed for another without the intervening validation.</w:t>
      </w:r>
    </w:p>
    <w:p w14:paraId="68EDADC6" w14:textId="77777777" w:rsidR="004971F5" w:rsidRDefault="00000000" w:rsidP="00A71138">
      <w:pPr>
        <w:pStyle w:val="Heading2"/>
        <w:spacing w:before="100" w:beforeAutospacing="1" w:after="100" w:afterAutospacing="1"/>
      </w:pPr>
      <w:r>
        <w:rPr>
          <w:b/>
          <w:bCs/>
          <w:sz w:val="24"/>
          <w:szCs w:val="24"/>
        </w:rPr>
        <w:lastRenderedPageBreak/>
        <w:t>5.4 The Measurement Problem Underlying Monitoring Research</w:t>
      </w:r>
    </w:p>
    <w:p w14:paraId="013085F6" w14:textId="77777777" w:rsidR="004971F5" w:rsidRDefault="00000000" w:rsidP="00A71138">
      <w:pPr>
        <w:spacing w:before="100" w:beforeAutospacing="1" w:after="100" w:afterAutospacing="1"/>
        <w:jc w:val="both"/>
      </w:pPr>
      <w:r>
        <w:t>Monitoring research in this field is constrained by a definitional difficulty that is rarely acknowledged. Adherence is inferred from dispensing records, which measure acquisition rather than administration; persistence is defined by permissible gaps whose length is chosen by the analyst, so the reported persistence figures depend on that choice; engagement is defined by platform-specific composites that are not comparable across services; and tolerability is captured either through trial-protocol adverse event solicitation or through spontaneous reporting, which differ by orders of magnitude in sensitivity. A model trained on any one of these operationalisations inherits its measurement properties. When such a model is transferred to another data environment, the apparent degradation in performance may reflect a change in what the label means rather than a change in the underlying clinical relationship. Standardised definitions of adherence, persistence and engagement for incretin therapy would do more to advance monitoring research than additional algorithmic development.</w:t>
      </w:r>
    </w:p>
    <w:p w14:paraId="3D8FD99A" w14:textId="77777777" w:rsidR="004971F5" w:rsidRDefault="00000000" w:rsidP="00A71138">
      <w:pPr>
        <w:pStyle w:val="Heading1"/>
        <w:spacing w:before="100" w:beforeAutospacing="1" w:after="100" w:afterAutospacing="1"/>
      </w:pPr>
      <w:r>
        <w:rPr>
          <w:b/>
          <w:bCs/>
          <w:sz w:val="26"/>
          <w:szCs w:val="26"/>
        </w:rPr>
        <w:t>6. Clinical Decision Support</w:t>
      </w:r>
    </w:p>
    <w:p w14:paraId="529BBB5E" w14:textId="77777777" w:rsidR="004971F5" w:rsidRDefault="00000000" w:rsidP="00A71138">
      <w:pPr>
        <w:spacing w:before="100" w:beforeAutospacing="1" w:after="100" w:afterAutospacing="1"/>
        <w:jc w:val="both"/>
      </w:pPr>
      <w:r>
        <w:t>Decision support is the point at which computational output must alter a human decision to produce benefit. This requirement distinguishes it from prediction: a well-calibrated model that no clinician acts upon changes nothing, and a poorly calibrated model that clinicians trust changes a great deal for the worse.</w:t>
      </w:r>
    </w:p>
    <w:p w14:paraId="3B6FE2F6" w14:textId="77777777" w:rsidR="004971F5" w:rsidRDefault="00000000" w:rsidP="00A71138">
      <w:pPr>
        <w:pStyle w:val="Heading2"/>
        <w:spacing w:before="100" w:beforeAutospacing="1" w:after="100" w:afterAutospacing="1"/>
      </w:pPr>
      <w:r>
        <w:rPr>
          <w:b/>
          <w:bCs/>
          <w:sz w:val="24"/>
          <w:szCs w:val="24"/>
        </w:rPr>
        <w:t>6.1 From Registry-Derived Rules to Point-of-Care Prescribing Support</w:t>
      </w:r>
    </w:p>
    <w:p w14:paraId="4E62BABA" w14:textId="77777777" w:rsidR="004971F5" w:rsidRDefault="00000000" w:rsidP="00A71138">
      <w:pPr>
        <w:spacing w:before="100" w:beforeAutospacing="1" w:after="100" w:afterAutospacing="1"/>
        <w:jc w:val="both"/>
      </w:pPr>
      <w:r>
        <w:t>The registry analyses described earlier established that incretin prescribing in routine care follows body mass index and age more closely than cardiorenal risk, and that women were consistently less likely to receive the comparator drug class across risk subgroups (Tuccinardi et al., 2025). Simulation of guideline-concordant prescribing suggested a substantial improvement in combined target attainment (</w:t>
      </w:r>
      <w:proofErr w:type="spellStart"/>
      <w:r>
        <w:t>Giorda</w:t>
      </w:r>
      <w:proofErr w:type="spellEnd"/>
      <w:r>
        <w:t xml:space="preserve"> et al., 2023). Together these findings define a decision-support target with unusual clarity: the deficiency is not diagnostic uncertainty but systematic divergence between prescribing behaviour and guideline logic.</w:t>
      </w:r>
    </w:p>
    <w:p w14:paraId="3CA256B9" w14:textId="77777777" w:rsidR="004971F5" w:rsidRDefault="00000000" w:rsidP="00A71138">
      <w:pPr>
        <w:spacing w:before="100" w:beforeAutospacing="1" w:after="100" w:afterAutospacing="1"/>
        <w:jc w:val="both"/>
      </w:pPr>
      <w:r>
        <w:t>That target is, in principle, addressable by deterministic rule-based alerting rather than by machine learning, since the guideline logic is explicit and encodable (American Diabetes Association Professional Practice Committee, 2026). The relevant question is therefore whether machine learning adds anything beyond automated guideline application. The case for it rests on situations in which the guideline is silent or conditional, such as choosing among agents for a particular individual, timing dose escalation against tolerability, or deciding whether to persist after a poor early response. These are precisely the situations for which no adequately validated model exists. The current position is that the decision problem most amenable to support does not require artificial intelligence, and the decision problems that might require it have not been solved.</w:t>
      </w:r>
    </w:p>
    <w:p w14:paraId="3AE5D94A" w14:textId="77777777" w:rsidR="004971F5" w:rsidRDefault="00000000" w:rsidP="00A71138">
      <w:pPr>
        <w:spacing w:before="100" w:beforeAutospacing="1" w:after="100" w:afterAutospacing="1"/>
        <w:jc w:val="both"/>
      </w:pPr>
      <w:r>
        <w:t>Evidence on whether alerting changes prescribing behaviour in this context is not available for incretin therapy specifically, and the wider clinical decision support literature is well known to report attenuation of effect through alert override and workflow disruption. In the absence of direct evidence, claims that computational decision support would close the prescribing gap identified in the registry analyses remain conjectural.</w:t>
      </w:r>
    </w:p>
    <w:p w14:paraId="1ECDBCCF" w14:textId="77777777" w:rsidR="004971F5" w:rsidRDefault="00000000" w:rsidP="00A71138">
      <w:pPr>
        <w:pStyle w:val="Heading2"/>
        <w:spacing w:before="100" w:beforeAutospacing="1" w:after="100" w:afterAutospacing="1"/>
      </w:pPr>
      <w:r>
        <w:rPr>
          <w:b/>
          <w:bCs/>
          <w:sz w:val="24"/>
          <w:szCs w:val="24"/>
        </w:rPr>
        <w:t>6.2 Large Language Models as Decision Support</w:t>
      </w:r>
    </w:p>
    <w:p w14:paraId="55D10B45" w14:textId="77777777" w:rsidR="004971F5" w:rsidRDefault="00000000" w:rsidP="00A71138">
      <w:pPr>
        <w:spacing w:before="100" w:beforeAutospacing="1" w:after="100" w:afterAutospacing="1"/>
        <w:jc w:val="both"/>
      </w:pPr>
      <w:r>
        <w:lastRenderedPageBreak/>
        <w:t>Large language models have generated substantial expectation in obesity and diabetes care, and reviews addressing bariatric and metabolic practice have set out both the opportunities and the concerns (Law et al., 2024). Evidence of clinical performance remains preliminary and is dominated by benchmark and simulation studies.</w:t>
      </w:r>
    </w:p>
    <w:p w14:paraId="4FAA2723" w14:textId="77777777" w:rsidR="004971F5" w:rsidRDefault="00000000" w:rsidP="00A71138">
      <w:pPr>
        <w:spacing w:before="100" w:beforeAutospacing="1" w:after="100" w:afterAutospacing="1"/>
        <w:jc w:val="both"/>
      </w:pPr>
      <w:r>
        <w:t>The most directly relevant evaluation in an adjacent domain assessed two contemporary general-purpose models against 60 expert-validated bariatric surgery vignettes spanning the perioperative pathway, scored independently by three surgeons (</w:t>
      </w:r>
      <w:proofErr w:type="spellStart"/>
      <w:r>
        <w:t>Çalışkan</w:t>
      </w:r>
      <w:proofErr w:type="spellEnd"/>
      <w:r>
        <w:t xml:space="preserve"> &amp; Başak, 2026). The stronger model achieved 87.3 per cent accuracy against 72.4 per cent, guideline adherence of 78 per cent against 46 per cent, and unsafe recommendations in 2.1 per cent of cases against 8.4 per cent, with a fourfold difference in the risk of an unsafe action. Two features of this result matter more than the comparison itself. First, unsafe outputs persisted in the better-performing model, and a 2.1 per cent rate of unsafe recommendation is incompatible with unsupervised deployment in a therapeutic area where the decisions concern drug initiation, perioperative management and dose adjustment. Second, the performance gap between two contemporaneous models of similar general capability demonstrates that model version is a determinant of safety, which has implications for regulation that the field has not resolved.</w:t>
      </w:r>
    </w:p>
    <w:p w14:paraId="4DAC5815" w14:textId="77777777" w:rsidR="004971F5" w:rsidRDefault="00000000" w:rsidP="00A71138">
      <w:pPr>
        <w:spacing w:before="100" w:beforeAutospacing="1" w:after="100" w:afterAutospacing="1"/>
        <w:jc w:val="both"/>
      </w:pPr>
      <w:r>
        <w:t xml:space="preserve">Retrieval augmentation has been shown to improve the performance of large language models in diabetes education relative to </w:t>
      </w:r>
      <w:proofErr w:type="spellStart"/>
      <w:r>
        <w:t>unaugmented</w:t>
      </w:r>
      <w:proofErr w:type="spellEnd"/>
      <w:r>
        <w:t xml:space="preserve"> models (Wang et al., 2024), and image-based deep learning has been integrated with language models to support primary diabetes care (Li et al., 2024). These approaches constrain generation against a curated corpus and thereby reduce, without eliminating, unsupported output. The corresponding limitation is that performance becomes dependent on corpus currency, which in a field where the therapeutic landscape changes annually is a non-trivial maintenance obligation.</w:t>
      </w:r>
    </w:p>
    <w:p w14:paraId="67BC0CD2" w14:textId="77777777" w:rsidR="004971F5" w:rsidRDefault="00000000" w:rsidP="00A71138">
      <w:pPr>
        <w:spacing w:before="100" w:beforeAutospacing="1" w:after="100" w:afterAutospacing="1"/>
        <w:jc w:val="both"/>
      </w:pPr>
      <w:r>
        <w:t>Patient-facing applications raise a distinct problem. Evaluation of artificial-intelligence-generated patient information on GLP-1 receptor agonists found that responses were informationally detailed but that readability remained unsuitable for many patients, with the implication that literacy-sensitive design is required if such tools are not to widen rather than narrow information inequity (Williams et al., 2026). This finding is consistent with the equity concerns raised in Section 3.3 and indicates that the accessibility of an artificial intelligence tool cannot be inferred from its accuracy. Language models have also been used analytically rather than as an intervention, for example to characterise public discussion of these agents across a large corpus of social media posts, identifying themes spanning weight-loss experience, comparative side effects, access and supply problems, and psychological effects (Somani et al., 2024). That application is methodologically safer because the output informs research rather than an individual clinical decision.</w:t>
      </w:r>
    </w:p>
    <w:p w14:paraId="3444C369" w14:textId="77777777" w:rsidR="004971F5" w:rsidRDefault="00000000" w:rsidP="00A71138">
      <w:pPr>
        <w:pStyle w:val="Heading2"/>
        <w:spacing w:before="100" w:beforeAutospacing="1" w:after="100" w:afterAutospacing="1"/>
      </w:pPr>
      <w:r>
        <w:rPr>
          <w:b/>
          <w:bCs/>
          <w:sz w:val="24"/>
          <w:szCs w:val="24"/>
        </w:rPr>
        <w:t>6.3 Human Factors and the Conditions for Benefit</w:t>
      </w:r>
    </w:p>
    <w:p w14:paraId="4D0954EE" w14:textId="77777777" w:rsidR="004971F5" w:rsidRDefault="00000000" w:rsidP="00A71138">
      <w:pPr>
        <w:spacing w:before="100" w:beforeAutospacing="1" w:after="100" w:afterAutospacing="1"/>
        <w:jc w:val="both"/>
      </w:pPr>
      <w:r>
        <w:t xml:space="preserve">Decision support fails for reasons that are largely independent of model accuracy. Alerts are overridden when they are frequent, poorly targeted or presented at a point in the workflow where the decision has effectively been made. Recommendations are ignored when the reasoning is opaque, and are followed uncritically when presented with unwarranted confidence, the latter being the more dangerous failure. Reporting standards for early clinical evaluation of decision support driven by artificial intelligence were developed precisely because these implementation properties are not captured by conventional prediction-model reporting and are not assessed by conventional trial reporting (Vasey et al., 2022). Applying those standards to the studies reviewed here shows that none reports the human-computer </w:t>
      </w:r>
      <w:r>
        <w:lastRenderedPageBreak/>
        <w:t>interaction characteristics, the intended point of use in the workflow, or the analysis of error cases that early clinical evaluation requires.</w:t>
      </w:r>
    </w:p>
    <w:p w14:paraId="7A0C1ABB" w14:textId="77777777" w:rsidR="004971F5" w:rsidRDefault="00000000" w:rsidP="00A71138">
      <w:pPr>
        <w:spacing w:before="100" w:beforeAutospacing="1" w:after="100" w:afterAutospacing="1"/>
        <w:jc w:val="both"/>
      </w:pPr>
      <w:r>
        <w:t>Table 3 compares the decision-support modalities that have been proposed in this field against the strongest evidence identified for each and their principal vulnerabilities. The comparison shows an inverse relationship between the evidential maturity of a modality and the breadth of the claims made for it: rule-based support, which has the clearest target and the most tractable evaluation, attracts the least attention, whereas general-purpose language models, for which only simulation evidence exists, attract the most.</w:t>
      </w:r>
    </w:p>
    <w:p w14:paraId="3D6A63D5" w14:textId="77777777" w:rsidR="004971F5" w:rsidRDefault="00000000" w:rsidP="00A71138">
      <w:pPr>
        <w:keepNext/>
        <w:spacing w:before="100" w:beforeAutospacing="1" w:after="100" w:afterAutospacing="1"/>
      </w:pPr>
      <w:r>
        <w:rPr>
          <w:b/>
          <w:bCs/>
          <w:sz w:val="22"/>
          <w:szCs w:val="22"/>
        </w:rPr>
        <w:t>Table 3. Clinical decision-support modalities proposed for glucagon-like peptide-1 receptor agonist therapy, with strongest available evidence and principal vulnerabilities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1686"/>
        <w:gridCol w:w="2246"/>
        <w:gridCol w:w="2059"/>
        <w:gridCol w:w="2059"/>
        <w:gridCol w:w="1310"/>
      </w:tblGrid>
      <w:tr w:rsidR="004971F5" w14:paraId="300CC9E2" w14:textId="77777777">
        <w:trPr>
          <w:tblHeader/>
        </w:trPr>
        <w:tc>
          <w:tcPr>
            <w:tcW w:w="1686" w:type="dxa"/>
            <w:shd w:val="clear" w:color="auto" w:fill="E8E8E8"/>
            <w:tcMar>
              <w:top w:w="60" w:type="dxa"/>
              <w:left w:w="90" w:type="dxa"/>
              <w:bottom w:w="60" w:type="dxa"/>
              <w:right w:w="90" w:type="dxa"/>
            </w:tcMar>
          </w:tcPr>
          <w:p w14:paraId="3584AB6F" w14:textId="77777777" w:rsidR="004971F5" w:rsidRDefault="00000000" w:rsidP="00A71138">
            <w:pPr>
              <w:spacing w:before="100" w:beforeAutospacing="1" w:after="100" w:afterAutospacing="1"/>
            </w:pPr>
            <w:r>
              <w:rPr>
                <w:b/>
                <w:bCs/>
                <w:sz w:val="18"/>
                <w:szCs w:val="18"/>
              </w:rPr>
              <w:t>Modality</w:t>
            </w:r>
          </w:p>
        </w:tc>
        <w:tc>
          <w:tcPr>
            <w:tcW w:w="2246" w:type="dxa"/>
            <w:shd w:val="clear" w:color="auto" w:fill="E8E8E8"/>
            <w:tcMar>
              <w:top w:w="60" w:type="dxa"/>
              <w:left w:w="90" w:type="dxa"/>
              <w:bottom w:w="60" w:type="dxa"/>
              <w:right w:w="90" w:type="dxa"/>
            </w:tcMar>
          </w:tcPr>
          <w:p w14:paraId="3DB19EFC" w14:textId="77777777" w:rsidR="004971F5" w:rsidRDefault="00000000" w:rsidP="00A71138">
            <w:pPr>
              <w:spacing w:before="100" w:beforeAutospacing="1" w:after="100" w:afterAutospacing="1"/>
            </w:pPr>
            <w:r>
              <w:rPr>
                <w:b/>
                <w:bCs/>
                <w:sz w:val="18"/>
                <w:szCs w:val="18"/>
              </w:rPr>
              <w:t>Intended function in incretin care</w:t>
            </w:r>
          </w:p>
        </w:tc>
        <w:tc>
          <w:tcPr>
            <w:tcW w:w="2059" w:type="dxa"/>
            <w:shd w:val="clear" w:color="auto" w:fill="E8E8E8"/>
            <w:tcMar>
              <w:top w:w="60" w:type="dxa"/>
              <w:left w:w="90" w:type="dxa"/>
              <w:bottom w:w="60" w:type="dxa"/>
              <w:right w:w="90" w:type="dxa"/>
            </w:tcMar>
          </w:tcPr>
          <w:p w14:paraId="622D0555" w14:textId="77777777" w:rsidR="004971F5" w:rsidRDefault="00000000" w:rsidP="00A71138">
            <w:pPr>
              <w:spacing w:before="100" w:beforeAutospacing="1" w:after="100" w:afterAutospacing="1"/>
            </w:pPr>
            <w:r>
              <w:rPr>
                <w:b/>
                <w:bCs/>
                <w:sz w:val="18"/>
                <w:szCs w:val="18"/>
              </w:rPr>
              <w:t>Strongest identified evidence</w:t>
            </w:r>
          </w:p>
        </w:tc>
        <w:tc>
          <w:tcPr>
            <w:tcW w:w="2059" w:type="dxa"/>
            <w:shd w:val="clear" w:color="auto" w:fill="E8E8E8"/>
            <w:tcMar>
              <w:top w:w="60" w:type="dxa"/>
              <w:left w:w="90" w:type="dxa"/>
              <w:bottom w:w="60" w:type="dxa"/>
              <w:right w:w="90" w:type="dxa"/>
            </w:tcMar>
          </w:tcPr>
          <w:p w14:paraId="74327B45" w14:textId="77777777" w:rsidR="004971F5" w:rsidRDefault="00000000" w:rsidP="00A71138">
            <w:pPr>
              <w:spacing w:before="100" w:beforeAutospacing="1" w:after="100" w:afterAutospacing="1"/>
            </w:pPr>
            <w:r>
              <w:rPr>
                <w:b/>
                <w:bCs/>
                <w:sz w:val="18"/>
                <w:szCs w:val="18"/>
              </w:rPr>
              <w:t>Principal vulnerabilities</w:t>
            </w:r>
          </w:p>
        </w:tc>
        <w:tc>
          <w:tcPr>
            <w:tcW w:w="1310" w:type="dxa"/>
            <w:shd w:val="clear" w:color="auto" w:fill="E8E8E8"/>
            <w:tcMar>
              <w:top w:w="60" w:type="dxa"/>
              <w:left w:w="90" w:type="dxa"/>
              <w:bottom w:w="60" w:type="dxa"/>
              <w:right w:w="90" w:type="dxa"/>
            </w:tcMar>
          </w:tcPr>
          <w:p w14:paraId="4FB00DC3" w14:textId="77777777" w:rsidR="004971F5" w:rsidRDefault="00000000" w:rsidP="00A71138">
            <w:pPr>
              <w:spacing w:before="100" w:beforeAutospacing="1" w:after="100" w:afterAutospacing="1"/>
            </w:pPr>
            <w:r>
              <w:rPr>
                <w:b/>
                <w:bCs/>
                <w:sz w:val="18"/>
                <w:szCs w:val="18"/>
              </w:rPr>
              <w:t>Supporting references</w:t>
            </w:r>
          </w:p>
        </w:tc>
      </w:tr>
      <w:tr w:rsidR="004971F5" w14:paraId="355098CF" w14:textId="77777777">
        <w:tc>
          <w:tcPr>
            <w:tcW w:w="1686" w:type="dxa"/>
            <w:tcMar>
              <w:top w:w="60" w:type="dxa"/>
              <w:left w:w="90" w:type="dxa"/>
              <w:bottom w:w="60" w:type="dxa"/>
              <w:right w:w="90" w:type="dxa"/>
            </w:tcMar>
          </w:tcPr>
          <w:p w14:paraId="75A9A6FC" w14:textId="77777777" w:rsidR="004971F5" w:rsidRDefault="00000000" w:rsidP="00A71138">
            <w:pPr>
              <w:spacing w:before="100" w:beforeAutospacing="1" w:after="100" w:afterAutospacing="1"/>
            </w:pPr>
            <w:r>
              <w:rPr>
                <w:sz w:val="18"/>
                <w:szCs w:val="18"/>
              </w:rPr>
              <w:t>Deterministic rule-based alerting</w:t>
            </w:r>
          </w:p>
        </w:tc>
        <w:tc>
          <w:tcPr>
            <w:tcW w:w="2246" w:type="dxa"/>
            <w:tcMar>
              <w:top w:w="60" w:type="dxa"/>
              <w:left w:w="90" w:type="dxa"/>
              <w:bottom w:w="60" w:type="dxa"/>
              <w:right w:w="90" w:type="dxa"/>
            </w:tcMar>
          </w:tcPr>
          <w:p w14:paraId="0878011E" w14:textId="77777777" w:rsidR="004971F5" w:rsidRDefault="00000000" w:rsidP="00A71138">
            <w:pPr>
              <w:spacing w:before="100" w:beforeAutospacing="1" w:after="100" w:afterAutospacing="1"/>
            </w:pPr>
            <w:r>
              <w:rPr>
                <w:sz w:val="18"/>
                <w:szCs w:val="18"/>
              </w:rPr>
              <w:t>Automated application of explicit eligibility and escalation criteria at the point of prescribing</w:t>
            </w:r>
          </w:p>
        </w:tc>
        <w:tc>
          <w:tcPr>
            <w:tcW w:w="2059" w:type="dxa"/>
            <w:tcMar>
              <w:top w:w="60" w:type="dxa"/>
              <w:left w:w="90" w:type="dxa"/>
              <w:bottom w:w="60" w:type="dxa"/>
              <w:right w:w="90" w:type="dxa"/>
            </w:tcMar>
          </w:tcPr>
          <w:p w14:paraId="7ECFA134" w14:textId="77777777" w:rsidR="004971F5" w:rsidRDefault="00000000" w:rsidP="00A71138">
            <w:pPr>
              <w:spacing w:before="100" w:beforeAutospacing="1" w:after="100" w:afterAutospacing="1"/>
            </w:pPr>
            <w:r>
              <w:rPr>
                <w:sz w:val="18"/>
                <w:szCs w:val="18"/>
              </w:rPr>
              <w:t>Registry evidence that prescribing diverges systematically from guideline logic, defining the target</w:t>
            </w:r>
          </w:p>
        </w:tc>
        <w:tc>
          <w:tcPr>
            <w:tcW w:w="2059" w:type="dxa"/>
            <w:tcMar>
              <w:top w:w="60" w:type="dxa"/>
              <w:left w:w="90" w:type="dxa"/>
              <w:bottom w:w="60" w:type="dxa"/>
              <w:right w:w="90" w:type="dxa"/>
            </w:tcMar>
          </w:tcPr>
          <w:p w14:paraId="7E6848C4" w14:textId="77777777" w:rsidR="004971F5" w:rsidRDefault="00000000" w:rsidP="00A71138">
            <w:pPr>
              <w:spacing w:before="100" w:beforeAutospacing="1" w:after="100" w:afterAutospacing="1"/>
            </w:pPr>
            <w:r>
              <w:rPr>
                <w:sz w:val="18"/>
                <w:szCs w:val="18"/>
              </w:rPr>
              <w:t>No direct evaluation in this therapeutic context; susceptible to override and workflow disruption</w:t>
            </w:r>
          </w:p>
        </w:tc>
        <w:tc>
          <w:tcPr>
            <w:tcW w:w="1310" w:type="dxa"/>
            <w:tcMar>
              <w:top w:w="60" w:type="dxa"/>
              <w:left w:w="90" w:type="dxa"/>
              <w:bottom w:w="60" w:type="dxa"/>
              <w:right w:w="90" w:type="dxa"/>
            </w:tcMar>
          </w:tcPr>
          <w:p w14:paraId="01BC713B" w14:textId="77777777" w:rsidR="004971F5" w:rsidRDefault="00000000" w:rsidP="00A71138">
            <w:pPr>
              <w:spacing w:before="100" w:beforeAutospacing="1" w:after="100" w:afterAutospacing="1"/>
            </w:pPr>
            <w:r>
              <w:rPr>
                <w:sz w:val="18"/>
                <w:szCs w:val="18"/>
              </w:rPr>
              <w:t>American Diabetes Association Professional Practice Committee (2026); Tuccinardi et al. (2025)</w:t>
            </w:r>
          </w:p>
        </w:tc>
      </w:tr>
      <w:tr w:rsidR="004971F5" w14:paraId="2C077636" w14:textId="77777777">
        <w:tc>
          <w:tcPr>
            <w:tcW w:w="1686" w:type="dxa"/>
            <w:tcMar>
              <w:top w:w="60" w:type="dxa"/>
              <w:left w:w="90" w:type="dxa"/>
              <w:bottom w:w="60" w:type="dxa"/>
              <w:right w:w="90" w:type="dxa"/>
            </w:tcMar>
          </w:tcPr>
          <w:p w14:paraId="700315C4" w14:textId="77777777" w:rsidR="004971F5" w:rsidRDefault="00000000" w:rsidP="00A71138">
            <w:pPr>
              <w:spacing w:before="100" w:beforeAutospacing="1" w:after="100" w:afterAutospacing="1"/>
            </w:pPr>
            <w:r>
              <w:rPr>
                <w:sz w:val="18"/>
                <w:szCs w:val="18"/>
              </w:rPr>
              <w:t>Registry-derived counterfactual simulation</w:t>
            </w:r>
          </w:p>
        </w:tc>
        <w:tc>
          <w:tcPr>
            <w:tcW w:w="2246" w:type="dxa"/>
            <w:tcMar>
              <w:top w:w="60" w:type="dxa"/>
              <w:left w:w="90" w:type="dxa"/>
              <w:bottom w:w="60" w:type="dxa"/>
              <w:right w:w="90" w:type="dxa"/>
            </w:tcMar>
          </w:tcPr>
          <w:p w14:paraId="4166E582" w14:textId="77777777" w:rsidR="004971F5" w:rsidRDefault="00000000" w:rsidP="00A71138">
            <w:pPr>
              <w:spacing w:before="100" w:beforeAutospacing="1" w:after="100" w:afterAutospacing="1"/>
            </w:pPr>
            <w:r>
              <w:rPr>
                <w:sz w:val="18"/>
                <w:szCs w:val="18"/>
              </w:rPr>
              <w:t>Estimation of population-level gains from guideline-concordant prescribing</w:t>
            </w:r>
          </w:p>
        </w:tc>
        <w:tc>
          <w:tcPr>
            <w:tcW w:w="2059" w:type="dxa"/>
            <w:tcMar>
              <w:top w:w="60" w:type="dxa"/>
              <w:left w:w="90" w:type="dxa"/>
              <w:bottom w:w="60" w:type="dxa"/>
              <w:right w:w="90" w:type="dxa"/>
            </w:tcMar>
          </w:tcPr>
          <w:p w14:paraId="237F75E2" w14:textId="77777777" w:rsidR="004971F5" w:rsidRDefault="00000000" w:rsidP="00A71138">
            <w:pPr>
              <w:spacing w:before="100" w:beforeAutospacing="1" w:after="100" w:afterAutospacing="1"/>
            </w:pPr>
            <w:r>
              <w:rPr>
                <w:sz w:val="18"/>
                <w:szCs w:val="18"/>
              </w:rPr>
              <w:t>Simulated increase in combined target attainment from 38.8 to 66.5 per cent</w:t>
            </w:r>
          </w:p>
        </w:tc>
        <w:tc>
          <w:tcPr>
            <w:tcW w:w="2059" w:type="dxa"/>
            <w:tcMar>
              <w:top w:w="60" w:type="dxa"/>
              <w:left w:w="90" w:type="dxa"/>
              <w:bottom w:w="60" w:type="dxa"/>
              <w:right w:w="90" w:type="dxa"/>
            </w:tcMar>
          </w:tcPr>
          <w:p w14:paraId="6BDA27C8" w14:textId="77777777" w:rsidR="004971F5" w:rsidRDefault="00000000" w:rsidP="00A71138">
            <w:pPr>
              <w:spacing w:before="100" w:beforeAutospacing="1" w:after="100" w:afterAutospacing="1"/>
            </w:pPr>
            <w:r>
              <w:rPr>
                <w:sz w:val="18"/>
                <w:szCs w:val="18"/>
              </w:rPr>
              <w:t>Assumes exchangeability between treated and untreated groups; not an estimate of intervention effect</w:t>
            </w:r>
          </w:p>
        </w:tc>
        <w:tc>
          <w:tcPr>
            <w:tcW w:w="1310" w:type="dxa"/>
            <w:tcMar>
              <w:top w:w="60" w:type="dxa"/>
              <w:left w:w="90" w:type="dxa"/>
              <w:bottom w:w="60" w:type="dxa"/>
              <w:right w:w="90" w:type="dxa"/>
            </w:tcMar>
          </w:tcPr>
          <w:p w14:paraId="2B3504D7" w14:textId="77777777" w:rsidR="004971F5" w:rsidRDefault="00000000" w:rsidP="00A71138">
            <w:pPr>
              <w:spacing w:before="100" w:beforeAutospacing="1" w:after="100" w:afterAutospacing="1"/>
            </w:pPr>
            <w:proofErr w:type="spellStart"/>
            <w:r>
              <w:rPr>
                <w:sz w:val="18"/>
                <w:szCs w:val="18"/>
              </w:rPr>
              <w:t>Giorda</w:t>
            </w:r>
            <w:proofErr w:type="spellEnd"/>
            <w:r>
              <w:rPr>
                <w:sz w:val="18"/>
                <w:szCs w:val="18"/>
              </w:rPr>
              <w:t xml:space="preserve"> et al. (2023)</w:t>
            </w:r>
          </w:p>
        </w:tc>
      </w:tr>
      <w:tr w:rsidR="004971F5" w14:paraId="0D181C72" w14:textId="77777777">
        <w:tc>
          <w:tcPr>
            <w:tcW w:w="1686" w:type="dxa"/>
            <w:tcMar>
              <w:top w:w="60" w:type="dxa"/>
              <w:left w:w="90" w:type="dxa"/>
              <w:bottom w:w="60" w:type="dxa"/>
              <w:right w:w="90" w:type="dxa"/>
            </w:tcMar>
          </w:tcPr>
          <w:p w14:paraId="354EC1BF" w14:textId="77777777" w:rsidR="004971F5" w:rsidRDefault="00000000" w:rsidP="00A71138">
            <w:pPr>
              <w:spacing w:before="100" w:beforeAutospacing="1" w:after="100" w:afterAutospacing="1"/>
            </w:pPr>
            <w:r>
              <w:rPr>
                <w:sz w:val="18"/>
                <w:szCs w:val="18"/>
              </w:rPr>
              <w:t>Supervised risk models embedded in the record</w:t>
            </w:r>
          </w:p>
        </w:tc>
        <w:tc>
          <w:tcPr>
            <w:tcW w:w="2246" w:type="dxa"/>
            <w:tcMar>
              <w:top w:w="60" w:type="dxa"/>
              <w:left w:w="90" w:type="dxa"/>
              <w:bottom w:w="60" w:type="dxa"/>
              <w:right w:w="90" w:type="dxa"/>
            </w:tcMar>
          </w:tcPr>
          <w:p w14:paraId="296B84D8" w14:textId="77777777" w:rsidR="004971F5" w:rsidRDefault="00000000" w:rsidP="00A71138">
            <w:pPr>
              <w:spacing w:before="100" w:beforeAutospacing="1" w:after="100" w:afterAutospacing="1"/>
            </w:pPr>
            <w:r>
              <w:rPr>
                <w:sz w:val="18"/>
                <w:szCs w:val="18"/>
              </w:rPr>
              <w:t>Prioritisation of individuals by absolute risk of obesity-related complications</w:t>
            </w:r>
          </w:p>
        </w:tc>
        <w:tc>
          <w:tcPr>
            <w:tcW w:w="2059" w:type="dxa"/>
            <w:tcMar>
              <w:top w:w="60" w:type="dxa"/>
              <w:left w:w="90" w:type="dxa"/>
              <w:bottom w:w="60" w:type="dxa"/>
              <w:right w:w="90" w:type="dxa"/>
            </w:tcMar>
          </w:tcPr>
          <w:p w14:paraId="1CD41EC0" w14:textId="77777777" w:rsidR="004971F5" w:rsidRDefault="00000000" w:rsidP="00A71138">
            <w:pPr>
              <w:spacing w:before="100" w:beforeAutospacing="1" w:after="100" w:afterAutospacing="1"/>
            </w:pPr>
            <w:r>
              <w:rPr>
                <w:sz w:val="18"/>
                <w:szCs w:val="18"/>
              </w:rPr>
              <w:t>Replication of risk stratification in independent ancestry-diverse populations</w:t>
            </w:r>
          </w:p>
        </w:tc>
        <w:tc>
          <w:tcPr>
            <w:tcW w:w="2059" w:type="dxa"/>
            <w:tcMar>
              <w:top w:w="60" w:type="dxa"/>
              <w:left w:w="90" w:type="dxa"/>
              <w:bottom w:w="60" w:type="dxa"/>
              <w:right w:w="90" w:type="dxa"/>
            </w:tcMar>
          </w:tcPr>
          <w:p w14:paraId="10AC5BC8" w14:textId="77777777" w:rsidR="004971F5" w:rsidRDefault="00000000" w:rsidP="00A71138">
            <w:pPr>
              <w:spacing w:before="100" w:beforeAutospacing="1" w:after="100" w:afterAutospacing="1"/>
            </w:pPr>
            <w:r>
              <w:rPr>
                <w:sz w:val="18"/>
                <w:szCs w:val="18"/>
              </w:rPr>
              <w:t>Calibration in the deployment population unverified; allocation consequences require equity audit</w:t>
            </w:r>
          </w:p>
        </w:tc>
        <w:tc>
          <w:tcPr>
            <w:tcW w:w="1310" w:type="dxa"/>
            <w:tcMar>
              <w:top w:w="60" w:type="dxa"/>
              <w:left w:w="90" w:type="dxa"/>
              <w:bottom w:w="60" w:type="dxa"/>
              <w:right w:w="90" w:type="dxa"/>
            </w:tcMar>
          </w:tcPr>
          <w:p w14:paraId="3F49CBB1" w14:textId="77777777" w:rsidR="004971F5" w:rsidRDefault="00000000" w:rsidP="00A71138">
            <w:pPr>
              <w:spacing w:before="100" w:beforeAutospacing="1" w:after="100" w:afterAutospacing="1"/>
            </w:pPr>
            <w:r>
              <w:rPr>
                <w:sz w:val="18"/>
                <w:szCs w:val="18"/>
              </w:rPr>
              <w:t>Demircan et al. (2026); Obermeyer et al. (2019)</w:t>
            </w:r>
          </w:p>
        </w:tc>
      </w:tr>
      <w:tr w:rsidR="004971F5" w14:paraId="1E909D7B" w14:textId="77777777">
        <w:tc>
          <w:tcPr>
            <w:tcW w:w="1686" w:type="dxa"/>
            <w:tcMar>
              <w:top w:w="60" w:type="dxa"/>
              <w:left w:w="90" w:type="dxa"/>
              <w:bottom w:w="60" w:type="dxa"/>
              <w:right w:w="90" w:type="dxa"/>
            </w:tcMar>
          </w:tcPr>
          <w:p w14:paraId="7107FE67" w14:textId="77777777" w:rsidR="004971F5" w:rsidRDefault="00000000" w:rsidP="00A71138">
            <w:pPr>
              <w:spacing w:before="100" w:beforeAutospacing="1" w:after="100" w:afterAutospacing="1"/>
            </w:pPr>
            <w:r>
              <w:rPr>
                <w:sz w:val="18"/>
                <w:szCs w:val="18"/>
              </w:rPr>
              <w:t>Retrieval-augmented language models</w:t>
            </w:r>
          </w:p>
        </w:tc>
        <w:tc>
          <w:tcPr>
            <w:tcW w:w="2246" w:type="dxa"/>
            <w:tcMar>
              <w:top w:w="60" w:type="dxa"/>
              <w:left w:w="90" w:type="dxa"/>
              <w:bottom w:w="60" w:type="dxa"/>
              <w:right w:w="90" w:type="dxa"/>
            </w:tcMar>
          </w:tcPr>
          <w:p w14:paraId="5AB7B013" w14:textId="77777777" w:rsidR="004971F5" w:rsidRDefault="00000000" w:rsidP="00A71138">
            <w:pPr>
              <w:spacing w:before="100" w:beforeAutospacing="1" w:after="100" w:afterAutospacing="1"/>
            </w:pPr>
            <w:r>
              <w:rPr>
                <w:sz w:val="18"/>
                <w:szCs w:val="18"/>
              </w:rPr>
              <w:t>Guideline-anchored answering of clinical and educational queries</w:t>
            </w:r>
          </w:p>
        </w:tc>
        <w:tc>
          <w:tcPr>
            <w:tcW w:w="2059" w:type="dxa"/>
            <w:tcMar>
              <w:top w:w="60" w:type="dxa"/>
              <w:left w:w="90" w:type="dxa"/>
              <w:bottom w:w="60" w:type="dxa"/>
              <w:right w:w="90" w:type="dxa"/>
            </w:tcMar>
          </w:tcPr>
          <w:p w14:paraId="53EAB014" w14:textId="77777777" w:rsidR="004971F5" w:rsidRDefault="00000000" w:rsidP="00A71138">
            <w:pPr>
              <w:spacing w:before="100" w:beforeAutospacing="1" w:after="100" w:afterAutospacing="1"/>
            </w:pPr>
            <w:r>
              <w:rPr>
                <w:sz w:val="18"/>
                <w:szCs w:val="18"/>
              </w:rPr>
              <w:t xml:space="preserve">Improved performance relative to </w:t>
            </w:r>
            <w:proofErr w:type="spellStart"/>
            <w:r>
              <w:rPr>
                <w:sz w:val="18"/>
                <w:szCs w:val="18"/>
              </w:rPr>
              <w:t>unaugmented</w:t>
            </w:r>
            <w:proofErr w:type="spellEnd"/>
            <w:r>
              <w:rPr>
                <w:sz w:val="18"/>
                <w:szCs w:val="18"/>
              </w:rPr>
              <w:t xml:space="preserve"> models in diabetes education</w:t>
            </w:r>
          </w:p>
        </w:tc>
        <w:tc>
          <w:tcPr>
            <w:tcW w:w="2059" w:type="dxa"/>
            <w:tcMar>
              <w:top w:w="60" w:type="dxa"/>
              <w:left w:w="90" w:type="dxa"/>
              <w:bottom w:w="60" w:type="dxa"/>
              <w:right w:w="90" w:type="dxa"/>
            </w:tcMar>
          </w:tcPr>
          <w:p w14:paraId="6D71CDAC" w14:textId="77777777" w:rsidR="004971F5" w:rsidRDefault="00000000" w:rsidP="00A71138">
            <w:pPr>
              <w:spacing w:before="100" w:beforeAutospacing="1" w:after="100" w:afterAutospacing="1"/>
            </w:pPr>
            <w:r>
              <w:rPr>
                <w:sz w:val="18"/>
                <w:szCs w:val="18"/>
              </w:rPr>
              <w:t>Dependent on corpus currency; unsupported output reduced but not eliminated</w:t>
            </w:r>
          </w:p>
        </w:tc>
        <w:tc>
          <w:tcPr>
            <w:tcW w:w="1310" w:type="dxa"/>
            <w:tcMar>
              <w:top w:w="60" w:type="dxa"/>
              <w:left w:w="90" w:type="dxa"/>
              <w:bottom w:w="60" w:type="dxa"/>
              <w:right w:w="90" w:type="dxa"/>
            </w:tcMar>
          </w:tcPr>
          <w:p w14:paraId="41EC3A97" w14:textId="77777777" w:rsidR="004971F5" w:rsidRDefault="00000000" w:rsidP="00A71138">
            <w:pPr>
              <w:spacing w:before="100" w:beforeAutospacing="1" w:after="100" w:afterAutospacing="1"/>
            </w:pPr>
            <w:r>
              <w:rPr>
                <w:sz w:val="18"/>
                <w:szCs w:val="18"/>
              </w:rPr>
              <w:t>Li et al. (2024); Wang et al. (2024)</w:t>
            </w:r>
          </w:p>
        </w:tc>
      </w:tr>
      <w:tr w:rsidR="004971F5" w14:paraId="3CE3883A" w14:textId="77777777">
        <w:tc>
          <w:tcPr>
            <w:tcW w:w="1686" w:type="dxa"/>
            <w:tcMar>
              <w:top w:w="60" w:type="dxa"/>
              <w:left w:w="90" w:type="dxa"/>
              <w:bottom w:w="60" w:type="dxa"/>
              <w:right w:w="90" w:type="dxa"/>
            </w:tcMar>
          </w:tcPr>
          <w:p w14:paraId="2CF63D5E" w14:textId="77777777" w:rsidR="004971F5" w:rsidRDefault="00000000" w:rsidP="00A71138">
            <w:pPr>
              <w:spacing w:before="100" w:beforeAutospacing="1" w:after="100" w:afterAutospacing="1"/>
            </w:pPr>
            <w:r>
              <w:rPr>
                <w:sz w:val="18"/>
                <w:szCs w:val="18"/>
              </w:rPr>
              <w:t>General-purpose large language models</w:t>
            </w:r>
          </w:p>
        </w:tc>
        <w:tc>
          <w:tcPr>
            <w:tcW w:w="2246" w:type="dxa"/>
            <w:tcMar>
              <w:top w:w="60" w:type="dxa"/>
              <w:left w:w="90" w:type="dxa"/>
              <w:bottom w:w="60" w:type="dxa"/>
              <w:right w:w="90" w:type="dxa"/>
            </w:tcMar>
          </w:tcPr>
          <w:p w14:paraId="7D9D1623" w14:textId="77777777" w:rsidR="004971F5" w:rsidRDefault="00000000" w:rsidP="00A71138">
            <w:pPr>
              <w:spacing w:before="100" w:beforeAutospacing="1" w:after="100" w:afterAutospacing="1"/>
            </w:pPr>
            <w:r>
              <w:rPr>
                <w:sz w:val="18"/>
                <w:szCs w:val="18"/>
              </w:rPr>
              <w:t>Unconstrained clinical reasoning across the treatment pathway</w:t>
            </w:r>
          </w:p>
        </w:tc>
        <w:tc>
          <w:tcPr>
            <w:tcW w:w="2059" w:type="dxa"/>
            <w:tcMar>
              <w:top w:w="60" w:type="dxa"/>
              <w:left w:w="90" w:type="dxa"/>
              <w:bottom w:w="60" w:type="dxa"/>
              <w:right w:w="90" w:type="dxa"/>
            </w:tcMar>
          </w:tcPr>
          <w:p w14:paraId="0E673880" w14:textId="77777777" w:rsidR="004971F5" w:rsidRDefault="00000000" w:rsidP="00A71138">
            <w:pPr>
              <w:spacing w:before="100" w:beforeAutospacing="1" w:after="100" w:afterAutospacing="1"/>
            </w:pPr>
            <w:r>
              <w:rPr>
                <w:sz w:val="18"/>
                <w:szCs w:val="18"/>
              </w:rPr>
              <w:t>Simulation study reporting 87.3 per cent accuracy with 2.1 per cent unsafe recommendations for the stronger model</w:t>
            </w:r>
          </w:p>
        </w:tc>
        <w:tc>
          <w:tcPr>
            <w:tcW w:w="2059" w:type="dxa"/>
            <w:tcMar>
              <w:top w:w="60" w:type="dxa"/>
              <w:left w:w="90" w:type="dxa"/>
              <w:bottom w:w="60" w:type="dxa"/>
              <w:right w:w="90" w:type="dxa"/>
            </w:tcMar>
          </w:tcPr>
          <w:p w14:paraId="28EF3CAD" w14:textId="77777777" w:rsidR="004971F5" w:rsidRDefault="00000000" w:rsidP="00A71138">
            <w:pPr>
              <w:spacing w:before="100" w:beforeAutospacing="1" w:after="100" w:afterAutospacing="1"/>
            </w:pPr>
            <w:r>
              <w:rPr>
                <w:sz w:val="18"/>
                <w:szCs w:val="18"/>
              </w:rPr>
              <w:t>Residual unsafe output; performance varies by model version; no prospective clinical evaluation</w:t>
            </w:r>
          </w:p>
        </w:tc>
        <w:tc>
          <w:tcPr>
            <w:tcW w:w="1310" w:type="dxa"/>
            <w:tcMar>
              <w:top w:w="60" w:type="dxa"/>
              <w:left w:w="90" w:type="dxa"/>
              <w:bottom w:w="60" w:type="dxa"/>
              <w:right w:w="90" w:type="dxa"/>
            </w:tcMar>
          </w:tcPr>
          <w:p w14:paraId="7CF778D5" w14:textId="77777777" w:rsidR="004971F5" w:rsidRDefault="00000000" w:rsidP="00A71138">
            <w:pPr>
              <w:spacing w:before="100" w:beforeAutospacing="1" w:after="100" w:afterAutospacing="1"/>
            </w:pPr>
            <w:proofErr w:type="spellStart"/>
            <w:r>
              <w:rPr>
                <w:sz w:val="18"/>
                <w:szCs w:val="18"/>
              </w:rPr>
              <w:t>Çalışkan</w:t>
            </w:r>
            <w:proofErr w:type="spellEnd"/>
            <w:r>
              <w:rPr>
                <w:sz w:val="18"/>
                <w:szCs w:val="18"/>
              </w:rPr>
              <w:t xml:space="preserve"> &amp; Başak (2026)</w:t>
            </w:r>
          </w:p>
        </w:tc>
      </w:tr>
      <w:tr w:rsidR="004971F5" w14:paraId="28CF7E06" w14:textId="77777777">
        <w:tc>
          <w:tcPr>
            <w:tcW w:w="1686" w:type="dxa"/>
            <w:tcMar>
              <w:top w:w="60" w:type="dxa"/>
              <w:left w:w="90" w:type="dxa"/>
              <w:bottom w:w="60" w:type="dxa"/>
              <w:right w:w="90" w:type="dxa"/>
            </w:tcMar>
          </w:tcPr>
          <w:p w14:paraId="7FEDF4DB" w14:textId="77777777" w:rsidR="004971F5" w:rsidRDefault="00000000" w:rsidP="00A71138">
            <w:pPr>
              <w:spacing w:before="100" w:beforeAutospacing="1" w:after="100" w:afterAutospacing="1"/>
            </w:pPr>
            <w:r>
              <w:rPr>
                <w:sz w:val="18"/>
                <w:szCs w:val="18"/>
              </w:rPr>
              <w:t>Patient-facing generative tools</w:t>
            </w:r>
          </w:p>
        </w:tc>
        <w:tc>
          <w:tcPr>
            <w:tcW w:w="2246" w:type="dxa"/>
            <w:tcMar>
              <w:top w:w="60" w:type="dxa"/>
              <w:left w:w="90" w:type="dxa"/>
              <w:bottom w:w="60" w:type="dxa"/>
              <w:right w:w="90" w:type="dxa"/>
            </w:tcMar>
          </w:tcPr>
          <w:p w14:paraId="66D762F4" w14:textId="77777777" w:rsidR="004971F5" w:rsidRDefault="00000000" w:rsidP="00A71138">
            <w:pPr>
              <w:spacing w:before="100" w:beforeAutospacing="1" w:after="100" w:afterAutospacing="1"/>
            </w:pPr>
            <w:r>
              <w:rPr>
                <w:sz w:val="18"/>
                <w:szCs w:val="18"/>
              </w:rPr>
              <w:t>Provision of medication information and self-management guidance</w:t>
            </w:r>
          </w:p>
        </w:tc>
        <w:tc>
          <w:tcPr>
            <w:tcW w:w="2059" w:type="dxa"/>
            <w:tcMar>
              <w:top w:w="60" w:type="dxa"/>
              <w:left w:w="90" w:type="dxa"/>
              <w:bottom w:w="60" w:type="dxa"/>
              <w:right w:w="90" w:type="dxa"/>
            </w:tcMar>
          </w:tcPr>
          <w:p w14:paraId="6FFC0BF8" w14:textId="77777777" w:rsidR="004971F5" w:rsidRDefault="00000000" w:rsidP="00A71138">
            <w:pPr>
              <w:spacing w:before="100" w:beforeAutospacing="1" w:after="100" w:afterAutospacing="1"/>
            </w:pPr>
            <w:r>
              <w:rPr>
                <w:sz w:val="18"/>
                <w:szCs w:val="18"/>
              </w:rPr>
              <w:t>Detailed but insufficiently readable output on this drug class</w:t>
            </w:r>
          </w:p>
        </w:tc>
        <w:tc>
          <w:tcPr>
            <w:tcW w:w="2059" w:type="dxa"/>
            <w:tcMar>
              <w:top w:w="60" w:type="dxa"/>
              <w:left w:w="90" w:type="dxa"/>
              <w:bottom w:w="60" w:type="dxa"/>
              <w:right w:w="90" w:type="dxa"/>
            </w:tcMar>
          </w:tcPr>
          <w:p w14:paraId="3364276D" w14:textId="77777777" w:rsidR="004971F5" w:rsidRDefault="00000000" w:rsidP="00A71138">
            <w:pPr>
              <w:spacing w:before="100" w:beforeAutospacing="1" w:after="100" w:afterAutospacing="1"/>
            </w:pPr>
            <w:r>
              <w:rPr>
                <w:sz w:val="18"/>
                <w:szCs w:val="18"/>
              </w:rPr>
              <w:t>Readability mismatch risks widening information inequity</w:t>
            </w:r>
          </w:p>
        </w:tc>
        <w:tc>
          <w:tcPr>
            <w:tcW w:w="1310" w:type="dxa"/>
            <w:tcMar>
              <w:top w:w="60" w:type="dxa"/>
              <w:left w:w="90" w:type="dxa"/>
              <w:bottom w:w="60" w:type="dxa"/>
              <w:right w:w="90" w:type="dxa"/>
            </w:tcMar>
          </w:tcPr>
          <w:p w14:paraId="24493DAB" w14:textId="77777777" w:rsidR="004971F5" w:rsidRDefault="00000000" w:rsidP="00A71138">
            <w:pPr>
              <w:spacing w:before="100" w:beforeAutospacing="1" w:after="100" w:afterAutospacing="1"/>
            </w:pPr>
            <w:r>
              <w:rPr>
                <w:sz w:val="18"/>
                <w:szCs w:val="18"/>
              </w:rPr>
              <w:t>Williams et al. (2026)</w:t>
            </w:r>
          </w:p>
        </w:tc>
      </w:tr>
    </w:tbl>
    <w:p w14:paraId="3B2268CC" w14:textId="77777777" w:rsidR="004971F5" w:rsidRDefault="00000000" w:rsidP="00A71138">
      <w:pPr>
        <w:spacing w:before="100" w:beforeAutospacing="1" w:after="100" w:afterAutospacing="1"/>
      </w:pPr>
      <w:r>
        <w:rPr>
          <w:i/>
          <w:iCs/>
          <w:sz w:val="20"/>
          <w:szCs w:val="20"/>
        </w:rPr>
        <w:t>Note. Vulnerabilities listed are those identified in the cited sources or directly implied by the study design. No modality in this table has been evaluated prospectively against patient-relevant outcomes in people receiving glucagon-like peptide-1 receptor agonist therapy.</w:t>
      </w:r>
    </w:p>
    <w:p w14:paraId="321B31ED" w14:textId="77777777" w:rsidR="004971F5" w:rsidRDefault="00000000" w:rsidP="00A71138">
      <w:pPr>
        <w:pStyle w:val="Heading1"/>
        <w:spacing w:before="100" w:beforeAutospacing="1" w:after="100" w:afterAutospacing="1"/>
      </w:pPr>
      <w:r>
        <w:rPr>
          <w:b/>
          <w:bCs/>
          <w:sz w:val="26"/>
          <w:szCs w:val="26"/>
        </w:rPr>
        <w:t>7. Automated Safety Surveillance and Signal Interpretation</w:t>
      </w:r>
    </w:p>
    <w:p w14:paraId="58572671" w14:textId="77777777" w:rsidR="004971F5" w:rsidRDefault="00000000" w:rsidP="00A71138">
      <w:pPr>
        <w:spacing w:before="100" w:beforeAutospacing="1" w:after="100" w:afterAutospacing="1"/>
        <w:jc w:val="both"/>
      </w:pPr>
      <w:r>
        <w:lastRenderedPageBreak/>
        <w:t>Rapid uptake of a drug class across a very large and partly unmonitored population creates a surveillance problem that computational methods are well suited to address and poorly suited to resolve. The distinction matters, and the recent history of this class illustrates it clearly.</w:t>
      </w:r>
    </w:p>
    <w:p w14:paraId="226A929F" w14:textId="77777777" w:rsidR="004971F5" w:rsidRDefault="00000000" w:rsidP="00A71138">
      <w:pPr>
        <w:pStyle w:val="Heading2"/>
        <w:spacing w:before="100" w:beforeAutospacing="1" w:after="100" w:afterAutospacing="1"/>
      </w:pPr>
      <w:r>
        <w:rPr>
          <w:b/>
          <w:bCs/>
          <w:sz w:val="24"/>
          <w:szCs w:val="24"/>
        </w:rPr>
        <w:t>7.1 Disproportionality Analysis Augmented by Supervised Learning</w:t>
      </w:r>
    </w:p>
    <w:p w14:paraId="6D87A1DE" w14:textId="77777777" w:rsidR="004971F5" w:rsidRDefault="00000000" w:rsidP="00A71138">
      <w:pPr>
        <w:spacing w:before="100" w:beforeAutospacing="1" w:after="100" w:afterAutospacing="1"/>
        <w:jc w:val="both"/>
      </w:pPr>
      <w:r>
        <w:t>Class-wide disproportionality analysis of an international pharmacovigilance database examined 348,649 reports for seven GLP-1 receptor agonists, finding gastrointestinal disorders to be the most frequently reported system organ class and identifying drug-specific signals including injection-site and device-related reports, with higher positive reporting rates among male patients and younger adults (Li et al., 2026). Analyses of this kind establish the reporting landscape efficiently and can surface drug-specific patterns that trial programmes are too small to detect.</w:t>
      </w:r>
    </w:p>
    <w:p w14:paraId="0759C620" w14:textId="77777777" w:rsidR="004971F5" w:rsidRDefault="00000000" w:rsidP="00A71138">
      <w:pPr>
        <w:spacing w:before="100" w:beforeAutospacing="1" w:after="100" w:afterAutospacing="1"/>
        <w:jc w:val="both"/>
      </w:pPr>
      <w:r>
        <w:t>A hybrid approach combined disproportionality analysis with gradient-boosted classification and attribution in an analysis of psychiatric adverse event reporting, using a comparator-based design in which other antidiabetic and anti-obesity agents formed the reference (Moon et al., 2026). Sixteen preferred terms met signal criteria, suicidal ideation being the most frequently reported with a reporting odds ratio of 2.95, and the classification model achieved an area under the curve of 0.816. Attribution indicated that age 65 years or above was associated with lower predicted probability of psychiatric adverse event reporting, that semaglutide exposure and younger age contributed positively, and that these patterns persisted when concomitant psychotropic users were excluded.</w:t>
      </w:r>
    </w:p>
    <w:p w14:paraId="1A127280" w14:textId="77777777" w:rsidR="004971F5" w:rsidRDefault="00000000" w:rsidP="00A71138">
      <w:pPr>
        <w:spacing w:before="100" w:beforeAutospacing="1" w:after="100" w:afterAutospacing="1"/>
        <w:jc w:val="both"/>
      </w:pPr>
      <w:r>
        <w:t>The methodological contribution here is genuine but narrower than it appears. The model predicts whether a report, given that a report exists, concerns a psychiatric event. Its target is therefore the structure of reporting behaviour, not the incidence of psychiatric events in treated populations. The finding that older age reduces the predicted probability of psychiatric adverse event reporting is at least as consistent with age-related differences in reporting propensity, indication mix and prescriber attribution as with any underlying difference in risk. The authors describe the output as reporting heterogeneity requiring prospective investigation, which is the correct interpretation, but the general risk in this literature is that attribution output from spontaneous reporting data is read as though it described patient risk.</w:t>
      </w:r>
    </w:p>
    <w:p w14:paraId="50BF46CE" w14:textId="77777777" w:rsidR="004971F5" w:rsidRDefault="00000000" w:rsidP="00A71138">
      <w:pPr>
        <w:spacing w:before="100" w:beforeAutospacing="1" w:after="100" w:afterAutospacing="1"/>
        <w:jc w:val="both"/>
      </w:pPr>
      <w:r>
        <w:t>A more careful design applied inverse probability weighting within a gradient-boosted model to a large Medicaid claims cohort in order to examine incident alcohol-related disorder among GLP-1 receptor agonist users (Gautam et al., 2026). Discrimination was modest at 0.67, recall was 0.28 and precision was 0.05, and the authors reported these figures alongside the observation that predicting rare outcomes at the individual level remains difficult. The transparency of this reporting is instructive. A model with precision of 0.05 identifies twenty individuals for every true case, which is decisive information about clinical usability that would have been invisible had only the area under the curve been reported. The near-universal reliance on discrimination statistics elsewhere in this literature conceals exactly this kind of limitation.</w:t>
      </w:r>
    </w:p>
    <w:p w14:paraId="550C306A" w14:textId="77777777" w:rsidR="004971F5" w:rsidRDefault="00000000" w:rsidP="00A71138">
      <w:pPr>
        <w:pStyle w:val="Heading2"/>
        <w:spacing w:before="100" w:beforeAutospacing="1" w:after="100" w:afterAutospacing="1"/>
      </w:pPr>
      <w:r>
        <w:rPr>
          <w:b/>
          <w:bCs/>
          <w:sz w:val="24"/>
          <w:szCs w:val="24"/>
        </w:rPr>
        <w:t>7.2 The Optic Neuropathy Signal as an Instructive Case</w:t>
      </w:r>
    </w:p>
    <w:p w14:paraId="4FAA3BB5" w14:textId="77777777" w:rsidR="004971F5" w:rsidRDefault="00000000" w:rsidP="00A71138">
      <w:pPr>
        <w:spacing w:before="100" w:beforeAutospacing="1" w:after="100" w:afterAutospacing="1"/>
        <w:jc w:val="both"/>
      </w:pPr>
      <w:r>
        <w:t>The emergence and subsequent contextualisation of a signal for non-</w:t>
      </w:r>
      <w:proofErr w:type="spellStart"/>
      <w:r>
        <w:t>arteritic</w:t>
      </w:r>
      <w:proofErr w:type="spellEnd"/>
      <w:r>
        <w:t xml:space="preserve"> anterior ischaemic optic neuropathy provides the clearest available demonstration of why automated signal detection cannot be treated as evidence of risk. A retrospective matched cohort drawn from a neuro-ophthalmology registry at a single academic institution reported cumulative 36-month </w:t>
      </w:r>
      <w:r>
        <w:lastRenderedPageBreak/>
        <w:t>incidence of 8.9 per cent among patients with type 2 diabetes prescribed semaglutide against 1.8 per cent in the comparator group, with a hazard ratio of 4.28, and 6.7 per cent against 0.8 per cent in the overweight or obese population, with a hazard ratio of 7.64 (Hathaway et al., 2024). The investigators explicitly described the finding as an association requiring further study.</w:t>
      </w:r>
    </w:p>
    <w:p w14:paraId="50C1697E" w14:textId="77777777" w:rsidR="004971F5" w:rsidRDefault="00000000" w:rsidP="00A71138">
      <w:pPr>
        <w:spacing w:before="100" w:beforeAutospacing="1" w:after="100" w:afterAutospacing="1"/>
        <w:jc w:val="both"/>
      </w:pPr>
      <w:r>
        <w:t>A multinational cohort assembled from 160 healthcare organisations across 21 countries, with propensity matching on age, sex, body mass index, glycated haemoglobin, medications and comorbidities, subsequently found no association in any subgroup at one, two or three years, with hazard ratios spanning unity in participants with type 2 diabetes only, obesity only, and both conditions (Chou et al., 2025). The divergence is explicable by the sampling frame rather than by chance. The initial cohort was assembled from patients evaluated by neuro-ophthalmologists, a population selected for the presence or suspicion of the outcome, and both exposure and outcome ascertainment were conditioned on referral. Any computational surveillance system operating on such data would have reproduced the association and could not have detected the reason for it.</w:t>
      </w:r>
    </w:p>
    <w:p w14:paraId="26F8DF57" w14:textId="77777777" w:rsidR="004971F5" w:rsidRDefault="00000000" w:rsidP="00A71138">
      <w:pPr>
        <w:spacing w:before="100" w:beforeAutospacing="1" w:after="100" w:afterAutospacing="1"/>
        <w:jc w:val="both"/>
      </w:pPr>
      <w:r>
        <w:t xml:space="preserve">The general lesson is that the limiting factor in automated pharmacovigilance is not detection sensitivity but the interpretability of the data-generating process. Confounding by indication and by channelling is severe in this drug class, since these agents are preferentially prescribed to people with higher body mass index, greater cardiometabolic risk and, increasingly, greater health-seeking behaviour. Comparator selection is consequently the single most influential analytical decision, and it is a decision that no current automated system makes for itself. The comparator-based design used in the psychiatric analysis (Moon et al., 2026) represents good practice within its data limitations, and the broader </w:t>
      </w:r>
      <w:proofErr w:type="spellStart"/>
      <w:r>
        <w:t>pharmacoepidemiological</w:t>
      </w:r>
      <w:proofErr w:type="spellEnd"/>
      <w:r>
        <w:t xml:space="preserve"> literature on this class has emphasised precisely these design requirements (Thomsen et al., 2025).</w:t>
      </w:r>
    </w:p>
    <w:p w14:paraId="349CDAE8" w14:textId="77777777" w:rsidR="004971F5" w:rsidRDefault="00000000" w:rsidP="00A71138">
      <w:pPr>
        <w:pStyle w:val="Heading1"/>
        <w:spacing w:before="100" w:beforeAutospacing="1" w:after="100" w:afterAutospacing="1"/>
      </w:pPr>
      <w:r>
        <w:rPr>
          <w:b/>
          <w:bCs/>
          <w:sz w:val="26"/>
          <w:szCs w:val="26"/>
        </w:rPr>
        <w:t>8. Methodological Quality of the Evidence Base</w:t>
      </w:r>
    </w:p>
    <w:p w14:paraId="0086C902" w14:textId="77777777" w:rsidR="004971F5" w:rsidRDefault="00000000" w:rsidP="00A71138">
      <w:pPr>
        <w:spacing w:before="100" w:beforeAutospacing="1" w:after="100" w:afterAutospacing="1"/>
        <w:jc w:val="both"/>
      </w:pPr>
      <w:r>
        <w:t>The preceding sections have identified specific weaknesses in individual studies. Considered collectively, these weaknesses form a recognisable pattern that corresponds closely to what has been documented in machine-learning prediction research more generally, where a systematic review of such studies found a high prevalence of concerns relating to analysis, including inadequate sample size relative to model complexity, incomplete handling of missing data and absent calibration assessment (</w:t>
      </w:r>
      <w:proofErr w:type="spellStart"/>
      <w:r>
        <w:t>Andaur</w:t>
      </w:r>
      <w:proofErr w:type="spellEnd"/>
      <w:r>
        <w:t xml:space="preserve"> Navarro et al., 2021).</w:t>
      </w:r>
    </w:p>
    <w:p w14:paraId="4DD9F338" w14:textId="77777777" w:rsidR="004971F5" w:rsidRDefault="00000000" w:rsidP="00A71138">
      <w:pPr>
        <w:pStyle w:val="Heading2"/>
        <w:spacing w:before="100" w:beforeAutospacing="1" w:after="100" w:afterAutospacing="1"/>
      </w:pPr>
      <w:r>
        <w:rPr>
          <w:b/>
          <w:bCs/>
          <w:sz w:val="24"/>
          <w:szCs w:val="24"/>
        </w:rPr>
        <w:t>8.1 Validation, Calibration and Distribution Shift</w:t>
      </w:r>
    </w:p>
    <w:p w14:paraId="3D548C9A" w14:textId="77777777" w:rsidR="004971F5" w:rsidRDefault="00000000" w:rsidP="00A71138">
      <w:pPr>
        <w:spacing w:before="100" w:beforeAutospacing="1" w:after="100" w:afterAutospacing="1"/>
        <w:jc w:val="both"/>
      </w:pPr>
      <w:r>
        <w:t>Internal cross-validation, the modal standard in this field, estimates how a model would perform on further samples from the same data-generating process. It provides no information about performance in a different health system, a different coding practice or a different period. External validation across data environments is therefore not an optional refinement but the minimum condition for a claim of clinical usefulness. The most methodologically complete example encountered in the adjacent obesity literature is a five-year weight-trajectory calculator for bariatric surgery developed and validated across multinational cohorts with explicit attention to interpretability (Saux et al., 2023), which demonstrates that this standard is attainable in obesity outcome prediction. No equivalent exists for incretin therapy.</w:t>
      </w:r>
    </w:p>
    <w:p w14:paraId="6FA2CC67" w14:textId="77777777" w:rsidR="004971F5" w:rsidRDefault="00000000" w:rsidP="00A71138">
      <w:pPr>
        <w:spacing w:before="100" w:beforeAutospacing="1" w:after="100" w:afterAutospacing="1"/>
        <w:jc w:val="both"/>
      </w:pPr>
      <w:r>
        <w:t xml:space="preserve">Calibration is the more consequential omission. A model used to decide whether to initiate an expensive therapy, or whether to intensify support for someone at risk of discontinuation, </w:t>
      </w:r>
      <w:r>
        <w:lastRenderedPageBreak/>
        <w:t>operates by comparison of a predicted probability against a threshold. If predicted probabilities are systematically too high or too low, the decision rule fails even when ranking is preserved and discrimination appears excellent. None of the incretin-specific prediction studies reviewed here reported a calibration assessment. Dataset shift compounds the problem: models degrade when case mix, coding conventions, treatment availability or the drugs themselves change, and clinicians using an embedded model have no direct means of detecting that degradation (Finlayson et al., 2021). In a therapeutic area where the available agents, their indications and their eligibility criteria have changed materially within each of the past several years, the expected rate of shift is unusually high, and any deployed model would require continuous performance monitoring rather than periodic revalidation.</w:t>
      </w:r>
    </w:p>
    <w:p w14:paraId="5388912A" w14:textId="77777777" w:rsidR="004971F5" w:rsidRDefault="00000000" w:rsidP="00A71138">
      <w:pPr>
        <w:pStyle w:val="Heading2"/>
        <w:spacing w:before="100" w:beforeAutospacing="1" w:after="100" w:afterAutospacing="1"/>
      </w:pPr>
      <w:r>
        <w:rPr>
          <w:b/>
          <w:bCs/>
          <w:sz w:val="24"/>
          <w:szCs w:val="24"/>
        </w:rPr>
        <w:t>8.2 Outcome Definition, Label Provenance and Leakage</w:t>
      </w:r>
    </w:p>
    <w:p w14:paraId="3935DAF0" w14:textId="77777777" w:rsidR="004971F5" w:rsidRDefault="00000000" w:rsidP="00A71138">
      <w:pPr>
        <w:spacing w:before="100" w:beforeAutospacing="1" w:after="100" w:afterAutospacing="1"/>
        <w:jc w:val="both"/>
      </w:pPr>
      <w:r>
        <w:t>Three problems of label construction recur. The first is threshold anchoring, in which an outcome defined as attainment of an absolute value is predicted using the baseline value of the same variable, producing high apparent discrimination with little clinical content (Abegaz &amp; Frietze, 2026). The second is rule-generated labelling, in which training labels are produced deterministically from the criteria the model is then said to have learned (Srivastava et al., 2025). The third is proxy substitution, in which an accessible variable stands in for the construct of interest, as when dispensing records represent adherence or platform interaction represents behavioural engagement. Each of these compromises the interpretation of performance figures in a way that discrimination statistics cannot reveal.</w:t>
      </w:r>
    </w:p>
    <w:p w14:paraId="621D0B7E" w14:textId="77777777" w:rsidR="004971F5" w:rsidRDefault="00000000" w:rsidP="00A71138">
      <w:pPr>
        <w:spacing w:before="100" w:beforeAutospacing="1" w:after="100" w:afterAutospacing="1"/>
        <w:jc w:val="both"/>
      </w:pPr>
      <w:r>
        <w:t>Related difficulties arise in the definition of clinically meaningful response. Registration trials report percentage weight change and threshold attainment at fixed times, whereas real-world evaluation must handle discontinuation, dose interruption and switching, all of which are informative rather than random. Modelling studies typically restrict to individuals with complete follow-up measurements, which selects for persistence and therefore for the outcome. This is the same structural problem identified in the digital engagement analysis (Johnson et al., 2026) and it recurs wherever routinely collected data are used without explicit handling of informative censoring.</w:t>
      </w:r>
    </w:p>
    <w:p w14:paraId="0F4EC69B" w14:textId="77777777" w:rsidR="004971F5" w:rsidRDefault="00000000" w:rsidP="00A71138">
      <w:pPr>
        <w:pStyle w:val="Heading2"/>
        <w:spacing w:before="100" w:beforeAutospacing="1" w:after="100" w:afterAutospacing="1"/>
      </w:pPr>
      <w:r>
        <w:rPr>
          <w:b/>
          <w:bCs/>
          <w:sz w:val="24"/>
          <w:szCs w:val="24"/>
        </w:rPr>
        <w:t>8.3 Reporting Standards and Their Uptake</w:t>
      </w:r>
    </w:p>
    <w:p w14:paraId="5C25D603" w14:textId="77777777" w:rsidR="004971F5" w:rsidRDefault="00000000" w:rsidP="00A71138">
      <w:pPr>
        <w:spacing w:before="100" w:beforeAutospacing="1" w:after="100" w:afterAutospacing="1"/>
        <w:jc w:val="both"/>
      </w:pPr>
      <w:r>
        <w:t>Reporting standards specific to artificial intelligence now exist for each stage of the evaluation pathway. Prediction-model studies using regression or machine learning are covered by an updated reporting guideline that requires description of data provenance, participant selection, predictor handling, sample size justification, model specification, calibration and fairness considerations (Collins et al., 2024). Trials of interventions involving artificial intelligence are covered by an extension to the standard trial reporting statement that requires specification of the intended use, the input and output handling, the human-artificial intelligence interaction and analysis of error cases (Liu et al., 2020). Early clinical evaluation of decision support has its own guideline addressing the transition from offline performance to live clinical use (Vasey et al., 2022).</w:t>
      </w:r>
    </w:p>
    <w:p w14:paraId="329029A7" w14:textId="77777777" w:rsidR="004971F5" w:rsidRDefault="00000000" w:rsidP="00A71138">
      <w:pPr>
        <w:spacing w:before="100" w:beforeAutospacing="1" w:after="100" w:afterAutospacing="1"/>
        <w:jc w:val="both"/>
      </w:pPr>
      <w:r>
        <w:t>Adherence within the literature reviewed here is limited. One simulation study explicitly aligned its analytic transparency with the prediction-model guideline (</w:t>
      </w:r>
      <w:proofErr w:type="spellStart"/>
      <w:r>
        <w:t>Çalışkan</w:t>
      </w:r>
      <w:proofErr w:type="spellEnd"/>
      <w:r>
        <w:t xml:space="preserve"> &amp; Başak, 2026), which is unusual and commendable, although alignment of a simulation study with a prediction-model guideline does not substitute for prospective evaluation. Elsewhere, essential items are commonly absent: sample size justification relative to the number of candidate </w:t>
      </w:r>
      <w:r>
        <w:lastRenderedPageBreak/>
        <w:t>predictors, description of missing data, calibration, and any statement of intended clinical use. The consequence is that a reader cannot determine, from most published reports, whether a model would be safe to deploy.</w:t>
      </w:r>
    </w:p>
    <w:p w14:paraId="5F9AA91C" w14:textId="77777777" w:rsidR="004971F5" w:rsidRDefault="00000000" w:rsidP="00A71138">
      <w:pPr>
        <w:spacing w:before="100" w:beforeAutospacing="1" w:after="100" w:afterAutospacing="1"/>
        <w:jc w:val="both"/>
      </w:pPr>
      <w:r>
        <w:t>Table 4 assembles the recurrent methodological limitations identified across this literature together with the specific form each takes in incretin-related work and the consequence for interpretation. The table is intended to function as an appraisal aid rather than as a criticism of individual investigators, since most of the limitations listed are properties of the available data environments rather than of analytical choices freely made.</w:t>
      </w:r>
    </w:p>
    <w:p w14:paraId="4B566EEA" w14:textId="77777777" w:rsidR="004971F5" w:rsidRDefault="00000000" w:rsidP="00A71138">
      <w:pPr>
        <w:keepNext/>
        <w:spacing w:before="100" w:beforeAutospacing="1" w:after="100" w:afterAutospacing="1"/>
      </w:pPr>
      <w:r>
        <w:rPr>
          <w:b/>
          <w:bCs/>
          <w:sz w:val="22"/>
          <w:szCs w:val="22"/>
        </w:rPr>
        <w:t>Table 4. Recurrent methodological limitations in computational research on glucagon-like peptide-1 receptor agonist therapy and their interpretive consequences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2285"/>
        <w:gridCol w:w="2830"/>
        <w:gridCol w:w="2939"/>
        <w:gridCol w:w="1306"/>
      </w:tblGrid>
      <w:tr w:rsidR="004971F5" w14:paraId="3F3B7767" w14:textId="77777777">
        <w:trPr>
          <w:tblHeader/>
        </w:trPr>
        <w:tc>
          <w:tcPr>
            <w:tcW w:w="2285" w:type="dxa"/>
            <w:shd w:val="clear" w:color="auto" w:fill="E8E8E8"/>
            <w:tcMar>
              <w:top w:w="60" w:type="dxa"/>
              <w:left w:w="90" w:type="dxa"/>
              <w:bottom w:w="60" w:type="dxa"/>
              <w:right w:w="90" w:type="dxa"/>
            </w:tcMar>
          </w:tcPr>
          <w:p w14:paraId="4DE9D562" w14:textId="77777777" w:rsidR="004971F5" w:rsidRDefault="00000000" w:rsidP="00A71138">
            <w:pPr>
              <w:spacing w:before="100" w:beforeAutospacing="1" w:after="100" w:afterAutospacing="1"/>
            </w:pPr>
            <w:r>
              <w:rPr>
                <w:b/>
                <w:bCs/>
                <w:sz w:val="18"/>
                <w:szCs w:val="18"/>
              </w:rPr>
              <w:t>Limitation</w:t>
            </w:r>
          </w:p>
        </w:tc>
        <w:tc>
          <w:tcPr>
            <w:tcW w:w="2830" w:type="dxa"/>
            <w:shd w:val="clear" w:color="auto" w:fill="E8E8E8"/>
            <w:tcMar>
              <w:top w:w="60" w:type="dxa"/>
              <w:left w:w="90" w:type="dxa"/>
              <w:bottom w:w="60" w:type="dxa"/>
              <w:right w:w="90" w:type="dxa"/>
            </w:tcMar>
          </w:tcPr>
          <w:p w14:paraId="1EABEA4B" w14:textId="77777777" w:rsidR="004971F5" w:rsidRDefault="00000000" w:rsidP="00A71138">
            <w:pPr>
              <w:spacing w:before="100" w:beforeAutospacing="1" w:after="100" w:afterAutospacing="1"/>
            </w:pPr>
            <w:r>
              <w:rPr>
                <w:b/>
                <w:bCs/>
                <w:sz w:val="18"/>
                <w:szCs w:val="18"/>
              </w:rPr>
              <w:t>Manifestation in this literature</w:t>
            </w:r>
          </w:p>
        </w:tc>
        <w:tc>
          <w:tcPr>
            <w:tcW w:w="2939" w:type="dxa"/>
            <w:shd w:val="clear" w:color="auto" w:fill="E8E8E8"/>
            <w:tcMar>
              <w:top w:w="60" w:type="dxa"/>
              <w:left w:w="90" w:type="dxa"/>
              <w:bottom w:w="60" w:type="dxa"/>
              <w:right w:w="90" w:type="dxa"/>
            </w:tcMar>
          </w:tcPr>
          <w:p w14:paraId="444802FB" w14:textId="77777777" w:rsidR="004971F5" w:rsidRDefault="00000000" w:rsidP="00A71138">
            <w:pPr>
              <w:spacing w:before="100" w:beforeAutospacing="1" w:after="100" w:afterAutospacing="1"/>
            </w:pPr>
            <w:r>
              <w:rPr>
                <w:b/>
                <w:bCs/>
                <w:sz w:val="18"/>
                <w:szCs w:val="18"/>
              </w:rPr>
              <w:t>Consequence for interpretation</w:t>
            </w:r>
          </w:p>
        </w:tc>
        <w:tc>
          <w:tcPr>
            <w:tcW w:w="1306" w:type="dxa"/>
            <w:shd w:val="clear" w:color="auto" w:fill="E8E8E8"/>
            <w:tcMar>
              <w:top w:w="60" w:type="dxa"/>
              <w:left w:w="90" w:type="dxa"/>
              <w:bottom w:w="60" w:type="dxa"/>
              <w:right w:w="90" w:type="dxa"/>
            </w:tcMar>
          </w:tcPr>
          <w:p w14:paraId="19A738D1" w14:textId="77777777" w:rsidR="004971F5" w:rsidRDefault="00000000" w:rsidP="00A71138">
            <w:pPr>
              <w:spacing w:before="100" w:beforeAutospacing="1" w:after="100" w:afterAutospacing="1"/>
            </w:pPr>
            <w:r>
              <w:rPr>
                <w:b/>
                <w:bCs/>
                <w:sz w:val="18"/>
                <w:szCs w:val="18"/>
              </w:rPr>
              <w:t>Supporting references</w:t>
            </w:r>
          </w:p>
        </w:tc>
      </w:tr>
      <w:tr w:rsidR="004971F5" w14:paraId="458AA1C4" w14:textId="77777777">
        <w:tc>
          <w:tcPr>
            <w:tcW w:w="2285" w:type="dxa"/>
            <w:tcMar>
              <w:top w:w="60" w:type="dxa"/>
              <w:left w:w="90" w:type="dxa"/>
              <w:bottom w:w="60" w:type="dxa"/>
              <w:right w:w="90" w:type="dxa"/>
            </w:tcMar>
          </w:tcPr>
          <w:p w14:paraId="67607D36" w14:textId="77777777" w:rsidR="004971F5" w:rsidRDefault="00000000" w:rsidP="00A71138">
            <w:pPr>
              <w:spacing w:before="100" w:beforeAutospacing="1" w:after="100" w:afterAutospacing="1"/>
            </w:pPr>
            <w:r>
              <w:rPr>
                <w:sz w:val="18"/>
                <w:szCs w:val="18"/>
              </w:rPr>
              <w:t>Absence of external validation</w:t>
            </w:r>
          </w:p>
        </w:tc>
        <w:tc>
          <w:tcPr>
            <w:tcW w:w="2830" w:type="dxa"/>
            <w:tcMar>
              <w:top w:w="60" w:type="dxa"/>
              <w:left w:w="90" w:type="dxa"/>
              <w:bottom w:w="60" w:type="dxa"/>
              <w:right w:w="90" w:type="dxa"/>
            </w:tcMar>
          </w:tcPr>
          <w:p w14:paraId="7BB075CD" w14:textId="77777777" w:rsidR="004971F5" w:rsidRDefault="00000000" w:rsidP="00A71138">
            <w:pPr>
              <w:spacing w:before="100" w:beforeAutospacing="1" w:after="100" w:afterAutospacing="1"/>
            </w:pPr>
            <w:r>
              <w:rPr>
                <w:sz w:val="18"/>
                <w:szCs w:val="18"/>
              </w:rPr>
              <w:t>Internal cross-validation is the modal standard; independent replication reported for complication risk prediction only</w:t>
            </w:r>
          </w:p>
        </w:tc>
        <w:tc>
          <w:tcPr>
            <w:tcW w:w="2939" w:type="dxa"/>
            <w:tcMar>
              <w:top w:w="60" w:type="dxa"/>
              <w:left w:w="90" w:type="dxa"/>
              <w:bottom w:w="60" w:type="dxa"/>
              <w:right w:w="90" w:type="dxa"/>
            </w:tcMar>
          </w:tcPr>
          <w:p w14:paraId="3BA43CF9" w14:textId="77777777" w:rsidR="004971F5" w:rsidRDefault="00000000" w:rsidP="00A71138">
            <w:pPr>
              <w:spacing w:before="100" w:beforeAutospacing="1" w:after="100" w:afterAutospacing="1"/>
            </w:pPr>
            <w:r>
              <w:rPr>
                <w:sz w:val="18"/>
                <w:szCs w:val="18"/>
              </w:rPr>
              <w:t>Reported performance cannot be assumed to transfer to another health system or coding environment</w:t>
            </w:r>
          </w:p>
        </w:tc>
        <w:tc>
          <w:tcPr>
            <w:tcW w:w="1306" w:type="dxa"/>
            <w:tcMar>
              <w:top w:w="60" w:type="dxa"/>
              <w:left w:w="90" w:type="dxa"/>
              <w:bottom w:w="60" w:type="dxa"/>
              <w:right w:w="90" w:type="dxa"/>
            </w:tcMar>
          </w:tcPr>
          <w:p w14:paraId="26C3EDE8" w14:textId="77777777" w:rsidR="004971F5" w:rsidRDefault="00000000" w:rsidP="00A71138">
            <w:pPr>
              <w:spacing w:before="100" w:beforeAutospacing="1" w:after="100" w:afterAutospacing="1"/>
            </w:pPr>
            <w:proofErr w:type="spellStart"/>
            <w:r>
              <w:rPr>
                <w:sz w:val="18"/>
                <w:szCs w:val="18"/>
              </w:rPr>
              <w:t>Andaur</w:t>
            </w:r>
            <w:proofErr w:type="spellEnd"/>
            <w:r>
              <w:rPr>
                <w:sz w:val="18"/>
                <w:szCs w:val="18"/>
              </w:rPr>
              <w:t xml:space="preserve"> Navarro et al. (2021); Demircan et al. (2026)</w:t>
            </w:r>
          </w:p>
        </w:tc>
      </w:tr>
      <w:tr w:rsidR="004971F5" w14:paraId="597BC45E" w14:textId="77777777">
        <w:tc>
          <w:tcPr>
            <w:tcW w:w="2285" w:type="dxa"/>
            <w:tcMar>
              <w:top w:w="60" w:type="dxa"/>
              <w:left w:w="90" w:type="dxa"/>
              <w:bottom w:w="60" w:type="dxa"/>
              <w:right w:w="90" w:type="dxa"/>
            </w:tcMar>
          </w:tcPr>
          <w:p w14:paraId="726CB6CA" w14:textId="77777777" w:rsidR="004971F5" w:rsidRDefault="00000000" w:rsidP="00A71138">
            <w:pPr>
              <w:spacing w:before="100" w:beforeAutospacing="1" w:after="100" w:afterAutospacing="1"/>
            </w:pPr>
            <w:r>
              <w:rPr>
                <w:sz w:val="18"/>
                <w:szCs w:val="18"/>
              </w:rPr>
              <w:t>Calibration not assessed</w:t>
            </w:r>
          </w:p>
        </w:tc>
        <w:tc>
          <w:tcPr>
            <w:tcW w:w="2830" w:type="dxa"/>
            <w:tcMar>
              <w:top w:w="60" w:type="dxa"/>
              <w:left w:w="90" w:type="dxa"/>
              <w:bottom w:w="60" w:type="dxa"/>
              <w:right w:w="90" w:type="dxa"/>
            </w:tcMar>
          </w:tcPr>
          <w:p w14:paraId="4FAD5460" w14:textId="77777777" w:rsidR="004971F5" w:rsidRDefault="00000000" w:rsidP="00A71138">
            <w:pPr>
              <w:spacing w:before="100" w:beforeAutospacing="1" w:after="100" w:afterAutospacing="1"/>
            </w:pPr>
            <w:r>
              <w:rPr>
                <w:sz w:val="18"/>
                <w:szCs w:val="18"/>
              </w:rPr>
              <w:t>Discrimination reported almost universally; no incretin-specific study reported a calibration assessment</w:t>
            </w:r>
          </w:p>
        </w:tc>
        <w:tc>
          <w:tcPr>
            <w:tcW w:w="2939" w:type="dxa"/>
            <w:tcMar>
              <w:top w:w="60" w:type="dxa"/>
              <w:left w:w="90" w:type="dxa"/>
              <w:bottom w:w="60" w:type="dxa"/>
              <w:right w:w="90" w:type="dxa"/>
            </w:tcMar>
          </w:tcPr>
          <w:p w14:paraId="478ABD6B" w14:textId="77777777" w:rsidR="004971F5" w:rsidRDefault="00000000" w:rsidP="00A71138">
            <w:pPr>
              <w:spacing w:before="100" w:beforeAutospacing="1" w:after="100" w:afterAutospacing="1"/>
            </w:pPr>
            <w:r>
              <w:rPr>
                <w:sz w:val="18"/>
                <w:szCs w:val="18"/>
              </w:rPr>
              <w:t>Threshold-based decisions may fail even when ranking performance appears excellent</w:t>
            </w:r>
          </w:p>
        </w:tc>
        <w:tc>
          <w:tcPr>
            <w:tcW w:w="1306" w:type="dxa"/>
            <w:tcMar>
              <w:top w:w="60" w:type="dxa"/>
              <w:left w:w="90" w:type="dxa"/>
              <w:bottom w:w="60" w:type="dxa"/>
              <w:right w:w="90" w:type="dxa"/>
            </w:tcMar>
          </w:tcPr>
          <w:p w14:paraId="309183D8" w14:textId="77777777" w:rsidR="004971F5" w:rsidRDefault="00000000" w:rsidP="00A71138">
            <w:pPr>
              <w:spacing w:before="100" w:beforeAutospacing="1" w:after="100" w:afterAutospacing="1"/>
            </w:pPr>
            <w:r>
              <w:rPr>
                <w:sz w:val="18"/>
                <w:szCs w:val="18"/>
              </w:rPr>
              <w:t>Collins et al. (2024)</w:t>
            </w:r>
          </w:p>
        </w:tc>
      </w:tr>
      <w:tr w:rsidR="004971F5" w14:paraId="3BDF26B2" w14:textId="77777777">
        <w:tc>
          <w:tcPr>
            <w:tcW w:w="2285" w:type="dxa"/>
            <w:tcMar>
              <w:top w:w="60" w:type="dxa"/>
              <w:left w:w="90" w:type="dxa"/>
              <w:bottom w:w="60" w:type="dxa"/>
              <w:right w:w="90" w:type="dxa"/>
            </w:tcMar>
          </w:tcPr>
          <w:p w14:paraId="7C292E40" w14:textId="77777777" w:rsidR="004971F5" w:rsidRDefault="00000000" w:rsidP="00A71138">
            <w:pPr>
              <w:spacing w:before="100" w:beforeAutospacing="1" w:after="100" w:afterAutospacing="1"/>
            </w:pPr>
            <w:r>
              <w:rPr>
                <w:sz w:val="18"/>
                <w:szCs w:val="18"/>
              </w:rPr>
              <w:t>Threshold-anchored outcome definition</w:t>
            </w:r>
          </w:p>
        </w:tc>
        <w:tc>
          <w:tcPr>
            <w:tcW w:w="2830" w:type="dxa"/>
            <w:tcMar>
              <w:top w:w="60" w:type="dxa"/>
              <w:left w:w="90" w:type="dxa"/>
              <w:bottom w:w="60" w:type="dxa"/>
              <w:right w:w="90" w:type="dxa"/>
            </w:tcMar>
          </w:tcPr>
          <w:p w14:paraId="52E040DD" w14:textId="77777777" w:rsidR="004971F5" w:rsidRDefault="00000000" w:rsidP="00A71138">
            <w:pPr>
              <w:spacing w:before="100" w:beforeAutospacing="1" w:after="100" w:afterAutospacing="1"/>
            </w:pPr>
            <w:r>
              <w:rPr>
                <w:sz w:val="18"/>
                <w:szCs w:val="18"/>
              </w:rPr>
              <w:t>Prediction of attainment of an absolute body mass index value using baseline body mass index as a leading predictor</w:t>
            </w:r>
          </w:p>
        </w:tc>
        <w:tc>
          <w:tcPr>
            <w:tcW w:w="2939" w:type="dxa"/>
            <w:tcMar>
              <w:top w:w="60" w:type="dxa"/>
              <w:left w:w="90" w:type="dxa"/>
              <w:bottom w:w="60" w:type="dxa"/>
              <w:right w:w="90" w:type="dxa"/>
            </w:tcMar>
          </w:tcPr>
          <w:p w14:paraId="0025429E" w14:textId="77777777" w:rsidR="004971F5" w:rsidRDefault="00000000" w:rsidP="00A71138">
            <w:pPr>
              <w:spacing w:before="100" w:beforeAutospacing="1" w:after="100" w:afterAutospacing="1"/>
            </w:pPr>
            <w:r>
              <w:rPr>
                <w:sz w:val="18"/>
                <w:szCs w:val="18"/>
              </w:rPr>
              <w:t>High apparent discrimination reflects arithmetic proximity to the threshold rather than drug response</w:t>
            </w:r>
          </w:p>
        </w:tc>
        <w:tc>
          <w:tcPr>
            <w:tcW w:w="1306" w:type="dxa"/>
            <w:tcMar>
              <w:top w:w="60" w:type="dxa"/>
              <w:left w:w="90" w:type="dxa"/>
              <w:bottom w:w="60" w:type="dxa"/>
              <w:right w:w="90" w:type="dxa"/>
            </w:tcMar>
          </w:tcPr>
          <w:p w14:paraId="30796331" w14:textId="77777777" w:rsidR="004971F5" w:rsidRDefault="00000000" w:rsidP="00A71138">
            <w:pPr>
              <w:spacing w:before="100" w:beforeAutospacing="1" w:after="100" w:afterAutospacing="1"/>
            </w:pPr>
            <w:r>
              <w:rPr>
                <w:sz w:val="18"/>
                <w:szCs w:val="18"/>
              </w:rPr>
              <w:t>Abegaz &amp; Frietze (2026)</w:t>
            </w:r>
          </w:p>
        </w:tc>
      </w:tr>
      <w:tr w:rsidR="004971F5" w14:paraId="7CCD09DF" w14:textId="77777777">
        <w:tc>
          <w:tcPr>
            <w:tcW w:w="2285" w:type="dxa"/>
            <w:tcMar>
              <w:top w:w="60" w:type="dxa"/>
              <w:left w:w="90" w:type="dxa"/>
              <w:bottom w:w="60" w:type="dxa"/>
              <w:right w:w="90" w:type="dxa"/>
            </w:tcMar>
          </w:tcPr>
          <w:p w14:paraId="7ADC3EFF" w14:textId="77777777" w:rsidR="004971F5" w:rsidRDefault="00000000" w:rsidP="00A71138">
            <w:pPr>
              <w:spacing w:before="100" w:beforeAutospacing="1" w:after="100" w:afterAutospacing="1"/>
            </w:pPr>
            <w:r>
              <w:rPr>
                <w:sz w:val="18"/>
                <w:szCs w:val="18"/>
              </w:rPr>
              <w:t>Rule-generated training labels</w:t>
            </w:r>
          </w:p>
        </w:tc>
        <w:tc>
          <w:tcPr>
            <w:tcW w:w="2830" w:type="dxa"/>
            <w:tcMar>
              <w:top w:w="60" w:type="dxa"/>
              <w:left w:w="90" w:type="dxa"/>
              <w:bottom w:w="60" w:type="dxa"/>
              <w:right w:w="90" w:type="dxa"/>
            </w:tcMar>
          </w:tcPr>
          <w:p w14:paraId="6E69AFA6" w14:textId="77777777" w:rsidR="004971F5" w:rsidRDefault="00000000" w:rsidP="00A71138">
            <w:pPr>
              <w:spacing w:before="100" w:beforeAutospacing="1" w:after="100" w:afterAutospacing="1"/>
            </w:pPr>
            <w:r>
              <w:rPr>
                <w:sz w:val="18"/>
                <w:szCs w:val="18"/>
              </w:rPr>
              <w:t>Synthetic labels produced by a deterministic guideline-derived algorithm used to train and evaluate classifiers</w:t>
            </w:r>
          </w:p>
        </w:tc>
        <w:tc>
          <w:tcPr>
            <w:tcW w:w="2939" w:type="dxa"/>
            <w:tcMar>
              <w:top w:w="60" w:type="dxa"/>
              <w:left w:w="90" w:type="dxa"/>
              <w:bottom w:w="60" w:type="dxa"/>
              <w:right w:w="90" w:type="dxa"/>
            </w:tcMar>
          </w:tcPr>
          <w:p w14:paraId="67846C9D" w14:textId="77777777" w:rsidR="004971F5" w:rsidRDefault="00000000" w:rsidP="00A71138">
            <w:pPr>
              <w:spacing w:before="100" w:beforeAutospacing="1" w:after="100" w:afterAutospacing="1"/>
            </w:pPr>
            <w:r>
              <w:rPr>
                <w:sz w:val="18"/>
                <w:szCs w:val="18"/>
              </w:rPr>
              <w:t>Demonstrates function approximation of the encoding rule rather than clinical predictive value</w:t>
            </w:r>
          </w:p>
        </w:tc>
        <w:tc>
          <w:tcPr>
            <w:tcW w:w="1306" w:type="dxa"/>
            <w:tcMar>
              <w:top w:w="60" w:type="dxa"/>
              <w:left w:w="90" w:type="dxa"/>
              <w:bottom w:w="60" w:type="dxa"/>
              <w:right w:w="90" w:type="dxa"/>
            </w:tcMar>
          </w:tcPr>
          <w:p w14:paraId="5E479FDF" w14:textId="77777777" w:rsidR="004971F5" w:rsidRDefault="00000000" w:rsidP="00A71138">
            <w:pPr>
              <w:spacing w:before="100" w:beforeAutospacing="1" w:after="100" w:afterAutospacing="1"/>
            </w:pPr>
            <w:r>
              <w:rPr>
                <w:sz w:val="18"/>
                <w:szCs w:val="18"/>
              </w:rPr>
              <w:t>Srivastava et al. (2025)</w:t>
            </w:r>
          </w:p>
        </w:tc>
      </w:tr>
      <w:tr w:rsidR="004971F5" w14:paraId="4F31B093" w14:textId="77777777">
        <w:tc>
          <w:tcPr>
            <w:tcW w:w="2285" w:type="dxa"/>
            <w:tcMar>
              <w:top w:w="60" w:type="dxa"/>
              <w:left w:w="90" w:type="dxa"/>
              <w:bottom w:w="60" w:type="dxa"/>
              <w:right w:w="90" w:type="dxa"/>
            </w:tcMar>
          </w:tcPr>
          <w:p w14:paraId="6100A460" w14:textId="77777777" w:rsidR="004971F5" w:rsidRDefault="00000000" w:rsidP="00A71138">
            <w:pPr>
              <w:spacing w:before="100" w:beforeAutospacing="1" w:after="100" w:afterAutospacing="1"/>
            </w:pPr>
            <w:r>
              <w:rPr>
                <w:sz w:val="18"/>
                <w:szCs w:val="18"/>
              </w:rPr>
              <w:t>Informative censoring and selection on persistence</w:t>
            </w:r>
          </w:p>
        </w:tc>
        <w:tc>
          <w:tcPr>
            <w:tcW w:w="2830" w:type="dxa"/>
            <w:tcMar>
              <w:top w:w="60" w:type="dxa"/>
              <w:left w:w="90" w:type="dxa"/>
              <w:bottom w:w="60" w:type="dxa"/>
              <w:right w:w="90" w:type="dxa"/>
            </w:tcMar>
          </w:tcPr>
          <w:p w14:paraId="70AED428" w14:textId="77777777" w:rsidR="004971F5" w:rsidRDefault="00000000" w:rsidP="00A71138">
            <w:pPr>
              <w:spacing w:before="100" w:beforeAutospacing="1" w:after="100" w:afterAutospacing="1"/>
            </w:pPr>
            <w:r>
              <w:rPr>
                <w:sz w:val="18"/>
                <w:szCs w:val="18"/>
              </w:rPr>
              <w:t>Analyses restricted to individuals with complete follow-up, who are by definition those who persisted</w:t>
            </w:r>
          </w:p>
        </w:tc>
        <w:tc>
          <w:tcPr>
            <w:tcW w:w="2939" w:type="dxa"/>
            <w:tcMar>
              <w:top w:w="60" w:type="dxa"/>
              <w:left w:w="90" w:type="dxa"/>
              <w:bottom w:w="60" w:type="dxa"/>
              <w:right w:w="90" w:type="dxa"/>
            </w:tcMar>
          </w:tcPr>
          <w:p w14:paraId="7E0E0833" w14:textId="77777777" w:rsidR="004971F5" w:rsidRDefault="00000000" w:rsidP="00A71138">
            <w:pPr>
              <w:spacing w:before="100" w:beforeAutospacing="1" w:after="100" w:afterAutospacing="1"/>
            </w:pPr>
            <w:r>
              <w:rPr>
                <w:sz w:val="18"/>
                <w:szCs w:val="18"/>
              </w:rPr>
              <w:t>Estimates apply to a persistent subpopulation and overstate expected benefit in initiators</w:t>
            </w:r>
          </w:p>
        </w:tc>
        <w:tc>
          <w:tcPr>
            <w:tcW w:w="1306" w:type="dxa"/>
            <w:tcMar>
              <w:top w:w="60" w:type="dxa"/>
              <w:left w:w="90" w:type="dxa"/>
              <w:bottom w:w="60" w:type="dxa"/>
              <w:right w:w="90" w:type="dxa"/>
            </w:tcMar>
          </w:tcPr>
          <w:p w14:paraId="7B5D8E86" w14:textId="77777777" w:rsidR="004971F5" w:rsidRDefault="00000000" w:rsidP="00A71138">
            <w:pPr>
              <w:spacing w:before="100" w:beforeAutospacing="1" w:after="100" w:afterAutospacing="1"/>
            </w:pPr>
            <w:r>
              <w:rPr>
                <w:sz w:val="18"/>
                <w:szCs w:val="18"/>
              </w:rPr>
              <w:t>Gleason et al. (2024); Johnson et al. (2026)</w:t>
            </w:r>
          </w:p>
        </w:tc>
      </w:tr>
      <w:tr w:rsidR="004971F5" w14:paraId="346DD47E" w14:textId="77777777">
        <w:tc>
          <w:tcPr>
            <w:tcW w:w="2285" w:type="dxa"/>
            <w:tcMar>
              <w:top w:w="60" w:type="dxa"/>
              <w:left w:w="90" w:type="dxa"/>
              <w:bottom w:w="60" w:type="dxa"/>
              <w:right w:w="90" w:type="dxa"/>
            </w:tcMar>
          </w:tcPr>
          <w:p w14:paraId="404FE805" w14:textId="77777777" w:rsidR="004971F5" w:rsidRDefault="00000000" w:rsidP="00A71138">
            <w:pPr>
              <w:spacing w:before="100" w:beforeAutospacing="1" w:after="100" w:afterAutospacing="1"/>
            </w:pPr>
            <w:r>
              <w:rPr>
                <w:sz w:val="18"/>
                <w:szCs w:val="18"/>
              </w:rPr>
              <w:t>Exposure endogenous to outcome</w:t>
            </w:r>
          </w:p>
        </w:tc>
        <w:tc>
          <w:tcPr>
            <w:tcW w:w="2830" w:type="dxa"/>
            <w:tcMar>
              <w:top w:w="60" w:type="dxa"/>
              <w:left w:w="90" w:type="dxa"/>
              <w:bottom w:w="60" w:type="dxa"/>
              <w:right w:w="90" w:type="dxa"/>
            </w:tcMar>
          </w:tcPr>
          <w:p w14:paraId="5484E1E1" w14:textId="77777777" w:rsidR="004971F5" w:rsidRDefault="00000000" w:rsidP="00A71138">
            <w:pPr>
              <w:spacing w:before="100" w:beforeAutospacing="1" w:after="100" w:afterAutospacing="1"/>
            </w:pPr>
            <w:r>
              <w:rPr>
                <w:sz w:val="18"/>
                <w:szCs w:val="18"/>
              </w:rPr>
              <w:t>Digital engagement defined partly by repeated self-weighing, a behaviour that follows early success</w:t>
            </w:r>
          </w:p>
        </w:tc>
        <w:tc>
          <w:tcPr>
            <w:tcW w:w="2939" w:type="dxa"/>
            <w:tcMar>
              <w:top w:w="60" w:type="dxa"/>
              <w:left w:w="90" w:type="dxa"/>
              <w:bottom w:w="60" w:type="dxa"/>
              <w:right w:w="90" w:type="dxa"/>
            </w:tcMar>
          </w:tcPr>
          <w:p w14:paraId="08DA5B52" w14:textId="77777777" w:rsidR="004971F5" w:rsidRDefault="00000000" w:rsidP="00A71138">
            <w:pPr>
              <w:spacing w:before="100" w:beforeAutospacing="1" w:after="100" w:afterAutospacing="1"/>
            </w:pPr>
            <w:r>
              <w:rPr>
                <w:sz w:val="18"/>
                <w:szCs w:val="18"/>
              </w:rPr>
              <w:t>Association between engagement and weight loss is not separable from reverse causation</w:t>
            </w:r>
          </w:p>
        </w:tc>
        <w:tc>
          <w:tcPr>
            <w:tcW w:w="1306" w:type="dxa"/>
            <w:tcMar>
              <w:top w:w="60" w:type="dxa"/>
              <w:left w:w="90" w:type="dxa"/>
              <w:bottom w:w="60" w:type="dxa"/>
              <w:right w:w="90" w:type="dxa"/>
            </w:tcMar>
          </w:tcPr>
          <w:p w14:paraId="3BEDFF74" w14:textId="77777777" w:rsidR="004971F5" w:rsidRDefault="00000000" w:rsidP="00A71138">
            <w:pPr>
              <w:spacing w:before="100" w:beforeAutospacing="1" w:after="100" w:afterAutospacing="1"/>
            </w:pPr>
            <w:r>
              <w:rPr>
                <w:sz w:val="18"/>
                <w:szCs w:val="18"/>
              </w:rPr>
              <w:t>Johnson et al. (2026)</w:t>
            </w:r>
          </w:p>
        </w:tc>
      </w:tr>
      <w:tr w:rsidR="004971F5" w14:paraId="36C78A5E" w14:textId="77777777">
        <w:tc>
          <w:tcPr>
            <w:tcW w:w="2285" w:type="dxa"/>
            <w:tcMar>
              <w:top w:w="60" w:type="dxa"/>
              <w:left w:w="90" w:type="dxa"/>
              <w:bottom w:w="60" w:type="dxa"/>
              <w:right w:w="90" w:type="dxa"/>
            </w:tcMar>
          </w:tcPr>
          <w:p w14:paraId="747DA6F5" w14:textId="77777777" w:rsidR="004971F5" w:rsidRDefault="00000000" w:rsidP="00A71138">
            <w:pPr>
              <w:spacing w:before="100" w:beforeAutospacing="1" w:after="100" w:afterAutospacing="1"/>
            </w:pPr>
            <w:r>
              <w:rPr>
                <w:sz w:val="18"/>
                <w:szCs w:val="18"/>
              </w:rPr>
              <w:t>Confounding by indication and channelling</w:t>
            </w:r>
          </w:p>
        </w:tc>
        <w:tc>
          <w:tcPr>
            <w:tcW w:w="2830" w:type="dxa"/>
            <w:tcMar>
              <w:top w:w="60" w:type="dxa"/>
              <w:left w:w="90" w:type="dxa"/>
              <w:bottom w:w="60" w:type="dxa"/>
              <w:right w:w="90" w:type="dxa"/>
            </w:tcMar>
          </w:tcPr>
          <w:p w14:paraId="137B0642" w14:textId="77777777" w:rsidR="004971F5" w:rsidRDefault="00000000" w:rsidP="00A71138">
            <w:pPr>
              <w:spacing w:before="100" w:beforeAutospacing="1" w:after="100" w:afterAutospacing="1"/>
            </w:pPr>
            <w:r>
              <w:rPr>
                <w:sz w:val="18"/>
                <w:szCs w:val="18"/>
              </w:rPr>
              <w:t>Preferential prescribing to individuals with higher body mass index, greater risk and greater health-seeking behaviour</w:t>
            </w:r>
          </w:p>
        </w:tc>
        <w:tc>
          <w:tcPr>
            <w:tcW w:w="2939" w:type="dxa"/>
            <w:tcMar>
              <w:top w:w="60" w:type="dxa"/>
              <w:left w:w="90" w:type="dxa"/>
              <w:bottom w:w="60" w:type="dxa"/>
              <w:right w:w="90" w:type="dxa"/>
            </w:tcMar>
          </w:tcPr>
          <w:p w14:paraId="71ABD230" w14:textId="77777777" w:rsidR="004971F5" w:rsidRDefault="00000000" w:rsidP="00A71138">
            <w:pPr>
              <w:spacing w:before="100" w:beforeAutospacing="1" w:after="100" w:afterAutospacing="1"/>
            </w:pPr>
            <w:r>
              <w:rPr>
                <w:sz w:val="18"/>
                <w:szCs w:val="18"/>
              </w:rPr>
              <w:t>Comparator selection determines the direction and magnitude of apparent safety signals</w:t>
            </w:r>
          </w:p>
        </w:tc>
        <w:tc>
          <w:tcPr>
            <w:tcW w:w="1306" w:type="dxa"/>
            <w:tcMar>
              <w:top w:w="60" w:type="dxa"/>
              <w:left w:w="90" w:type="dxa"/>
              <w:bottom w:w="60" w:type="dxa"/>
              <w:right w:w="90" w:type="dxa"/>
            </w:tcMar>
          </w:tcPr>
          <w:p w14:paraId="67AB6ED3" w14:textId="77777777" w:rsidR="004971F5" w:rsidRDefault="00000000" w:rsidP="00A71138">
            <w:pPr>
              <w:spacing w:before="100" w:beforeAutospacing="1" w:after="100" w:afterAutospacing="1"/>
            </w:pPr>
            <w:r>
              <w:rPr>
                <w:sz w:val="18"/>
                <w:szCs w:val="18"/>
              </w:rPr>
              <w:t>Chou et al. (2025); Hathaway et al. (2024)</w:t>
            </w:r>
          </w:p>
        </w:tc>
      </w:tr>
      <w:tr w:rsidR="004971F5" w14:paraId="555F00EC" w14:textId="77777777">
        <w:tc>
          <w:tcPr>
            <w:tcW w:w="2285" w:type="dxa"/>
            <w:tcMar>
              <w:top w:w="60" w:type="dxa"/>
              <w:left w:w="90" w:type="dxa"/>
              <w:bottom w:w="60" w:type="dxa"/>
              <w:right w:w="90" w:type="dxa"/>
            </w:tcMar>
          </w:tcPr>
          <w:p w14:paraId="2013F957" w14:textId="77777777" w:rsidR="004971F5" w:rsidRDefault="00000000" w:rsidP="00A71138">
            <w:pPr>
              <w:spacing w:before="100" w:beforeAutospacing="1" w:after="100" w:afterAutospacing="1"/>
            </w:pPr>
            <w:r>
              <w:rPr>
                <w:sz w:val="18"/>
                <w:szCs w:val="18"/>
              </w:rPr>
              <w:t>Over-interpretation of attribution output</w:t>
            </w:r>
          </w:p>
        </w:tc>
        <w:tc>
          <w:tcPr>
            <w:tcW w:w="2830" w:type="dxa"/>
            <w:tcMar>
              <w:top w:w="60" w:type="dxa"/>
              <w:left w:w="90" w:type="dxa"/>
              <w:bottom w:w="60" w:type="dxa"/>
              <w:right w:w="90" w:type="dxa"/>
            </w:tcMar>
          </w:tcPr>
          <w:p w14:paraId="39513322" w14:textId="77777777" w:rsidR="004971F5" w:rsidRDefault="00000000" w:rsidP="00A71138">
            <w:pPr>
              <w:spacing w:before="100" w:beforeAutospacing="1" w:after="100" w:afterAutospacing="1"/>
            </w:pPr>
            <w:r>
              <w:rPr>
                <w:sz w:val="18"/>
                <w:szCs w:val="18"/>
              </w:rPr>
              <w:t>Shapley values described in mechanistic or causal terms despite severe collinearity among cardiometabolic predictors</w:t>
            </w:r>
          </w:p>
        </w:tc>
        <w:tc>
          <w:tcPr>
            <w:tcW w:w="2939" w:type="dxa"/>
            <w:tcMar>
              <w:top w:w="60" w:type="dxa"/>
              <w:left w:w="90" w:type="dxa"/>
              <w:bottom w:w="60" w:type="dxa"/>
              <w:right w:w="90" w:type="dxa"/>
            </w:tcMar>
          </w:tcPr>
          <w:p w14:paraId="7B235F7D" w14:textId="77777777" w:rsidR="004971F5" w:rsidRDefault="00000000" w:rsidP="00A71138">
            <w:pPr>
              <w:spacing w:before="100" w:beforeAutospacing="1" w:after="100" w:afterAutospacing="1"/>
            </w:pPr>
            <w:r>
              <w:rPr>
                <w:sz w:val="18"/>
                <w:szCs w:val="18"/>
              </w:rPr>
              <w:t>Model-behaviour descriptions are mistaken for evidence about the biology of response</w:t>
            </w:r>
          </w:p>
        </w:tc>
        <w:tc>
          <w:tcPr>
            <w:tcW w:w="1306" w:type="dxa"/>
            <w:tcMar>
              <w:top w:w="60" w:type="dxa"/>
              <w:left w:w="90" w:type="dxa"/>
              <w:bottom w:w="60" w:type="dxa"/>
              <w:right w:w="90" w:type="dxa"/>
            </w:tcMar>
          </w:tcPr>
          <w:p w14:paraId="17132AD6" w14:textId="77777777" w:rsidR="004971F5" w:rsidRDefault="00000000" w:rsidP="00A71138">
            <w:pPr>
              <w:spacing w:before="100" w:beforeAutospacing="1" w:after="100" w:afterAutospacing="1"/>
            </w:pPr>
            <w:r>
              <w:rPr>
                <w:sz w:val="18"/>
                <w:szCs w:val="18"/>
              </w:rPr>
              <w:t>Abegaz &amp; Frietze (2026); Moon et al. (2026)</w:t>
            </w:r>
          </w:p>
        </w:tc>
      </w:tr>
      <w:tr w:rsidR="004971F5" w14:paraId="0E24CFB6" w14:textId="77777777">
        <w:tc>
          <w:tcPr>
            <w:tcW w:w="2285" w:type="dxa"/>
            <w:tcMar>
              <w:top w:w="60" w:type="dxa"/>
              <w:left w:w="90" w:type="dxa"/>
              <w:bottom w:w="60" w:type="dxa"/>
              <w:right w:w="90" w:type="dxa"/>
            </w:tcMar>
          </w:tcPr>
          <w:p w14:paraId="38B34BE1" w14:textId="77777777" w:rsidR="004971F5" w:rsidRDefault="00000000" w:rsidP="00A71138">
            <w:pPr>
              <w:spacing w:before="100" w:beforeAutospacing="1" w:after="100" w:afterAutospacing="1"/>
            </w:pPr>
            <w:r>
              <w:rPr>
                <w:sz w:val="18"/>
                <w:szCs w:val="18"/>
              </w:rPr>
              <w:t>Discrimination reported without precision or recall</w:t>
            </w:r>
          </w:p>
        </w:tc>
        <w:tc>
          <w:tcPr>
            <w:tcW w:w="2830" w:type="dxa"/>
            <w:tcMar>
              <w:top w:w="60" w:type="dxa"/>
              <w:left w:w="90" w:type="dxa"/>
              <w:bottom w:w="60" w:type="dxa"/>
              <w:right w:w="90" w:type="dxa"/>
            </w:tcMar>
          </w:tcPr>
          <w:p w14:paraId="5172D107" w14:textId="77777777" w:rsidR="004971F5" w:rsidRDefault="00000000" w:rsidP="00A71138">
            <w:pPr>
              <w:spacing w:before="100" w:beforeAutospacing="1" w:after="100" w:afterAutospacing="1"/>
            </w:pPr>
            <w:r>
              <w:rPr>
                <w:sz w:val="18"/>
                <w:szCs w:val="18"/>
              </w:rPr>
              <w:t>Area under the curve presented without positive predictive value for rare outcomes</w:t>
            </w:r>
          </w:p>
        </w:tc>
        <w:tc>
          <w:tcPr>
            <w:tcW w:w="2939" w:type="dxa"/>
            <w:tcMar>
              <w:top w:w="60" w:type="dxa"/>
              <w:left w:w="90" w:type="dxa"/>
              <w:bottom w:w="60" w:type="dxa"/>
              <w:right w:w="90" w:type="dxa"/>
            </w:tcMar>
          </w:tcPr>
          <w:p w14:paraId="3CC9CEA9" w14:textId="77777777" w:rsidR="004971F5" w:rsidRDefault="00000000" w:rsidP="00A71138">
            <w:pPr>
              <w:spacing w:before="100" w:beforeAutospacing="1" w:after="100" w:afterAutospacing="1"/>
            </w:pPr>
            <w:r>
              <w:rPr>
                <w:sz w:val="18"/>
                <w:szCs w:val="18"/>
              </w:rPr>
              <w:t>Clinical usability is concealed; one transparent example reports precision of 0.05 for a rare event</w:t>
            </w:r>
          </w:p>
        </w:tc>
        <w:tc>
          <w:tcPr>
            <w:tcW w:w="1306" w:type="dxa"/>
            <w:tcMar>
              <w:top w:w="60" w:type="dxa"/>
              <w:left w:w="90" w:type="dxa"/>
              <w:bottom w:w="60" w:type="dxa"/>
              <w:right w:w="90" w:type="dxa"/>
            </w:tcMar>
          </w:tcPr>
          <w:p w14:paraId="250A106C" w14:textId="77777777" w:rsidR="004971F5" w:rsidRDefault="00000000" w:rsidP="00A71138">
            <w:pPr>
              <w:spacing w:before="100" w:beforeAutospacing="1" w:after="100" w:afterAutospacing="1"/>
            </w:pPr>
            <w:r>
              <w:rPr>
                <w:sz w:val="18"/>
                <w:szCs w:val="18"/>
              </w:rPr>
              <w:t>Gautam et al. (2026)</w:t>
            </w:r>
          </w:p>
        </w:tc>
      </w:tr>
      <w:tr w:rsidR="004971F5" w14:paraId="08DE344B" w14:textId="77777777">
        <w:tc>
          <w:tcPr>
            <w:tcW w:w="2285" w:type="dxa"/>
            <w:tcMar>
              <w:top w:w="60" w:type="dxa"/>
              <w:left w:w="90" w:type="dxa"/>
              <w:bottom w:w="60" w:type="dxa"/>
              <w:right w:w="90" w:type="dxa"/>
            </w:tcMar>
          </w:tcPr>
          <w:p w14:paraId="35412FBE" w14:textId="77777777" w:rsidR="004971F5" w:rsidRDefault="00000000" w:rsidP="00A71138">
            <w:pPr>
              <w:spacing w:before="100" w:beforeAutospacing="1" w:after="100" w:afterAutospacing="1"/>
            </w:pPr>
            <w:r>
              <w:rPr>
                <w:sz w:val="18"/>
                <w:szCs w:val="18"/>
              </w:rPr>
              <w:t>Distribution shift in a rapidly changing field</w:t>
            </w:r>
          </w:p>
        </w:tc>
        <w:tc>
          <w:tcPr>
            <w:tcW w:w="2830" w:type="dxa"/>
            <w:tcMar>
              <w:top w:w="60" w:type="dxa"/>
              <w:left w:w="90" w:type="dxa"/>
              <w:bottom w:w="60" w:type="dxa"/>
              <w:right w:w="90" w:type="dxa"/>
            </w:tcMar>
          </w:tcPr>
          <w:p w14:paraId="20D14F76" w14:textId="77777777" w:rsidR="004971F5" w:rsidRDefault="00000000" w:rsidP="00A71138">
            <w:pPr>
              <w:spacing w:before="100" w:beforeAutospacing="1" w:after="100" w:afterAutospacing="1"/>
            </w:pPr>
            <w:r>
              <w:rPr>
                <w:sz w:val="18"/>
                <w:szCs w:val="18"/>
              </w:rPr>
              <w:t>Agents, indications and eligibility criteria have changed materially year on year</w:t>
            </w:r>
          </w:p>
        </w:tc>
        <w:tc>
          <w:tcPr>
            <w:tcW w:w="2939" w:type="dxa"/>
            <w:tcMar>
              <w:top w:w="60" w:type="dxa"/>
              <w:left w:w="90" w:type="dxa"/>
              <w:bottom w:w="60" w:type="dxa"/>
              <w:right w:w="90" w:type="dxa"/>
            </w:tcMar>
          </w:tcPr>
          <w:p w14:paraId="18E227A1" w14:textId="77777777" w:rsidR="004971F5" w:rsidRDefault="00000000" w:rsidP="00A71138">
            <w:pPr>
              <w:spacing w:before="100" w:beforeAutospacing="1" w:after="100" w:afterAutospacing="1"/>
            </w:pPr>
            <w:r>
              <w:rPr>
                <w:sz w:val="18"/>
                <w:szCs w:val="18"/>
              </w:rPr>
              <w:t>Deployed models require continuous performance monitoring rather than periodic revalidation</w:t>
            </w:r>
          </w:p>
        </w:tc>
        <w:tc>
          <w:tcPr>
            <w:tcW w:w="1306" w:type="dxa"/>
            <w:tcMar>
              <w:top w:w="60" w:type="dxa"/>
              <w:left w:w="90" w:type="dxa"/>
              <w:bottom w:w="60" w:type="dxa"/>
              <w:right w:w="90" w:type="dxa"/>
            </w:tcMar>
          </w:tcPr>
          <w:p w14:paraId="37170316" w14:textId="77777777" w:rsidR="004971F5" w:rsidRDefault="00000000" w:rsidP="00A71138">
            <w:pPr>
              <w:spacing w:before="100" w:beforeAutospacing="1" w:after="100" w:afterAutospacing="1"/>
            </w:pPr>
            <w:r>
              <w:rPr>
                <w:sz w:val="18"/>
                <w:szCs w:val="18"/>
              </w:rPr>
              <w:t>Finlayson et al. (2021)</w:t>
            </w:r>
          </w:p>
        </w:tc>
      </w:tr>
    </w:tbl>
    <w:p w14:paraId="4F88D7CB" w14:textId="77777777" w:rsidR="004971F5" w:rsidRDefault="00000000" w:rsidP="00A71138">
      <w:pPr>
        <w:spacing w:before="100" w:beforeAutospacing="1" w:after="100" w:afterAutospacing="1"/>
      </w:pPr>
      <w:r>
        <w:rPr>
          <w:i/>
          <w:iCs/>
          <w:sz w:val="20"/>
          <w:szCs w:val="20"/>
        </w:rPr>
        <w:lastRenderedPageBreak/>
        <w:t>Note. Limitations were identified during appraisal of the cited studies and are grouped by the stage of the modelling process at which they arise.</w:t>
      </w:r>
    </w:p>
    <w:p w14:paraId="4FCB6993" w14:textId="77777777" w:rsidR="004971F5" w:rsidRDefault="00000000" w:rsidP="00A71138">
      <w:pPr>
        <w:pStyle w:val="Heading1"/>
        <w:spacing w:before="100" w:beforeAutospacing="1" w:after="100" w:afterAutospacing="1"/>
      </w:pPr>
      <w:r>
        <w:rPr>
          <w:b/>
          <w:bCs/>
          <w:sz w:val="26"/>
          <w:szCs w:val="26"/>
        </w:rPr>
        <w:t>9. Implementation, Equity and Governance</w:t>
      </w:r>
    </w:p>
    <w:p w14:paraId="499E1CA5" w14:textId="77777777" w:rsidR="004971F5" w:rsidRDefault="00000000" w:rsidP="00A71138">
      <w:pPr>
        <w:pStyle w:val="Heading2"/>
        <w:spacing w:before="100" w:beforeAutospacing="1" w:after="100" w:afterAutospacing="1"/>
      </w:pPr>
      <w:r>
        <w:rPr>
          <w:b/>
          <w:bCs/>
          <w:sz w:val="24"/>
          <w:szCs w:val="24"/>
        </w:rPr>
        <w:t>9.1 Data Representativeness and Inherited Inequity</w:t>
      </w:r>
    </w:p>
    <w:p w14:paraId="51BDC387" w14:textId="77777777" w:rsidR="004971F5" w:rsidRDefault="00000000" w:rsidP="00A71138">
      <w:pPr>
        <w:spacing w:before="100" w:beforeAutospacing="1" w:after="100" w:afterAutospacing="1"/>
        <w:jc w:val="both"/>
      </w:pPr>
      <w:r>
        <w:t>Every model reviewed here was developed on data generated by a healthcare system in which access to incretin therapy is stratified. Inequities by race, ethnicity and socioeconomic position were documented among people with diabetes early in the diffusion of this class (Eberly et al., 2021), and differences by race, ethnicity and socioeconomic status in prescribing for obesity have been observed within an integrated delivery system (Chen et al., 2026). Registry analysis has also shown sex-related differences in cardiometabolic prescribing that persisted across risk subgroups (Tuccinardi et al., 2025). A model trained to predict who receives treatment, or who responds among those treated, encodes these patterns and, if deployed to guide allocation, reproduces them with the additional authority conferred by automation.</w:t>
      </w:r>
    </w:p>
    <w:p w14:paraId="7802E6DC" w14:textId="77777777" w:rsidR="004971F5" w:rsidRDefault="00000000" w:rsidP="00A71138">
      <w:pPr>
        <w:spacing w:before="100" w:beforeAutospacing="1" w:after="100" w:afterAutospacing="1"/>
        <w:jc w:val="both"/>
      </w:pPr>
      <w:r>
        <w:t>The mechanism by which this occurs is well characterised. A widely used population health algorithm systematically underestimated illness burden in Black patients because health expenditure was used as a proxy for health need, so that unequal access became indistinguishable from lesser need in the training signal (Obermeyer et al., 2019). The structurally analogous proxies in incretin research are prior utilisation, insurance coverage, documented comorbidity and continuity of follow-up, all of which are downstream of access. Any model intended to inform allocation of a supply-constrained therapy should therefore report performance stratified by the groups whose access is known to be unequal, and should state explicitly which proxies were used for need. None of the studies reviewed here reported such an analysis. Commentary on primary-care readiness has framed the underlying risk as the consolidation of a two-tiered treatment landscape (Ahmed et al., 2026), and computational allocation tools are capable of either mitigating or entrenching that division depending on how they are constructed and audited.</w:t>
      </w:r>
    </w:p>
    <w:p w14:paraId="225F7771" w14:textId="77777777" w:rsidR="004971F5" w:rsidRDefault="00000000" w:rsidP="00A71138">
      <w:pPr>
        <w:spacing w:before="100" w:beforeAutospacing="1" w:after="100" w:afterAutospacing="1"/>
        <w:jc w:val="both"/>
      </w:pPr>
      <w:r>
        <w:t>Patient-facing tools raise a parallel concern at the level of communication rather than allocation. Generated information on this drug class was detailed but insufficiently readable for many patients (Williams et al., 2026), which means that the benefits of such tools would accrue disproportionately to those with higher health literacy. Distributional analysis of benefit, and not merely aggregate accuracy, is therefore a necessary component of evaluation.</w:t>
      </w:r>
    </w:p>
    <w:p w14:paraId="4375E4B8" w14:textId="77777777" w:rsidR="004971F5" w:rsidRDefault="00000000" w:rsidP="00A71138">
      <w:pPr>
        <w:pStyle w:val="Heading2"/>
        <w:spacing w:before="100" w:beforeAutospacing="1" w:after="100" w:afterAutospacing="1"/>
      </w:pPr>
      <w:r>
        <w:rPr>
          <w:b/>
          <w:bCs/>
          <w:sz w:val="24"/>
          <w:szCs w:val="24"/>
        </w:rPr>
        <w:t>9.2 Regulatory Classification and Evidentiary Expectations</w:t>
      </w:r>
    </w:p>
    <w:p w14:paraId="1CD4494D" w14:textId="77777777" w:rsidR="004971F5" w:rsidRDefault="00000000" w:rsidP="00A71138">
      <w:pPr>
        <w:spacing w:before="100" w:beforeAutospacing="1" w:after="100" w:afterAutospacing="1"/>
        <w:jc w:val="both"/>
      </w:pPr>
      <w:r>
        <w:t xml:space="preserve">Software that recommends or influences a </w:t>
      </w:r>
      <w:proofErr w:type="gramStart"/>
      <w:r>
        <w:t>treatment decision falls</w:t>
      </w:r>
      <w:proofErr w:type="gramEnd"/>
      <w:r>
        <w:t xml:space="preserve"> within medical device regulation in most jurisdictions, and risk classification determines the evidence required before deployment. A clinical risk score has been proposed specifically to support regulatory evaluation of artificial-intelligence-based medical device software, addressing the mismatch between conventional device pathways and the characteristics of adaptive software (Rademakers et al., 2025). Two features of the applications considered in this review complicate classification. Models that prioritise individuals for an expensive therapy sit at the boundary between clinical decision support and resource allocation, and their principal harms are distributional rather than individual, which conventional device evaluation is not designed to detect. General-purpose language models are not developed for a specified medical purpose, yet the simulation evidence indicates that safety differs materially between contemporaneous </w:t>
      </w:r>
      <w:r>
        <w:lastRenderedPageBreak/>
        <w:t>versions (</w:t>
      </w:r>
      <w:proofErr w:type="spellStart"/>
      <w:r>
        <w:t>Çalışkan</w:t>
      </w:r>
      <w:proofErr w:type="spellEnd"/>
      <w:r>
        <w:t xml:space="preserve"> &amp; Başak, 2026), so version control and post-deployment surveillance become safety-critical in a way that static software approval does not accommodate.</w:t>
      </w:r>
    </w:p>
    <w:p w14:paraId="170CDC60" w14:textId="77777777" w:rsidR="004971F5" w:rsidRDefault="00000000" w:rsidP="00A71138">
      <w:pPr>
        <w:spacing w:before="100" w:beforeAutospacing="1" w:after="100" w:afterAutospacing="1"/>
        <w:jc w:val="both"/>
      </w:pPr>
      <w:r>
        <w:t>Privacy-preserving architectures are frequently proposed as a means of assembling the multi-site data that external validation requires, with federated approaches allowing model training across institutions without centralising records (Rieke et al., 2020). Such approaches address the governance obstacle to multi-site development but do not address the scientific obstacle, since heterogeneity of outcome definition across sites remains a limiting factor whether or not the data are centralised. This returns the argument to the measurement problem identified in Section 5.4.</w:t>
      </w:r>
    </w:p>
    <w:p w14:paraId="636F1AB3" w14:textId="77777777" w:rsidR="004971F5" w:rsidRDefault="00000000" w:rsidP="00A71138">
      <w:pPr>
        <w:pStyle w:val="Heading2"/>
        <w:spacing w:before="100" w:beforeAutospacing="1" w:after="100" w:afterAutospacing="1"/>
      </w:pPr>
      <w:r>
        <w:rPr>
          <w:b/>
          <w:bCs/>
          <w:sz w:val="24"/>
          <w:szCs w:val="24"/>
        </w:rPr>
        <w:t>9.3 The Boundary Between Discovery and Clinical Optimisation</w:t>
      </w:r>
    </w:p>
    <w:p w14:paraId="38603E56" w14:textId="77777777" w:rsidR="004971F5" w:rsidRDefault="00000000" w:rsidP="00A71138">
      <w:pPr>
        <w:spacing w:before="100" w:beforeAutospacing="1" w:after="100" w:afterAutospacing="1"/>
        <w:jc w:val="both"/>
      </w:pPr>
      <w:r>
        <w:t>Computational methods have been applied with considerable success at the discovery end of this therapeutic area, where machine-learning-guided design produced GLP-1 receptor agonist peptides with improved drug properties (Nielsen et al., 2024). The contrast with the clinical literature is informative. In discovery, the ground truth is measurable in the laboratory, iteration is fast, and error is inexpensive. In clinical optimisation, the outcome is measured over months, the label is a proxy, the data are observational and error is borne by patients. Transfer of confidence from the first setting to the second is not warranted, and the frequency with which reviews of artificial intelligence in obesity treat the two domains as a continuum (Lee et al., 2025) contributes to an inflated impression of clinical readiness.</w:t>
      </w:r>
    </w:p>
    <w:p w14:paraId="5F444600" w14:textId="77777777" w:rsidR="004971F5" w:rsidRDefault="00000000" w:rsidP="00A71138">
      <w:pPr>
        <w:spacing w:before="100" w:beforeAutospacing="1" w:after="100" w:afterAutospacing="1"/>
        <w:jc w:val="both"/>
      </w:pPr>
      <w:r>
        <w:t>A comparable boundary applies to the phenotyping literature. Data-driven clustering of adult-onset diabetes into subgroups with distinct outcome profiles (Ahlqvist et al., 2018) was an important conceptual advance, and consensus assessment of precision diabetes medicine has since concluded that translation into clinical practice remains incomplete across most domains (Tobias et al., 2023). The relevant lesson for incretin therapy is that demonstrating stratification is a much weaker achievement than demonstrating that stratification changes what should be done, and the latter requires prospective evaluation of a stratified treatment strategy.</w:t>
      </w:r>
    </w:p>
    <w:p w14:paraId="593E6941" w14:textId="77777777" w:rsidR="004971F5" w:rsidRDefault="00000000" w:rsidP="00A71138">
      <w:pPr>
        <w:pStyle w:val="Heading1"/>
        <w:spacing w:before="100" w:beforeAutospacing="1" w:after="100" w:afterAutospacing="1"/>
      </w:pPr>
      <w:r>
        <w:rPr>
          <w:b/>
          <w:bCs/>
          <w:sz w:val="26"/>
          <w:szCs w:val="26"/>
        </w:rPr>
        <w:t>10. Future Directions</w:t>
      </w:r>
    </w:p>
    <w:p w14:paraId="4A58DB19" w14:textId="77777777" w:rsidR="004971F5" w:rsidRDefault="00000000" w:rsidP="00A71138">
      <w:pPr>
        <w:spacing w:before="100" w:beforeAutospacing="1" w:after="100" w:afterAutospacing="1"/>
        <w:jc w:val="both"/>
      </w:pPr>
      <w:r>
        <w:t>The analysis above supports a small number of specific priorities, ordered by the ratio of expected clinical gain to the difficulty of obtaining the evidence.</w:t>
      </w:r>
    </w:p>
    <w:p w14:paraId="4DDA2AEB" w14:textId="77777777" w:rsidR="004971F5" w:rsidRDefault="00000000" w:rsidP="00A71138">
      <w:pPr>
        <w:spacing w:before="100" w:beforeAutospacing="1" w:after="100" w:afterAutospacing="1"/>
        <w:jc w:val="both"/>
      </w:pPr>
      <w:r>
        <w:t>The first and most immediate priority concerns early-trajectory prediction of discontinuation and under-titration. The unresolved problem is that roughly a third to a half of initiators cease therapy within a year and a substantial minority never reach maintenance doses, which together account for a larger loss of population benefit than any plausible improvement in initial selection (Gleason et al., 2024; Ulrich et al., 2026). Current evidence is inadequate because no model has been developed to predict these outcomes in incretin therapy, and the observational engagement literature cannot separate prediction from reverse causation (Johnson et al., 2026). The appropriate design is a prospectively developed dynamic prediction model using the first eight to twelve weeks of weight, symptom, dispensing and contact data, evaluated for calibration as well as discrimination, followed by a pragmatic randomised trial in which model-triggered proactive contact is compared with usual care. Outcomes should include persistence at 12 months, proportion reaching maintenance dose, weight change and treatment-related symptom burden. The implementation implication is direct, since proactive outreach is an existing service capability rather than a new technology.</w:t>
      </w:r>
    </w:p>
    <w:p w14:paraId="45AD553C" w14:textId="77777777" w:rsidR="004971F5" w:rsidRDefault="00000000" w:rsidP="00A71138">
      <w:pPr>
        <w:spacing w:before="100" w:beforeAutospacing="1" w:after="100" w:afterAutospacing="1"/>
        <w:jc w:val="both"/>
      </w:pPr>
      <w:r>
        <w:lastRenderedPageBreak/>
        <w:t>The second priority is prospective evaluation of risk-based prioritisation. Prioritising by absolute risk of obesity-related complications is better grounded than prioritising by predicted weight response, because absolute benefit follows baseline risk when relative effects are approximately constant, and weight loss has been observed to be similar across baseline risk strata (Demircan et al., 2026). What remains unknown is whether embedding such a score in routine care changes who receives treatment, and in which direction. The appropriate design is a cluster-randomised implementation study in primary care with allocation of the risk score at practice level, with outcomes comprising the risk distribution of initiators, the socioeconomic and ethnic distribution of initiators, and downstream complication incidence. Equity outcomes must be primary rather than secondary, because the intervention is an allocation instrument.</w:t>
      </w:r>
    </w:p>
    <w:p w14:paraId="25ABACCD" w14:textId="77777777" w:rsidR="004971F5" w:rsidRDefault="00000000" w:rsidP="00A71138">
      <w:pPr>
        <w:spacing w:before="100" w:beforeAutospacing="1" w:after="100" w:afterAutospacing="1"/>
        <w:jc w:val="both"/>
      </w:pPr>
      <w:r>
        <w:t>The third priority is the establishment of standardised outcome and exposure definitions for computational research in this field. The current heterogeneity of adherence, persistence, engagement and response definitions prevents comparison across studies and confounds external validation, since apparent performance loss on transfer may reflect changed label meaning rather than changed clinical relationships. A consensus process producing a minimum data specification, with agreed definitions of permissible gap, maintenance dose attainment, clinically meaningful response and treatment-emergent symptom burden, would be inexpensive relative to its effect on the interpretability of the entire literature.</w:t>
      </w:r>
    </w:p>
    <w:p w14:paraId="4610EB52" w14:textId="77777777" w:rsidR="004971F5" w:rsidRDefault="00000000" w:rsidP="00A71138">
      <w:pPr>
        <w:spacing w:before="100" w:beforeAutospacing="1" w:after="100" w:afterAutospacing="1"/>
        <w:jc w:val="both"/>
      </w:pPr>
      <w:r>
        <w:t xml:space="preserve">The fourth priority concerns the monitoring signal itself. Continuous glucose monitoring analytics have been validated for inference of metabolic </w:t>
      </w:r>
      <w:proofErr w:type="spellStart"/>
      <w:r>
        <w:t>subphenotype</w:t>
      </w:r>
      <w:proofErr w:type="spellEnd"/>
      <w:r>
        <w:t xml:space="preserve"> in untreated populations (</w:t>
      </w:r>
      <w:proofErr w:type="spellStart"/>
      <w:r>
        <w:t>Lutsker</w:t>
      </w:r>
      <w:proofErr w:type="spellEnd"/>
      <w:r>
        <w:t xml:space="preserve"> et al., 2026; Metwally et al., 2025), but pharmacodynamic alteration of gastric emptying and postprandial excursion by incretin therapy means that the same features may carry different meaning during treatment. The required work is a mechanistic validation study in people initiating incretin therapy, with paired continuous glucose monitoring and reference metabolic testing before and during treatment, sized to determine whether existing feature-outcome relationships are preserved. Only after that question is settled does it become reasonable to evaluate continuous glucose monitoring analytics for titration decision support.</w:t>
      </w:r>
    </w:p>
    <w:p w14:paraId="12208122" w14:textId="77777777" w:rsidR="004971F5" w:rsidRDefault="00000000" w:rsidP="00A71138">
      <w:pPr>
        <w:spacing w:before="100" w:beforeAutospacing="1" w:after="100" w:afterAutospacing="1"/>
        <w:jc w:val="both"/>
      </w:pPr>
      <w:r>
        <w:t>The fifth priority is prospective clinical evaluation of language-model decision support under supervision. Simulation evidence indicates residual unsafe recommendation rates of about 2 per cent even for the stronger of two contemporary models in a related surgical domain (</w:t>
      </w:r>
      <w:proofErr w:type="spellStart"/>
      <w:r>
        <w:t>Çalışkan</w:t>
      </w:r>
      <w:proofErr w:type="spellEnd"/>
      <w:r>
        <w:t xml:space="preserve"> &amp; Başak, 2026), while a randomised evaluation in complex cardiology care showed that subspecialists preferred assisted responses and that clinically significant errors were less frequent with assistance (O'Sullivan et al., 2026). The latter provides a workable template: retrospective complex cases, randomised assignment of clinicians to assisted or unassisted management, blinded expert adjudication against a predefined rubric, and explicit quantification of errors, omissions and potential bias. Applying that template to incretin prescribing decisions, including agent selection, escalation and management of poor early response, would establish whether assistance improves decision quality before any question of autonomous deployment arises.</w:t>
      </w:r>
    </w:p>
    <w:p w14:paraId="0406AEC0" w14:textId="77777777" w:rsidR="004971F5" w:rsidRDefault="00000000" w:rsidP="00A71138">
      <w:pPr>
        <w:spacing w:before="100" w:beforeAutospacing="1" w:after="100" w:afterAutospacing="1"/>
        <w:jc w:val="both"/>
      </w:pPr>
      <w:r>
        <w:t xml:space="preserve">A longer-term priority is the development of evaluation methods adequate to adaptive systems. Existing frameworks assume a fixed model evaluated once, whereas the systems proposed here would be retrained, and language models replaced, on timescales shorter than those of the trials required to evaluate them. Regulatory work on risk classification for adaptive device software provides a starting point (Rademakers et al., 2025), and privacy-preserving multi-site architectures offer a route to the continuous performance monitoring that shift-prone </w:t>
      </w:r>
      <w:r>
        <w:lastRenderedPageBreak/>
        <w:t>deployment requires (Finlayson et al., 2021; Rieke et al., 2020). Progress here is a precondition for durable clinical use rather than an optional refinement.</w:t>
      </w:r>
    </w:p>
    <w:p w14:paraId="0F6AB479" w14:textId="77777777" w:rsidR="004971F5" w:rsidRDefault="00000000" w:rsidP="00A71138">
      <w:pPr>
        <w:spacing w:before="100" w:beforeAutospacing="1" w:after="100" w:afterAutospacing="1"/>
        <w:jc w:val="both"/>
      </w:pPr>
      <w:r>
        <w:t>Table 5 sets out these priorities with the design features and outcome measures that each would require. Reading across the design column shows that three of the six priorities are addressable with existing infrastructure and conventional randomised or cluster-randomised methods, and that the two most technically demanding priorities concern validation of measurement rather than development of new algorithms. This ordering reflects the central finding of this review, which is that the field's principal deficit is evaluative rather than computational.</w:t>
      </w:r>
    </w:p>
    <w:p w14:paraId="0B9A4CB1" w14:textId="77777777" w:rsidR="004971F5" w:rsidRDefault="00000000" w:rsidP="00A71138">
      <w:pPr>
        <w:keepNext/>
        <w:spacing w:before="100" w:beforeAutospacing="1" w:after="100" w:afterAutospacing="1"/>
      </w:pPr>
      <w:r>
        <w:rPr>
          <w:b/>
          <w:bCs/>
          <w:sz w:val="22"/>
          <w:szCs w:val="22"/>
        </w:rPr>
        <w:t>Table 5. Prioritised research directions for artificial intelligence in glucagon-like peptide-1 receptor agonist therapy, with required designs and outcome measures</w:t>
      </w:r>
    </w:p>
    <w:tbl>
      <w:tblPr>
        <w:tblW w:w="5000" w:type="pct"/>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1864"/>
        <w:gridCol w:w="2449"/>
        <w:gridCol w:w="2548"/>
        <w:gridCol w:w="979"/>
        <w:gridCol w:w="1176"/>
      </w:tblGrid>
      <w:tr w:rsidR="004971F5" w14:paraId="770CBBC7" w14:textId="77777777" w:rsidTr="00A71138">
        <w:trPr>
          <w:tblHeader/>
        </w:trPr>
        <w:tc>
          <w:tcPr>
            <w:tcW w:w="1033" w:type="pct"/>
            <w:shd w:val="clear" w:color="auto" w:fill="E8E8E8"/>
            <w:tcMar>
              <w:top w:w="60" w:type="dxa"/>
              <w:left w:w="90" w:type="dxa"/>
              <w:bottom w:w="60" w:type="dxa"/>
              <w:right w:w="90" w:type="dxa"/>
            </w:tcMar>
          </w:tcPr>
          <w:p w14:paraId="397CE7C3" w14:textId="77777777" w:rsidR="004971F5" w:rsidRDefault="00000000" w:rsidP="00A71138">
            <w:pPr>
              <w:spacing w:before="100" w:beforeAutospacing="1" w:after="100" w:afterAutospacing="1"/>
            </w:pPr>
            <w:r>
              <w:rPr>
                <w:b/>
                <w:bCs/>
                <w:sz w:val="18"/>
                <w:szCs w:val="18"/>
              </w:rPr>
              <w:t>Priority</w:t>
            </w:r>
          </w:p>
        </w:tc>
        <w:tc>
          <w:tcPr>
            <w:tcW w:w="1358" w:type="pct"/>
            <w:shd w:val="clear" w:color="auto" w:fill="E8E8E8"/>
            <w:tcMar>
              <w:top w:w="60" w:type="dxa"/>
              <w:left w:w="90" w:type="dxa"/>
              <w:bottom w:w="60" w:type="dxa"/>
              <w:right w:w="90" w:type="dxa"/>
            </w:tcMar>
          </w:tcPr>
          <w:p w14:paraId="07D3E5EE" w14:textId="77777777" w:rsidR="004971F5" w:rsidRDefault="00000000" w:rsidP="00A71138">
            <w:pPr>
              <w:spacing w:before="100" w:beforeAutospacing="1" w:after="100" w:afterAutospacing="1"/>
            </w:pPr>
            <w:r>
              <w:rPr>
                <w:b/>
                <w:bCs/>
                <w:sz w:val="18"/>
                <w:szCs w:val="18"/>
              </w:rPr>
              <w:t>Unresolved problem and inadequacy of current evidence</w:t>
            </w:r>
          </w:p>
        </w:tc>
        <w:tc>
          <w:tcPr>
            <w:tcW w:w="1413" w:type="pct"/>
            <w:shd w:val="clear" w:color="auto" w:fill="E8E8E8"/>
            <w:tcMar>
              <w:top w:w="60" w:type="dxa"/>
              <w:left w:w="90" w:type="dxa"/>
              <w:bottom w:w="60" w:type="dxa"/>
              <w:right w:w="90" w:type="dxa"/>
            </w:tcMar>
          </w:tcPr>
          <w:p w14:paraId="672896E1" w14:textId="77777777" w:rsidR="004971F5" w:rsidRDefault="00000000" w:rsidP="00A71138">
            <w:pPr>
              <w:spacing w:before="100" w:beforeAutospacing="1" w:after="100" w:afterAutospacing="1"/>
            </w:pPr>
            <w:r>
              <w:rPr>
                <w:b/>
                <w:bCs/>
                <w:sz w:val="18"/>
                <w:szCs w:val="18"/>
              </w:rPr>
              <w:t>Preferred design and principal outcome measures</w:t>
            </w:r>
          </w:p>
        </w:tc>
        <w:tc>
          <w:tcPr>
            <w:tcW w:w="543" w:type="pct"/>
            <w:shd w:val="clear" w:color="auto" w:fill="E8E8E8"/>
            <w:tcMar>
              <w:top w:w="60" w:type="dxa"/>
              <w:left w:w="90" w:type="dxa"/>
              <w:bottom w:w="60" w:type="dxa"/>
              <w:right w:w="90" w:type="dxa"/>
            </w:tcMar>
          </w:tcPr>
          <w:p w14:paraId="1B311127" w14:textId="77777777" w:rsidR="004971F5" w:rsidRDefault="00000000" w:rsidP="00A71138">
            <w:pPr>
              <w:spacing w:before="100" w:beforeAutospacing="1" w:after="100" w:afterAutospacing="1"/>
            </w:pPr>
            <w:r>
              <w:rPr>
                <w:b/>
                <w:bCs/>
                <w:sz w:val="18"/>
                <w:szCs w:val="18"/>
              </w:rPr>
              <w:t>Time horizon</w:t>
            </w:r>
          </w:p>
        </w:tc>
        <w:tc>
          <w:tcPr>
            <w:tcW w:w="652" w:type="pct"/>
            <w:shd w:val="clear" w:color="auto" w:fill="E8E8E8"/>
            <w:tcMar>
              <w:top w:w="60" w:type="dxa"/>
              <w:left w:w="90" w:type="dxa"/>
              <w:bottom w:w="60" w:type="dxa"/>
              <w:right w:w="90" w:type="dxa"/>
            </w:tcMar>
          </w:tcPr>
          <w:p w14:paraId="446BCFB9" w14:textId="77777777" w:rsidR="004971F5" w:rsidRDefault="00000000" w:rsidP="00A71138">
            <w:pPr>
              <w:spacing w:before="100" w:beforeAutospacing="1" w:after="100" w:afterAutospacing="1"/>
            </w:pPr>
            <w:r>
              <w:rPr>
                <w:b/>
                <w:bCs/>
                <w:sz w:val="18"/>
                <w:szCs w:val="18"/>
              </w:rPr>
              <w:t>Supporting references</w:t>
            </w:r>
          </w:p>
        </w:tc>
      </w:tr>
      <w:tr w:rsidR="004971F5" w14:paraId="49BE21A0" w14:textId="77777777" w:rsidTr="00A71138">
        <w:tc>
          <w:tcPr>
            <w:tcW w:w="1033" w:type="pct"/>
            <w:tcMar>
              <w:top w:w="60" w:type="dxa"/>
              <w:left w:w="90" w:type="dxa"/>
              <w:bottom w:w="60" w:type="dxa"/>
              <w:right w:w="90" w:type="dxa"/>
            </w:tcMar>
          </w:tcPr>
          <w:p w14:paraId="3E8CBDC0" w14:textId="77777777" w:rsidR="004971F5" w:rsidRDefault="00000000" w:rsidP="00A71138">
            <w:pPr>
              <w:spacing w:before="100" w:beforeAutospacing="1" w:after="100" w:afterAutospacing="1"/>
            </w:pPr>
            <w:r>
              <w:rPr>
                <w:sz w:val="18"/>
                <w:szCs w:val="18"/>
              </w:rPr>
              <w:t>Early-trajectory prediction of discontinuation and under-titration</w:t>
            </w:r>
          </w:p>
        </w:tc>
        <w:tc>
          <w:tcPr>
            <w:tcW w:w="1358" w:type="pct"/>
            <w:tcMar>
              <w:top w:w="60" w:type="dxa"/>
              <w:left w:w="90" w:type="dxa"/>
              <w:bottom w:w="60" w:type="dxa"/>
              <w:right w:w="90" w:type="dxa"/>
            </w:tcMar>
          </w:tcPr>
          <w:p w14:paraId="38583D5A" w14:textId="77777777" w:rsidR="004971F5" w:rsidRDefault="00000000" w:rsidP="00A71138">
            <w:pPr>
              <w:spacing w:before="100" w:beforeAutospacing="1" w:after="100" w:afterAutospacing="1"/>
            </w:pPr>
            <w:r>
              <w:rPr>
                <w:sz w:val="18"/>
                <w:szCs w:val="18"/>
              </w:rPr>
              <w:t>High one-year discontinuation and frequent failure to reach maintenance dose; no predictive model exists and engagement data cannot separate prediction from reverse causation</w:t>
            </w:r>
          </w:p>
        </w:tc>
        <w:tc>
          <w:tcPr>
            <w:tcW w:w="1413" w:type="pct"/>
            <w:tcMar>
              <w:top w:w="60" w:type="dxa"/>
              <w:left w:w="90" w:type="dxa"/>
              <w:bottom w:w="60" w:type="dxa"/>
              <w:right w:w="90" w:type="dxa"/>
            </w:tcMar>
          </w:tcPr>
          <w:p w14:paraId="2C366DED" w14:textId="77777777" w:rsidR="004971F5" w:rsidRDefault="00000000" w:rsidP="00A71138">
            <w:pPr>
              <w:spacing w:before="100" w:beforeAutospacing="1" w:after="100" w:afterAutospacing="1"/>
            </w:pPr>
            <w:r>
              <w:rPr>
                <w:sz w:val="18"/>
                <w:szCs w:val="18"/>
              </w:rPr>
              <w:t>Dynamic model built on the first 8 to 12 weeks of weight, symptom and dispensing data with calibration reporting, followed by pragmatic randomised evaluation of model-triggered outreach; persistence, maintenance-dose attainment, weight change and symptom burden</w:t>
            </w:r>
          </w:p>
        </w:tc>
        <w:tc>
          <w:tcPr>
            <w:tcW w:w="543" w:type="pct"/>
            <w:tcMar>
              <w:top w:w="60" w:type="dxa"/>
              <w:left w:w="90" w:type="dxa"/>
              <w:bottom w:w="60" w:type="dxa"/>
              <w:right w:w="90" w:type="dxa"/>
            </w:tcMar>
          </w:tcPr>
          <w:p w14:paraId="3F23FAD5" w14:textId="77777777" w:rsidR="004971F5" w:rsidRDefault="00000000" w:rsidP="00A71138">
            <w:pPr>
              <w:spacing w:before="100" w:beforeAutospacing="1" w:after="100" w:afterAutospacing="1"/>
            </w:pPr>
            <w:r>
              <w:rPr>
                <w:sz w:val="18"/>
                <w:szCs w:val="18"/>
              </w:rPr>
              <w:t>Immediate</w:t>
            </w:r>
          </w:p>
        </w:tc>
        <w:tc>
          <w:tcPr>
            <w:tcW w:w="652" w:type="pct"/>
            <w:tcMar>
              <w:top w:w="60" w:type="dxa"/>
              <w:left w:w="90" w:type="dxa"/>
              <w:bottom w:w="60" w:type="dxa"/>
              <w:right w:w="90" w:type="dxa"/>
            </w:tcMar>
          </w:tcPr>
          <w:p w14:paraId="625AA022" w14:textId="77777777" w:rsidR="004971F5" w:rsidRDefault="00000000" w:rsidP="00A71138">
            <w:pPr>
              <w:spacing w:before="100" w:beforeAutospacing="1" w:after="100" w:afterAutospacing="1"/>
            </w:pPr>
            <w:r>
              <w:rPr>
                <w:sz w:val="18"/>
                <w:szCs w:val="18"/>
              </w:rPr>
              <w:t>Gleason et al. (2024); Johnson et al. (2026); Ulrich et al. (2026)</w:t>
            </w:r>
          </w:p>
        </w:tc>
      </w:tr>
      <w:tr w:rsidR="004971F5" w14:paraId="58523ED9" w14:textId="77777777" w:rsidTr="00A71138">
        <w:tc>
          <w:tcPr>
            <w:tcW w:w="1033" w:type="pct"/>
            <w:tcMar>
              <w:top w:w="60" w:type="dxa"/>
              <w:left w:w="90" w:type="dxa"/>
              <w:bottom w:w="60" w:type="dxa"/>
              <w:right w:w="90" w:type="dxa"/>
            </w:tcMar>
          </w:tcPr>
          <w:p w14:paraId="1E1CD8D5" w14:textId="77777777" w:rsidR="004971F5" w:rsidRDefault="00000000" w:rsidP="00A71138">
            <w:pPr>
              <w:spacing w:before="100" w:beforeAutospacing="1" w:after="100" w:afterAutospacing="1"/>
            </w:pPr>
            <w:r>
              <w:rPr>
                <w:sz w:val="18"/>
                <w:szCs w:val="18"/>
              </w:rPr>
              <w:t>Prospective evaluation of risk-based prioritisation</w:t>
            </w:r>
          </w:p>
        </w:tc>
        <w:tc>
          <w:tcPr>
            <w:tcW w:w="1358" w:type="pct"/>
            <w:tcMar>
              <w:top w:w="60" w:type="dxa"/>
              <w:left w:w="90" w:type="dxa"/>
              <w:bottom w:w="60" w:type="dxa"/>
              <w:right w:w="90" w:type="dxa"/>
            </w:tcMar>
          </w:tcPr>
          <w:p w14:paraId="53B737D2" w14:textId="77777777" w:rsidR="004971F5" w:rsidRDefault="00000000" w:rsidP="00A71138">
            <w:pPr>
              <w:spacing w:before="100" w:beforeAutospacing="1" w:after="100" w:afterAutospacing="1"/>
            </w:pPr>
            <w:r>
              <w:rPr>
                <w:sz w:val="18"/>
                <w:szCs w:val="18"/>
              </w:rPr>
              <w:t>Complication-risk scores stratify strongly and weight loss appears similar across strata, but the effect of deployment on who receives treatment is unknown</w:t>
            </w:r>
          </w:p>
        </w:tc>
        <w:tc>
          <w:tcPr>
            <w:tcW w:w="1413" w:type="pct"/>
            <w:tcMar>
              <w:top w:w="60" w:type="dxa"/>
              <w:left w:w="90" w:type="dxa"/>
              <w:bottom w:w="60" w:type="dxa"/>
              <w:right w:w="90" w:type="dxa"/>
            </w:tcMar>
          </w:tcPr>
          <w:p w14:paraId="36E56854" w14:textId="77777777" w:rsidR="004971F5" w:rsidRDefault="00000000" w:rsidP="00A71138">
            <w:pPr>
              <w:spacing w:before="100" w:beforeAutospacing="1" w:after="100" w:afterAutospacing="1"/>
            </w:pPr>
            <w:r>
              <w:rPr>
                <w:sz w:val="18"/>
                <w:szCs w:val="18"/>
              </w:rPr>
              <w:t>Cluster-randomised implementation study in primary care; risk distribution and socioeconomic and ethnic distribution of initiators as primary outcomes, with complication incidence as a downstream outcome</w:t>
            </w:r>
          </w:p>
        </w:tc>
        <w:tc>
          <w:tcPr>
            <w:tcW w:w="543" w:type="pct"/>
            <w:tcMar>
              <w:top w:w="60" w:type="dxa"/>
              <w:left w:w="90" w:type="dxa"/>
              <w:bottom w:w="60" w:type="dxa"/>
              <w:right w:w="90" w:type="dxa"/>
            </w:tcMar>
          </w:tcPr>
          <w:p w14:paraId="19E02DB8" w14:textId="77777777" w:rsidR="004971F5" w:rsidRDefault="00000000" w:rsidP="00A71138">
            <w:pPr>
              <w:spacing w:before="100" w:beforeAutospacing="1" w:after="100" w:afterAutospacing="1"/>
            </w:pPr>
            <w:r>
              <w:rPr>
                <w:sz w:val="18"/>
                <w:szCs w:val="18"/>
              </w:rPr>
              <w:t>Immediate</w:t>
            </w:r>
          </w:p>
        </w:tc>
        <w:tc>
          <w:tcPr>
            <w:tcW w:w="652" w:type="pct"/>
            <w:tcMar>
              <w:top w:w="60" w:type="dxa"/>
              <w:left w:w="90" w:type="dxa"/>
              <w:bottom w:w="60" w:type="dxa"/>
              <w:right w:w="90" w:type="dxa"/>
            </w:tcMar>
          </w:tcPr>
          <w:p w14:paraId="48469F18" w14:textId="77777777" w:rsidR="004971F5" w:rsidRDefault="00000000" w:rsidP="00A71138">
            <w:pPr>
              <w:spacing w:before="100" w:beforeAutospacing="1" w:after="100" w:afterAutospacing="1"/>
            </w:pPr>
            <w:r>
              <w:rPr>
                <w:sz w:val="18"/>
                <w:szCs w:val="18"/>
              </w:rPr>
              <w:t>Demircan et al. (2026); Eberly et al. (2021)</w:t>
            </w:r>
          </w:p>
        </w:tc>
      </w:tr>
      <w:tr w:rsidR="004971F5" w14:paraId="7CB6865C" w14:textId="77777777" w:rsidTr="00A71138">
        <w:tc>
          <w:tcPr>
            <w:tcW w:w="1033" w:type="pct"/>
            <w:tcMar>
              <w:top w:w="60" w:type="dxa"/>
              <w:left w:w="90" w:type="dxa"/>
              <w:bottom w:w="60" w:type="dxa"/>
              <w:right w:w="90" w:type="dxa"/>
            </w:tcMar>
          </w:tcPr>
          <w:p w14:paraId="6641F095" w14:textId="77777777" w:rsidR="004971F5" w:rsidRDefault="00000000" w:rsidP="00A71138">
            <w:pPr>
              <w:spacing w:before="100" w:beforeAutospacing="1" w:after="100" w:afterAutospacing="1"/>
            </w:pPr>
            <w:r>
              <w:rPr>
                <w:sz w:val="18"/>
                <w:szCs w:val="18"/>
              </w:rPr>
              <w:t>Standardised exposure and outcome definitions</w:t>
            </w:r>
          </w:p>
        </w:tc>
        <w:tc>
          <w:tcPr>
            <w:tcW w:w="1358" w:type="pct"/>
            <w:tcMar>
              <w:top w:w="60" w:type="dxa"/>
              <w:left w:w="90" w:type="dxa"/>
              <w:bottom w:w="60" w:type="dxa"/>
              <w:right w:w="90" w:type="dxa"/>
            </w:tcMar>
          </w:tcPr>
          <w:p w14:paraId="0AB77799" w14:textId="77777777" w:rsidR="004971F5" w:rsidRDefault="00000000" w:rsidP="00A71138">
            <w:pPr>
              <w:spacing w:before="100" w:beforeAutospacing="1" w:after="100" w:afterAutospacing="1"/>
            </w:pPr>
            <w:r>
              <w:rPr>
                <w:sz w:val="18"/>
                <w:szCs w:val="18"/>
              </w:rPr>
              <w:t>Adherence, persistence, engagement and response are defined inconsistently, preventing comparison and confounding external validation</w:t>
            </w:r>
          </w:p>
        </w:tc>
        <w:tc>
          <w:tcPr>
            <w:tcW w:w="1413" w:type="pct"/>
            <w:tcMar>
              <w:top w:w="60" w:type="dxa"/>
              <w:left w:w="90" w:type="dxa"/>
              <w:bottom w:w="60" w:type="dxa"/>
              <w:right w:w="90" w:type="dxa"/>
            </w:tcMar>
          </w:tcPr>
          <w:p w14:paraId="3B73D889" w14:textId="77777777" w:rsidR="004971F5" w:rsidRDefault="00000000" w:rsidP="00A71138">
            <w:pPr>
              <w:spacing w:before="100" w:beforeAutospacing="1" w:after="100" w:afterAutospacing="1"/>
            </w:pPr>
            <w:r>
              <w:rPr>
                <w:sz w:val="18"/>
                <w:szCs w:val="18"/>
              </w:rPr>
              <w:t>Consensus process producing a minimum data specification with agreed definitions of permissible gap, maintenance-dose attainment, clinically meaningful response and symptom burden</w:t>
            </w:r>
          </w:p>
        </w:tc>
        <w:tc>
          <w:tcPr>
            <w:tcW w:w="543" w:type="pct"/>
            <w:tcMar>
              <w:top w:w="60" w:type="dxa"/>
              <w:left w:w="90" w:type="dxa"/>
              <w:bottom w:w="60" w:type="dxa"/>
              <w:right w:w="90" w:type="dxa"/>
            </w:tcMar>
          </w:tcPr>
          <w:p w14:paraId="6646E333" w14:textId="77777777" w:rsidR="004971F5" w:rsidRDefault="00000000" w:rsidP="00A71138">
            <w:pPr>
              <w:spacing w:before="100" w:beforeAutospacing="1" w:after="100" w:afterAutospacing="1"/>
            </w:pPr>
            <w:r>
              <w:rPr>
                <w:sz w:val="18"/>
                <w:szCs w:val="18"/>
              </w:rPr>
              <w:t>Immediate</w:t>
            </w:r>
          </w:p>
        </w:tc>
        <w:tc>
          <w:tcPr>
            <w:tcW w:w="652" w:type="pct"/>
            <w:tcMar>
              <w:top w:w="60" w:type="dxa"/>
              <w:left w:w="90" w:type="dxa"/>
              <w:bottom w:w="60" w:type="dxa"/>
              <w:right w:w="90" w:type="dxa"/>
            </w:tcMar>
          </w:tcPr>
          <w:p w14:paraId="4886F6CA" w14:textId="77777777" w:rsidR="004971F5" w:rsidRDefault="00000000" w:rsidP="00A71138">
            <w:pPr>
              <w:spacing w:before="100" w:beforeAutospacing="1" w:after="100" w:afterAutospacing="1"/>
            </w:pPr>
            <w:proofErr w:type="spellStart"/>
            <w:r>
              <w:rPr>
                <w:sz w:val="18"/>
                <w:szCs w:val="18"/>
              </w:rPr>
              <w:t>Andaur</w:t>
            </w:r>
            <w:proofErr w:type="spellEnd"/>
            <w:r>
              <w:rPr>
                <w:sz w:val="18"/>
                <w:szCs w:val="18"/>
              </w:rPr>
              <w:t xml:space="preserve"> Navarro et al. (2021); Collins et al. (2024)</w:t>
            </w:r>
          </w:p>
        </w:tc>
      </w:tr>
      <w:tr w:rsidR="004971F5" w14:paraId="611E13CE" w14:textId="77777777" w:rsidTr="00A71138">
        <w:tc>
          <w:tcPr>
            <w:tcW w:w="1033" w:type="pct"/>
            <w:tcMar>
              <w:top w:w="60" w:type="dxa"/>
              <w:left w:w="90" w:type="dxa"/>
              <w:bottom w:w="60" w:type="dxa"/>
              <w:right w:w="90" w:type="dxa"/>
            </w:tcMar>
          </w:tcPr>
          <w:p w14:paraId="014D759B" w14:textId="77777777" w:rsidR="004971F5" w:rsidRDefault="00000000" w:rsidP="00A71138">
            <w:pPr>
              <w:spacing w:before="100" w:beforeAutospacing="1" w:after="100" w:afterAutospacing="1"/>
            </w:pPr>
            <w:r>
              <w:rPr>
                <w:sz w:val="18"/>
                <w:szCs w:val="18"/>
              </w:rPr>
              <w:t>Mechanistic validation of continuous glucose monitoring analytics during therapy</w:t>
            </w:r>
          </w:p>
        </w:tc>
        <w:tc>
          <w:tcPr>
            <w:tcW w:w="1358" w:type="pct"/>
            <w:tcMar>
              <w:top w:w="60" w:type="dxa"/>
              <w:left w:w="90" w:type="dxa"/>
              <w:bottom w:w="60" w:type="dxa"/>
              <w:right w:w="90" w:type="dxa"/>
            </w:tcMar>
          </w:tcPr>
          <w:p w14:paraId="13A56A4B" w14:textId="77777777" w:rsidR="004971F5" w:rsidRDefault="00000000" w:rsidP="00A71138">
            <w:pPr>
              <w:spacing w:before="100" w:beforeAutospacing="1" w:after="100" w:afterAutospacing="1"/>
            </w:pPr>
            <w:r>
              <w:rPr>
                <w:sz w:val="18"/>
                <w:szCs w:val="18"/>
              </w:rPr>
              <w:t>Feature-outcome relationships established in untreated populations may not hold once gastric emptying and postprandial excursion are pharmacologically altered</w:t>
            </w:r>
          </w:p>
        </w:tc>
        <w:tc>
          <w:tcPr>
            <w:tcW w:w="1413" w:type="pct"/>
            <w:tcMar>
              <w:top w:w="60" w:type="dxa"/>
              <w:left w:w="90" w:type="dxa"/>
              <w:bottom w:w="60" w:type="dxa"/>
              <w:right w:w="90" w:type="dxa"/>
            </w:tcMar>
          </w:tcPr>
          <w:p w14:paraId="4BEB6E74" w14:textId="77777777" w:rsidR="004971F5" w:rsidRDefault="00000000" w:rsidP="00A71138">
            <w:pPr>
              <w:spacing w:before="100" w:beforeAutospacing="1" w:after="100" w:afterAutospacing="1"/>
            </w:pPr>
            <w:r>
              <w:rPr>
                <w:sz w:val="18"/>
                <w:szCs w:val="18"/>
              </w:rPr>
              <w:t>Paired continuous glucose monitoring and reference metabolic testing before and during initiation, sized to test preservation of feature-outcome relationships</w:t>
            </w:r>
          </w:p>
        </w:tc>
        <w:tc>
          <w:tcPr>
            <w:tcW w:w="543" w:type="pct"/>
            <w:tcMar>
              <w:top w:w="60" w:type="dxa"/>
              <w:left w:w="90" w:type="dxa"/>
              <w:bottom w:w="60" w:type="dxa"/>
              <w:right w:w="90" w:type="dxa"/>
            </w:tcMar>
          </w:tcPr>
          <w:p w14:paraId="21F927C1" w14:textId="77777777" w:rsidR="004971F5" w:rsidRDefault="00000000" w:rsidP="00A71138">
            <w:pPr>
              <w:spacing w:before="100" w:beforeAutospacing="1" w:after="100" w:afterAutospacing="1"/>
            </w:pPr>
            <w:r>
              <w:rPr>
                <w:sz w:val="18"/>
                <w:szCs w:val="18"/>
              </w:rPr>
              <w:t>Medium term</w:t>
            </w:r>
          </w:p>
        </w:tc>
        <w:tc>
          <w:tcPr>
            <w:tcW w:w="652" w:type="pct"/>
            <w:tcMar>
              <w:top w:w="60" w:type="dxa"/>
              <w:left w:w="90" w:type="dxa"/>
              <w:bottom w:w="60" w:type="dxa"/>
              <w:right w:w="90" w:type="dxa"/>
            </w:tcMar>
          </w:tcPr>
          <w:p w14:paraId="6E76DD8B" w14:textId="77777777" w:rsidR="004971F5" w:rsidRDefault="00000000" w:rsidP="00A71138">
            <w:pPr>
              <w:spacing w:before="100" w:beforeAutospacing="1" w:after="100" w:afterAutospacing="1"/>
            </w:pPr>
            <w:proofErr w:type="spellStart"/>
            <w:r>
              <w:rPr>
                <w:sz w:val="18"/>
                <w:szCs w:val="18"/>
              </w:rPr>
              <w:t>Lutsker</w:t>
            </w:r>
            <w:proofErr w:type="spellEnd"/>
            <w:r>
              <w:rPr>
                <w:sz w:val="18"/>
                <w:szCs w:val="18"/>
              </w:rPr>
              <w:t xml:space="preserve"> et al. (2026); Metwally et al. (2025)</w:t>
            </w:r>
          </w:p>
        </w:tc>
      </w:tr>
      <w:tr w:rsidR="004971F5" w14:paraId="03978D53" w14:textId="77777777" w:rsidTr="00A71138">
        <w:tc>
          <w:tcPr>
            <w:tcW w:w="1033" w:type="pct"/>
            <w:tcMar>
              <w:top w:w="60" w:type="dxa"/>
              <w:left w:w="90" w:type="dxa"/>
              <w:bottom w:w="60" w:type="dxa"/>
              <w:right w:w="90" w:type="dxa"/>
            </w:tcMar>
          </w:tcPr>
          <w:p w14:paraId="59EABED8" w14:textId="77777777" w:rsidR="004971F5" w:rsidRDefault="00000000" w:rsidP="00A71138">
            <w:pPr>
              <w:spacing w:before="100" w:beforeAutospacing="1" w:after="100" w:afterAutospacing="1"/>
            </w:pPr>
            <w:r>
              <w:rPr>
                <w:sz w:val="18"/>
                <w:szCs w:val="18"/>
              </w:rPr>
              <w:t>Supervised clinical evaluation of language-model decision support</w:t>
            </w:r>
          </w:p>
        </w:tc>
        <w:tc>
          <w:tcPr>
            <w:tcW w:w="1358" w:type="pct"/>
            <w:tcMar>
              <w:top w:w="60" w:type="dxa"/>
              <w:left w:w="90" w:type="dxa"/>
              <w:bottom w:w="60" w:type="dxa"/>
              <w:right w:w="90" w:type="dxa"/>
            </w:tcMar>
          </w:tcPr>
          <w:p w14:paraId="1DA84BB9" w14:textId="77777777" w:rsidR="004971F5" w:rsidRDefault="00000000" w:rsidP="00A71138">
            <w:pPr>
              <w:spacing w:before="100" w:beforeAutospacing="1" w:after="100" w:afterAutospacing="1"/>
            </w:pPr>
            <w:r>
              <w:rPr>
                <w:sz w:val="18"/>
                <w:szCs w:val="18"/>
              </w:rPr>
              <w:t>Residual unsafe recommendation rates persist in simulation and no prospective evaluation exists in incretin prescribing</w:t>
            </w:r>
          </w:p>
        </w:tc>
        <w:tc>
          <w:tcPr>
            <w:tcW w:w="1413" w:type="pct"/>
            <w:tcMar>
              <w:top w:w="60" w:type="dxa"/>
              <w:left w:w="90" w:type="dxa"/>
              <w:bottom w:w="60" w:type="dxa"/>
              <w:right w:w="90" w:type="dxa"/>
            </w:tcMar>
          </w:tcPr>
          <w:p w14:paraId="5C6DB738" w14:textId="77777777" w:rsidR="004971F5" w:rsidRDefault="00000000" w:rsidP="00A71138">
            <w:pPr>
              <w:spacing w:before="100" w:beforeAutospacing="1" w:after="100" w:afterAutospacing="1"/>
            </w:pPr>
            <w:r>
              <w:rPr>
                <w:sz w:val="18"/>
                <w:szCs w:val="18"/>
              </w:rPr>
              <w:t>Randomised assignment of clinicians to assisted or unassisted management of complex real cases with blinded expert adjudication and explicit error, omission and bias quantification</w:t>
            </w:r>
          </w:p>
        </w:tc>
        <w:tc>
          <w:tcPr>
            <w:tcW w:w="543" w:type="pct"/>
            <w:tcMar>
              <w:top w:w="60" w:type="dxa"/>
              <w:left w:w="90" w:type="dxa"/>
              <w:bottom w:w="60" w:type="dxa"/>
              <w:right w:w="90" w:type="dxa"/>
            </w:tcMar>
          </w:tcPr>
          <w:p w14:paraId="781AD654" w14:textId="77777777" w:rsidR="004971F5" w:rsidRDefault="00000000" w:rsidP="00A71138">
            <w:pPr>
              <w:spacing w:before="100" w:beforeAutospacing="1" w:after="100" w:afterAutospacing="1"/>
            </w:pPr>
            <w:r>
              <w:rPr>
                <w:sz w:val="18"/>
                <w:szCs w:val="18"/>
              </w:rPr>
              <w:t>Medium term</w:t>
            </w:r>
          </w:p>
        </w:tc>
        <w:tc>
          <w:tcPr>
            <w:tcW w:w="652" w:type="pct"/>
            <w:tcMar>
              <w:top w:w="60" w:type="dxa"/>
              <w:left w:w="90" w:type="dxa"/>
              <w:bottom w:w="60" w:type="dxa"/>
              <w:right w:w="90" w:type="dxa"/>
            </w:tcMar>
          </w:tcPr>
          <w:p w14:paraId="389D3F70" w14:textId="77777777" w:rsidR="004971F5" w:rsidRDefault="00000000" w:rsidP="00A71138">
            <w:pPr>
              <w:spacing w:before="100" w:beforeAutospacing="1" w:after="100" w:afterAutospacing="1"/>
            </w:pPr>
            <w:proofErr w:type="spellStart"/>
            <w:r>
              <w:rPr>
                <w:sz w:val="18"/>
                <w:szCs w:val="18"/>
              </w:rPr>
              <w:t>Çalışkan</w:t>
            </w:r>
            <w:proofErr w:type="spellEnd"/>
            <w:r>
              <w:rPr>
                <w:sz w:val="18"/>
                <w:szCs w:val="18"/>
              </w:rPr>
              <w:t xml:space="preserve"> &amp; Başak (2026); O'Sullivan et al. (2026)</w:t>
            </w:r>
          </w:p>
        </w:tc>
      </w:tr>
      <w:tr w:rsidR="004971F5" w14:paraId="15ADE980" w14:textId="77777777" w:rsidTr="00A71138">
        <w:tc>
          <w:tcPr>
            <w:tcW w:w="1033" w:type="pct"/>
            <w:tcMar>
              <w:top w:w="60" w:type="dxa"/>
              <w:left w:w="90" w:type="dxa"/>
              <w:bottom w:w="60" w:type="dxa"/>
              <w:right w:w="90" w:type="dxa"/>
            </w:tcMar>
          </w:tcPr>
          <w:p w14:paraId="68155043" w14:textId="77777777" w:rsidR="004971F5" w:rsidRDefault="00000000" w:rsidP="00A71138">
            <w:pPr>
              <w:spacing w:before="100" w:beforeAutospacing="1" w:after="100" w:afterAutospacing="1"/>
            </w:pPr>
            <w:r>
              <w:rPr>
                <w:sz w:val="18"/>
                <w:szCs w:val="18"/>
              </w:rPr>
              <w:t>Evaluation methods for adaptive and version-dependent systems</w:t>
            </w:r>
          </w:p>
        </w:tc>
        <w:tc>
          <w:tcPr>
            <w:tcW w:w="1358" w:type="pct"/>
            <w:tcMar>
              <w:top w:w="60" w:type="dxa"/>
              <w:left w:w="90" w:type="dxa"/>
              <w:bottom w:w="60" w:type="dxa"/>
              <w:right w:w="90" w:type="dxa"/>
            </w:tcMar>
          </w:tcPr>
          <w:p w14:paraId="14B51380" w14:textId="77777777" w:rsidR="004971F5" w:rsidRDefault="00000000" w:rsidP="00A71138">
            <w:pPr>
              <w:spacing w:before="100" w:beforeAutospacing="1" w:after="100" w:afterAutospacing="1"/>
            </w:pPr>
            <w:r>
              <w:rPr>
                <w:sz w:val="18"/>
                <w:szCs w:val="18"/>
              </w:rPr>
              <w:t xml:space="preserve">Existing frameworks assume a fixed model evaluated once, whereas retraining and model </w:t>
            </w:r>
            <w:r>
              <w:rPr>
                <w:sz w:val="18"/>
                <w:szCs w:val="18"/>
              </w:rPr>
              <w:lastRenderedPageBreak/>
              <w:t>replacement occur faster than evaluation</w:t>
            </w:r>
          </w:p>
        </w:tc>
        <w:tc>
          <w:tcPr>
            <w:tcW w:w="1413" w:type="pct"/>
            <w:tcMar>
              <w:top w:w="60" w:type="dxa"/>
              <w:left w:w="90" w:type="dxa"/>
              <w:bottom w:w="60" w:type="dxa"/>
              <w:right w:w="90" w:type="dxa"/>
            </w:tcMar>
          </w:tcPr>
          <w:p w14:paraId="01B9E454" w14:textId="77777777" w:rsidR="004971F5" w:rsidRDefault="00000000" w:rsidP="00A71138">
            <w:pPr>
              <w:spacing w:before="100" w:beforeAutospacing="1" w:after="100" w:afterAutospacing="1"/>
            </w:pPr>
            <w:r>
              <w:rPr>
                <w:sz w:val="18"/>
                <w:szCs w:val="18"/>
              </w:rPr>
              <w:lastRenderedPageBreak/>
              <w:t xml:space="preserve">Development of continuous performance monitoring with prespecified degradation thresholds, supported by </w:t>
            </w:r>
            <w:r>
              <w:rPr>
                <w:sz w:val="18"/>
                <w:szCs w:val="18"/>
              </w:rPr>
              <w:lastRenderedPageBreak/>
              <w:t>privacy-preserving multi-site architectures and risk-proportionate regulatory classification</w:t>
            </w:r>
          </w:p>
        </w:tc>
        <w:tc>
          <w:tcPr>
            <w:tcW w:w="543" w:type="pct"/>
            <w:tcMar>
              <w:top w:w="60" w:type="dxa"/>
              <w:left w:w="90" w:type="dxa"/>
              <w:bottom w:w="60" w:type="dxa"/>
              <w:right w:w="90" w:type="dxa"/>
            </w:tcMar>
          </w:tcPr>
          <w:p w14:paraId="5379214A" w14:textId="77777777" w:rsidR="004971F5" w:rsidRDefault="00000000" w:rsidP="00A71138">
            <w:pPr>
              <w:spacing w:before="100" w:beforeAutospacing="1" w:after="100" w:afterAutospacing="1"/>
            </w:pPr>
            <w:r>
              <w:rPr>
                <w:sz w:val="18"/>
                <w:szCs w:val="18"/>
              </w:rPr>
              <w:lastRenderedPageBreak/>
              <w:t>Long term</w:t>
            </w:r>
          </w:p>
        </w:tc>
        <w:tc>
          <w:tcPr>
            <w:tcW w:w="652" w:type="pct"/>
            <w:tcMar>
              <w:top w:w="60" w:type="dxa"/>
              <w:left w:w="90" w:type="dxa"/>
              <w:bottom w:w="60" w:type="dxa"/>
              <w:right w:w="90" w:type="dxa"/>
            </w:tcMar>
          </w:tcPr>
          <w:p w14:paraId="68FEE541" w14:textId="77777777" w:rsidR="004971F5" w:rsidRDefault="00000000" w:rsidP="00A71138">
            <w:pPr>
              <w:spacing w:before="100" w:beforeAutospacing="1" w:after="100" w:afterAutospacing="1"/>
            </w:pPr>
            <w:r>
              <w:rPr>
                <w:sz w:val="18"/>
                <w:szCs w:val="18"/>
              </w:rPr>
              <w:t xml:space="preserve">Finlayson et al. (2021); Rademakers et al. (2025); </w:t>
            </w:r>
            <w:r>
              <w:rPr>
                <w:sz w:val="18"/>
                <w:szCs w:val="18"/>
              </w:rPr>
              <w:lastRenderedPageBreak/>
              <w:t>Rieke et al. (2020)</w:t>
            </w:r>
          </w:p>
        </w:tc>
      </w:tr>
    </w:tbl>
    <w:p w14:paraId="4BE382C8" w14:textId="77777777" w:rsidR="004971F5" w:rsidRDefault="00000000" w:rsidP="00A71138">
      <w:pPr>
        <w:spacing w:before="100" w:beforeAutospacing="1" w:after="100" w:afterAutospacing="1"/>
      </w:pPr>
      <w:r>
        <w:rPr>
          <w:i/>
          <w:iCs/>
          <w:sz w:val="20"/>
          <w:szCs w:val="20"/>
        </w:rPr>
        <w:lastRenderedPageBreak/>
        <w:t>Note. Time horizon refers to the feasibility of initiating the proposed work with existing data infrastructure and methods rather than to the duration of the study.</w:t>
      </w:r>
    </w:p>
    <w:p w14:paraId="721CFDBB" w14:textId="77777777" w:rsidR="004971F5" w:rsidRDefault="00000000" w:rsidP="00A71138">
      <w:pPr>
        <w:pStyle w:val="Heading1"/>
        <w:spacing w:before="100" w:beforeAutospacing="1" w:after="100" w:afterAutospacing="1"/>
      </w:pPr>
      <w:r>
        <w:rPr>
          <w:b/>
          <w:bCs/>
          <w:sz w:val="26"/>
          <w:szCs w:val="26"/>
        </w:rPr>
        <w:t>11. Conclusions</w:t>
      </w:r>
    </w:p>
    <w:p w14:paraId="5D3EEF49" w14:textId="77777777" w:rsidR="004971F5" w:rsidRDefault="00000000" w:rsidP="00A71138">
      <w:pPr>
        <w:spacing w:before="100" w:beforeAutospacing="1" w:after="100" w:afterAutospacing="1"/>
        <w:jc w:val="both"/>
      </w:pPr>
      <w:r>
        <w:t>The clinical case for computational assistance in glucagon-like peptide-1 receptor agonist therapy rests on secure foundations. Response varies widely between individuals, selection in routine practice follows body mass index and age more closely than cardiometabolic risk, a large proportion of initiators discontinue within a year, most do not reach recommended maintenance doses, benefit reverses rapidly on withdrawal, and access is stratified along social lines. These are documented deficiencies in decisions that generate and consume large volumes of routinely collected data, which is the situation in which computational support is most plausibly useful.</w:t>
      </w:r>
    </w:p>
    <w:p w14:paraId="526EA334" w14:textId="77777777" w:rsidR="004971F5" w:rsidRDefault="00000000" w:rsidP="00A71138">
      <w:pPr>
        <w:spacing w:before="100" w:beforeAutospacing="1" w:after="100" w:afterAutospacing="1"/>
        <w:jc w:val="both"/>
      </w:pPr>
      <w:r>
        <w:t>The evidence that such support currently delivers benefit is considerably weaker. Response-prediction models are developed retrospectively in single data environments, evaluated by discrimination alone, and reported without calibration, decision-curve analysis or external validation. Several of the most impressive performance figures are attributable to outcome definitions dominated by baseline values or to training labels generated by the very rule the model is said to have learned. Attribution methods are widely used and widely over-interpreted, their output described in mechanistic language when it describes only model behaviour under severe predictor collinearity. Monitoring applications and digital engagement platforms show consistent and clinically substantial associations with better outcomes, but their designs cannot separate the contribution of the technology from the characteristics of those who use it, since engagement is itself a consequence of early response. Automated safety surveillance efficiently characterises reporting patterns but cannot resolve confounding by indication or channelling, as the divergent findings on optic neuropathy demonstrate with unusual clarity.</w:t>
      </w:r>
    </w:p>
    <w:p w14:paraId="7977DA01" w14:textId="77777777" w:rsidR="004971F5" w:rsidRDefault="00000000" w:rsidP="00A71138">
      <w:pPr>
        <w:spacing w:before="100" w:beforeAutospacing="1" w:after="100" w:afterAutospacing="1"/>
        <w:jc w:val="both"/>
      </w:pPr>
      <w:r>
        <w:t>Two conclusions can be stated with reasonable confidence. Prioritisation by absolute risk of obesity-related complications is better grounded than prediction of weight response, because it depends on the established relationship between baseline risk and absolute benefit rather than on treatment-effect heterogeneity that has not been demonstrated. Stratification anchored in measured physiology has performed better than stratification derived from routine covariates, which indicates that the informative variation lies below the level captured by administrative data. Both conclusions point away from the dominant research strategy in the field.</w:t>
      </w:r>
    </w:p>
    <w:p w14:paraId="05F34995" w14:textId="77777777" w:rsidR="004971F5" w:rsidRDefault="00000000" w:rsidP="00A71138">
      <w:pPr>
        <w:spacing w:before="100" w:beforeAutospacing="1" w:after="100" w:afterAutospacing="1"/>
        <w:jc w:val="both"/>
      </w:pPr>
      <w:r>
        <w:t>A third conclusion follows from the pattern of activity rather than from any single result. Computational effort is concentrated at initiation, where retrospective data are easiest to assemble, and is sparsest at titration, tolerability management and continuation, where the analysis presented here locates the largest recoverable losses. Realigning effort towards dynamic, in-treatment prediction, and evaluating it prospectively with calibration and equity as primary rather than incidental concerns, would do more to improve outcomes than further refinement of baseline response models.</w:t>
      </w:r>
    </w:p>
    <w:p w14:paraId="615A9E49" w14:textId="77777777" w:rsidR="004971F5" w:rsidRDefault="00000000" w:rsidP="00A71138">
      <w:pPr>
        <w:spacing w:before="100" w:beforeAutospacing="1" w:after="100" w:afterAutospacing="1"/>
        <w:jc w:val="both"/>
      </w:pPr>
      <w:r>
        <w:lastRenderedPageBreak/>
        <w:t>The broader significance of this synthesis lies in the mismatch between the maturity of the therapy and the maturity of the tools proposed to optimise it. Incretin pharmacotherapy has been evaluated in large randomised trials with hard outcomes; the computational systems advanced to improve its delivery have not been evaluated prospectively at all in this context. Until that asymmetry is addressed, claims that artificial intelligence optimises glucagon-like peptide-1 receptor agonist therapy should be regarded as a research programme rather than as a description of current capability.</w:t>
      </w:r>
    </w:p>
    <w:p w14:paraId="6C774975" w14:textId="77777777" w:rsidR="004971F5" w:rsidRDefault="00000000" w:rsidP="00A71138">
      <w:pPr>
        <w:pStyle w:val="Heading1"/>
        <w:spacing w:before="100" w:beforeAutospacing="1" w:after="100" w:afterAutospacing="1"/>
      </w:pPr>
      <w:r>
        <w:rPr>
          <w:b/>
          <w:bCs/>
          <w:sz w:val="26"/>
          <w:szCs w:val="26"/>
        </w:rPr>
        <w:t>12. Limitations</w:t>
      </w:r>
    </w:p>
    <w:p w14:paraId="3749FFC5" w14:textId="77777777" w:rsidR="004971F5" w:rsidRDefault="00000000" w:rsidP="00A71138">
      <w:pPr>
        <w:spacing w:before="100" w:beforeAutospacing="1" w:after="100" w:afterAutospacing="1"/>
        <w:jc w:val="both"/>
      </w:pPr>
      <w:r>
        <w:t>This article is a critical narrative review and carries the limitations intrinsic to that design. Selection of sources was purposive and interpretive rather than exhaustive, and although search concepts, sources, period and eligibility criteria were stated explicitly, the possibility remains that relevant work was not identified and that the emphasis given to particular studies reflects the judgement of the author. Narrative synthesis is susceptible to confirmation of an initial framing, and the decision to organise the evidence around the clinical decision pathway, while defensible, necessarily foregrounds some questions and marginalises others.</w:t>
      </w:r>
    </w:p>
    <w:p w14:paraId="2CE6028F" w14:textId="77777777" w:rsidR="004971F5" w:rsidRDefault="00000000" w:rsidP="00A71138">
      <w:pPr>
        <w:spacing w:before="100" w:beforeAutospacing="1" w:after="100" w:afterAutospacing="1"/>
        <w:jc w:val="both"/>
      </w:pPr>
      <w:r>
        <w:t>Access to subscription-based bibliographic indexes was not available during preparation, so searching was confined to one biomedical bibliographic index, one scholarly metadata registry and citation tracking from retrieved records. Coverage of engineering, computer science and health informatics literature is consequently likely to be incomplete, and applications reported primarily in conference proceedings will have been under-represented. The restriction to English-language publications is a further source of incompleteness, particularly given that substantial registry-based and digital health research in this therapeutic area is conducted in East Asia and continental Europe.</w:t>
      </w:r>
    </w:p>
    <w:p w14:paraId="0EFCE133" w14:textId="77777777" w:rsidR="004971F5" w:rsidRDefault="00000000" w:rsidP="00A71138">
      <w:pPr>
        <w:spacing w:before="100" w:beforeAutospacing="1" w:after="100" w:afterAutospacing="1"/>
        <w:jc w:val="both"/>
      </w:pPr>
      <w:r>
        <w:t>The evidence base itself imposes limitations that no review design could overcome. Studies differ so widely in data source, outcome definition, modelling approach and performance metric that quantitative synthesis was neither possible nor appropriate, and comparisons between reported performance figures are therefore qualitative. Geographical representation is uneven, with development datasets drawn predominantly from North American and Western European health systems, so conclusions about generalisability are correspondingly constrained. Most of the available evidence is observational and susceptible to confounding by indication, channelling and informative censoring. Long-term evidence is scarce in a field where the longest relevant follow-up is measured in months rather than years, and publication bias towards positive predictive performance is likely, since models that fail to discriminate are rarely reported.</w:t>
      </w:r>
    </w:p>
    <w:p w14:paraId="16580C50" w14:textId="77777777" w:rsidR="004971F5" w:rsidRDefault="00000000" w:rsidP="00A71138">
      <w:pPr>
        <w:spacing w:before="100" w:beforeAutospacing="1" w:after="100" w:afterAutospacing="1"/>
        <w:jc w:val="both"/>
      </w:pPr>
      <w:r>
        <w:t>Finally, the field is developing rapidly. New agents, new indications, revised eligibility criteria and successive generations of general-purpose language models will alter the evidentiary position within a short period, and specific performance figures cited here should be expected to date more quickly than the methodological conclusions drawn from them. Formal risk-of-bias scoring was not applied, because the constituent literatures are not amenable to a single recognised appraisal instrument and sufficient information for structured scoring was frequently unavailable; appraisal was therefore conducted narratively against the reporting standards identified in the methods.</w:t>
      </w:r>
    </w:p>
    <w:p w14:paraId="6BC8482B" w14:textId="77777777" w:rsidR="00D9534F" w:rsidRPr="000839CE" w:rsidRDefault="00D9534F" w:rsidP="00D9534F">
      <w:pPr>
        <w:rPr>
          <w:b/>
        </w:rPr>
      </w:pPr>
      <w:r w:rsidRPr="000839CE">
        <w:rPr>
          <w:b/>
        </w:rPr>
        <w:t>Declaration of AI Use</w:t>
      </w:r>
    </w:p>
    <w:p w14:paraId="7D8599F8" w14:textId="77777777" w:rsidR="00D9534F" w:rsidRPr="000839CE" w:rsidRDefault="00D9534F" w:rsidP="00D9534F"/>
    <w:p w14:paraId="0970C525" w14:textId="77777777" w:rsidR="00D9534F" w:rsidRPr="000839CE" w:rsidRDefault="00D9534F" w:rsidP="00D9534F">
      <w:pPr>
        <w:jc w:val="both"/>
      </w:pPr>
      <w:r w:rsidRPr="00C56790">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8846FF7" w14:textId="77777777" w:rsidR="00D9534F" w:rsidRDefault="00D9534F" w:rsidP="00A71138">
      <w:pPr>
        <w:spacing w:before="100" w:beforeAutospacing="1" w:after="100" w:afterAutospacing="1"/>
        <w:jc w:val="both"/>
      </w:pPr>
    </w:p>
    <w:p w14:paraId="4ADD2809" w14:textId="77777777" w:rsidR="004971F5" w:rsidRDefault="00000000" w:rsidP="00A71138">
      <w:pPr>
        <w:pStyle w:val="Heading1"/>
        <w:spacing w:before="100" w:beforeAutospacing="1" w:after="100" w:afterAutospacing="1"/>
      </w:pPr>
      <w:r>
        <w:rPr>
          <w:b/>
          <w:bCs/>
          <w:sz w:val="26"/>
          <w:szCs w:val="26"/>
        </w:rPr>
        <w:t>References</w:t>
      </w:r>
    </w:p>
    <w:p w14:paraId="2155CC58" w14:textId="77777777" w:rsidR="004971F5" w:rsidRDefault="00000000" w:rsidP="00A71138">
      <w:pPr>
        <w:spacing w:before="100" w:beforeAutospacing="1" w:after="100" w:afterAutospacing="1"/>
        <w:ind w:left="720" w:hanging="720"/>
      </w:pPr>
      <w:r>
        <w:t xml:space="preserve">Abegaz, T. M., &amp; Frietze, G. (2026). Machine learning algorithms for predicting </w:t>
      </w:r>
      <w:proofErr w:type="spellStart"/>
      <w:r>
        <w:t>glycemic</w:t>
      </w:r>
      <w:proofErr w:type="spellEnd"/>
      <w:r>
        <w:t xml:space="preserve"> control and weight loss outcomes in GLP-1 receptor agonist users. Frontiers in Artificial Intelligence, 9, 1861563. https://doi.org/10.3389/frai.2026.1861563</w:t>
      </w:r>
    </w:p>
    <w:p w14:paraId="738D1519" w14:textId="77777777" w:rsidR="004971F5" w:rsidRDefault="00000000" w:rsidP="00A71138">
      <w:pPr>
        <w:spacing w:before="100" w:beforeAutospacing="1" w:after="100" w:afterAutospacing="1"/>
        <w:ind w:left="720" w:hanging="720"/>
      </w:pPr>
      <w:r>
        <w:t xml:space="preserve">Acosta, A., Camilleri, M., Abu </w:t>
      </w:r>
      <w:proofErr w:type="spellStart"/>
      <w:r>
        <w:t>Dayyeh</w:t>
      </w:r>
      <w:proofErr w:type="spellEnd"/>
      <w:r>
        <w:t xml:space="preserve">, B., Calderon, G., Gonzalez, D., McRae, A., Rossini, W., Singh, S., Burton, D., &amp; Clark, M. M. (2021). Selection of </w:t>
      </w:r>
      <w:proofErr w:type="spellStart"/>
      <w:r>
        <w:t>antiobesity</w:t>
      </w:r>
      <w:proofErr w:type="spellEnd"/>
      <w:r>
        <w:t xml:space="preserve"> medications based on phenotypes enhances weight loss: A pragmatic trial in an obesity clinic. Obesity, 29(4), 662–671. https://doi.org/10.1002/oby.23120</w:t>
      </w:r>
    </w:p>
    <w:p w14:paraId="066F44B7" w14:textId="77777777" w:rsidR="004971F5" w:rsidRDefault="00000000" w:rsidP="00A71138">
      <w:pPr>
        <w:spacing w:before="100" w:beforeAutospacing="1" w:after="100" w:afterAutospacing="1"/>
        <w:ind w:left="720" w:hanging="720"/>
      </w:pPr>
      <w:r>
        <w:t xml:space="preserve">Ahlqvist, E., Storm, P., </w:t>
      </w:r>
      <w:proofErr w:type="spellStart"/>
      <w:r>
        <w:t>Käräjämäki</w:t>
      </w:r>
      <w:proofErr w:type="spellEnd"/>
      <w:r>
        <w:t xml:space="preserve">, A., Martinell, M., Dorkhan, M., Carlsson, A., Vikman, P., Prasad, R. B., Aly, D. M., Almgren, P., Wessman, Y., </w:t>
      </w:r>
      <w:proofErr w:type="spellStart"/>
      <w:r>
        <w:t>Shaat</w:t>
      </w:r>
      <w:proofErr w:type="spellEnd"/>
      <w:r>
        <w:t xml:space="preserve">, N., </w:t>
      </w:r>
      <w:proofErr w:type="spellStart"/>
      <w:r>
        <w:t>Spégel</w:t>
      </w:r>
      <w:proofErr w:type="spellEnd"/>
      <w:r>
        <w:t xml:space="preserve">, P., Mulder, H., Lindholm, E., Melander, O., Hansson, O., Malmqvist, U., </w:t>
      </w:r>
      <w:proofErr w:type="spellStart"/>
      <w:r>
        <w:t>Lernmark</w:t>
      </w:r>
      <w:proofErr w:type="spellEnd"/>
      <w:r>
        <w:t>, Å., … Groop, L. (2018). Novel subgroups of adult-onset diabetes and their association with outcomes: A data-driven cluster analysis of six variables. The Lancet Diabetes &amp; Endocrinology, 6(5), 361–369. https://doi.org/10.1016/S2213-8587(18)30051-2</w:t>
      </w:r>
    </w:p>
    <w:p w14:paraId="75ABD1DB" w14:textId="77777777" w:rsidR="004971F5" w:rsidRDefault="00000000" w:rsidP="00A71138">
      <w:pPr>
        <w:spacing w:before="100" w:beforeAutospacing="1" w:after="100" w:afterAutospacing="1"/>
        <w:ind w:left="720" w:hanging="720"/>
      </w:pPr>
      <w:r>
        <w:t xml:space="preserve">Ahmed, M. M., Nazari, R., Othman, Z. K., Musa, S. S., </w:t>
      </w:r>
      <w:proofErr w:type="spellStart"/>
      <w:r>
        <w:t>Okesanya</w:t>
      </w:r>
      <w:proofErr w:type="spellEnd"/>
      <w:r>
        <w:t xml:space="preserve">, O. J., Adebayo, U. O., Branda, F., Elmi, A. H., &amp; Lucero </w:t>
      </w:r>
      <w:proofErr w:type="spellStart"/>
      <w:r>
        <w:t>Prisno</w:t>
      </w:r>
      <w:proofErr w:type="spellEnd"/>
      <w:r>
        <w:t>, D. E. (2026). GLP-1 receptor agonists in primary care: Readiness, equity, and the risk of a two-tiered obesity treatment landscape. Therapeutic Advances in Endocrinology and Metabolism, 17, 20420188261472587. https://doi.org/10.1177/20420188261472587</w:t>
      </w:r>
    </w:p>
    <w:p w14:paraId="5B9EB34C" w14:textId="77777777" w:rsidR="004971F5" w:rsidRDefault="00000000" w:rsidP="00A71138">
      <w:pPr>
        <w:spacing w:before="100" w:beforeAutospacing="1" w:after="100" w:afterAutospacing="1"/>
        <w:ind w:left="720" w:hanging="720"/>
      </w:pPr>
      <w:r>
        <w:t>American Diabetes Association Professional Practice Committee. (2026). 8. Obesity and weight management for the prevention and treatment of diabetes: Standards of Care in Diabetes—2026. Diabetes Care, 49(Suppl. 1), S166–S182. https://doi.org/10.2337/dc26-S008</w:t>
      </w:r>
    </w:p>
    <w:p w14:paraId="72514472" w14:textId="77777777" w:rsidR="004971F5" w:rsidRDefault="00000000" w:rsidP="00A71138">
      <w:pPr>
        <w:spacing w:before="100" w:beforeAutospacing="1" w:after="100" w:afterAutospacing="1"/>
        <w:ind w:left="720" w:hanging="720"/>
      </w:pPr>
      <w:r>
        <w:t>Anazco, D., &amp; Acosta, A. (2025). Precision medicine for obesity: Current evidence and insights for personalization of obesity pharmacotherapy. International Journal of Obesity, 49(3), 452–463. https://doi.org/10.1038/s41366-024-01599-z</w:t>
      </w:r>
    </w:p>
    <w:p w14:paraId="32BBC173" w14:textId="77777777" w:rsidR="004971F5" w:rsidRDefault="00000000" w:rsidP="00A71138">
      <w:pPr>
        <w:spacing w:before="100" w:beforeAutospacing="1" w:after="100" w:afterAutospacing="1"/>
        <w:ind w:left="720" w:hanging="720"/>
      </w:pPr>
      <w:proofErr w:type="spellStart"/>
      <w:r>
        <w:t>Andaur</w:t>
      </w:r>
      <w:proofErr w:type="spellEnd"/>
      <w:r>
        <w:t xml:space="preserve"> Navarro, C. L., Damen, J. A. A., Takada, T., Nijman, S. W. J., Dhiman, P., Ma, J., Collins, G. S., Bajpai, R., Riley, R. D., Moons, K. G. M., &amp; Hooft, L. (2021). Risk of bias in studies on prediction models developed using supervised machine learning techniques: Systematic review. BMJ, 375, n2281. https://doi.org/10.1136/bmj.n2281</w:t>
      </w:r>
    </w:p>
    <w:p w14:paraId="67F93251" w14:textId="77777777" w:rsidR="004971F5" w:rsidRDefault="00000000" w:rsidP="00A71138">
      <w:pPr>
        <w:spacing w:before="100" w:beforeAutospacing="1" w:after="100" w:afterAutospacing="1"/>
        <w:ind w:left="720" w:hanging="720"/>
      </w:pPr>
      <w:r>
        <w:lastRenderedPageBreak/>
        <w:t xml:space="preserve">Aronne, L. J., Horn, D. B., le Roux, C. W., Ho, W., Falcon, B. L., Gomez Valderas, E., Das, S., Lee, C. J., Glass, L. C., </w:t>
      </w:r>
      <w:proofErr w:type="spellStart"/>
      <w:r>
        <w:t>Senyucel</w:t>
      </w:r>
      <w:proofErr w:type="spellEnd"/>
      <w:r>
        <w:t>, C., &amp; Dunn, J. P. (2025). Tirzepatide as compared with semaglutide for the treatment of obesity. New England Journal of Medicine, 393(1), 26–36. https://doi.org/10.1056/NEJMoa2416394</w:t>
      </w:r>
    </w:p>
    <w:p w14:paraId="5E0C2996" w14:textId="77777777" w:rsidR="004971F5" w:rsidRDefault="00000000" w:rsidP="00A71138">
      <w:pPr>
        <w:spacing w:before="100" w:beforeAutospacing="1" w:after="100" w:afterAutospacing="1"/>
        <w:ind w:left="720" w:hanging="720"/>
      </w:pPr>
      <w:proofErr w:type="spellStart"/>
      <w:r>
        <w:t>Baethge</w:t>
      </w:r>
      <w:proofErr w:type="spellEnd"/>
      <w:r>
        <w:t>, C., Goldbeck-Wood, S., &amp; Mertens, S. (2019). SANRA—a scale for the quality assessment of narrative review articles. Research Integrity and Peer Review, 4(1), 5. https://doi.org/10.1186/s41073-019-0064-8</w:t>
      </w:r>
    </w:p>
    <w:p w14:paraId="13A4495E" w14:textId="77777777" w:rsidR="004971F5" w:rsidRDefault="00000000" w:rsidP="00A71138">
      <w:pPr>
        <w:spacing w:before="100" w:beforeAutospacing="1" w:after="100" w:afterAutospacing="1"/>
        <w:ind w:left="720" w:hanging="720"/>
      </w:pPr>
      <w:r>
        <w:t xml:space="preserve">Batsis, J. A., Gavras, A., Gross, D. C., Cheever, C. R., Da Silva, B. R., Meira Filho, L. F., Jones, E. P., Batchek, D., </w:t>
      </w:r>
      <w:proofErr w:type="spellStart"/>
      <w:r>
        <w:t>Khandpekar</w:t>
      </w:r>
      <w:proofErr w:type="spellEnd"/>
      <w:r>
        <w:t xml:space="preserve">, S., Patel, R., </w:t>
      </w:r>
      <w:proofErr w:type="spellStart"/>
      <w:r>
        <w:t>Awkal</w:t>
      </w:r>
      <w:proofErr w:type="spellEnd"/>
      <w:r>
        <w:t>, B., Pape, A., Bahna, M., Zamboni, M., &amp; Prado, C. M. (2026). Effect of incretin-based and nonpharmacologic weight loss on body composition: A systematic review. Annals of Internal Medicine, 179(7), 996–1013. https://doi.org/10.7326/ANNALS-25-00478</w:t>
      </w:r>
    </w:p>
    <w:p w14:paraId="209F67E1" w14:textId="77777777" w:rsidR="004971F5" w:rsidRDefault="00000000" w:rsidP="00A71138">
      <w:pPr>
        <w:spacing w:before="100" w:beforeAutospacing="1" w:after="100" w:afterAutospacing="1"/>
        <w:ind w:left="720" w:hanging="720"/>
      </w:pPr>
      <w:r>
        <w:t xml:space="preserve">Blair, C. V., Huck, D., Besser, S. A., Cardoso, R., </w:t>
      </w:r>
      <w:proofErr w:type="spellStart"/>
      <w:r>
        <w:t>Shiyovich</w:t>
      </w:r>
      <w:proofErr w:type="spellEnd"/>
      <w:r>
        <w:t xml:space="preserve">, A., Berman, A. N., Biery, D. W., Weber, B. N., Petranovic, M., Nasir, K., </w:t>
      </w:r>
      <w:proofErr w:type="spellStart"/>
      <w:r>
        <w:t>Hedgire</w:t>
      </w:r>
      <w:proofErr w:type="spellEnd"/>
      <w:r>
        <w:t xml:space="preserve">, S., Plutzky, J., Cannon, C., Di Carli, M. F., </w:t>
      </w:r>
      <w:proofErr w:type="spellStart"/>
      <w:r>
        <w:t>Ghoshhajra</w:t>
      </w:r>
      <w:proofErr w:type="spellEnd"/>
      <w:r>
        <w:t xml:space="preserve">, B. B., </w:t>
      </w:r>
      <w:proofErr w:type="spellStart"/>
      <w:r>
        <w:t>Trinquart</w:t>
      </w:r>
      <w:proofErr w:type="spellEnd"/>
      <w:r>
        <w:t>, L., &amp; Blankstein, R. (2025). Identifying high-risk obese individuals without diabetes for GLP-1RA therapy using coronary CTA. JACC: Advances, 4(8), 101995. https://doi.org/10.1016/j.jacadv.2025.101995</w:t>
      </w:r>
    </w:p>
    <w:p w14:paraId="1E60D637" w14:textId="77777777" w:rsidR="004971F5" w:rsidRDefault="00000000" w:rsidP="00A71138">
      <w:pPr>
        <w:spacing w:before="100" w:beforeAutospacing="1" w:after="100" w:afterAutospacing="1"/>
        <w:ind w:left="720" w:hanging="720"/>
      </w:pPr>
      <w:proofErr w:type="spellStart"/>
      <w:r>
        <w:t>Çalışkan</w:t>
      </w:r>
      <w:proofErr w:type="spellEnd"/>
      <w:r>
        <w:t>, Y. K., &amp; Başak, F. (2026). Comparative performance of GPT-5 and Gemini models in decision support for bariatric surgery: A simulation-based study. Surgical Laparoscopy, Endoscopy &amp; Percutaneous Techniques. Advance online publication. https://doi.org/10.1097/SLE.0000000000001478</w:t>
      </w:r>
    </w:p>
    <w:p w14:paraId="0406CDA8" w14:textId="77777777" w:rsidR="004971F5" w:rsidRDefault="00000000" w:rsidP="00A71138">
      <w:pPr>
        <w:spacing w:before="100" w:beforeAutospacing="1" w:after="100" w:afterAutospacing="1"/>
        <w:ind w:left="720" w:hanging="720"/>
      </w:pPr>
      <w:r>
        <w:t xml:space="preserve">Chen, A. S., Brunetto, W., Canavan, M. E., Lipska, K. J., Richey, E., Wilson, M. S., Zarro, J., &amp; Ross, J. S. (2026). Prescribing GLPs for obesity treatment for adults at a </w:t>
      </w:r>
      <w:proofErr w:type="gramStart"/>
      <w:r>
        <w:t>university based</w:t>
      </w:r>
      <w:proofErr w:type="gramEnd"/>
      <w:r>
        <w:t xml:space="preserve"> health maintenance organization by race, ethnicity, and socioeconomic status. Journal of General Internal Medicine, 41(2), 499–505. https://doi.org/10.1007/s11606-025-09691-4</w:t>
      </w:r>
    </w:p>
    <w:p w14:paraId="140C590F" w14:textId="77777777" w:rsidR="004971F5" w:rsidRDefault="00000000" w:rsidP="00A71138">
      <w:pPr>
        <w:spacing w:before="100" w:beforeAutospacing="1" w:after="100" w:afterAutospacing="1"/>
        <w:ind w:left="720" w:hanging="720"/>
      </w:pPr>
      <w:r>
        <w:t xml:space="preserve">Chou, C.-C., Pan, S.-Y., Sheen, Y.-J., Lin, J.-F., Lin, C.-H., Lin, H.-J., Wang, I.-J., &amp; Weng, C.-H. (2025). Association between semaglutide and </w:t>
      </w:r>
      <w:proofErr w:type="spellStart"/>
      <w:r>
        <w:t>nonarteritic</w:t>
      </w:r>
      <w:proofErr w:type="spellEnd"/>
      <w:r>
        <w:t xml:space="preserve"> anterior ischemic optic neuropathy: A multinational population-based study. Ophthalmology, 132(4), 381–388. https://doi.org/10.1016/j.ophtha.2024.10.030</w:t>
      </w:r>
    </w:p>
    <w:p w14:paraId="38C162AD" w14:textId="77777777" w:rsidR="004971F5" w:rsidRDefault="00000000" w:rsidP="00A71138">
      <w:pPr>
        <w:spacing w:before="100" w:beforeAutospacing="1" w:after="100" w:afterAutospacing="1"/>
        <w:ind w:left="720" w:hanging="720"/>
      </w:pPr>
      <w:r>
        <w:t xml:space="preserve">Cifuentes, L., Anazco, D., O'Connor, T., Hurtado, M. D., Ghusn, W., Campos, A., </w:t>
      </w:r>
      <w:proofErr w:type="spellStart"/>
      <w:r>
        <w:t>Fansa</w:t>
      </w:r>
      <w:proofErr w:type="spellEnd"/>
      <w:r>
        <w:t xml:space="preserve">, S., McRae, A., Madhusudhan, S., </w:t>
      </w:r>
      <w:proofErr w:type="spellStart"/>
      <w:r>
        <w:t>Kolkin</w:t>
      </w:r>
      <w:proofErr w:type="spellEnd"/>
      <w:r>
        <w:t xml:space="preserve">, E., Ryks, M., Harmsen, W. S., </w:t>
      </w:r>
      <w:proofErr w:type="spellStart"/>
      <w:r>
        <w:t>Ciotlos</w:t>
      </w:r>
      <w:proofErr w:type="spellEnd"/>
      <w:r>
        <w:t xml:space="preserve">, S., Abu </w:t>
      </w:r>
      <w:proofErr w:type="spellStart"/>
      <w:r>
        <w:t>Dayyeh</w:t>
      </w:r>
      <w:proofErr w:type="spellEnd"/>
      <w:r>
        <w:t>, B. K., Hensrud, D. D., Camilleri, M., &amp; Acosta, A. (2025). Genetic and physiological insights into satiation variability predict responses to obesity treatment. Cell Metabolism, 37(8), 1655–1666.e5. https://doi.org/10.1016/j.cmet.2025.05.008</w:t>
      </w:r>
    </w:p>
    <w:p w14:paraId="6DF35299" w14:textId="77777777" w:rsidR="004971F5" w:rsidRDefault="00000000" w:rsidP="00A71138">
      <w:pPr>
        <w:spacing w:before="100" w:beforeAutospacing="1" w:after="100" w:afterAutospacing="1"/>
        <w:ind w:left="720" w:hanging="720"/>
      </w:pPr>
      <w:r>
        <w:t xml:space="preserve">Collins, G. S., Moons, K. G. M., Dhiman, P., Riley, R. D., Beam, A. L., Van </w:t>
      </w:r>
      <w:proofErr w:type="spellStart"/>
      <w:r>
        <w:t>Calster</w:t>
      </w:r>
      <w:proofErr w:type="spellEnd"/>
      <w:r>
        <w:t xml:space="preserve">, B., Ghassemi, M., Liu, X., Reitsma, J. B., van Smeden, M., Boulesteix, A.-L., </w:t>
      </w:r>
      <w:proofErr w:type="spellStart"/>
      <w:r>
        <w:t>Camaradou</w:t>
      </w:r>
      <w:proofErr w:type="spellEnd"/>
      <w:r>
        <w:t xml:space="preserve">, J. C., Celi, L. A., </w:t>
      </w:r>
      <w:proofErr w:type="spellStart"/>
      <w:r>
        <w:t>Denaxas</w:t>
      </w:r>
      <w:proofErr w:type="spellEnd"/>
      <w:r>
        <w:t>, S., Denniston, A. K., Glocker, B., Golub, R. M., Harvey, H., Heinze, G., … Logullo, P. (2024). TRIPOD+AI statement: Updated guidance for reporting clinical prediction models that use regression or machine learning methods. BMJ, 385, e078378. https://doi.org/10.1136/bmj-2023-078378</w:t>
      </w:r>
    </w:p>
    <w:p w14:paraId="2AB4A9ED" w14:textId="77777777" w:rsidR="004971F5" w:rsidRDefault="00000000" w:rsidP="00A71138">
      <w:pPr>
        <w:spacing w:before="100" w:beforeAutospacing="1" w:after="100" w:afterAutospacing="1"/>
        <w:ind w:left="720" w:hanging="720"/>
      </w:pPr>
      <w:r>
        <w:lastRenderedPageBreak/>
        <w:t xml:space="preserve">Demircan, K., Carrasco-Zanini, J., Williamson, A., Beuchel, C., Jackson, L., </w:t>
      </w:r>
      <w:proofErr w:type="spellStart"/>
      <w:r>
        <w:t>Römisch-Margl</w:t>
      </w:r>
      <w:proofErr w:type="spellEnd"/>
      <w:r>
        <w:t xml:space="preserve">, W., Hansen, A. L., Finer, S., van Heel, D. A., </w:t>
      </w:r>
      <w:proofErr w:type="spellStart"/>
      <w:r>
        <w:t>Kastenmüller</w:t>
      </w:r>
      <w:proofErr w:type="spellEnd"/>
      <w:r>
        <w:t xml:space="preserve">, G., Coghlan, M., Moeller, I., Wareham, N. J., </w:t>
      </w:r>
      <w:proofErr w:type="spellStart"/>
      <w:r>
        <w:t>Pietzner</w:t>
      </w:r>
      <w:proofErr w:type="spellEnd"/>
      <w:r>
        <w:t>, M., &amp; Langenberg, C. (2026). Data-driven prioritization of high-risk individuals for weight loss interventions. Nature Medicine, 32(6), 2117–2127. https://doi.org/10.1038/s41591-026-04353-2</w:t>
      </w:r>
    </w:p>
    <w:p w14:paraId="6FE7A3C4" w14:textId="77777777" w:rsidR="004971F5" w:rsidRDefault="00000000" w:rsidP="00A71138">
      <w:pPr>
        <w:spacing w:before="100" w:beforeAutospacing="1" w:after="100" w:afterAutospacing="1"/>
        <w:ind w:left="720" w:hanging="720"/>
      </w:pPr>
      <w:r>
        <w:t xml:space="preserve">Eberly, L. A., Yang, L., Essien, U. R., </w:t>
      </w:r>
      <w:proofErr w:type="spellStart"/>
      <w:r>
        <w:t>Eneanya</w:t>
      </w:r>
      <w:proofErr w:type="spellEnd"/>
      <w:r>
        <w:t xml:space="preserve">, N. D., Julien, H. M., Luo, J., Nathan, A. S., </w:t>
      </w:r>
      <w:proofErr w:type="spellStart"/>
      <w:r>
        <w:t>Khatana</w:t>
      </w:r>
      <w:proofErr w:type="spellEnd"/>
      <w:r>
        <w:t xml:space="preserve">, S. A. M., Dayoub, E. J., </w:t>
      </w:r>
      <w:proofErr w:type="spellStart"/>
      <w:r>
        <w:t>Fanaroff</w:t>
      </w:r>
      <w:proofErr w:type="spellEnd"/>
      <w:r>
        <w:t xml:space="preserve">, A. C., Giri, J., Groeneveld, P. W., &amp; </w:t>
      </w:r>
      <w:proofErr w:type="spellStart"/>
      <w:r>
        <w:t>Adusumalli</w:t>
      </w:r>
      <w:proofErr w:type="spellEnd"/>
      <w:r>
        <w:t>, S. (2021). Racial, ethnic, and socioeconomic inequities in glucagon-like peptide-1 receptor agonist use among patients with diabetes in the US. JAMA Health Forum, 2(12), e214182. https://doi.org/10.1001/jamahealthforum.2021.4182</w:t>
      </w:r>
    </w:p>
    <w:p w14:paraId="248278A9" w14:textId="77777777" w:rsidR="004971F5" w:rsidRDefault="00000000" w:rsidP="00A71138">
      <w:pPr>
        <w:spacing w:before="100" w:beforeAutospacing="1" w:after="100" w:afterAutospacing="1"/>
        <w:ind w:left="720" w:hanging="720"/>
      </w:pPr>
      <w:r>
        <w:t xml:space="preserve">Finlayson, S. G., Subbaswamy, A., Singh, K., Bowers, J., Kupke, A., </w:t>
      </w:r>
      <w:proofErr w:type="spellStart"/>
      <w:r>
        <w:t>Zittrain</w:t>
      </w:r>
      <w:proofErr w:type="spellEnd"/>
      <w:r>
        <w:t xml:space="preserve">, J., </w:t>
      </w:r>
      <w:proofErr w:type="spellStart"/>
      <w:r>
        <w:t>Kohane</w:t>
      </w:r>
      <w:proofErr w:type="spellEnd"/>
      <w:r>
        <w:t>, I. S., &amp; Saria, S. (2021). The clinician and dataset shift in artificial intelligence. New England Journal of Medicine, 385(3), 283–286. https://doi.org/10.1056/NEJMc2104626</w:t>
      </w:r>
    </w:p>
    <w:p w14:paraId="3C5BB8F2" w14:textId="77777777" w:rsidR="004971F5" w:rsidRDefault="00000000" w:rsidP="00A71138">
      <w:pPr>
        <w:spacing w:before="100" w:beforeAutospacing="1" w:after="100" w:afterAutospacing="1"/>
        <w:ind w:left="720" w:hanging="720"/>
      </w:pPr>
      <w:r>
        <w:t xml:space="preserve">Gautam, R., Wang, H., Zhou, B., Neba, R., &amp; </w:t>
      </w:r>
      <w:proofErr w:type="spellStart"/>
      <w:r>
        <w:t>Sambamoorthi</w:t>
      </w:r>
      <w:proofErr w:type="spellEnd"/>
      <w:r>
        <w:t>, U. (2026). Interpretable machine learning for rare events: An inverse probability weighted application to understanding glucagon-like peptide-1 receptor agonists use and incident alcohol-related disorder. Alcohol and Alcoholism, 61(4), agag045. https://doi.org/10.1093/alcalc/agag045</w:t>
      </w:r>
    </w:p>
    <w:p w14:paraId="25D2F5AE" w14:textId="77777777" w:rsidR="004971F5" w:rsidRDefault="00000000" w:rsidP="00A71138">
      <w:pPr>
        <w:spacing w:before="100" w:beforeAutospacing="1" w:after="100" w:afterAutospacing="1"/>
        <w:ind w:left="720" w:hanging="720"/>
      </w:pPr>
      <w:r>
        <w:t xml:space="preserve">Giorda, C. B., Rossi, A., Baccetti, F., </w:t>
      </w:r>
      <w:proofErr w:type="spellStart"/>
      <w:r>
        <w:t>Zilich</w:t>
      </w:r>
      <w:proofErr w:type="spellEnd"/>
      <w:r>
        <w:t xml:space="preserve">, R., Romeo, F., Besmir, N., Di Cianni, G., </w:t>
      </w:r>
      <w:proofErr w:type="spellStart"/>
      <w:r>
        <w:t>Guaita</w:t>
      </w:r>
      <w:proofErr w:type="spellEnd"/>
      <w:r>
        <w:t xml:space="preserve">, G., Morviducci, L., </w:t>
      </w:r>
      <w:proofErr w:type="spellStart"/>
      <w:r>
        <w:t>Muselli</w:t>
      </w:r>
      <w:proofErr w:type="spellEnd"/>
      <w:r>
        <w:t xml:space="preserve">, M., Ozzello, A., Pisani, F., </w:t>
      </w:r>
      <w:proofErr w:type="spellStart"/>
      <w:r>
        <w:t>Ponzani</w:t>
      </w:r>
      <w:proofErr w:type="spellEnd"/>
      <w:r>
        <w:t>, P., Santin, P., Verda, D., &amp; Musacchio, N. (2023). Achieving good metabolic control without weight gain with the systematic use of GLP-1-RAs and SGLT-2 inhibitors in type 2 diabetes: A machine-learning projection using data from clinical practice. Clinical Therapeutics, 45(8), 754–761. https://doi.org/10.1016/j.clinthera.2023.06.006</w:t>
      </w:r>
    </w:p>
    <w:p w14:paraId="2927DEEB" w14:textId="77777777" w:rsidR="004971F5" w:rsidRDefault="00000000" w:rsidP="00A71138">
      <w:pPr>
        <w:spacing w:before="100" w:beforeAutospacing="1" w:after="100" w:afterAutospacing="1"/>
        <w:ind w:left="720" w:hanging="720"/>
      </w:pPr>
      <w:r>
        <w:t>Gleason, P. P., Urick, B. Y., Marshall, L. Z., Friedlander, N., Qiu, Y., &amp; Leslie, R. S. (2024). Real-world persistence and adherence to glucagon-like peptide-1 receptor agonists among obese commercially insured adults without diabetes. Journal of Managed Care &amp; Specialty Pharmacy, 30(8), 860–867. https://doi.org/10.18553/jmcp.2024.23332</w:t>
      </w:r>
    </w:p>
    <w:p w14:paraId="799F9484" w14:textId="77777777" w:rsidR="004971F5" w:rsidRDefault="00000000" w:rsidP="00A71138">
      <w:pPr>
        <w:spacing w:before="100" w:beforeAutospacing="1" w:after="100" w:afterAutospacing="1"/>
        <w:ind w:left="720" w:hanging="720"/>
      </w:pPr>
      <w:r>
        <w:t xml:space="preserve">Hathaway, J. T., Shah, M. P., Hathaway, D. B., </w:t>
      </w:r>
      <w:proofErr w:type="spellStart"/>
      <w:r>
        <w:t>Zekavat</w:t>
      </w:r>
      <w:proofErr w:type="spellEnd"/>
      <w:r>
        <w:t xml:space="preserve">, S. M., Krasniqi, D., Gittinger, J. W., Cestari, D., Mallery, R., Abbasi, B., Bouffard, M., </w:t>
      </w:r>
      <w:proofErr w:type="spellStart"/>
      <w:r>
        <w:t>Chwalisz</w:t>
      </w:r>
      <w:proofErr w:type="spellEnd"/>
      <w:r>
        <w:t xml:space="preserve">, B. K., Estrela, T., &amp; Rizzo, J. F. (2024). Risk of </w:t>
      </w:r>
      <w:proofErr w:type="spellStart"/>
      <w:r>
        <w:t>nonarteritic</w:t>
      </w:r>
      <w:proofErr w:type="spellEnd"/>
      <w:r>
        <w:t xml:space="preserve"> anterior ischemic optic neuropathy in patients prescribed semaglutide. JAMA Ophthalmology, 142(8), 732–739. https://doi.org/10.1001/jamaophthalmol.2024.2296</w:t>
      </w:r>
    </w:p>
    <w:p w14:paraId="7A11802A" w14:textId="77777777" w:rsidR="004971F5" w:rsidRDefault="00000000" w:rsidP="00A71138">
      <w:pPr>
        <w:spacing w:before="100" w:beforeAutospacing="1" w:after="100" w:afterAutospacing="1"/>
        <w:ind w:left="720" w:hanging="720"/>
      </w:pPr>
      <w:r>
        <w:t xml:space="preserve">Jastreboff, A. M., Aronne, L. J., Ahmad, N. N., Wharton, S., Connery, L., Alves, B., </w:t>
      </w:r>
      <w:proofErr w:type="spellStart"/>
      <w:r>
        <w:t>Kiyosue</w:t>
      </w:r>
      <w:proofErr w:type="spellEnd"/>
      <w:r>
        <w:t>, A., Zhang, S., Liu, B., Bunck, M. C., &amp; Stefanski, A. (2022). Tirzepatide once weekly for the treatment of obesity. New England Journal of Medicine, 387(3), 205–216. https://doi.org/10.1056/NEJMoa2206038</w:t>
      </w:r>
    </w:p>
    <w:p w14:paraId="0C6EC0F9" w14:textId="77777777" w:rsidR="004971F5" w:rsidRDefault="00000000" w:rsidP="00A71138">
      <w:pPr>
        <w:spacing w:before="100" w:beforeAutospacing="1" w:after="100" w:afterAutospacing="1"/>
        <w:ind w:left="720" w:hanging="720"/>
      </w:pPr>
      <w:r>
        <w:t xml:space="preserve">Johnson, H., Clift, A. K., Reisel, D., &amp; Huang, D. R. (2026). Digital engagement enhances dual GIP/GLP-1 receptor agonist and GLP-1 receptor agonist efficacy: A retrospective cohort analysis of a digital weight loss service on outcomes and safety. </w:t>
      </w:r>
      <w:r>
        <w:lastRenderedPageBreak/>
        <w:t>Diabetes, Obesity and Metabolism, 28(1), 634–643. https://doi.org/10.1111/dom.70244</w:t>
      </w:r>
    </w:p>
    <w:p w14:paraId="0FEDD1B9" w14:textId="77777777" w:rsidR="004971F5" w:rsidRDefault="00000000" w:rsidP="00A71138">
      <w:pPr>
        <w:spacing w:before="100" w:beforeAutospacing="1" w:after="100" w:afterAutospacing="1"/>
        <w:ind w:left="720" w:hanging="720"/>
      </w:pPr>
      <w:r>
        <w:t>Law, S., Oldfield, B., &amp; Yang, W. (2024). ChatGPT/GPT-4 (large language models): Opportunities and challenges of perspective in bariatric healthcare professionals. Obesity Reviews, 25(7), e13746. https://doi.org/10.1111/obr.13746</w:t>
      </w:r>
    </w:p>
    <w:p w14:paraId="319361B4" w14:textId="77777777" w:rsidR="004971F5" w:rsidRDefault="00000000" w:rsidP="00A71138">
      <w:pPr>
        <w:spacing w:before="100" w:beforeAutospacing="1" w:after="100" w:afterAutospacing="1"/>
        <w:ind w:left="720" w:hanging="720"/>
      </w:pPr>
      <w:r>
        <w:t>Lee, Y.-B., Kim, G., Jun, J. E., Park, H., Lee, W. J., Hwang, Y.-C., &amp; Kim, J. H. (2023). An integrated digital health care platform for diabetes management with AI-based dietary management: 48-week results from a randomized controlled trial. Diabetes Care, 46(5), 959–966. https://doi.org/10.2337/dc22-1929</w:t>
      </w:r>
    </w:p>
    <w:p w14:paraId="7E17F268" w14:textId="77777777" w:rsidR="004971F5" w:rsidRDefault="00000000" w:rsidP="00A71138">
      <w:pPr>
        <w:spacing w:before="100" w:beforeAutospacing="1" w:after="100" w:afterAutospacing="1"/>
        <w:ind w:left="720" w:hanging="720"/>
      </w:pPr>
      <w:r>
        <w:t>Lee, H., Hwang, J., Yon, D. K., &amp; Rhee, S. Y. (2025). Multimodal and multidimensional artificial intelligence technology in obesity. Journal of Obesity &amp; Metabolic Syndrome, 34(4), 394–404. https://doi.org/10.7570/jomes25035</w:t>
      </w:r>
    </w:p>
    <w:p w14:paraId="77BB6C93" w14:textId="77777777" w:rsidR="004971F5" w:rsidRDefault="00000000" w:rsidP="00A71138">
      <w:pPr>
        <w:spacing w:before="100" w:beforeAutospacing="1" w:after="100" w:afterAutospacing="1"/>
        <w:ind w:left="720" w:hanging="720"/>
      </w:pPr>
      <w:r>
        <w:t xml:space="preserve">Li, J., Guan, Z., Wang, J., Cheung, C. Y., Zheng, Y., Lim, L.-L., Lim, C. C., </w:t>
      </w:r>
      <w:proofErr w:type="spellStart"/>
      <w:r>
        <w:t>Ruamviboonsuk</w:t>
      </w:r>
      <w:proofErr w:type="spellEnd"/>
      <w:r>
        <w:t xml:space="preserve">, P., Raman, R., Corsino, L., </w:t>
      </w:r>
      <w:proofErr w:type="spellStart"/>
      <w:r>
        <w:t>Echouffo</w:t>
      </w:r>
      <w:proofErr w:type="spellEnd"/>
      <w:r>
        <w:t>-Tcheugui, J. B., Luk, A. O. Y., Chen, L. J., Sun, X., Hamzah, H., Wu, Q., Wang, X., Liu, R., Wang, Y. X., … Wong, T. Y. (2024). Integrated image-based deep learning and language models for primary diabetes care. Nature Medicine, 30(10), 2886–2896. https://doi.org/10.1038/s41591-024-03139-8</w:t>
      </w:r>
    </w:p>
    <w:p w14:paraId="6C4139B6" w14:textId="77777777" w:rsidR="004971F5" w:rsidRDefault="00000000" w:rsidP="00A71138">
      <w:pPr>
        <w:spacing w:before="100" w:beforeAutospacing="1" w:after="100" w:afterAutospacing="1"/>
        <w:ind w:left="720" w:hanging="720"/>
      </w:pPr>
      <w:r>
        <w:t xml:space="preserve">Li, J., Liang, J., Zhang, W., He, J., &amp; Ye, X. (2026). Integrated evidence from </w:t>
      </w:r>
      <w:proofErr w:type="spellStart"/>
      <w:r>
        <w:t>VigiBase</w:t>
      </w:r>
      <w:proofErr w:type="spellEnd"/>
      <w:r>
        <w:t xml:space="preserve"> and clinical trials: A comprehensive pharmacovigilance analysis of seven glucagon-like peptide 1 receptor agonists (GLP-1 RAs). Diabetes Therapy, 17(6), 853–872. https://doi.org/10.1007/s13300-026-01872-6</w:t>
      </w:r>
    </w:p>
    <w:p w14:paraId="1D4FF421" w14:textId="77777777" w:rsidR="004971F5" w:rsidRDefault="00000000" w:rsidP="00A71138">
      <w:pPr>
        <w:spacing w:before="100" w:beforeAutospacing="1" w:after="100" w:afterAutospacing="1"/>
        <w:ind w:left="720" w:hanging="720"/>
      </w:pPr>
      <w:r>
        <w:t xml:space="preserve">Lincoff, A. M., Brown-Frandsen, K., Colhoun, H. M., </w:t>
      </w:r>
      <w:proofErr w:type="spellStart"/>
      <w:r>
        <w:t>Deanfield</w:t>
      </w:r>
      <w:proofErr w:type="spellEnd"/>
      <w:r>
        <w:t xml:space="preserve">, J., Emerson, S. S., Esbjerg, S., Hardt-Lindberg, S., </w:t>
      </w:r>
      <w:proofErr w:type="spellStart"/>
      <w:r>
        <w:t>Hovingh</w:t>
      </w:r>
      <w:proofErr w:type="spellEnd"/>
      <w:r>
        <w:t xml:space="preserve">, G. K., Kahn, S. E., Kushner, R. F., </w:t>
      </w:r>
      <w:proofErr w:type="spellStart"/>
      <w:r>
        <w:t>Lingvay</w:t>
      </w:r>
      <w:proofErr w:type="spellEnd"/>
      <w:r>
        <w:t>, I., Oral, T. K., Michelsen, M. M., Plutzky, J., Tornøe, C. W., &amp; Ryan, D. H. (2023). Semaglutide and cardiovascular outcomes in obesity without diabetes. New England Journal of Medicine, 389(24), 2221–2232. https://doi.org/10.1056/NEJMoa2307563</w:t>
      </w:r>
    </w:p>
    <w:p w14:paraId="1F5556F4" w14:textId="77777777" w:rsidR="004971F5" w:rsidRDefault="00000000" w:rsidP="00A71138">
      <w:pPr>
        <w:spacing w:before="100" w:beforeAutospacing="1" w:after="100" w:afterAutospacing="1"/>
        <w:ind w:left="720" w:hanging="720"/>
      </w:pPr>
      <w:r>
        <w:t>Liu, X., Rivera, S. C., Moher, D., Calvert, M. J., &amp; Denniston, A. K. (2020). Reporting guidelines for clinical trial reports for interventions involving artificial intelligence: The CONSORT-AI extension. BMJ, 370, m3164. https://doi.org/10.1136/bmj.m3164</w:t>
      </w:r>
    </w:p>
    <w:p w14:paraId="27F594A0" w14:textId="77777777" w:rsidR="004971F5" w:rsidRDefault="00000000" w:rsidP="00A71138">
      <w:pPr>
        <w:spacing w:before="100" w:beforeAutospacing="1" w:after="100" w:afterAutospacing="1"/>
        <w:ind w:left="720" w:hanging="720"/>
      </w:pPr>
      <w:proofErr w:type="spellStart"/>
      <w:r>
        <w:t>Lutsker</w:t>
      </w:r>
      <w:proofErr w:type="spellEnd"/>
      <w:r>
        <w:t xml:space="preserve">, G., Sapir, G., Shilo, S., Merino, J., </w:t>
      </w:r>
      <w:proofErr w:type="spellStart"/>
      <w:r>
        <w:t>Godneva</w:t>
      </w:r>
      <w:proofErr w:type="spellEnd"/>
      <w:r>
        <w:t xml:space="preserve">, A., Greenfield, J. R., </w:t>
      </w:r>
      <w:proofErr w:type="spellStart"/>
      <w:r>
        <w:t>Samocha</w:t>
      </w:r>
      <w:proofErr w:type="spellEnd"/>
      <w:r>
        <w:t xml:space="preserve">-Bonet, D., Dhir, R., Gude, F., Mannor, S., </w:t>
      </w:r>
      <w:proofErr w:type="spellStart"/>
      <w:r>
        <w:t>Meirom</w:t>
      </w:r>
      <w:proofErr w:type="spellEnd"/>
      <w:r>
        <w:t>, E., Xing, E. P., Chechik, G., Rossman, H., &amp; Segal, E. (2026). A foundation model for continuous glucose monitoring data. Nature, 650(8103), 978–986. https://doi.org/10.1038/s41586-025-09925-9</w:t>
      </w:r>
    </w:p>
    <w:p w14:paraId="13538AA1" w14:textId="77777777" w:rsidR="004971F5" w:rsidRDefault="00000000" w:rsidP="00A71138">
      <w:pPr>
        <w:spacing w:before="100" w:beforeAutospacing="1" w:after="100" w:afterAutospacing="1"/>
        <w:ind w:left="720" w:hanging="720"/>
      </w:pPr>
      <w:proofErr w:type="spellStart"/>
      <w:r>
        <w:t>Mathioudakis</w:t>
      </w:r>
      <w:proofErr w:type="spellEnd"/>
      <w:r>
        <w:t xml:space="preserve">, N., Lalani, B., </w:t>
      </w:r>
      <w:proofErr w:type="spellStart"/>
      <w:r>
        <w:t>Abusamaan</w:t>
      </w:r>
      <w:proofErr w:type="spellEnd"/>
      <w:r>
        <w:t xml:space="preserve">, M. S., Alderfer, M., Alver, D., Dobs, A., Kane, B., McGready, J., Riekert, K., Ringham, B., Shehadeh, A., Vandi, F., </w:t>
      </w:r>
      <w:proofErr w:type="spellStart"/>
      <w:r>
        <w:t>Wanigatunga</w:t>
      </w:r>
      <w:proofErr w:type="spellEnd"/>
      <w:r>
        <w:t xml:space="preserve">, A. A., Zade, D., </w:t>
      </w:r>
      <w:proofErr w:type="spellStart"/>
      <w:r>
        <w:t>Maruthur</w:t>
      </w:r>
      <w:proofErr w:type="spellEnd"/>
      <w:r>
        <w:t xml:space="preserve">, N. M., Mathioudakis, N. N., Ballreich, J., </w:t>
      </w:r>
      <w:proofErr w:type="spellStart"/>
      <w:r>
        <w:t>Maruthur</w:t>
      </w:r>
      <w:proofErr w:type="spellEnd"/>
      <w:r>
        <w:t xml:space="preserve">, N., </w:t>
      </w:r>
      <w:proofErr w:type="spellStart"/>
      <w:r>
        <w:t>Wanigatunga</w:t>
      </w:r>
      <w:proofErr w:type="spellEnd"/>
      <w:r>
        <w:t>, A., … Benjamin-Neelon, S. (2025). An AI-powered lifestyle intervention vs human coaching in the Diabetes Prevention Program: A randomized clinical trial. JAMA, 334(23), 2079–2089. https://doi.org/10.1001/jama.2025.19563</w:t>
      </w:r>
    </w:p>
    <w:p w14:paraId="06FA076D" w14:textId="77777777" w:rsidR="004971F5" w:rsidRDefault="00000000" w:rsidP="00A71138">
      <w:pPr>
        <w:spacing w:before="100" w:beforeAutospacing="1" w:after="100" w:afterAutospacing="1"/>
        <w:ind w:left="720" w:hanging="720"/>
      </w:pPr>
      <w:r>
        <w:lastRenderedPageBreak/>
        <w:t xml:space="preserve">Metwally, A. A., Perelman, D., Park, H., Wu, Y., Jha, A., Sharp, S., Celli, A., Ayhan, E., Abbasi, F., Gloyn, A. L., McLaughlin, T., &amp; Snyder, M. P. (2025). Prediction of metabolic </w:t>
      </w:r>
      <w:proofErr w:type="spellStart"/>
      <w:r>
        <w:t>subphenotypes</w:t>
      </w:r>
      <w:proofErr w:type="spellEnd"/>
      <w:r>
        <w:t xml:space="preserve"> of type 2 diabetes via continuous glucose monitoring and machine learning. Nature Biomedical Engineering, 9(8), 1222–1239. https://doi.org/10.1038/s41551-024-01311-6</w:t>
      </w:r>
    </w:p>
    <w:p w14:paraId="40FB9845" w14:textId="77777777" w:rsidR="004971F5" w:rsidRDefault="00000000" w:rsidP="00A71138">
      <w:pPr>
        <w:spacing w:before="100" w:beforeAutospacing="1" w:after="100" w:afterAutospacing="1"/>
        <w:ind w:left="720" w:hanging="720"/>
      </w:pPr>
      <w:r>
        <w:t>Moon, S., Lee, E., Kim, D., Choi, K. H., Choi, Y. J., &amp; Shin, S. (2026). Psychiatric safety signals of GLP-1 receptor agonists: A FAERS-based pharmacovigilance study with explainable machine learning. Pharmaceuticals, 19(6), 953. https://doi.org/10.3390/ph19060953</w:t>
      </w:r>
    </w:p>
    <w:p w14:paraId="0F0D6756" w14:textId="77777777" w:rsidR="004971F5" w:rsidRDefault="00000000" w:rsidP="00A71138">
      <w:pPr>
        <w:spacing w:before="100" w:beforeAutospacing="1" w:after="100" w:afterAutospacing="1"/>
        <w:ind w:left="720" w:hanging="720"/>
      </w:pPr>
      <w:r>
        <w:t xml:space="preserve">Nielsen, J. C., </w:t>
      </w:r>
      <w:proofErr w:type="spellStart"/>
      <w:r>
        <w:t>Hjorringgaard</w:t>
      </w:r>
      <w:proofErr w:type="spellEnd"/>
      <w:r>
        <w:t xml:space="preserve">, C., Nygaard, M. M., Wester, A., Elster, L., Porsgaard, T., Mikkelsen, R. B., Rasmussen, S., Madsen, A. N., Schlein, M., Vrang, N., Rigbolt, K., &amp; </w:t>
      </w:r>
      <w:proofErr w:type="spellStart"/>
      <w:r>
        <w:t>Dalboge</w:t>
      </w:r>
      <w:proofErr w:type="spellEnd"/>
      <w:r>
        <w:t>, L. S. (2024). Machine-learning-guided peptide drug discovery: Development of GLP-1 receptor agonists with improved drug properties. Journal of Medicinal Chemistry, 67(14), 11814–11826. https://doi.org/10.1021/acs.jmedchem.4c00417</w:t>
      </w:r>
    </w:p>
    <w:p w14:paraId="104200AC" w14:textId="77777777" w:rsidR="004971F5" w:rsidRDefault="00000000" w:rsidP="00A71138">
      <w:pPr>
        <w:spacing w:before="100" w:beforeAutospacing="1" w:after="100" w:afterAutospacing="1"/>
        <w:ind w:left="720" w:hanging="720"/>
      </w:pPr>
      <w:r>
        <w:t xml:space="preserve">Nowak, S., Theis, M., Wichtmann, B. D., Faron, A., Froelich, M. F., Tollens, F., Geißler, H. L., Block, W., </w:t>
      </w:r>
      <w:proofErr w:type="spellStart"/>
      <w:r>
        <w:t>Luetkens</w:t>
      </w:r>
      <w:proofErr w:type="spellEnd"/>
      <w:r>
        <w:t xml:space="preserve">, J. A., Attenberger, U. I., &amp; </w:t>
      </w:r>
      <w:proofErr w:type="spellStart"/>
      <w:r>
        <w:t>Sprinkart</w:t>
      </w:r>
      <w:proofErr w:type="spellEnd"/>
      <w:r>
        <w:t>, A. M. (2022). End-to-end automated body composition analyses with integrated quality control for opportunistic assessment of sarcopenia in CT. European Radiology, 32(5), 3142–3151. https://doi.org/10.1007/s00330-021-08313-x</w:t>
      </w:r>
    </w:p>
    <w:p w14:paraId="4F208353" w14:textId="77777777" w:rsidR="004971F5" w:rsidRDefault="00000000" w:rsidP="00A71138">
      <w:pPr>
        <w:spacing w:before="100" w:beforeAutospacing="1" w:after="100" w:afterAutospacing="1"/>
        <w:ind w:left="720" w:hanging="720"/>
      </w:pPr>
      <w:r>
        <w:t>Obermeyer, Z., Powers, B., Vogeli, C., &amp; Mullainathan, S. (2019). Dissecting racial bias in an algorithm used to manage the health of populations. Science, 366(6464), 447–453. https://doi.org/10.1126/science.aax2342</w:t>
      </w:r>
    </w:p>
    <w:p w14:paraId="2D5AF3E0" w14:textId="77777777" w:rsidR="004971F5" w:rsidRDefault="00000000" w:rsidP="00A71138">
      <w:pPr>
        <w:spacing w:before="100" w:beforeAutospacing="1" w:after="100" w:afterAutospacing="1"/>
        <w:ind w:left="720" w:hanging="720"/>
      </w:pPr>
      <w:r>
        <w:t xml:space="preserve">O'Sullivan, J. W., Palepu, A., Saab, K., Weng, W.-H., Amponsah, D. K., Cheng, E., Cheng, Y., Chu, E., Desai, Y., </w:t>
      </w:r>
      <w:proofErr w:type="spellStart"/>
      <w:r>
        <w:t>Elezaby</w:t>
      </w:r>
      <w:proofErr w:type="spellEnd"/>
      <w:r>
        <w:t xml:space="preserve">, A., Fazal, M., Hussain, T., Jain, S. S., Kim, D. S., Lan, R., Li, J., Tang, W., </w:t>
      </w:r>
      <w:proofErr w:type="spellStart"/>
      <w:r>
        <w:t>Tapaskar</w:t>
      </w:r>
      <w:proofErr w:type="spellEnd"/>
      <w:r>
        <w:t>, N., Parikh, V., … Tu, T. (2026). A large language model for complex cardiology care. Nature Medicine, 32(2), 616–623. https://doi.org/10.1038/s41591-025-04190-9</w:t>
      </w:r>
    </w:p>
    <w:p w14:paraId="154AA15C" w14:textId="77777777" w:rsidR="004971F5" w:rsidRDefault="00000000" w:rsidP="00A71138">
      <w:pPr>
        <w:spacing w:before="100" w:beforeAutospacing="1" w:after="100" w:afterAutospacing="1"/>
        <w:ind w:left="720" w:hanging="720"/>
      </w:pPr>
      <w:r>
        <w:t>Palanca, A., Ampudia-Blasco, F. J., Calderón, J. M., Sauri, I., Martinez-</w:t>
      </w:r>
      <w:proofErr w:type="spellStart"/>
      <w:r>
        <w:t>Hervás</w:t>
      </w:r>
      <w:proofErr w:type="spellEnd"/>
      <w:r>
        <w:t xml:space="preserve">, S., Trillo, J. L., </w:t>
      </w:r>
      <w:proofErr w:type="spellStart"/>
      <w:r>
        <w:t>Redón</w:t>
      </w:r>
      <w:proofErr w:type="spellEnd"/>
      <w:r>
        <w:t>, J., &amp; Real, J. T. (2023). Real-world evaluation of GLP-1 receptor agonist therapy persistence, adherence and therapeutic inertia among obese adults with type 2 diabetes. Diabetes Therapy, 14(4), 723–736. https://doi.org/10.1007/s13300-023-01382-9</w:t>
      </w:r>
    </w:p>
    <w:p w14:paraId="6B1CF6C0" w14:textId="77777777" w:rsidR="004971F5" w:rsidRDefault="00000000" w:rsidP="00A71138">
      <w:pPr>
        <w:spacing w:before="100" w:beforeAutospacing="1" w:after="100" w:afterAutospacing="1"/>
        <w:ind w:left="720" w:hanging="720"/>
      </w:pPr>
      <w:r>
        <w:t xml:space="preserve">Rademakers, F. E., </w:t>
      </w:r>
      <w:proofErr w:type="spellStart"/>
      <w:r>
        <w:t>Biasin</w:t>
      </w:r>
      <w:proofErr w:type="spellEnd"/>
      <w:r>
        <w:t xml:space="preserve">, E., Bruining, N., </w:t>
      </w:r>
      <w:proofErr w:type="spellStart"/>
      <w:r>
        <w:t>Caiani</w:t>
      </w:r>
      <w:proofErr w:type="spellEnd"/>
      <w:r>
        <w:t xml:space="preserve">, E. G., Davies, R. H., Gilbert, S. H., </w:t>
      </w:r>
      <w:proofErr w:type="spellStart"/>
      <w:r>
        <w:t>Kamenjasevic</w:t>
      </w:r>
      <w:proofErr w:type="spellEnd"/>
      <w:r>
        <w:t xml:space="preserve">, E., McGauran, G., O'Connor, G., Rouffet, J.-B., Vasey, B., &amp; Fraser, A. G. (2025). CORE-MD clinical risk score for regulatory evaluation of artificial intelligence-based medical device software. </w:t>
      </w:r>
      <w:proofErr w:type="spellStart"/>
      <w:r>
        <w:t>npj</w:t>
      </w:r>
      <w:proofErr w:type="spellEnd"/>
      <w:r>
        <w:t xml:space="preserve"> Digital Medicine, 8(1), 90. https://doi.org/10.1038/s41746-025-01459-8</w:t>
      </w:r>
    </w:p>
    <w:p w14:paraId="513303A8" w14:textId="77777777" w:rsidR="004971F5" w:rsidRDefault="00000000" w:rsidP="00A71138">
      <w:pPr>
        <w:spacing w:before="100" w:beforeAutospacing="1" w:after="100" w:afterAutospacing="1"/>
        <w:ind w:left="720" w:hanging="720"/>
      </w:pPr>
      <w:r>
        <w:t xml:space="preserve">Rieke, N., Hancox, J., Li, W., </w:t>
      </w:r>
      <w:proofErr w:type="spellStart"/>
      <w:r>
        <w:t>Milletarì</w:t>
      </w:r>
      <w:proofErr w:type="spellEnd"/>
      <w:r>
        <w:t xml:space="preserve">, F., Roth, H. R., </w:t>
      </w:r>
      <w:proofErr w:type="spellStart"/>
      <w:r>
        <w:t>Albarqouni</w:t>
      </w:r>
      <w:proofErr w:type="spellEnd"/>
      <w:r>
        <w:t xml:space="preserve">, S., Bakas, S., Galtier, M. N., Landman, B. A., Maier-Hein, K., </w:t>
      </w:r>
      <w:proofErr w:type="spellStart"/>
      <w:r>
        <w:t>Ourselin</w:t>
      </w:r>
      <w:proofErr w:type="spellEnd"/>
      <w:r>
        <w:t xml:space="preserve">, S., Sheller, M., Summers, R. M., Trask, A., Xu, D., Baust, M., &amp; Cardoso, M. J. (2020). The future of digital health </w:t>
      </w:r>
      <w:r>
        <w:lastRenderedPageBreak/>
        <w:t xml:space="preserve">with federated learning. </w:t>
      </w:r>
      <w:proofErr w:type="spellStart"/>
      <w:r>
        <w:t>npj</w:t>
      </w:r>
      <w:proofErr w:type="spellEnd"/>
      <w:r>
        <w:t xml:space="preserve"> Digital Medicine, 3(1), 119. https://doi.org/10.1038/s41746-020-00323-1</w:t>
      </w:r>
    </w:p>
    <w:p w14:paraId="2D20310E" w14:textId="77777777" w:rsidR="004971F5" w:rsidRDefault="00000000" w:rsidP="00A71138">
      <w:pPr>
        <w:spacing w:before="100" w:beforeAutospacing="1" w:after="100" w:afterAutospacing="1"/>
        <w:ind w:left="720" w:hanging="720"/>
      </w:pPr>
      <w:r>
        <w:t xml:space="preserve">Saux, P., Bauvin, P., Raverdy, V., Teigny, J., </w:t>
      </w:r>
      <w:proofErr w:type="spellStart"/>
      <w:r>
        <w:t>Verkindt</w:t>
      </w:r>
      <w:proofErr w:type="spellEnd"/>
      <w:r>
        <w:t xml:space="preserve">, H., Soumphonphakdy, T., Debert, M., Jacobs, A., Jacobs, D., </w:t>
      </w:r>
      <w:proofErr w:type="spellStart"/>
      <w:r>
        <w:t>Monpellier</w:t>
      </w:r>
      <w:proofErr w:type="spellEnd"/>
      <w:r>
        <w:t xml:space="preserve">, V., Lee, P. C., Lim, C. H., Andersson-Assarsson, J. C., Carlsson, L., Svensson, P.-A., Galtier, F., </w:t>
      </w:r>
      <w:proofErr w:type="spellStart"/>
      <w:r>
        <w:t>Dezfoulian</w:t>
      </w:r>
      <w:proofErr w:type="spellEnd"/>
      <w:r>
        <w:t xml:space="preserve">, G., Moldovanu, M., Andrieux, S., … </w:t>
      </w:r>
      <w:proofErr w:type="spellStart"/>
      <w:r>
        <w:t>Pattou</w:t>
      </w:r>
      <w:proofErr w:type="spellEnd"/>
      <w:r>
        <w:t>, F. (2023). Development and validation of an interpretable machine learning-based calculator for predicting 5-year weight trajectories after bariatric surgery: A multinational retrospective cohort SOPHIA study. The Lancet Digital Health, 5(10), e692–e702. https://doi.org/10.1016/S2589-7500(23)00135-8</w:t>
      </w:r>
    </w:p>
    <w:p w14:paraId="4706A493" w14:textId="77777777" w:rsidR="004971F5" w:rsidRDefault="00000000" w:rsidP="00A71138">
      <w:pPr>
        <w:spacing w:before="100" w:beforeAutospacing="1" w:after="100" w:afterAutospacing="1"/>
        <w:ind w:left="720" w:hanging="720"/>
      </w:pPr>
      <w:r>
        <w:t xml:space="preserve">Somani, S., Jain, S. S., </w:t>
      </w:r>
      <w:proofErr w:type="spellStart"/>
      <w:r>
        <w:t>Sarraju</w:t>
      </w:r>
      <w:proofErr w:type="spellEnd"/>
      <w:r>
        <w:t>, A., Sandhu, A. T., Hernandez-Boussard, T., &amp; Rodriguez, F. (2024). Using large language models to assess public perceptions around glucagon-like peptide-1 receptor agonists on social media. Communications Medicine, 4(1), 137. https://doi.org/10.1038/s43856-024-00566-z</w:t>
      </w:r>
    </w:p>
    <w:p w14:paraId="64E487F9" w14:textId="77777777" w:rsidR="004971F5" w:rsidRDefault="00000000" w:rsidP="00A71138">
      <w:pPr>
        <w:spacing w:before="100" w:beforeAutospacing="1" w:after="100" w:afterAutospacing="1"/>
        <w:ind w:left="720" w:hanging="720"/>
      </w:pPr>
      <w:r>
        <w:t>Srivastava, G., Madhar, A. V., &amp; Chen, Y. (2025). Artificial intelligence-driven prediction of glucagon-like-peptide-1 receptor agonist eligibility in obesity. Diabetes Technology and Obesity Medicine, 1(1), 386–395. https://doi.org/10.1177/29986702251380864</w:t>
      </w:r>
    </w:p>
    <w:p w14:paraId="2E413CDD" w14:textId="77777777" w:rsidR="004971F5" w:rsidRDefault="00000000" w:rsidP="00A71138">
      <w:pPr>
        <w:spacing w:before="100" w:beforeAutospacing="1" w:after="100" w:afterAutospacing="1"/>
        <w:ind w:left="720" w:hanging="720"/>
      </w:pPr>
      <w:r>
        <w:t xml:space="preserve">Thomsen, R. W., </w:t>
      </w:r>
      <w:proofErr w:type="spellStart"/>
      <w:r>
        <w:t>Mailhac</w:t>
      </w:r>
      <w:proofErr w:type="spellEnd"/>
      <w:r>
        <w:t>, A., Løhde, J. B., &amp; Pottegård, A. (2025). Real-world evidence on the utilization, clinical and comparative effectiveness, and adverse effects of newer GLP-1RA-based weight-loss therapies. Diabetes, Obesity and Metabolism, 27(S2), 66–88. https://doi.org/10.1111/dom.16364</w:t>
      </w:r>
    </w:p>
    <w:p w14:paraId="17C8C939" w14:textId="77777777" w:rsidR="004971F5" w:rsidRDefault="00000000" w:rsidP="00A71138">
      <w:pPr>
        <w:spacing w:before="100" w:beforeAutospacing="1" w:after="100" w:afterAutospacing="1"/>
        <w:ind w:left="720" w:hanging="720"/>
      </w:pPr>
      <w:r>
        <w:t xml:space="preserve">Tobias, D. K., Merino, J., Ahmad, A., Aiken, C., Benham, J. L., Bodhini, D., Clark, A. L., Colclough, K., </w:t>
      </w:r>
      <w:proofErr w:type="spellStart"/>
      <w:r>
        <w:t>Corcoy</w:t>
      </w:r>
      <w:proofErr w:type="spellEnd"/>
      <w:r>
        <w:t xml:space="preserve">, R., Cromer, S. J., Duan, D., Felton, J. L., Francis, E. C., Gillard, P., Gingras, V., Gaillard, R., Haider, E., Hughes, A., </w:t>
      </w:r>
      <w:proofErr w:type="spellStart"/>
      <w:r>
        <w:t>Ikle</w:t>
      </w:r>
      <w:proofErr w:type="spellEnd"/>
      <w:r>
        <w:t>, J. M., … Franks, P. W. (2023). Second international consensus report on gaps and opportunities for the clinical translation of precision diabetes medicine. Nature Medicine, 29(10), 2438–2457. https://doi.org/10.1038/s41591-023-02502-5</w:t>
      </w:r>
    </w:p>
    <w:p w14:paraId="0CDC4882" w14:textId="77777777" w:rsidR="004971F5" w:rsidRDefault="00000000" w:rsidP="00A71138">
      <w:pPr>
        <w:spacing w:before="100" w:beforeAutospacing="1" w:after="100" w:afterAutospacing="1"/>
        <w:ind w:left="720" w:hanging="720"/>
      </w:pPr>
      <w:r>
        <w:t xml:space="preserve">Tuccinardi, D., </w:t>
      </w:r>
      <w:proofErr w:type="spellStart"/>
      <w:r>
        <w:t>Zilich</w:t>
      </w:r>
      <w:proofErr w:type="spellEnd"/>
      <w:r>
        <w:t xml:space="preserve">, R., </w:t>
      </w:r>
      <w:proofErr w:type="spellStart"/>
      <w:r>
        <w:t>Ponzani</w:t>
      </w:r>
      <w:proofErr w:type="spellEnd"/>
      <w:r>
        <w:t xml:space="preserve">, P., Musacchio, N., </w:t>
      </w:r>
      <w:proofErr w:type="spellStart"/>
      <w:r>
        <w:t>Manicardi</w:t>
      </w:r>
      <w:proofErr w:type="spellEnd"/>
      <w:r>
        <w:t xml:space="preserve">, V., Rocca, A., Pontremoli, R., Fioretto, P., </w:t>
      </w:r>
      <w:proofErr w:type="spellStart"/>
      <w:r>
        <w:t>Muscarà</w:t>
      </w:r>
      <w:proofErr w:type="spellEnd"/>
      <w:r>
        <w:t>, A., Di Cianni, G., Candido, R., De Cosmo, S. A., &amp; Russo, G. (2025). Real-world prescriptions of GLP-1RAs and SGLT2is in type 2 diabetes prioritise BMI and age over cardiorenal risk: A machine learning-based large cohort analysis. Cardiovascular Diabetology – Endocrinology Reports, 11(1), 38. https://doi.org/10.1186/s40842-025-00251-7</w:t>
      </w:r>
    </w:p>
    <w:p w14:paraId="79D64A90" w14:textId="77777777" w:rsidR="004971F5" w:rsidRDefault="00000000" w:rsidP="00A71138">
      <w:pPr>
        <w:spacing w:before="100" w:beforeAutospacing="1" w:after="100" w:afterAutospacing="1"/>
        <w:ind w:left="720" w:hanging="720"/>
      </w:pPr>
      <w:r>
        <w:t>Ulrich, F. S., Napoli, N., Nielsen, M. F., &amp; Burden, A. M. (2026). Real-world persistence and dose titration of GLP-1 receptor agonists in type 2 diabetes: A UK population-based cohort study by obesity and cardiovascular disease status. Diabetes, Obesity and Metabolism, 28(4), 3386–3395. https://doi.org/10.1111/dom.70535</w:t>
      </w:r>
    </w:p>
    <w:p w14:paraId="2CF75E04" w14:textId="77777777" w:rsidR="004971F5" w:rsidRDefault="00000000" w:rsidP="00A71138">
      <w:pPr>
        <w:spacing w:before="100" w:beforeAutospacing="1" w:after="100" w:afterAutospacing="1"/>
        <w:ind w:left="720" w:hanging="720"/>
      </w:pPr>
      <w:r>
        <w:t xml:space="preserve">Vasey, B., Nagendran, M., Campbell, B., Clifton, D. A., Collins, G. S., </w:t>
      </w:r>
      <w:proofErr w:type="spellStart"/>
      <w:r>
        <w:t>Denaxas</w:t>
      </w:r>
      <w:proofErr w:type="spellEnd"/>
      <w:r>
        <w:t xml:space="preserve">, S., Denniston, A. K., Faes, L., Geerts, B., Ibrahim, M., Liu, X., Mateen, B. A., Mathur, P., McCradden, M. D., Morgan, L., Ordish, J., Rogers, C., Saria, S., Ting, D. S. W., … McCulloch, P. (2022). Reporting guideline for the </w:t>
      </w:r>
      <w:proofErr w:type="gramStart"/>
      <w:r>
        <w:t>early stage</w:t>
      </w:r>
      <w:proofErr w:type="gramEnd"/>
      <w:r>
        <w:t xml:space="preserve"> clinical evaluation of decision support systems driven by artificial intelligence: DECIDE-AI. BMJ, 377, e070904. https://doi.org/10.1136/bmj-2022-070904</w:t>
      </w:r>
    </w:p>
    <w:p w14:paraId="28DE81EB" w14:textId="77777777" w:rsidR="004971F5" w:rsidRDefault="00000000" w:rsidP="00A71138">
      <w:pPr>
        <w:spacing w:before="100" w:beforeAutospacing="1" w:after="100" w:afterAutospacing="1"/>
        <w:ind w:left="720" w:hanging="720"/>
      </w:pPr>
      <w:r>
        <w:lastRenderedPageBreak/>
        <w:t>Wang, D., Liang, J., Ye, J., Li, J., Zhang, Q., Hu, Q., Pan, C., Liu, Z., Shi, W., Shi, D., Li, F., Qu, B., &amp; Zheng, Y. (2024). Enhancement of the performance of large language models in diabetes education through retrieval-augmented generation: Comparative study. Journal of Medical Internet Research, 26, e58041. https://doi.org/10.2196/58041</w:t>
      </w:r>
    </w:p>
    <w:p w14:paraId="7B2ACC44" w14:textId="77777777" w:rsidR="004971F5" w:rsidRDefault="00000000" w:rsidP="00A71138">
      <w:pPr>
        <w:spacing w:before="100" w:beforeAutospacing="1" w:after="100" w:afterAutospacing="1"/>
        <w:ind w:left="720" w:hanging="720"/>
      </w:pPr>
      <w:r>
        <w:t xml:space="preserve">Wharton, S., </w:t>
      </w:r>
      <w:proofErr w:type="spellStart"/>
      <w:r>
        <w:t>Calanna</w:t>
      </w:r>
      <w:proofErr w:type="spellEnd"/>
      <w:r>
        <w:t xml:space="preserve">, S., Davies, M., Dicker, D., Goldman, B., </w:t>
      </w:r>
      <w:proofErr w:type="spellStart"/>
      <w:r>
        <w:t>Lingvay</w:t>
      </w:r>
      <w:proofErr w:type="spellEnd"/>
      <w:r>
        <w:t xml:space="preserve">, I., </w:t>
      </w:r>
      <w:proofErr w:type="spellStart"/>
      <w:r>
        <w:t>Mosenzon</w:t>
      </w:r>
      <w:proofErr w:type="spellEnd"/>
      <w:r>
        <w:t>, O., Rubino, D. M., Thomsen, M., Wadden, T. A., &amp; Pedersen, S. D. (2022). Gastrointestinal tolerability of once-weekly semaglutide 2.4 mg in adults with overweight or obesity, and the relationship between gastrointestinal adverse events and weight loss. Diabetes, Obesity and Metabolism, 24(1), 94–105. https://doi.org/10.1111/dom.14551</w:t>
      </w:r>
    </w:p>
    <w:p w14:paraId="33EB39E0" w14:textId="77777777" w:rsidR="004971F5" w:rsidRDefault="00000000" w:rsidP="00A71138">
      <w:pPr>
        <w:spacing w:before="100" w:beforeAutospacing="1" w:after="100" w:afterAutospacing="1"/>
        <w:ind w:left="720" w:hanging="720"/>
      </w:pPr>
      <w:r>
        <w:t xml:space="preserve">Wilding, J. P. H., </w:t>
      </w:r>
      <w:proofErr w:type="spellStart"/>
      <w:r>
        <w:t>Batterham</w:t>
      </w:r>
      <w:proofErr w:type="spellEnd"/>
      <w:r>
        <w:t xml:space="preserve">, R. L., </w:t>
      </w:r>
      <w:proofErr w:type="spellStart"/>
      <w:r>
        <w:t>Calanna</w:t>
      </w:r>
      <w:proofErr w:type="spellEnd"/>
      <w:r>
        <w:t xml:space="preserve">, S., Davies, M., Van Gaal, L. F., </w:t>
      </w:r>
      <w:proofErr w:type="spellStart"/>
      <w:r>
        <w:t>Lingvay</w:t>
      </w:r>
      <w:proofErr w:type="spellEnd"/>
      <w:r>
        <w:t>, I., McGowan, B. M., Rosenstock, J., Tran, M. T. D., Wadden, T. A., Wharton, S., Yokote, K., Zeuthen, N., &amp; Kushner, R. F. (2021). Once-weekly semaglutide in adults with overweight or obesity. New England Journal of Medicine, 384(11), 989–1002. https://doi.org/10.1056/NEJMoa2032183</w:t>
      </w:r>
    </w:p>
    <w:p w14:paraId="621812E0" w14:textId="77777777" w:rsidR="004971F5" w:rsidRDefault="00000000" w:rsidP="00A71138">
      <w:pPr>
        <w:spacing w:before="100" w:beforeAutospacing="1" w:after="100" w:afterAutospacing="1"/>
        <w:ind w:left="720" w:hanging="720"/>
      </w:pPr>
      <w:r>
        <w:t xml:space="preserve">Wilding, J. P. H., </w:t>
      </w:r>
      <w:proofErr w:type="spellStart"/>
      <w:r>
        <w:t>Batterham</w:t>
      </w:r>
      <w:proofErr w:type="spellEnd"/>
      <w:r>
        <w:t xml:space="preserve">, R. L., Davies, M., Van Gaal, L. F., Kandler, K., </w:t>
      </w:r>
      <w:proofErr w:type="spellStart"/>
      <w:r>
        <w:t>Konakli</w:t>
      </w:r>
      <w:proofErr w:type="spellEnd"/>
      <w:r>
        <w:t xml:space="preserve">, K., </w:t>
      </w:r>
      <w:proofErr w:type="spellStart"/>
      <w:r>
        <w:t>Lingvay</w:t>
      </w:r>
      <w:proofErr w:type="spellEnd"/>
      <w:r>
        <w:t xml:space="preserve">, I., McGowan, B. M., Oral, T. K., Rosenstock, J., Wadden, T. A., Wharton, S., Yokote, K., &amp; Kushner, R. F. (2022). Weight </w:t>
      </w:r>
      <w:proofErr w:type="gramStart"/>
      <w:r>
        <w:t>regain</w:t>
      </w:r>
      <w:proofErr w:type="gramEnd"/>
      <w:r>
        <w:t xml:space="preserve"> and cardiometabolic effects after withdrawal of semaglutide: The STEP 1 trial extension. Diabetes, Obesity and Metabolism, 24(8), 1553–1564. https://doi.org/10.1111/dom.14725</w:t>
      </w:r>
    </w:p>
    <w:p w14:paraId="509906AC" w14:textId="77777777" w:rsidR="004971F5" w:rsidRDefault="00000000" w:rsidP="00A71138">
      <w:pPr>
        <w:spacing w:before="100" w:beforeAutospacing="1" w:after="100" w:afterAutospacing="1"/>
        <w:ind w:left="720" w:hanging="720"/>
      </w:pPr>
      <w:r>
        <w:t xml:space="preserve">Williams, T., Bilic-Curcic, I., Hurley, J., </w:t>
      </w:r>
      <w:proofErr w:type="spellStart"/>
      <w:r>
        <w:t>Mummareddy</w:t>
      </w:r>
      <w:proofErr w:type="spellEnd"/>
      <w:r>
        <w:t xml:space="preserve">, H., </w:t>
      </w:r>
      <w:proofErr w:type="spellStart"/>
      <w:r>
        <w:t>Cigrovski</w:t>
      </w:r>
      <w:proofErr w:type="spellEnd"/>
      <w:r>
        <w:t xml:space="preserve"> Berkovic, M., </w:t>
      </w:r>
      <w:proofErr w:type="spellStart"/>
      <w:r>
        <w:t>Canecki</w:t>
      </w:r>
      <w:proofErr w:type="spellEnd"/>
      <w:r>
        <w:t xml:space="preserve"> Varzic, S., &amp; </w:t>
      </w:r>
      <w:proofErr w:type="spellStart"/>
      <w:r>
        <w:t>Gradiser</w:t>
      </w:r>
      <w:proofErr w:type="spellEnd"/>
      <w:r>
        <w:t>, M. (2026). Readability of AI-generated patient information on glucagon-like peptide-1 receptor agonists. JMIR Bioinformatics and Biotechnology, 7, e90572. https://doi.org/10.2196/90572</w:t>
      </w:r>
    </w:p>
    <w:p w14:paraId="19A1D286" w14:textId="77777777" w:rsidR="004971F5" w:rsidRDefault="00000000" w:rsidP="00A71138">
      <w:pPr>
        <w:spacing w:before="100" w:beforeAutospacing="1" w:after="100" w:afterAutospacing="1"/>
        <w:ind w:left="720" w:hanging="720"/>
      </w:pPr>
      <w:r>
        <w:t xml:space="preserve">Yang, H.-W., De la Peña-Armada, R., Sun, H., Peng, Y.-Q., Lo, M.-T., Scheer, F. A. J. L., Hu, K., &amp; </w:t>
      </w:r>
      <w:proofErr w:type="spellStart"/>
      <w:r>
        <w:t>Garaulet</w:t>
      </w:r>
      <w:proofErr w:type="spellEnd"/>
      <w:r>
        <w:t>, M. (2025). Uncovering key factors in weight loss effectiveness through machine learning. International Journal of Obesity, 49(6), 1189–1199. https://doi.org/10.1038/s41366-025-01766-w</w:t>
      </w:r>
    </w:p>
    <w:sectPr w:rsidR="004971F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CFD22" w14:textId="77777777" w:rsidR="00A7737A" w:rsidRDefault="00A7737A" w:rsidP="003A7621">
      <w:r>
        <w:separator/>
      </w:r>
    </w:p>
  </w:endnote>
  <w:endnote w:type="continuationSeparator" w:id="0">
    <w:p w14:paraId="7C1B34CB" w14:textId="77777777" w:rsidR="00A7737A" w:rsidRDefault="00A7737A" w:rsidP="003A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DFED" w14:textId="77777777" w:rsidR="003A7621" w:rsidRDefault="003A7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0961" w14:textId="77777777" w:rsidR="003A7621" w:rsidRDefault="003A7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8FBB" w14:textId="77777777" w:rsidR="003A7621" w:rsidRDefault="003A7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58EB" w14:textId="77777777" w:rsidR="00A7737A" w:rsidRDefault="00A7737A" w:rsidP="003A7621">
      <w:r>
        <w:separator/>
      </w:r>
    </w:p>
  </w:footnote>
  <w:footnote w:type="continuationSeparator" w:id="0">
    <w:p w14:paraId="2B0A89A3" w14:textId="77777777" w:rsidR="00A7737A" w:rsidRDefault="00A7737A" w:rsidP="003A7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6A50" w14:textId="3CC6FECD" w:rsidR="003A7621" w:rsidRDefault="003A7621">
    <w:pPr>
      <w:pStyle w:val="Header"/>
    </w:pPr>
    <w:r>
      <w:rPr>
        <w:noProof/>
      </w:rPr>
      <w:pict w14:anchorId="641961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02117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9D81" w14:textId="242A5832" w:rsidR="003A7621" w:rsidRDefault="003A7621">
    <w:pPr>
      <w:pStyle w:val="Header"/>
    </w:pPr>
    <w:r>
      <w:rPr>
        <w:noProof/>
      </w:rPr>
      <w:pict w14:anchorId="60186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021173"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7BA8" w14:textId="0CC4050A" w:rsidR="003A7621" w:rsidRDefault="003A7621">
    <w:pPr>
      <w:pStyle w:val="Header"/>
    </w:pPr>
    <w:r>
      <w:rPr>
        <w:noProof/>
      </w:rPr>
      <w:pict w14:anchorId="7E0123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02117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B0C3A"/>
    <w:multiLevelType w:val="hybridMultilevel"/>
    <w:tmpl w:val="100630F6"/>
    <w:lvl w:ilvl="0" w:tplc="A7CCBBC2">
      <w:start w:val="1"/>
      <w:numFmt w:val="bullet"/>
      <w:lvlText w:val="●"/>
      <w:lvlJc w:val="left"/>
      <w:pPr>
        <w:ind w:left="720" w:hanging="360"/>
      </w:pPr>
    </w:lvl>
    <w:lvl w:ilvl="1" w:tplc="B28411E8">
      <w:start w:val="1"/>
      <w:numFmt w:val="bullet"/>
      <w:lvlText w:val="○"/>
      <w:lvlJc w:val="left"/>
      <w:pPr>
        <w:ind w:left="1440" w:hanging="360"/>
      </w:pPr>
    </w:lvl>
    <w:lvl w:ilvl="2" w:tplc="3836D3A4">
      <w:start w:val="1"/>
      <w:numFmt w:val="bullet"/>
      <w:lvlText w:val="■"/>
      <w:lvlJc w:val="left"/>
      <w:pPr>
        <w:ind w:left="2160" w:hanging="360"/>
      </w:pPr>
    </w:lvl>
    <w:lvl w:ilvl="3" w:tplc="F9ACF844">
      <w:start w:val="1"/>
      <w:numFmt w:val="bullet"/>
      <w:lvlText w:val="●"/>
      <w:lvlJc w:val="left"/>
      <w:pPr>
        <w:ind w:left="2880" w:hanging="360"/>
      </w:pPr>
    </w:lvl>
    <w:lvl w:ilvl="4" w:tplc="CBEC91B8">
      <w:start w:val="1"/>
      <w:numFmt w:val="bullet"/>
      <w:lvlText w:val="○"/>
      <w:lvlJc w:val="left"/>
      <w:pPr>
        <w:ind w:left="3600" w:hanging="360"/>
      </w:pPr>
    </w:lvl>
    <w:lvl w:ilvl="5" w:tplc="E13EBD2E">
      <w:start w:val="1"/>
      <w:numFmt w:val="bullet"/>
      <w:lvlText w:val="■"/>
      <w:lvlJc w:val="left"/>
      <w:pPr>
        <w:ind w:left="4320" w:hanging="360"/>
      </w:pPr>
    </w:lvl>
    <w:lvl w:ilvl="6" w:tplc="3AA05E36">
      <w:start w:val="1"/>
      <w:numFmt w:val="bullet"/>
      <w:lvlText w:val="●"/>
      <w:lvlJc w:val="left"/>
      <w:pPr>
        <w:ind w:left="5040" w:hanging="360"/>
      </w:pPr>
    </w:lvl>
    <w:lvl w:ilvl="7" w:tplc="D72C6E36">
      <w:start w:val="1"/>
      <w:numFmt w:val="bullet"/>
      <w:lvlText w:val="●"/>
      <w:lvlJc w:val="left"/>
      <w:pPr>
        <w:ind w:left="5760" w:hanging="360"/>
      </w:pPr>
    </w:lvl>
    <w:lvl w:ilvl="8" w:tplc="793EC806">
      <w:start w:val="1"/>
      <w:numFmt w:val="bullet"/>
      <w:lvlText w:val="●"/>
      <w:lvlJc w:val="left"/>
      <w:pPr>
        <w:ind w:left="6480" w:hanging="360"/>
      </w:pPr>
    </w:lvl>
  </w:abstractNum>
  <w:num w:numId="1" w16cid:durableId="456611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1F5"/>
    <w:rsid w:val="003A7621"/>
    <w:rsid w:val="004971F5"/>
    <w:rsid w:val="004E0256"/>
    <w:rsid w:val="0057228C"/>
    <w:rsid w:val="006A1FEF"/>
    <w:rsid w:val="00A71138"/>
    <w:rsid w:val="00A7737A"/>
    <w:rsid w:val="00D95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321FE"/>
  <w15:docId w15:val="{1E8CEF73-873C-49B6-B85E-7161310B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Author">
    <w:name w:val="Author"/>
    <w:basedOn w:val="Normal"/>
    <w:rsid w:val="00D9534F"/>
    <w:pPr>
      <w:spacing w:line="280" w:lineRule="exact"/>
      <w:jc w:val="right"/>
    </w:pPr>
    <w:rPr>
      <w:rFonts w:ascii="Helvetica" w:hAnsi="Helvetica"/>
      <w:b/>
      <w:szCs w:val="20"/>
      <w:lang w:val="en-US" w:eastAsia="en-US"/>
    </w:rPr>
  </w:style>
  <w:style w:type="paragraph" w:styleId="Header">
    <w:name w:val="header"/>
    <w:basedOn w:val="Normal"/>
    <w:link w:val="HeaderChar"/>
    <w:uiPriority w:val="99"/>
    <w:unhideWhenUsed/>
    <w:rsid w:val="003A7621"/>
    <w:pPr>
      <w:tabs>
        <w:tab w:val="center" w:pos="4680"/>
        <w:tab w:val="right" w:pos="9360"/>
      </w:tabs>
    </w:pPr>
  </w:style>
  <w:style w:type="character" w:customStyle="1" w:styleId="HeaderChar">
    <w:name w:val="Header Char"/>
    <w:basedOn w:val="DefaultParagraphFont"/>
    <w:link w:val="Header"/>
    <w:uiPriority w:val="99"/>
    <w:rsid w:val="003A7621"/>
  </w:style>
  <w:style w:type="paragraph" w:styleId="Footer">
    <w:name w:val="footer"/>
    <w:basedOn w:val="Normal"/>
    <w:link w:val="FooterChar"/>
    <w:uiPriority w:val="99"/>
    <w:unhideWhenUsed/>
    <w:rsid w:val="003A7621"/>
    <w:pPr>
      <w:tabs>
        <w:tab w:val="center" w:pos="4680"/>
        <w:tab w:val="right" w:pos="9360"/>
      </w:tabs>
    </w:pPr>
  </w:style>
  <w:style w:type="character" w:customStyle="1" w:styleId="FooterChar">
    <w:name w:val="Footer Char"/>
    <w:basedOn w:val="DefaultParagraphFont"/>
    <w:link w:val="Footer"/>
    <w:uiPriority w:val="99"/>
    <w:rsid w:val="003A7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18415</Words>
  <Characters>104972</Characters>
  <Application>Microsoft Office Word</Application>
  <DocSecurity>0</DocSecurity>
  <Lines>874</Lines>
  <Paragraphs>246</Paragraphs>
  <ScaleCrop>false</ScaleCrop>
  <Company>HP</Company>
  <LinksUpToDate>false</LinksUpToDate>
  <CharactersWithSpaces>123141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in the optimisation of GLP-1 receptor agonist therapy</dc:title>
  <dc:creator>Manuscript</dc:creator>
  <cp:lastModifiedBy>SDI 1084</cp:lastModifiedBy>
  <cp:revision>5</cp:revision>
  <dcterms:created xsi:type="dcterms:W3CDTF">2026-08-08T10:27:00Z</dcterms:created>
  <dcterms:modified xsi:type="dcterms:W3CDTF">2026-08-08T12:26:00Z</dcterms:modified>
</cp:coreProperties>
</file>