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C72060" w14:textId="77777777" w:rsidR="0034176B" w:rsidRPr="0034176B" w:rsidRDefault="0034176B" w:rsidP="0034176B">
      <w:pPr>
        <w:spacing w:after="280"/>
        <w:jc w:val="center"/>
        <w:rPr>
          <w:b/>
          <w:bCs/>
          <w:i/>
          <w:iCs/>
          <w:color w:val="1F374F"/>
          <w:sz w:val="32"/>
          <w:u w:val="single"/>
        </w:rPr>
      </w:pPr>
      <w:r w:rsidRPr="0034176B">
        <w:rPr>
          <w:b/>
          <w:bCs/>
          <w:i/>
          <w:iCs/>
          <w:color w:val="1F374F"/>
          <w:sz w:val="32"/>
          <w:u w:val="single"/>
        </w:rPr>
        <w:t>Review Article</w:t>
      </w:r>
    </w:p>
    <w:p w14:paraId="19B236E8" w14:textId="77777777" w:rsidR="008C5708" w:rsidRDefault="00000000">
      <w:pPr>
        <w:spacing w:after="280"/>
        <w:jc w:val="center"/>
        <w:rPr>
          <w:b/>
          <w:color w:val="1F374F"/>
          <w:sz w:val="32"/>
        </w:rPr>
      </w:pPr>
      <w:r>
        <w:rPr>
          <w:b/>
          <w:color w:val="1F374F"/>
          <w:sz w:val="32"/>
        </w:rPr>
        <w:t>Precision Farming for Sustainable and Efficient Agribusiness in India: A Critical Narrative Review with Descriptive Evidence Synthesis</w:t>
      </w:r>
    </w:p>
    <w:p w14:paraId="04236C9A" w14:textId="77777777" w:rsidR="00BF4227" w:rsidRDefault="00BF4227">
      <w:pPr>
        <w:spacing w:after="280"/>
        <w:jc w:val="center"/>
      </w:pPr>
    </w:p>
    <w:p w14:paraId="64F1280A" w14:textId="77777777" w:rsidR="008C5708" w:rsidRDefault="00000000">
      <w:pPr>
        <w:pStyle w:val="Heading1"/>
      </w:pPr>
      <w:r>
        <w:t>Abstract</w:t>
      </w:r>
    </w:p>
    <w:p w14:paraId="1299E599" w14:textId="77777777" w:rsidR="008C5708" w:rsidRDefault="00000000">
      <w:r>
        <w:t>India's agricultural economy faces a distinctive precision-farming problem: the technologies that can measure and manage field variability are advancing rapidly, while the institutional conditions needed to convert technical precision into durable farm and agribusiness value remain uneven. This critical narrative review evaluates precision farming as a decision system rather than a collection of devices, with particular attention to Indian smallholder conditions, resource-use efficiency, farm economics, service delivery and environmental performance. Literature published from 1 January 2000 to 14 June 2026 was examined through accessible scholarly indexes, agricultural databases and authoritative Indian institutional sources. The requested descriptive meta-analytical element was implemented as structured comparison of reported effect directions and magnitudes; statistical pooling was not undertaken because interventions, crops, comparators, outcomes and study designs were too heterogeneous for a defensible common effect estimate. The evidence is strongest for scale-compatible practices that translate measurement directly into management, including precision land levelling, sensor- or threshold-guided nitrogen management, drip fertigation and targeted application technologies. These approaches frequently maintain or increase yield while reducing irrigation water or fertiliser requirements, although the magnitude and persistence of benefit are context dependent. By contrast, remote sensing, machine learning and digital advisories have strong diagnostic potential but weaker causal evidence for income or yield gains at scale. Large observational and modelling datasets reveal substantial scope for site-specific management, yet modelled opportunity should not be conflated with realised farmer benefit. India's small and fragmented holdings make capital-intensive ownership models difficult to generalise; custom hiring, farmer collectives and service-based delivery can improve asset utilisation but introduce quality, interoperability and governance requirements. The review concludes that India's most credible pathway is not technology maximalism but frugal, service-enabled precision: reliable measurement, locally calibrated decision rules, affordable execution and independent outcome evaluation. Future research should prioritise multi-season causal trials, whole-farm economics, environmental outcomes, interoperability, data governance and distributional effects across farm sizes, regions and gendered access to services.</w:t>
      </w:r>
    </w:p>
    <w:p w14:paraId="3509C984" w14:textId="77777777" w:rsidR="008C5708" w:rsidRDefault="00000000">
      <w:pPr>
        <w:spacing w:after="200"/>
      </w:pPr>
      <w:r>
        <w:rPr>
          <w:b/>
        </w:rPr>
        <w:t xml:space="preserve">Keywords: </w:t>
      </w:r>
      <w:r>
        <w:t>digital agriculture; site-specific nutrient management; smallholder systems; resource-use efficiency; agricultural services; remote sensing; farm profitability; India</w:t>
      </w:r>
    </w:p>
    <w:p w14:paraId="5384A9DD" w14:textId="77777777" w:rsidR="008C5708" w:rsidRDefault="00000000">
      <w:pPr>
        <w:pStyle w:val="Heading1"/>
      </w:pPr>
      <w:r>
        <w:t>1. Introduction</w:t>
      </w:r>
    </w:p>
    <w:p w14:paraId="2375661E" w14:textId="77777777" w:rsidR="008C5708" w:rsidRDefault="00000000">
      <w:r>
        <w:t xml:space="preserve">Precision farming has moved from a specialised approach based on georeferenced machinery to a broader family of practices that observe variability, interpret its agronomic meaning and adjust management in space or time. The core logic is therefore not the ownership of sophisticated equipment but the matching of an input or operation to a locally observed crop, soil or environmental requirement. This distinction is consequential in India, where precision agriculture must operate within a production structure dominated by small and marginal operational holdings, heterogeneous soils and climates, variable irrigation access, labour transitions and rapidly expanding digital infrastructure. Government data based on the Agriculture Census 2015-16 report an </w:t>
      </w:r>
      <w:r>
        <w:lastRenderedPageBreak/>
        <w:t>average operational holding of 1.08 ha, while small and marginal holders account for about 86% of operational holdings (Government of India, 2023, 2026). These structural features do not make precision farming irrelevant; they change the forms of precision that are likely to be technically feasible, economically rational and institutionally scalable.</w:t>
      </w:r>
    </w:p>
    <w:p w14:paraId="69DB56C7" w14:textId="77777777" w:rsidR="008C5708" w:rsidRDefault="00000000">
      <w:r>
        <w:t>Early discussion of precision agriculture in India already recognised this mismatch. Mondal and Basu (2009) distinguished capital-intensive, machinery-centred approaches from lower-cost forms of information and management precision, arguing that small farms would require adapted strategies rather than simple transfer of large-farm technologies. Internationally, the field has likewise evolved from yield mapping, global navigation satellite systems and variable-rate machinery towards sensor networks, remote sensing, decision support, machine learning and digitally mediated advisory services (Bhakta et al., 2019; Gebbers &amp; Adamchuk, 2010; Monteiro et al., 2021). This expansion has strengthened the conceptual case for precision agriculture but also blurred the boundary between evidence that a technology can measure a variable accurately and evidence that its use improves agronomic, economic or environmental outcomes.</w:t>
      </w:r>
    </w:p>
    <w:p w14:paraId="1E9CEDE1" w14:textId="77777777" w:rsidR="008C5708" w:rsidRDefault="00000000">
      <w:r>
        <w:t>The sustainability rationale is substantial. Precision agriculture can in principle reduce avoidable applications of water, nutrients, fuel and pesticides, while improving timeliness and stabilising crop management under variable conditions. Global reviews identify plausible and, in many settings, observed improvements in resource-use efficiency and farm economics (Balafoutis et al., 2017; Finger et al., 2019; Getahun et al., 2024). A recent global meta-analysis reported positive average economic and environmental effects across a heterogeneous evidence base, but also substantial variation by technology, farm context and development setting (Lan &amp; Ban, 2025). Such averages are informative as a benchmark, not as an India-specific prediction. Precision technologies are highly complementary: a sensor has little value without an actionable threshold, a recommendation has little value if inputs or machinery are unavailable at the relevant time, and a variable-rate prescription has little value if the cost of execution exceeds the value of the saved input or protected yield.</w:t>
      </w:r>
    </w:p>
    <w:p w14:paraId="055EA590" w14:textId="77777777" w:rsidR="008C5708" w:rsidRDefault="00000000">
      <w:r>
        <w:t>Indian field research illustrates both the promise and the conditionality of benefit. Precision land levelling in rice-wheat systems has produced water savings and productivity gains under experimental conditions (Jat et al., 2009). Site-specific nitrogen management in rice and wheat has demonstrated that crop sensing and threshold-based decisions can maintain yields while improving nitrogen efficiency in some settings (Ali et al., 2015; Khurana et al., 2007; Singh et al., 2017). Leaf-colour-chart approaches offer a low-cost form of crop-responsive nitrogen timing that is especially compatible with small farms (Islam et al., 2007; Peng et al., 2010). Drip irrigation and fertigation can combine water and nutrient precision with operational control (Singh &amp; Singh, 2026; Sinha et al., 2017). Drone-based application can reduce the labour and time required for targeted field operations, although evidence remains crop- and treatment-specific (Paul et al., 2023).</w:t>
      </w:r>
    </w:p>
    <w:p w14:paraId="1B022A1B" w14:textId="77777777" w:rsidR="008C5708" w:rsidRDefault="00000000">
      <w:r>
        <w:t>The newer digital layer creates different opportunities and risks. Remote sensing provides scalable observation of crop condition and spatial variability, while machine-learning methods can relate multisource data to yield, nitrogen status or management recommendations (Chlingaryan et al., 2018; Kuunya et al., 2026; Liakos et al., 2018; Sishodia et al., 2020). Yet prediction accuracy in a research dataset is not equivalent to decision value in a farmer's field. Models can be sensitive to calibration, sensor characteristics, weather, soil background, crop variety and management history. The problem is especially acute when models are moved across agroecological regions without external validation. Reviews of site-specific soil nutrient sensing similarly conclude that no single sensor reliably predicts all relevant soil properties and that preprocessing and model choice materially affect performance (Vullaganti et al., 2025).</w:t>
      </w:r>
    </w:p>
    <w:p w14:paraId="3D160867" w14:textId="77777777" w:rsidR="008C5708" w:rsidRDefault="00000000">
      <w:r>
        <w:t xml:space="preserve">A second gap concerns causality. Digital advisory interventions may change behaviour without producing measurable yield gains. In a randomised evaluation among Indian smallholders, customised soil nutrient advice altered reported fertiliser management but did not generate a detectable yield response; the same study </w:t>
      </w:r>
      <w:r>
        <w:lastRenderedPageBreak/>
        <w:t>also demonstrated that apparently more precise satellite outcome measurement can introduce bias if calibration is naïvely specified (Cole et al., 2025). Conversely, large observational datasets reveal considerable management heterogeneity and therefore a potentially large decision space for precision management. Analyses of more than 31,000 rice fields in South Asia found widespread opportunities to improve nitrogen-use efficiency without sacrificing yield, while integrated assessment of wheat farms in north-western India showed that environmental and profitability performance can vary materially even where average yield gaps are relatively small (Coggins et al., 2025; Nayak et al., 2025). These findings identify where precision may matter, but they do not by themselves establish the realised return to a specific technology or service.</w:t>
      </w:r>
    </w:p>
    <w:p w14:paraId="114D32E9" w14:textId="77777777" w:rsidR="008C5708" w:rsidRDefault="00000000">
      <w:r>
        <w:t>The agribusiness perspective is therefore essential. For many Indian farms, the relevant adoption question is not whether to purchase a drone, multispectral camera or variable-rate applicator, but whether a timely and trusted service can convert data into a profitable action. Government support for Custom Hiring Centres, Farm Machinery Banks and agricultural drone services reflects an explicit move towards shared access rather than universal asset ownership (Government of India, 2025b). In parallel, the Digital Agriculture Mission is developing public digital infrastructure that includes AgriStack, a Krishi Decision Support System and soil information components (Government of India, 2025a). These initiatives can lower coordination and information costs, but their agronomic value depends on data quality, interoperability, local calibration, service accountability and farmer capacity to act on recommendations.</w:t>
      </w:r>
    </w:p>
    <w:p w14:paraId="59A6BFCD" w14:textId="77777777" w:rsidR="008C5708" w:rsidRDefault="00000000">
      <w:r>
        <w:t>Existing reviews provide strong coverage of precision-agriculture technologies, digital farming, remote sensing, machine learning, sustainability and adoption (Bhakta et al., 2019; Klerkx et al., 2019; Mizik, 2023; Sishodia et al., 2020). They are less successful at integrating four questions that are inseparable in India: which technologies have field-level evidence of agronomic benefit; which benefits remain primarily modelled or diagnostic; how small-farm structure changes viable ownership and service models; and whether efficiency gains translate into absolute environmental improvement and durable agribusiness value. A critical synthesis is therefore needed that treats technical capability, causal impact, farm economics, service institutions and sustainability as linked but empirically distinct layers.</w:t>
      </w:r>
    </w:p>
    <w:p w14:paraId="6D190D49" w14:textId="77777777" w:rsidR="008C5708" w:rsidRDefault="00000000">
      <w:pPr>
        <w:pStyle w:val="Heading2"/>
      </w:pPr>
      <w:r>
        <w:t>1.1 Scope, Research Gap and Objectives</w:t>
      </w:r>
    </w:p>
    <w:p w14:paraId="751FA659" w14:textId="77777777" w:rsidR="008C5708" w:rsidRDefault="00000000">
      <w:r>
        <w:t>This review examines crop-oriented precision farming in India, with South Asian and international evidence used when it clarifies mechanisms, methodological limitations or transferability. Precision farming is treated as a decision-and-execution system encompassing field sensing, geospatial observation, site-specific nutrient and water management, precision land preparation, targeted application, digital advisory and related data infrastructure. Precision livestock farming, autonomous harvesting and post-harvest automation are outside the primary scope except where they illuminate general business-model or governance issues. The central gap addressed is the weak integration between technology-performance literature and evidence on realised agronomic, economic, environmental and distributional outcomes under Indian smallholder conditions. The objectives are to critically assess the maturity of major precision-farming modalities, descriptively compare the direction and magnitude of reported field outcomes without producing an inappropriate pooled effect estimate, identify the conditions under which precision creates agribusiness value, evaluate sustainability claims against the strength of available evidence, and propose research and policy priorities that distinguish scalable near-term practices from promising but incompletely validated technologies.</w:t>
      </w:r>
    </w:p>
    <w:p w14:paraId="5A3D95D9" w14:textId="77777777" w:rsidR="008C5708" w:rsidRDefault="00000000">
      <w:pPr>
        <w:pStyle w:val="Heading1"/>
      </w:pPr>
      <w:r>
        <w:lastRenderedPageBreak/>
        <w:t>2. Methods for Literature Selection</w:t>
      </w:r>
    </w:p>
    <w:p w14:paraId="07AA86DE" w14:textId="77777777" w:rsidR="008C5708" w:rsidRDefault="00000000">
      <w:pPr>
        <w:pStyle w:val="Heading2"/>
      </w:pPr>
      <w:r>
        <w:t>2.1 Review Design and Rationale</w:t>
      </w:r>
    </w:p>
    <w:p w14:paraId="3404AEBE" w14:textId="77777777" w:rsidR="008C5708" w:rsidRDefault="00000000">
      <w:r>
        <w:t>A critical narrative review was selected because the review question spans agronomy, agricultural engineering, remote sensing, economics, extension, digital systems and public policy. The included evidence consequently comprises field experiments, farmer-participatory studies, randomised programme evaluations, large observational datasets, modelling studies and technology reviews. A conventional statistical meta-analysis would require sufficiently comparable interventions, effect metrics, comparators and sampling frames. Those conditions were not met across the precision-farming literature considered here. The requested descriptive meta-analytical component was therefore operationalised as structured descriptive comparison of reported effect directions, ranges and outcome types, with explicit attention to study design and context rather than pooled effect estimation. This approach avoids assigning a common quantitative meaning to outcomes as different as irrigation-water saving, nitrogen recovery efficiency, yield response, advisory uptake, prediction accuracy and benefit-cost ratio.</w:t>
      </w:r>
    </w:p>
    <w:p w14:paraId="32B07C6D" w14:textId="77777777" w:rsidR="008C5708" w:rsidRDefault="00000000">
      <w:r>
        <w:t>Narrative synthesis does not remove the need for methodological transparency. The review design was informed by the principles underlying SANRA, which emphasise the importance of a stated rationale, explicit objectives, description of literature searching, appropriate referencing, evidence-level discussion and presentation of relevant endpoint data (Baethge et al., 2019). The present review therefore uses transparent eligibility rules, source verification, design-sensitive appraisal and claim-level citation rather than an encyclopaedic catalogue of technologies.</w:t>
      </w:r>
    </w:p>
    <w:p w14:paraId="37A22D6D" w14:textId="77777777" w:rsidR="008C5708" w:rsidRDefault="00000000">
      <w:pPr>
        <w:pStyle w:val="Heading2"/>
      </w:pPr>
      <w:r>
        <w:t>2.2 Information Sources</w:t>
      </w:r>
    </w:p>
    <w:p w14:paraId="63B5818B" w14:textId="77777777" w:rsidR="008C5708" w:rsidRDefault="00000000">
      <w:r>
        <w:t>Literature discovery used Google Scholar, AGRIS, PubMed/PubMed Central, DOAJ, Semantic Scholar, OpenAlex and OpenAIRE, supplemented by the Indian agricultural repository Krishikosh and accessible Indian Council of Agricultural Research records. Authoritative policy and structural information was retrieved from Government of India and Ministry of Agriculture and Farmers Welfare sources, including Press Information Bureau releases. Backward citation searching from major reviews and influential Indian field studies was used to identify foundational work, while forward and related-article searching was used to locate newer evaluations. DOI landing pages, journal records, DOI-indexed metadata and official article pages were used to verify bibliographic identity and DOI correspondence before references were retained.</w:t>
      </w:r>
    </w:p>
    <w:p w14:paraId="45378E42" w14:textId="77777777" w:rsidR="008C5708" w:rsidRDefault="00000000">
      <w:r>
        <w:t>The source mix was intentionally broader than agriculture-only indexing because precision farming crosses disciplines. AGRIS and Indian agricultural repositories improved sensitivity to agronomic work with regional relevance, while multidisciplinary indexes captured engineering, remote-sensing, economic and digital-agriculture research that may not be prominent in crop-specific databases. Institutional sources were used for policy and agricultural-structure facts, not as substitutes for peer-reviewed evidence of technology effectiveness.</w:t>
      </w:r>
    </w:p>
    <w:p w14:paraId="7F594EDE" w14:textId="77777777" w:rsidR="008C5708" w:rsidRDefault="00000000">
      <w:pPr>
        <w:pStyle w:val="Heading2"/>
      </w:pPr>
      <w:r>
        <w:t>2.3 Search Strategy and Search Period</w:t>
      </w:r>
    </w:p>
    <w:p w14:paraId="20339323" w14:textId="77777777" w:rsidR="008C5708" w:rsidRDefault="00000000">
      <w:r>
        <w:t>The principal search period was 1 January 2000 to 14 June 2026. The starting year was chosen because modern precision agriculture became increasingly integrated with global positioning, variable-rate management, digital sensors and geospatial decision support during this period, while still allowing capture of the early Indian adoption literature. Older foundational publications could have been retained if indispensable to a conceptual argument, but none was necessary for the substantive conclusions reported here.</w:t>
      </w:r>
    </w:p>
    <w:p w14:paraId="75A05C2F" w14:textId="77777777" w:rsidR="008C5708" w:rsidRDefault="00000000">
      <w:r>
        <w:t xml:space="preserve">Search concepts combined the technology, Indian context and decision outcome. Representative strings included ("precision agriculture" OR "precision farming" OR "site-specific management" OR "digital </w:t>
      </w:r>
      <w:r>
        <w:lastRenderedPageBreak/>
        <w:t>agriculture") AND India AND (yield OR productivity OR profitability OR "water-use efficiency" OR "nitrogen-use efficiency" OR sustainability); India AND (GreenSeeker OR "leaf colour chart" OR "precision land levelling" OR "drip fertigation" OR drone OR UAV OR "remote sensing" OR IoT) AND (yield OR efficiency OR adoption OR economics); and India AND ("precision agriculture" OR "digital agriculture") AND (smallholder OR adoption OR agribusiness OR "custom hiring" OR policy OR "Soil Health Card"). Searches were iteratively refined with crop names, technology synonyms and author/title terms when an influential or potentially contradictory study was identified.</w:t>
      </w:r>
    </w:p>
    <w:p w14:paraId="23FD794D" w14:textId="77777777" w:rsidR="008C5708" w:rsidRDefault="00000000">
      <w:pPr>
        <w:pStyle w:val="Heading2"/>
      </w:pPr>
      <w:r>
        <w:t>2.4 Eligibility Criteria</w:t>
      </w:r>
    </w:p>
    <w:p w14:paraId="4E234D1F" w14:textId="77777777" w:rsidR="008C5708" w:rsidRDefault="00000000">
      <w:r>
        <w:t>Peer-reviewed journal articles were eligible when they contributed directly to one or more of five domains: agronomic effectiveness, resource-use efficiency, technology performance relevant to management decisions, farm economics or adoption, and environmental or institutional implications. Priority was given to Indian studies and South Asian datasets that included substantial Indian evidence. High-quality international reviews and empirical studies were retained when they established mechanisms, adoption constraints, methodological cautions or comparative benchmarks that could not be derived from Indian studies alone. Government and intergovernmental material was eligible for policy architecture, programme design and farm-structure statistics.</w:t>
      </w:r>
    </w:p>
    <w:p w14:paraId="3B528969" w14:textId="77777777" w:rsidR="008C5708" w:rsidRDefault="00000000">
      <w:r>
        <w:t>English-language articles published within the specified period were prioritised. Experimental, quasi-experimental, randomised, observational, modelling and review designs were eligible, but their conclusions were weighted according to what the design could support. Studies were excluded when bibliographic metadata or DOI identity could not be verified, when the source was promotional or non-scholarly, when precision agriculture was mentioned without a direct analytical contribution, or when a preprint duplicated an available peer-reviewed version. Purely technical algorithm papers without plausible connection to a management decision were generally excluded because the review focuses on agribusiness and sustainability rather than computational performance in isolation.</w:t>
      </w:r>
    </w:p>
    <w:p w14:paraId="686E513E" w14:textId="77777777" w:rsidR="008C5708" w:rsidRDefault="00000000">
      <w:pPr>
        <w:pStyle w:val="Heading2"/>
      </w:pPr>
      <w:r>
        <w:t>2.5 Screening, Duplicate Handling and Study Selection</w:t>
      </w:r>
    </w:p>
    <w:p w14:paraId="6B2F9807" w14:textId="77777777" w:rsidR="008C5708" w:rsidRDefault="00000000">
      <w:r>
        <w:t>Titles and abstracts were assessed for relevance to the defined domains, followed by full-text or sufficiently detailed record assessment for studies likely to inform the synthesis. Duplicate records were reconciled using DOI, title, author order and publication year. When repositories and official journal pages displayed inconsistent metadata, the final reference was based on the most authoritative complete record available. No screening counts are reported because the process was designed as a critical narrative review rather than a prospectively registered systematic review with a fixed record-management protocol. Sources with inaccessible or unverifiable bibliographic identities were not used to support substantive claims.</w:t>
      </w:r>
    </w:p>
    <w:p w14:paraId="1BE842F3" w14:textId="77777777" w:rsidR="008C5708" w:rsidRDefault="00000000">
      <w:r>
        <w:t>Selection sought both supportive and corrective evidence. Experimental studies reporting efficiency gains were retained alongside studies showing weak or null yield responses, observational evidence was distinguished from randomised evidence, and modelled benefits were explicitly labelled as such. This reduced the risk that a technology-rich literature would be interpreted as an effectiveness literature simply because positive demonstrations are more visible than failed implementations.</w:t>
      </w:r>
    </w:p>
    <w:p w14:paraId="385D283D" w14:textId="77777777" w:rsidR="008C5708" w:rsidRDefault="00000000">
      <w:pPr>
        <w:pStyle w:val="Heading2"/>
      </w:pPr>
      <w:r>
        <w:t>2.6 Critical Appraisal and Evidence Synthesis</w:t>
      </w:r>
    </w:p>
    <w:p w14:paraId="68DD7C55" w14:textId="77777777" w:rsidR="008C5708" w:rsidRDefault="00000000">
      <w:r>
        <w:t xml:space="preserve">Evidence was appraised qualitatively according to study design, number and diversity of sites, duration, comparator quality, measurement validity, treatment of confounding, external validation, outcome relevance and generalisability to Indian smallholder conditions. Field experiments were examined for whether gains reflected reduced inputs, higher output or both. Observational studies were interpreted cautiously where </w:t>
      </w:r>
      <w:r>
        <w:lastRenderedPageBreak/>
        <w:t>technology adoption could be correlated with farm resources, farmer capability or market access. Modelling studies were evaluated for data scale, validation and whether reported benefits were simulated rather than observed. Reviews were used principally to integrate mechanisms and identify consistent limitations, rather than to substitute for primary evidence where Indian field studies were available.</w:t>
      </w:r>
    </w:p>
    <w:p w14:paraId="13F7B05C" w14:textId="77777777" w:rsidR="008C5708" w:rsidRDefault="00000000">
      <w:r>
        <w:t>Thematic synthesis proceeded from the decision chain: observation, interpretation, recommendation, execution and outcome. This made it possible to distinguish sensing accuracy from decision accuracy, and decision accuracy from realised farm benefit. Reported quantitative outcomes were compared descriptively only when their original context was clear. The synthesis therefore emphasises direction, plausible magnitude and confidence rather than a pooled estimate. Conflicting findings were interpreted in relation to baseline input intensity, agroecology, calibration, scale, farmer compliance, service timing and study design.</w:t>
      </w:r>
    </w:p>
    <w:p w14:paraId="203566FB" w14:textId="77777777" w:rsidR="008C5708" w:rsidRDefault="00000000">
      <w:pPr>
        <w:pStyle w:val="Heading1"/>
      </w:pPr>
      <w:r>
        <w:t>3. Conceptualising Precision Farming for Indian Agribusiness</w:t>
      </w:r>
    </w:p>
    <w:p w14:paraId="3BBC6F72" w14:textId="77777777" w:rsidR="008C5708" w:rsidRDefault="00000000">
      <w:pPr>
        <w:pStyle w:val="Heading2"/>
      </w:pPr>
      <w:r>
        <w:t>3.1 From equipment-centred precision to decision-centred precision</w:t>
      </w:r>
    </w:p>
    <w:p w14:paraId="470C2E19" w14:textId="77777777" w:rsidR="008C5708" w:rsidRDefault="00000000">
      <w:r>
        <w:t>Precision agriculture is frequently described by its tools: global navigation satellite systems, yield monitors, soil sensors, drones, satellites, Internet of Things devices, variable-rate equipment and machine-learning models. That inventory is useful technologically but weak analytically because it treats measurement capability as the endpoint. A more defensible framework is a five-stage decision chain. First, a relevant source of spatial or temporal variability must be observed. Second, the observation must be translated into an agronomically meaningful state, such as crop nitrogen deficiency, soil-moisture deficit or weed presence. Third, a decision rule must convert the state into a recommended action. Fourth, the action must be executed accurately and on time. Fifth, the action must improve an outcome that matters to the farm or agribusiness, such as margin, yield stability, water productivity, input cost, labour requirement or environmental load.</w:t>
      </w:r>
    </w:p>
    <w:p w14:paraId="39514C13" w14:textId="77777777" w:rsidR="008C5708" w:rsidRDefault="00000000">
      <w:r>
        <w:t>The value of this framework is that it exposes where precision systems fail. Remote sensing may identify crop variability but not diagnose its cause. A chlorophyll or canopy sensor may detect nitrogen status yet still require locally calibrated response functions. A decision-support system may produce a valid recommendation, but the farmer may lack credit, irrigation control or access to a machine at the recommended time. A drone may apply a treatment rapidly, but the economic advantage depends on field size, travel and mobilisation costs, spray-volume constraints and service availability. Precision is therefore a property of the entire decision-and-execution process, not of the sensor alone (Bramley, 2009; Lowenberg-DeBoer &amp; Erickson, 2019).</w:t>
      </w:r>
    </w:p>
    <w:p w14:paraId="7EE04A51" w14:textId="77777777" w:rsidR="008C5708" w:rsidRDefault="00000000">
      <w:r>
        <w:t>This interpretation is particularly important for India. The average operational holding is small, but spatial and temporal heterogeneity is not. Fields can differ sharply in water access, soil texture, salinity, residue management, previous crop, labour availability and fertiliser practice even within a village. Small field size may reduce the value of within-field variable-rate machinery, yet it can increase the value of between-field and within-season decision precision. A farmer deciding whether to irrigate tomorrow, top-dress nitrogen this week or hire a drone for a narrow treatment window is making a precision decision even without owning a georeferenced tractor implement. Mondal and Basu's (2009) early distinction between high-capital and knowledge-intensive pathways remains relevant because the unit of precision can be a management event, not only a sub-field grid.</w:t>
      </w:r>
    </w:p>
    <w:p w14:paraId="7D900852" w14:textId="77777777" w:rsidR="008C5708" w:rsidRDefault="00000000">
      <w:pPr>
        <w:pStyle w:val="Heading2"/>
      </w:pPr>
      <w:r>
        <w:t>3.2 Agribusiness value beyond yield</w:t>
      </w:r>
    </w:p>
    <w:p w14:paraId="199C3E95" w14:textId="77777777" w:rsidR="008C5708" w:rsidRDefault="00000000">
      <w:r>
        <w:t xml:space="preserve">A narrow yield-centred assessment can misclassify the value of precision farming. The technology may create value through input savings, lower labour requirements, reduced operational delay, greater output uniformity, reduced production risk or improved documentation. Conversely, a yield increase can fail to improve profit if it requires expensive sensors, subscriptions, specialised labour or high-frequency data processing. Precision </w:t>
      </w:r>
      <w:r>
        <w:lastRenderedPageBreak/>
        <w:t>farming therefore belongs within agribusiness analysis because its returns are jointly determined by biology, information economics and service organisation.</w:t>
      </w:r>
    </w:p>
    <w:p w14:paraId="1A19994C" w14:textId="77777777" w:rsidR="008C5708" w:rsidRDefault="00000000">
      <w:r>
        <w:t>The global adoption literature reinforces this point. Precision agriculture is not a single indivisible package; farms combine technologies incrementally, and adoption of one component does not imply adoption of the rest (Lowenberg-DeBoer &amp; Erickson, 2019). Economies of scale remain influential for technologies with high fixed costs, as shown in evidence from larger-scale mechanised farming systems (Paustian &amp; Theuvsen, 2017). A systematic review focused on small-scale farming found recurring barriers involving capital, technical complexity, advisory support and access to compatible machinery, with cooperation and shared services repeatedly proposed as mechanisms for reducing fixed-cost burdens (Mizik, 2023). These findings are directly relevant to India but should not be transferred mechanically: collective service provision reduces ownership cost while creating new transaction costs related to scheduling, service quality and trust.</w:t>
      </w:r>
    </w:p>
    <w:p w14:paraId="631AB0CE" w14:textId="77777777" w:rsidR="008C5708" w:rsidRDefault="00000000">
      <w:r>
        <w:t>Digital technologies further alter the business model. Data collection and analysis can be centralised while action remains local. This allows a satellite, algorithm or advisory platform to serve many farms, potentially reducing per-farm diagnostic cost. Yet scale does not automatically solve the "last-mile action" problem. Digital farming studies emphasise new actors, data relationships and power asymmetries, including platform providers, input firms, advisory services and public digital infrastructure (Klerkx et al., 2019; Wolfert et al., 2017). In India, a sustainable precision-farming model must therefore align the economics of three parties: the farmer who bears agronomic risk, the service provider who needs sufficient utilisation to cover fixed costs, and the public or private data system that must maintain quality and interoperability.</w:t>
      </w:r>
    </w:p>
    <w:p w14:paraId="11FDB185" w14:textId="77777777" w:rsidR="008C5708" w:rsidRDefault="00000000">
      <w:r>
        <w:t>Table 1 summarises the principal precision-farming modalities in terms of their operative unit of precision and current evidence maturity for Indian agribusiness. The pattern is uneven. Technologies that link a simple measurement or geometric correction to a well-defined field action have comparatively stronger evidence. Technologies requiring multilayer data integration and complex inference are promising but more sensitive to calibration, validation and service architecture.</w:t>
      </w:r>
    </w:p>
    <w:p w14:paraId="4C8FF742" w14:textId="77777777" w:rsidR="008C5708" w:rsidRDefault="00000000">
      <w:pPr>
        <w:pStyle w:val="TableCaption"/>
      </w:pPr>
      <w:r>
        <w:t>Table 1. Precision-farming modalities and evidence maturity for Indian agribusiness</w:t>
      </w:r>
    </w:p>
    <w:tbl>
      <w:tblPr>
        <w:tblStyle w:val="TableGrid"/>
        <w:tblW w:w="0" w:type="auto"/>
        <w:jc w:val="center"/>
        <w:tblLayout w:type="fixed"/>
        <w:tblLook w:val="04A0" w:firstRow="1" w:lastRow="0" w:firstColumn="1" w:lastColumn="0" w:noHBand="0" w:noVBand="1"/>
      </w:tblPr>
      <w:tblGrid>
        <w:gridCol w:w="1440"/>
        <w:gridCol w:w="1368"/>
        <w:gridCol w:w="1800"/>
        <w:gridCol w:w="1584"/>
        <w:gridCol w:w="2232"/>
        <w:gridCol w:w="1368"/>
      </w:tblGrid>
      <w:tr w:rsidR="008C5708" w14:paraId="16DABD5F" w14:textId="77777777">
        <w:trPr>
          <w:tblHeader/>
          <w:jc w:val="center"/>
        </w:trPr>
        <w:tc>
          <w:tcPr>
            <w:tcW w:w="1440" w:type="dxa"/>
            <w:shd w:val="clear" w:color="auto" w:fill="D9E2F3"/>
            <w:tcMar>
              <w:top w:w="90" w:type="dxa"/>
              <w:left w:w="80" w:type="dxa"/>
              <w:bottom w:w="90" w:type="dxa"/>
              <w:right w:w="80" w:type="dxa"/>
            </w:tcMar>
            <w:vAlign w:val="center"/>
          </w:tcPr>
          <w:p w14:paraId="4A0D84CE" w14:textId="77777777" w:rsidR="008C5708" w:rsidRDefault="00000000">
            <w:pPr>
              <w:spacing w:after="0"/>
              <w:jc w:val="center"/>
            </w:pPr>
            <w:r>
              <w:rPr>
                <w:b/>
                <w:sz w:val="16"/>
              </w:rPr>
              <w:t>Modality</w:t>
            </w:r>
          </w:p>
        </w:tc>
        <w:tc>
          <w:tcPr>
            <w:tcW w:w="1368" w:type="dxa"/>
            <w:shd w:val="clear" w:color="auto" w:fill="D9E2F3"/>
            <w:tcMar>
              <w:top w:w="90" w:type="dxa"/>
              <w:left w:w="80" w:type="dxa"/>
              <w:bottom w:w="90" w:type="dxa"/>
              <w:right w:w="80" w:type="dxa"/>
            </w:tcMar>
            <w:vAlign w:val="center"/>
          </w:tcPr>
          <w:p w14:paraId="03ACA6E9" w14:textId="77777777" w:rsidR="008C5708" w:rsidRDefault="00000000">
            <w:pPr>
              <w:spacing w:after="0"/>
              <w:jc w:val="center"/>
            </w:pPr>
            <w:r>
              <w:rPr>
                <w:b/>
                <w:sz w:val="16"/>
              </w:rPr>
              <w:t>Unit of precision</w:t>
            </w:r>
          </w:p>
        </w:tc>
        <w:tc>
          <w:tcPr>
            <w:tcW w:w="1800" w:type="dxa"/>
            <w:shd w:val="clear" w:color="auto" w:fill="D9E2F3"/>
            <w:tcMar>
              <w:top w:w="90" w:type="dxa"/>
              <w:left w:w="80" w:type="dxa"/>
              <w:bottom w:w="90" w:type="dxa"/>
              <w:right w:w="80" w:type="dxa"/>
            </w:tcMar>
            <w:vAlign w:val="center"/>
          </w:tcPr>
          <w:p w14:paraId="118BE47B" w14:textId="77777777" w:rsidR="008C5708" w:rsidRDefault="00000000">
            <w:pPr>
              <w:spacing w:after="0"/>
              <w:jc w:val="center"/>
            </w:pPr>
            <w:r>
              <w:rPr>
                <w:b/>
                <w:sz w:val="16"/>
              </w:rPr>
              <w:t>Primary agribusiness value</w:t>
            </w:r>
          </w:p>
        </w:tc>
        <w:tc>
          <w:tcPr>
            <w:tcW w:w="1584" w:type="dxa"/>
            <w:shd w:val="clear" w:color="auto" w:fill="D9E2F3"/>
            <w:tcMar>
              <w:top w:w="90" w:type="dxa"/>
              <w:left w:w="80" w:type="dxa"/>
              <w:bottom w:w="90" w:type="dxa"/>
              <w:right w:w="80" w:type="dxa"/>
            </w:tcMar>
            <w:vAlign w:val="center"/>
          </w:tcPr>
          <w:p w14:paraId="3EC90020" w14:textId="77777777" w:rsidR="008C5708" w:rsidRDefault="00000000">
            <w:pPr>
              <w:spacing w:after="0"/>
              <w:jc w:val="center"/>
            </w:pPr>
            <w:r>
              <w:rPr>
                <w:b/>
                <w:sz w:val="16"/>
              </w:rPr>
              <w:t>Evidence maturity in India</w:t>
            </w:r>
          </w:p>
        </w:tc>
        <w:tc>
          <w:tcPr>
            <w:tcW w:w="2232" w:type="dxa"/>
            <w:shd w:val="clear" w:color="auto" w:fill="D9E2F3"/>
            <w:tcMar>
              <w:top w:w="90" w:type="dxa"/>
              <w:left w:w="80" w:type="dxa"/>
              <w:bottom w:w="90" w:type="dxa"/>
              <w:right w:w="80" w:type="dxa"/>
            </w:tcMar>
            <w:vAlign w:val="center"/>
          </w:tcPr>
          <w:p w14:paraId="4016A35E" w14:textId="77777777" w:rsidR="008C5708" w:rsidRDefault="00000000">
            <w:pPr>
              <w:spacing w:after="0"/>
              <w:jc w:val="center"/>
            </w:pPr>
            <w:r>
              <w:rPr>
                <w:b/>
                <w:sz w:val="16"/>
              </w:rPr>
              <w:t>Principal limitation</w:t>
            </w:r>
          </w:p>
        </w:tc>
        <w:tc>
          <w:tcPr>
            <w:tcW w:w="1368" w:type="dxa"/>
            <w:shd w:val="clear" w:color="auto" w:fill="D9E2F3"/>
            <w:tcMar>
              <w:top w:w="90" w:type="dxa"/>
              <w:left w:w="80" w:type="dxa"/>
              <w:bottom w:w="90" w:type="dxa"/>
              <w:right w:w="80" w:type="dxa"/>
            </w:tcMar>
            <w:vAlign w:val="center"/>
          </w:tcPr>
          <w:p w14:paraId="3F861B86" w14:textId="77777777" w:rsidR="008C5708" w:rsidRDefault="00000000">
            <w:pPr>
              <w:spacing w:after="0"/>
              <w:jc w:val="center"/>
            </w:pPr>
            <w:r>
              <w:rPr>
                <w:b/>
                <w:sz w:val="16"/>
              </w:rPr>
              <w:t>Supporting references</w:t>
            </w:r>
          </w:p>
        </w:tc>
      </w:tr>
      <w:tr w:rsidR="008C5708" w14:paraId="33BE6A79" w14:textId="77777777">
        <w:trPr>
          <w:cantSplit/>
          <w:jc w:val="center"/>
        </w:trPr>
        <w:tc>
          <w:tcPr>
            <w:tcW w:w="1440" w:type="dxa"/>
            <w:tcMar>
              <w:top w:w="75" w:type="dxa"/>
              <w:left w:w="70" w:type="dxa"/>
              <w:bottom w:w="75" w:type="dxa"/>
              <w:right w:w="70" w:type="dxa"/>
            </w:tcMar>
            <w:vAlign w:val="center"/>
          </w:tcPr>
          <w:p w14:paraId="609FA93F" w14:textId="77777777" w:rsidR="008C5708" w:rsidRDefault="00000000">
            <w:pPr>
              <w:spacing w:after="0"/>
            </w:pPr>
            <w:r>
              <w:rPr>
                <w:sz w:val="15"/>
              </w:rPr>
              <w:t>Precision land levelling</w:t>
            </w:r>
          </w:p>
        </w:tc>
        <w:tc>
          <w:tcPr>
            <w:tcW w:w="1368" w:type="dxa"/>
            <w:tcMar>
              <w:top w:w="75" w:type="dxa"/>
              <w:left w:w="70" w:type="dxa"/>
              <w:bottom w:w="75" w:type="dxa"/>
              <w:right w:w="70" w:type="dxa"/>
            </w:tcMar>
            <w:vAlign w:val="center"/>
          </w:tcPr>
          <w:p w14:paraId="682CB784" w14:textId="77777777" w:rsidR="008C5708" w:rsidRDefault="00000000">
            <w:pPr>
              <w:spacing w:after="0"/>
            </w:pPr>
            <w:r>
              <w:rPr>
                <w:sz w:val="15"/>
              </w:rPr>
              <w:t>Field geometry and irrigation advance</w:t>
            </w:r>
          </w:p>
        </w:tc>
        <w:tc>
          <w:tcPr>
            <w:tcW w:w="1800" w:type="dxa"/>
            <w:tcMar>
              <w:top w:w="75" w:type="dxa"/>
              <w:left w:w="70" w:type="dxa"/>
              <w:bottom w:w="75" w:type="dxa"/>
              <w:right w:w="70" w:type="dxa"/>
            </w:tcMar>
            <w:vAlign w:val="center"/>
          </w:tcPr>
          <w:p w14:paraId="168936CC" w14:textId="77777777" w:rsidR="008C5708" w:rsidRDefault="00000000">
            <w:pPr>
              <w:spacing w:after="0"/>
            </w:pPr>
            <w:r>
              <w:rPr>
                <w:sz w:val="15"/>
              </w:rPr>
              <w:t>Water, energy and timeliness; reusable land improvement</w:t>
            </w:r>
          </w:p>
        </w:tc>
        <w:tc>
          <w:tcPr>
            <w:tcW w:w="1584" w:type="dxa"/>
            <w:tcMar>
              <w:top w:w="75" w:type="dxa"/>
              <w:left w:w="70" w:type="dxa"/>
              <w:bottom w:w="75" w:type="dxa"/>
              <w:right w:w="70" w:type="dxa"/>
            </w:tcMar>
            <w:vAlign w:val="center"/>
          </w:tcPr>
          <w:p w14:paraId="2907DC8B" w14:textId="77777777" w:rsidR="008C5708" w:rsidRDefault="00000000">
            <w:pPr>
              <w:spacing w:after="0"/>
            </w:pPr>
            <w:r>
              <w:rPr>
                <w:sz w:val="15"/>
              </w:rPr>
              <w:t>Relatively mature field evidence in rice-wheat systems</w:t>
            </w:r>
          </w:p>
        </w:tc>
        <w:tc>
          <w:tcPr>
            <w:tcW w:w="2232" w:type="dxa"/>
            <w:tcMar>
              <w:top w:w="75" w:type="dxa"/>
              <w:left w:w="70" w:type="dxa"/>
              <w:bottom w:w="75" w:type="dxa"/>
              <w:right w:w="70" w:type="dxa"/>
            </w:tcMar>
            <w:vAlign w:val="center"/>
          </w:tcPr>
          <w:p w14:paraId="2DA48F52" w14:textId="77777777" w:rsidR="008C5708" w:rsidRDefault="00000000">
            <w:pPr>
              <w:spacing w:after="0"/>
            </w:pPr>
            <w:r>
              <w:rPr>
                <w:sz w:val="15"/>
              </w:rPr>
              <w:t>Requires specialised equipment; basin-scale water conservation cannot be inferred directly from field savings</w:t>
            </w:r>
          </w:p>
        </w:tc>
        <w:tc>
          <w:tcPr>
            <w:tcW w:w="1368" w:type="dxa"/>
            <w:tcMar>
              <w:top w:w="75" w:type="dxa"/>
              <w:left w:w="70" w:type="dxa"/>
              <w:bottom w:w="75" w:type="dxa"/>
              <w:right w:w="70" w:type="dxa"/>
            </w:tcMar>
            <w:vAlign w:val="center"/>
          </w:tcPr>
          <w:p w14:paraId="1D1B19ED" w14:textId="77777777" w:rsidR="008C5708" w:rsidRDefault="00000000">
            <w:pPr>
              <w:spacing w:after="0"/>
              <w:jc w:val="left"/>
            </w:pPr>
            <w:r>
              <w:rPr>
                <w:sz w:val="15"/>
              </w:rPr>
              <w:t>Jat et al. (2009); Mondal &amp; Basu (2009)</w:t>
            </w:r>
          </w:p>
        </w:tc>
      </w:tr>
      <w:tr w:rsidR="008C5708" w14:paraId="241C56C9" w14:textId="77777777">
        <w:trPr>
          <w:cantSplit/>
          <w:jc w:val="center"/>
        </w:trPr>
        <w:tc>
          <w:tcPr>
            <w:tcW w:w="1440" w:type="dxa"/>
            <w:tcMar>
              <w:top w:w="75" w:type="dxa"/>
              <w:left w:w="70" w:type="dxa"/>
              <w:bottom w:w="75" w:type="dxa"/>
              <w:right w:w="70" w:type="dxa"/>
            </w:tcMar>
            <w:vAlign w:val="center"/>
          </w:tcPr>
          <w:p w14:paraId="2B07617A" w14:textId="77777777" w:rsidR="008C5708" w:rsidRDefault="00000000">
            <w:pPr>
              <w:spacing w:after="0"/>
            </w:pPr>
            <w:r>
              <w:rPr>
                <w:sz w:val="15"/>
              </w:rPr>
              <w:t>Crop-responsive N management (LCC/optical sensing/SSNM)</w:t>
            </w:r>
          </w:p>
        </w:tc>
        <w:tc>
          <w:tcPr>
            <w:tcW w:w="1368" w:type="dxa"/>
            <w:tcMar>
              <w:top w:w="75" w:type="dxa"/>
              <w:left w:w="70" w:type="dxa"/>
              <w:bottom w:w="75" w:type="dxa"/>
              <w:right w:w="70" w:type="dxa"/>
            </w:tcMar>
            <w:vAlign w:val="center"/>
          </w:tcPr>
          <w:p w14:paraId="55333DAA" w14:textId="77777777" w:rsidR="008C5708" w:rsidRDefault="00000000">
            <w:pPr>
              <w:spacing w:after="0"/>
            </w:pPr>
            <w:r>
              <w:rPr>
                <w:sz w:val="15"/>
              </w:rPr>
              <w:t>Crop status and split N application</w:t>
            </w:r>
          </w:p>
        </w:tc>
        <w:tc>
          <w:tcPr>
            <w:tcW w:w="1800" w:type="dxa"/>
            <w:tcMar>
              <w:top w:w="75" w:type="dxa"/>
              <w:left w:w="70" w:type="dxa"/>
              <w:bottom w:w="75" w:type="dxa"/>
              <w:right w:w="70" w:type="dxa"/>
            </w:tcMar>
            <w:vAlign w:val="center"/>
          </w:tcPr>
          <w:p w14:paraId="29D19360" w14:textId="77777777" w:rsidR="008C5708" w:rsidRDefault="00000000">
            <w:pPr>
              <w:spacing w:after="0"/>
            </w:pPr>
            <w:r>
              <w:rPr>
                <w:sz w:val="15"/>
              </w:rPr>
              <w:t>Lower avoidable fertiliser use; higher N-use efficiency</w:t>
            </w:r>
          </w:p>
        </w:tc>
        <w:tc>
          <w:tcPr>
            <w:tcW w:w="1584" w:type="dxa"/>
            <w:tcMar>
              <w:top w:w="75" w:type="dxa"/>
              <w:left w:w="70" w:type="dxa"/>
              <w:bottom w:w="75" w:type="dxa"/>
              <w:right w:w="70" w:type="dxa"/>
            </w:tcMar>
            <w:vAlign w:val="center"/>
          </w:tcPr>
          <w:p w14:paraId="680FA3F0" w14:textId="77777777" w:rsidR="008C5708" w:rsidRDefault="00000000">
            <w:pPr>
              <w:spacing w:after="0"/>
            </w:pPr>
            <w:r>
              <w:rPr>
                <w:sz w:val="15"/>
              </w:rPr>
              <w:t>Moderate-to-strong experimental and participatory evidence</w:t>
            </w:r>
          </w:p>
        </w:tc>
        <w:tc>
          <w:tcPr>
            <w:tcW w:w="2232" w:type="dxa"/>
            <w:tcMar>
              <w:top w:w="75" w:type="dxa"/>
              <w:left w:w="70" w:type="dxa"/>
              <w:bottom w:w="75" w:type="dxa"/>
              <w:right w:w="70" w:type="dxa"/>
            </w:tcMar>
            <w:vAlign w:val="center"/>
          </w:tcPr>
          <w:p w14:paraId="3B1114C4" w14:textId="77777777" w:rsidR="008C5708" w:rsidRDefault="00000000">
            <w:pPr>
              <w:spacing w:after="0"/>
            </w:pPr>
            <w:r>
              <w:rPr>
                <w:sz w:val="15"/>
              </w:rPr>
              <w:t>Response functions require local calibration; yield advantage may be small where blanket N is near optimum</w:t>
            </w:r>
          </w:p>
        </w:tc>
        <w:tc>
          <w:tcPr>
            <w:tcW w:w="1368" w:type="dxa"/>
            <w:tcMar>
              <w:top w:w="75" w:type="dxa"/>
              <w:left w:w="70" w:type="dxa"/>
              <w:bottom w:w="75" w:type="dxa"/>
              <w:right w:w="70" w:type="dxa"/>
            </w:tcMar>
            <w:vAlign w:val="center"/>
          </w:tcPr>
          <w:p w14:paraId="1956703B" w14:textId="77777777" w:rsidR="008C5708" w:rsidRDefault="00000000">
            <w:pPr>
              <w:spacing w:after="0"/>
              <w:jc w:val="left"/>
            </w:pPr>
            <w:r>
              <w:rPr>
                <w:sz w:val="15"/>
              </w:rPr>
              <w:t>Ali et al. (2015); Islam et al. (2007); Khurana et al. (2007); Singh et al. (2017); Tyagi et al. (2020)</w:t>
            </w:r>
          </w:p>
        </w:tc>
      </w:tr>
      <w:tr w:rsidR="008C5708" w14:paraId="65570848" w14:textId="77777777">
        <w:trPr>
          <w:cantSplit/>
          <w:jc w:val="center"/>
        </w:trPr>
        <w:tc>
          <w:tcPr>
            <w:tcW w:w="1440" w:type="dxa"/>
            <w:tcMar>
              <w:top w:w="75" w:type="dxa"/>
              <w:left w:w="70" w:type="dxa"/>
              <w:bottom w:w="75" w:type="dxa"/>
              <w:right w:w="70" w:type="dxa"/>
            </w:tcMar>
            <w:vAlign w:val="center"/>
          </w:tcPr>
          <w:p w14:paraId="6E3A1E34" w14:textId="77777777" w:rsidR="008C5708" w:rsidRDefault="00000000">
            <w:pPr>
              <w:spacing w:after="0"/>
            </w:pPr>
            <w:r>
              <w:rPr>
                <w:sz w:val="15"/>
              </w:rPr>
              <w:t>Drip irrigation and precision fertigation</w:t>
            </w:r>
          </w:p>
        </w:tc>
        <w:tc>
          <w:tcPr>
            <w:tcW w:w="1368" w:type="dxa"/>
            <w:tcMar>
              <w:top w:w="75" w:type="dxa"/>
              <w:left w:w="70" w:type="dxa"/>
              <w:bottom w:w="75" w:type="dxa"/>
              <w:right w:w="70" w:type="dxa"/>
            </w:tcMar>
            <w:vAlign w:val="center"/>
          </w:tcPr>
          <w:p w14:paraId="46A5B224" w14:textId="77777777" w:rsidR="008C5708" w:rsidRDefault="00000000">
            <w:pPr>
              <w:spacing w:after="0"/>
            </w:pPr>
            <w:r>
              <w:rPr>
                <w:sz w:val="15"/>
              </w:rPr>
              <w:t>Root-zone water and nutrient delivery</w:t>
            </w:r>
          </w:p>
        </w:tc>
        <w:tc>
          <w:tcPr>
            <w:tcW w:w="1800" w:type="dxa"/>
            <w:tcMar>
              <w:top w:w="75" w:type="dxa"/>
              <w:left w:w="70" w:type="dxa"/>
              <w:bottom w:w="75" w:type="dxa"/>
              <w:right w:w="70" w:type="dxa"/>
            </w:tcMar>
            <w:vAlign w:val="center"/>
          </w:tcPr>
          <w:p w14:paraId="5DAFF5A7" w14:textId="77777777" w:rsidR="008C5708" w:rsidRDefault="00000000">
            <w:pPr>
              <w:spacing w:after="0"/>
            </w:pPr>
            <w:r>
              <w:rPr>
                <w:sz w:val="15"/>
              </w:rPr>
              <w:t>Water productivity, input control and higher-value crop management</w:t>
            </w:r>
          </w:p>
        </w:tc>
        <w:tc>
          <w:tcPr>
            <w:tcW w:w="1584" w:type="dxa"/>
            <w:tcMar>
              <w:top w:w="75" w:type="dxa"/>
              <w:left w:w="70" w:type="dxa"/>
              <w:bottom w:w="75" w:type="dxa"/>
              <w:right w:w="70" w:type="dxa"/>
            </w:tcMar>
            <w:vAlign w:val="center"/>
          </w:tcPr>
          <w:p w14:paraId="426FFB0F" w14:textId="77777777" w:rsidR="008C5708" w:rsidRDefault="00000000">
            <w:pPr>
              <w:spacing w:after="0"/>
            </w:pPr>
            <w:r>
              <w:rPr>
                <w:sz w:val="15"/>
              </w:rPr>
              <w:t>Moderate; benefits demonstrated but context dependent</w:t>
            </w:r>
          </w:p>
        </w:tc>
        <w:tc>
          <w:tcPr>
            <w:tcW w:w="2232" w:type="dxa"/>
            <w:tcMar>
              <w:top w:w="75" w:type="dxa"/>
              <w:left w:w="70" w:type="dxa"/>
              <w:bottom w:w="75" w:type="dxa"/>
              <w:right w:w="70" w:type="dxa"/>
            </w:tcMar>
            <w:vAlign w:val="center"/>
          </w:tcPr>
          <w:p w14:paraId="5CFF3DCC" w14:textId="77777777" w:rsidR="008C5708" w:rsidRDefault="00000000">
            <w:pPr>
              <w:spacing w:after="0"/>
            </w:pPr>
            <w:r>
              <w:rPr>
                <w:sz w:val="15"/>
              </w:rPr>
              <w:t>Capital, maintenance, filtration and crop-value dependence</w:t>
            </w:r>
          </w:p>
        </w:tc>
        <w:tc>
          <w:tcPr>
            <w:tcW w:w="1368" w:type="dxa"/>
            <w:tcMar>
              <w:top w:w="75" w:type="dxa"/>
              <w:left w:w="70" w:type="dxa"/>
              <w:bottom w:w="75" w:type="dxa"/>
              <w:right w:w="70" w:type="dxa"/>
            </w:tcMar>
            <w:vAlign w:val="center"/>
          </w:tcPr>
          <w:p w14:paraId="46F2A2A9" w14:textId="77777777" w:rsidR="008C5708" w:rsidRDefault="00000000">
            <w:pPr>
              <w:spacing w:after="0"/>
              <w:jc w:val="left"/>
            </w:pPr>
            <w:r>
              <w:rPr>
                <w:sz w:val="15"/>
              </w:rPr>
              <w:t>Singh &amp; Singh (2026); Sinha et al. (2017)</w:t>
            </w:r>
          </w:p>
        </w:tc>
      </w:tr>
      <w:tr w:rsidR="008C5708" w14:paraId="5A2ABE40" w14:textId="77777777">
        <w:trPr>
          <w:cantSplit/>
          <w:jc w:val="center"/>
        </w:trPr>
        <w:tc>
          <w:tcPr>
            <w:tcW w:w="1440" w:type="dxa"/>
            <w:tcMar>
              <w:top w:w="75" w:type="dxa"/>
              <w:left w:w="70" w:type="dxa"/>
              <w:bottom w:w="75" w:type="dxa"/>
              <w:right w:w="70" w:type="dxa"/>
            </w:tcMar>
            <w:vAlign w:val="center"/>
          </w:tcPr>
          <w:p w14:paraId="56E598A8" w14:textId="77777777" w:rsidR="008C5708" w:rsidRDefault="00000000">
            <w:pPr>
              <w:spacing w:after="0"/>
            </w:pPr>
            <w:r>
              <w:rPr>
                <w:sz w:val="15"/>
              </w:rPr>
              <w:t>Satellite and UAV remote sensing</w:t>
            </w:r>
          </w:p>
        </w:tc>
        <w:tc>
          <w:tcPr>
            <w:tcW w:w="1368" w:type="dxa"/>
            <w:tcMar>
              <w:top w:w="75" w:type="dxa"/>
              <w:left w:w="70" w:type="dxa"/>
              <w:bottom w:w="75" w:type="dxa"/>
              <w:right w:w="70" w:type="dxa"/>
            </w:tcMar>
            <w:vAlign w:val="center"/>
          </w:tcPr>
          <w:p w14:paraId="411E5174" w14:textId="77777777" w:rsidR="008C5708" w:rsidRDefault="00000000">
            <w:pPr>
              <w:spacing w:after="0"/>
            </w:pPr>
            <w:r>
              <w:rPr>
                <w:sz w:val="15"/>
              </w:rPr>
              <w:t>Plot-to-region crop condition and spatial variability</w:t>
            </w:r>
          </w:p>
        </w:tc>
        <w:tc>
          <w:tcPr>
            <w:tcW w:w="1800" w:type="dxa"/>
            <w:tcMar>
              <w:top w:w="75" w:type="dxa"/>
              <w:left w:w="70" w:type="dxa"/>
              <w:bottom w:w="75" w:type="dxa"/>
              <w:right w:w="70" w:type="dxa"/>
            </w:tcMar>
            <w:vAlign w:val="center"/>
          </w:tcPr>
          <w:p w14:paraId="4327A29C" w14:textId="77777777" w:rsidR="008C5708" w:rsidRDefault="00000000">
            <w:pPr>
              <w:spacing w:after="0"/>
            </w:pPr>
            <w:r>
              <w:rPr>
                <w:sz w:val="15"/>
              </w:rPr>
              <w:t>Scalable monitoring, targeting and outcome measurement</w:t>
            </w:r>
          </w:p>
        </w:tc>
        <w:tc>
          <w:tcPr>
            <w:tcW w:w="1584" w:type="dxa"/>
            <w:tcMar>
              <w:top w:w="75" w:type="dxa"/>
              <w:left w:w="70" w:type="dxa"/>
              <w:bottom w:w="75" w:type="dxa"/>
              <w:right w:w="70" w:type="dxa"/>
            </w:tcMar>
            <w:vAlign w:val="center"/>
          </w:tcPr>
          <w:p w14:paraId="629621D9" w14:textId="77777777" w:rsidR="008C5708" w:rsidRDefault="00000000">
            <w:pPr>
              <w:spacing w:after="0"/>
            </w:pPr>
            <w:r>
              <w:rPr>
                <w:sz w:val="15"/>
              </w:rPr>
              <w:t>Strong diagnostic potential; weaker direct causal outcome evidence</w:t>
            </w:r>
          </w:p>
        </w:tc>
        <w:tc>
          <w:tcPr>
            <w:tcW w:w="2232" w:type="dxa"/>
            <w:tcMar>
              <w:top w:w="75" w:type="dxa"/>
              <w:left w:w="70" w:type="dxa"/>
              <w:bottom w:w="75" w:type="dxa"/>
              <w:right w:w="70" w:type="dxa"/>
            </w:tcMar>
            <w:vAlign w:val="center"/>
          </w:tcPr>
          <w:p w14:paraId="349D603E" w14:textId="77777777" w:rsidR="008C5708" w:rsidRDefault="00000000">
            <w:pPr>
              <w:spacing w:after="0"/>
            </w:pPr>
            <w:r>
              <w:rPr>
                <w:sz w:val="15"/>
              </w:rPr>
              <w:t>Non-specific signals, transferability and calibration error</w:t>
            </w:r>
          </w:p>
        </w:tc>
        <w:tc>
          <w:tcPr>
            <w:tcW w:w="1368" w:type="dxa"/>
            <w:tcMar>
              <w:top w:w="75" w:type="dxa"/>
              <w:left w:w="70" w:type="dxa"/>
              <w:bottom w:w="75" w:type="dxa"/>
              <w:right w:w="70" w:type="dxa"/>
            </w:tcMar>
            <w:vAlign w:val="center"/>
          </w:tcPr>
          <w:p w14:paraId="1481FF45" w14:textId="77777777" w:rsidR="008C5708" w:rsidRDefault="00000000">
            <w:pPr>
              <w:spacing w:after="0"/>
              <w:jc w:val="left"/>
            </w:pPr>
            <w:r>
              <w:rPr>
                <w:sz w:val="15"/>
              </w:rPr>
              <w:t>Cole et al. (2025); Kuunya et al. (2026); Sishodia et al. (2020)</w:t>
            </w:r>
          </w:p>
        </w:tc>
      </w:tr>
      <w:tr w:rsidR="008C5708" w14:paraId="5625F0A9" w14:textId="77777777">
        <w:trPr>
          <w:cantSplit/>
          <w:jc w:val="center"/>
        </w:trPr>
        <w:tc>
          <w:tcPr>
            <w:tcW w:w="1440" w:type="dxa"/>
            <w:tcMar>
              <w:top w:w="75" w:type="dxa"/>
              <w:left w:w="70" w:type="dxa"/>
              <w:bottom w:w="75" w:type="dxa"/>
              <w:right w:w="70" w:type="dxa"/>
            </w:tcMar>
            <w:vAlign w:val="center"/>
          </w:tcPr>
          <w:p w14:paraId="34D18254" w14:textId="77777777" w:rsidR="008C5708" w:rsidRDefault="00000000">
            <w:pPr>
              <w:spacing w:after="0"/>
            </w:pPr>
            <w:r>
              <w:rPr>
                <w:sz w:val="15"/>
              </w:rPr>
              <w:t>Machine learning and digital decision support</w:t>
            </w:r>
          </w:p>
        </w:tc>
        <w:tc>
          <w:tcPr>
            <w:tcW w:w="1368" w:type="dxa"/>
            <w:tcMar>
              <w:top w:w="75" w:type="dxa"/>
              <w:left w:w="70" w:type="dxa"/>
              <w:bottom w:w="75" w:type="dxa"/>
              <w:right w:w="70" w:type="dxa"/>
            </w:tcMar>
            <w:vAlign w:val="center"/>
          </w:tcPr>
          <w:p w14:paraId="6481ABA0" w14:textId="77777777" w:rsidR="008C5708" w:rsidRDefault="00000000">
            <w:pPr>
              <w:spacing w:after="0"/>
            </w:pPr>
            <w:r>
              <w:rPr>
                <w:sz w:val="15"/>
              </w:rPr>
              <w:t>Multisource prediction and recommendation</w:t>
            </w:r>
          </w:p>
        </w:tc>
        <w:tc>
          <w:tcPr>
            <w:tcW w:w="1800" w:type="dxa"/>
            <w:tcMar>
              <w:top w:w="75" w:type="dxa"/>
              <w:left w:w="70" w:type="dxa"/>
              <w:bottom w:w="75" w:type="dxa"/>
              <w:right w:w="70" w:type="dxa"/>
            </w:tcMar>
            <w:vAlign w:val="center"/>
          </w:tcPr>
          <w:p w14:paraId="5DA21488" w14:textId="77777777" w:rsidR="008C5708" w:rsidRDefault="00000000">
            <w:pPr>
              <w:spacing w:after="0"/>
            </w:pPr>
            <w:r>
              <w:rPr>
                <w:sz w:val="15"/>
              </w:rPr>
              <w:t>Potentially lower advisory cost and greater contextualisation</w:t>
            </w:r>
          </w:p>
        </w:tc>
        <w:tc>
          <w:tcPr>
            <w:tcW w:w="1584" w:type="dxa"/>
            <w:tcMar>
              <w:top w:w="75" w:type="dxa"/>
              <w:left w:w="70" w:type="dxa"/>
              <w:bottom w:w="75" w:type="dxa"/>
              <w:right w:w="70" w:type="dxa"/>
            </w:tcMar>
            <w:vAlign w:val="center"/>
          </w:tcPr>
          <w:p w14:paraId="2DFA8577" w14:textId="77777777" w:rsidR="008C5708" w:rsidRDefault="00000000">
            <w:pPr>
              <w:spacing w:after="0"/>
            </w:pPr>
            <w:r>
              <w:rPr>
                <w:sz w:val="15"/>
              </w:rPr>
              <w:t>Technically advanced but heterogeneous operational validation</w:t>
            </w:r>
          </w:p>
        </w:tc>
        <w:tc>
          <w:tcPr>
            <w:tcW w:w="2232" w:type="dxa"/>
            <w:tcMar>
              <w:top w:w="75" w:type="dxa"/>
              <w:left w:w="70" w:type="dxa"/>
              <w:bottom w:w="75" w:type="dxa"/>
              <w:right w:w="70" w:type="dxa"/>
            </w:tcMar>
            <w:vAlign w:val="center"/>
          </w:tcPr>
          <w:p w14:paraId="7EDEFAD2" w14:textId="77777777" w:rsidR="008C5708" w:rsidRDefault="00000000">
            <w:pPr>
              <w:spacing w:after="0"/>
            </w:pPr>
            <w:r>
              <w:rPr>
                <w:sz w:val="15"/>
              </w:rPr>
              <w:t>Data quality, external validation, explainability and actionability</w:t>
            </w:r>
          </w:p>
        </w:tc>
        <w:tc>
          <w:tcPr>
            <w:tcW w:w="1368" w:type="dxa"/>
            <w:tcMar>
              <w:top w:w="75" w:type="dxa"/>
              <w:left w:w="70" w:type="dxa"/>
              <w:bottom w:w="75" w:type="dxa"/>
              <w:right w:w="70" w:type="dxa"/>
            </w:tcMar>
            <w:vAlign w:val="center"/>
          </w:tcPr>
          <w:p w14:paraId="4B494D43" w14:textId="77777777" w:rsidR="008C5708" w:rsidRDefault="00000000">
            <w:pPr>
              <w:spacing w:after="0"/>
              <w:jc w:val="left"/>
            </w:pPr>
            <w:r>
              <w:rPr>
                <w:sz w:val="15"/>
              </w:rPr>
              <w:t>Chlingaryan et al. (2018); Liakos et al. (2018); Vullaganti et al. (2025)</w:t>
            </w:r>
          </w:p>
        </w:tc>
      </w:tr>
      <w:tr w:rsidR="008C5708" w14:paraId="4B3DE401" w14:textId="77777777">
        <w:trPr>
          <w:cantSplit/>
          <w:jc w:val="center"/>
        </w:trPr>
        <w:tc>
          <w:tcPr>
            <w:tcW w:w="1440" w:type="dxa"/>
            <w:tcMar>
              <w:top w:w="75" w:type="dxa"/>
              <w:left w:w="70" w:type="dxa"/>
              <w:bottom w:w="75" w:type="dxa"/>
              <w:right w:w="70" w:type="dxa"/>
            </w:tcMar>
            <w:vAlign w:val="center"/>
          </w:tcPr>
          <w:p w14:paraId="088E5DC3" w14:textId="77777777" w:rsidR="008C5708" w:rsidRDefault="00000000">
            <w:pPr>
              <w:spacing w:after="0"/>
            </w:pPr>
            <w:r>
              <w:rPr>
                <w:sz w:val="15"/>
              </w:rPr>
              <w:lastRenderedPageBreak/>
              <w:t>Drone-enabled application</w:t>
            </w:r>
          </w:p>
        </w:tc>
        <w:tc>
          <w:tcPr>
            <w:tcW w:w="1368" w:type="dxa"/>
            <w:tcMar>
              <w:top w:w="75" w:type="dxa"/>
              <w:left w:w="70" w:type="dxa"/>
              <w:bottom w:w="75" w:type="dxa"/>
              <w:right w:w="70" w:type="dxa"/>
            </w:tcMar>
            <w:vAlign w:val="center"/>
          </w:tcPr>
          <w:p w14:paraId="58AFB790" w14:textId="77777777" w:rsidR="008C5708" w:rsidRDefault="00000000">
            <w:pPr>
              <w:spacing w:after="0"/>
            </w:pPr>
            <w:r>
              <w:rPr>
                <w:sz w:val="15"/>
              </w:rPr>
              <w:t>Operation-level timing and spatial targeting</w:t>
            </w:r>
          </w:p>
        </w:tc>
        <w:tc>
          <w:tcPr>
            <w:tcW w:w="1800" w:type="dxa"/>
            <w:tcMar>
              <w:top w:w="75" w:type="dxa"/>
              <w:left w:w="70" w:type="dxa"/>
              <w:bottom w:w="75" w:type="dxa"/>
              <w:right w:w="70" w:type="dxa"/>
            </w:tcMar>
            <w:vAlign w:val="center"/>
          </w:tcPr>
          <w:p w14:paraId="6821F237" w14:textId="77777777" w:rsidR="008C5708" w:rsidRDefault="00000000">
            <w:pPr>
              <w:spacing w:after="0"/>
            </w:pPr>
            <w:r>
              <w:rPr>
                <w:sz w:val="15"/>
              </w:rPr>
              <w:t>Rapid service delivery, labour substitution and contractor business models</w:t>
            </w:r>
          </w:p>
        </w:tc>
        <w:tc>
          <w:tcPr>
            <w:tcW w:w="1584" w:type="dxa"/>
            <w:tcMar>
              <w:top w:w="75" w:type="dxa"/>
              <w:left w:w="70" w:type="dxa"/>
              <w:bottom w:w="75" w:type="dxa"/>
              <w:right w:w="70" w:type="dxa"/>
            </w:tcMar>
            <w:vAlign w:val="center"/>
          </w:tcPr>
          <w:p w14:paraId="79561F30" w14:textId="77777777" w:rsidR="008C5708" w:rsidRDefault="00000000">
            <w:pPr>
              <w:spacing w:after="0"/>
            </w:pPr>
            <w:r>
              <w:rPr>
                <w:sz w:val="15"/>
              </w:rPr>
              <w:t>Emerging Indian field evidence plus expanding service support</w:t>
            </w:r>
          </w:p>
        </w:tc>
        <w:tc>
          <w:tcPr>
            <w:tcW w:w="2232" w:type="dxa"/>
            <w:tcMar>
              <w:top w:w="75" w:type="dxa"/>
              <w:left w:w="70" w:type="dxa"/>
              <w:bottom w:w="75" w:type="dxa"/>
              <w:right w:w="70" w:type="dxa"/>
            </w:tcMar>
            <w:vAlign w:val="center"/>
          </w:tcPr>
          <w:p w14:paraId="77F77443" w14:textId="77777777" w:rsidR="008C5708" w:rsidRDefault="00000000">
            <w:pPr>
              <w:spacing w:after="0"/>
            </w:pPr>
            <w:r>
              <w:rPr>
                <w:sz w:val="15"/>
              </w:rPr>
              <w:t>Spray calibration, operator skill, scheduling and crop-specific protocols</w:t>
            </w:r>
          </w:p>
        </w:tc>
        <w:tc>
          <w:tcPr>
            <w:tcW w:w="1368" w:type="dxa"/>
            <w:tcMar>
              <w:top w:w="75" w:type="dxa"/>
              <w:left w:w="70" w:type="dxa"/>
              <w:bottom w:w="75" w:type="dxa"/>
              <w:right w:w="70" w:type="dxa"/>
            </w:tcMar>
            <w:vAlign w:val="center"/>
          </w:tcPr>
          <w:p w14:paraId="6B342A0B" w14:textId="77777777" w:rsidR="008C5708" w:rsidRDefault="00000000">
            <w:pPr>
              <w:spacing w:after="0"/>
              <w:jc w:val="left"/>
            </w:pPr>
            <w:r>
              <w:rPr>
                <w:sz w:val="15"/>
              </w:rPr>
              <w:t>Paul et al. (2023); Government of India (2025b)</w:t>
            </w:r>
          </w:p>
        </w:tc>
      </w:tr>
      <w:tr w:rsidR="008C5708" w14:paraId="74D5C2FE" w14:textId="77777777">
        <w:trPr>
          <w:cantSplit/>
          <w:jc w:val="center"/>
        </w:trPr>
        <w:tc>
          <w:tcPr>
            <w:tcW w:w="1440" w:type="dxa"/>
            <w:tcMar>
              <w:top w:w="75" w:type="dxa"/>
              <w:left w:w="70" w:type="dxa"/>
              <w:bottom w:w="75" w:type="dxa"/>
              <w:right w:w="70" w:type="dxa"/>
            </w:tcMar>
            <w:vAlign w:val="center"/>
          </w:tcPr>
          <w:p w14:paraId="2060C585" w14:textId="77777777" w:rsidR="008C5708" w:rsidRDefault="00000000">
            <w:pPr>
              <w:spacing w:after="0"/>
            </w:pPr>
            <w:r>
              <w:rPr>
                <w:sz w:val="15"/>
              </w:rPr>
              <w:t>Farm-owned variable-rate machinery</w:t>
            </w:r>
          </w:p>
        </w:tc>
        <w:tc>
          <w:tcPr>
            <w:tcW w:w="1368" w:type="dxa"/>
            <w:tcMar>
              <w:top w:w="75" w:type="dxa"/>
              <w:left w:w="70" w:type="dxa"/>
              <w:bottom w:w="75" w:type="dxa"/>
              <w:right w:w="70" w:type="dxa"/>
            </w:tcMar>
            <w:vAlign w:val="center"/>
          </w:tcPr>
          <w:p w14:paraId="3B8639E9" w14:textId="77777777" w:rsidR="008C5708" w:rsidRDefault="00000000">
            <w:pPr>
              <w:spacing w:after="0"/>
            </w:pPr>
            <w:r>
              <w:rPr>
                <w:sz w:val="15"/>
              </w:rPr>
              <w:t>Sub-field input rate and machinery control</w:t>
            </w:r>
          </w:p>
        </w:tc>
        <w:tc>
          <w:tcPr>
            <w:tcW w:w="1800" w:type="dxa"/>
            <w:tcMar>
              <w:top w:w="75" w:type="dxa"/>
              <w:left w:w="70" w:type="dxa"/>
              <w:bottom w:w="75" w:type="dxa"/>
              <w:right w:w="70" w:type="dxa"/>
            </w:tcMar>
            <w:vAlign w:val="center"/>
          </w:tcPr>
          <w:p w14:paraId="27687B22" w14:textId="77777777" w:rsidR="008C5708" w:rsidRDefault="00000000">
            <w:pPr>
              <w:spacing w:after="0"/>
            </w:pPr>
            <w:r>
              <w:rPr>
                <w:sz w:val="15"/>
              </w:rPr>
              <w:t>Automated execution of prescription maps</w:t>
            </w:r>
          </w:p>
        </w:tc>
        <w:tc>
          <w:tcPr>
            <w:tcW w:w="1584" w:type="dxa"/>
            <w:tcMar>
              <w:top w:w="75" w:type="dxa"/>
              <w:left w:w="70" w:type="dxa"/>
              <w:bottom w:w="75" w:type="dxa"/>
              <w:right w:w="70" w:type="dxa"/>
            </w:tcMar>
            <w:vAlign w:val="center"/>
          </w:tcPr>
          <w:p w14:paraId="6E4898DF" w14:textId="77777777" w:rsidR="008C5708" w:rsidRDefault="00000000">
            <w:pPr>
              <w:spacing w:after="0"/>
            </w:pPr>
            <w:r>
              <w:rPr>
                <w:sz w:val="15"/>
              </w:rPr>
              <w:t>Limited fit for the modal small holding without aggregation</w:t>
            </w:r>
          </w:p>
        </w:tc>
        <w:tc>
          <w:tcPr>
            <w:tcW w:w="2232" w:type="dxa"/>
            <w:tcMar>
              <w:top w:w="75" w:type="dxa"/>
              <w:left w:w="70" w:type="dxa"/>
              <w:bottom w:w="75" w:type="dxa"/>
              <w:right w:w="70" w:type="dxa"/>
            </w:tcMar>
            <w:vAlign w:val="center"/>
          </w:tcPr>
          <w:p w14:paraId="721D94D3" w14:textId="77777777" w:rsidR="008C5708" w:rsidRDefault="00000000">
            <w:pPr>
              <w:spacing w:after="0"/>
            </w:pPr>
            <w:r>
              <w:rPr>
                <w:sz w:val="15"/>
              </w:rPr>
              <w:t>High fixed cost and low annual utilisation on small farms</w:t>
            </w:r>
          </w:p>
        </w:tc>
        <w:tc>
          <w:tcPr>
            <w:tcW w:w="1368" w:type="dxa"/>
            <w:tcMar>
              <w:top w:w="75" w:type="dxa"/>
              <w:left w:w="70" w:type="dxa"/>
              <w:bottom w:w="75" w:type="dxa"/>
              <w:right w:w="70" w:type="dxa"/>
            </w:tcMar>
            <w:vAlign w:val="center"/>
          </w:tcPr>
          <w:p w14:paraId="73E35F8E" w14:textId="77777777" w:rsidR="008C5708" w:rsidRDefault="00000000">
            <w:pPr>
              <w:spacing w:after="0"/>
              <w:jc w:val="left"/>
            </w:pPr>
            <w:r>
              <w:rPr>
                <w:sz w:val="15"/>
              </w:rPr>
              <w:t>Lowenberg-DeBoer &amp; Erickson (2019); Mizik (2023); Paustian &amp; Theuvsen (2017)</w:t>
            </w:r>
          </w:p>
        </w:tc>
      </w:tr>
    </w:tbl>
    <w:p w14:paraId="47A68694" w14:textId="77777777" w:rsidR="008C5708" w:rsidRDefault="00000000">
      <w:pPr>
        <w:pStyle w:val="TableNote"/>
        <w:spacing w:before="60" w:after="140"/>
      </w:pPr>
      <w:r>
        <w:rPr>
          <w:i/>
        </w:rPr>
        <w:t>Note. LCC = leaf colour chart; N = nitrogen; SSNM = site-specific nutrient management; UAV = unmanned aerial vehicle.</w:t>
      </w:r>
    </w:p>
    <w:p w14:paraId="5A85C2CA" w14:textId="77777777" w:rsidR="008C5708" w:rsidRDefault="00000000">
      <w:pPr>
        <w:pStyle w:val="Heading1"/>
      </w:pPr>
      <w:r>
        <w:t>4. Resource-Efficiency Evidence: Water, Nutrients, Energy and Soil</w:t>
      </w:r>
    </w:p>
    <w:p w14:paraId="588EB638" w14:textId="77777777" w:rsidR="008C5708" w:rsidRDefault="00000000">
      <w:pPr>
        <w:pStyle w:val="Heading2"/>
      </w:pPr>
      <w:r>
        <w:t>4.1 Precision land preparation and irrigation management</w:t>
      </w:r>
    </w:p>
    <w:p w14:paraId="75F15F54" w14:textId="77777777" w:rsidR="008C5708" w:rsidRDefault="00000000">
      <w:r>
        <w:t>Water management provides some of the clearest Indian evidence that precision need not be digitally elaborate. Precision land levelling uses controlled grading to reduce microtopographic variation, improving the uniformity of surface irrigation and crop establishment. In a rice-wheat rotation, Jat et al. (2009) reported that precision land levelling contributed to irrigation-water savings and improved system productivity, with benefits persisting across the evaluated rotation. Because the intervention changes field geometry rather than merely providing information, the causal pathway is comparatively direct: more uniform field elevation reduces ponding and uneven advance, which can improve irrigation control and crop establishment. The technology also illustrates why service delivery matters. Laser levelling equipment is capital intensive relative to small-farm purchasing power, but the operation is episodic and highly amenable to custom hiring.</w:t>
      </w:r>
    </w:p>
    <w:p w14:paraId="47E30350" w14:textId="77777777" w:rsidR="008C5708" w:rsidRDefault="00000000">
      <w:r>
        <w:t>The environmental interpretation nevertheless requires care. Water saved at field scale is not automatically equivalent to water conserved at basin scale. Reduced application can lower pumping energy and improve timeliness, but part of the apparent "loss" under traditional irrigation may return to aquifers or downstream users. The strongest claim from field studies is therefore improved irrigation application and farm-level water productivity, not necessarily a one-for-one reduction in consumptive water use. This distinction reflects a broader precision-agriculture principle: efficiency indicators are often easier to demonstrate than absolute environmental conservation (Finger et al., 2019).</w:t>
      </w:r>
    </w:p>
    <w:p w14:paraId="6B03002F" w14:textId="77777777" w:rsidR="008C5708" w:rsidRDefault="00000000">
      <w:r>
        <w:t>Alternate wetting and drying and threshold-based irrigation can similarly improve the timing of water applications when farmers have sufficient control over delivery. In farmer-participatory work in Tripura, Singh and Chakraborti (2019) reported substantial irrigation-water savings when alternate wetting and drying was integrated with crop-responsive nitrogen management. The evidence supports the logic of synchronising decisions, but its transferability depends on water-control institutions. A farmer using a rotational canal schedule may not be able to act on a soil-water threshold even if it is measured perfectly. Sensor-based irrigation is therefore most likely to create value where the farmer or service provider can control pumping or delivery at the decision interval.</w:t>
      </w:r>
    </w:p>
    <w:p w14:paraId="6D2AE908" w14:textId="77777777" w:rsidR="008C5708" w:rsidRDefault="00000000">
      <w:pPr>
        <w:pStyle w:val="Heading2"/>
      </w:pPr>
      <w:r>
        <w:t>4.2 Site-specific and crop-responsive nitrogen management</w:t>
      </w:r>
    </w:p>
    <w:p w14:paraId="223ACFB8" w14:textId="77777777" w:rsidR="008C5708" w:rsidRDefault="00000000">
      <w:r>
        <w:t>Nitrogen management is one of the most mature domains of precision agronomy in India because the decision problem is recurrent, economically important and environmentally consequential. The evidence base spans site-specific nutrient management, leaf colour charts, canopy reflectance sensors and data-driven recommendation systems. The central objective is not necessarily to reduce nitrogen in every field; it is to match timing and dose to crop requirement closely enough to avoid both economically wasteful excess and yield-limiting deficiency.</w:t>
      </w:r>
    </w:p>
    <w:p w14:paraId="453F8A67" w14:textId="77777777" w:rsidR="008C5708" w:rsidRDefault="00000000">
      <w:r>
        <w:lastRenderedPageBreak/>
        <w:t>In irrigated transplanted rice in north-west India, Khurana et al. (2007) evaluated site-specific nutrient management across multiple on-farm locations and demonstrated that locally adjusted nutrient strategies can outperform generic management in agronomic efficiency. Leaf-colour-chart approaches take a simpler route by using canopy greenness as an operational indicator for nitrogen timing. In West Bengal, farmer-participatory work showed that leaf-colour-chart use could improve nitrogen-use efficiency by shifting application towards crop demand (Islam et al., 2007). Broader synthesis of site-specific nitrogen management in rice supports the value of real-time crop indicators while emphasising the need to combine nitrogen decisions with appropriate crop and soil management (Peng et al., 2010).</w:t>
      </w:r>
    </w:p>
    <w:p w14:paraId="31AD72FA" w14:textId="77777777" w:rsidR="008C5708" w:rsidRDefault="00000000">
      <w:r>
        <w:t>Optical crop sensing extends this principle. Ali et al. (2015) used GreenSeeker canopy reflectance to refine nitrogen management in dry direct-seeded rice in north-west India, reporting yield maintenance with lower or more effectively targeted nitrogen and improved nitrogen-use efficiency relative to standard recommendation strategies. In irrigated wheat, Singh et al. (2017) found that sensor-guided nitrogen management could produce yields comparable with a blanket nitrogen rate while improving recovery and agronomic efficiency. These studies are valuable because the sensor is linked to a specific decision rule rather than evaluated only for prediction accuracy.</w:t>
      </w:r>
    </w:p>
    <w:p w14:paraId="6620A753" w14:textId="77777777" w:rsidR="008C5708" w:rsidRDefault="00000000">
      <w:r>
        <w:t>The results are not uniformly superior. Tyagi et al. (2020) found that GreenSeeker-based management improved some efficiency measures in wheat, while the highest yield or nitrogen recovery under particular treatments could still occur with a blanket rate. This apparent contradiction is informative rather than problematic. Sensor-based recommendations are most valuable when baseline recommendations are poorly matched to actual crop need. Where a blanket rate happens to approximate the crop optimum, the incremental yield advantage of sensing may be small, even if input-use efficiency improves. Technology evaluation should therefore compare net margin and environmental load alongside yield.</w:t>
      </w:r>
    </w:p>
    <w:p w14:paraId="0DC01870" w14:textId="77777777" w:rsidR="008C5708" w:rsidRDefault="00000000">
      <w:r>
        <w:t>Recent large-n analyses indicate why fixed recommendations often perform inconsistently. Coggins et al. (2025) analysed more than 31,000 farmer fields across major rice-growing regions of South Asia, including four Indian production environments. The study found substantial variation in nitrogen use and performance, and estimated that better-targeted management could reduce excess nitrogen in many fields without yield loss. The value of the study lies in its scale and heterogeneity: it demonstrates that "average farmer" recommendations can conceal large differences in input need. Yet the data include farmer-reported outcomes and observational management variation, so the analysis identifies decision opportunity rather than the causal effect of a particular precision intervention.</w:t>
      </w:r>
    </w:p>
    <w:p w14:paraId="1D7628C7" w14:textId="77777777" w:rsidR="008C5708" w:rsidRDefault="00000000">
      <w:r>
        <w:t>Sherpa et al. (2025) pursued a related strategy for wheat systems in India, combining thousands of farmer-field observations with digital soil information to devise precision nitrogen rules. Ex-ante simulations suggested reductions in nitrogen use and nitrous oxide emissions without yield loss, whereas conventional soil-test recommendation could increase nitrogen use without corresponding yield benefit in the evaluated setting. These are important results for designing scalable decision systems, but the benefits are simulated, not a substitute for prospective implementation trials. A robust translation pathway would test the rule in independent locations, measure farmer compliance and costs, and evaluate whether predicted nitrogen savings survive operational constraints.</w:t>
      </w:r>
    </w:p>
    <w:p w14:paraId="59071496" w14:textId="77777777" w:rsidR="008C5708" w:rsidRDefault="00000000">
      <w:pPr>
        <w:pStyle w:val="Heading2"/>
      </w:pPr>
      <w:r>
        <w:t>4.3 Drip fertigation and integrated resource control</w:t>
      </w:r>
    </w:p>
    <w:p w14:paraId="7FADA477" w14:textId="77777777" w:rsidR="008C5708" w:rsidRDefault="00000000">
      <w:r>
        <w:t xml:space="preserve">Drip fertigation offers a more infrastructure-intensive form of precision because it controls both water placement and nutrient delivery. In Indian Punjab, Sinha et al. (2017) reported that drip irrigation and fertigation improved water and energy productivity and farm economics in spring sunflower compared with conventional irrigation. The mechanism is credible: frequent, localised application reduces conveyance and </w:t>
      </w:r>
      <w:r>
        <w:lastRenderedPageBreak/>
        <w:t>surface losses and can better align nutrient availability with crop uptake. Recent review evidence also reports broad potential for precision fertigation and sensor-enabled irrigation, but the reported effect ranges are heterogeneous across crops, environments and technologies (Singh &amp; Singh, 2026). Such ranges should therefore be interpreted as evidence of potential rather than a transferable expected effect for an Indian farm.</w:t>
      </w:r>
    </w:p>
    <w:p w14:paraId="438B719A" w14:textId="77777777" w:rsidR="008C5708" w:rsidRDefault="00000000">
      <w:r>
        <w:t>The fixed-cost profile is also different from that of a leaf colour chart or advisory. Drip systems require hardware, maintenance, filtration and access to reliable water and soluble fertiliser. Their economic case is strongest in higher-value crops, water-constrained environments or systems in which irrigation control already has substantial value. In low-value rainfed crops, a technically efficient fertigation system may not be financially rational. Precision farming analysis must therefore distinguish agronomic efficiency from capital productivity.</w:t>
      </w:r>
    </w:p>
    <w:p w14:paraId="5791EAE6" w14:textId="77777777" w:rsidR="008C5708" w:rsidRDefault="00000000">
      <w:r>
        <w:t>Across water and nutrient technologies, the most consistent Indian evidence supports a "measure-or-correct, then act" model. Field geometry, crop colour or reflectance, soil-water status and controlled fertigation are valuable because the signal is close to the management action. Table 2 presents representative Indian quantitative evidence and deliberately distinguishes observed field outcomes from modelled potential. The table is not exhaustive; its purpose is to show how outcome strength depends on design and decision proximity.</w:t>
      </w:r>
    </w:p>
    <w:p w14:paraId="13ED5E1D" w14:textId="77777777" w:rsidR="008C5708" w:rsidRDefault="00000000">
      <w:pPr>
        <w:pStyle w:val="TableCaption"/>
      </w:pPr>
      <w:r>
        <w:t>Table 2. Representative quantitative and outcome-oriented evidence from Indian precision-farming studies</w:t>
      </w:r>
    </w:p>
    <w:tbl>
      <w:tblPr>
        <w:tblStyle w:val="TableGrid"/>
        <w:tblW w:w="0" w:type="auto"/>
        <w:jc w:val="center"/>
        <w:tblLayout w:type="fixed"/>
        <w:tblLook w:val="04A0" w:firstRow="1" w:lastRow="0" w:firstColumn="1" w:lastColumn="0" w:noHBand="0" w:noVBand="1"/>
      </w:tblPr>
      <w:tblGrid>
        <w:gridCol w:w="1512"/>
        <w:gridCol w:w="1296"/>
        <w:gridCol w:w="1656"/>
        <w:gridCol w:w="1800"/>
        <w:gridCol w:w="2088"/>
        <w:gridCol w:w="1440"/>
      </w:tblGrid>
      <w:tr w:rsidR="008C5708" w14:paraId="77F881C9" w14:textId="77777777">
        <w:trPr>
          <w:tblHeader/>
          <w:jc w:val="center"/>
        </w:trPr>
        <w:tc>
          <w:tcPr>
            <w:tcW w:w="1512" w:type="dxa"/>
            <w:shd w:val="clear" w:color="auto" w:fill="D9E2F3"/>
            <w:tcMar>
              <w:top w:w="90" w:type="dxa"/>
              <w:left w:w="80" w:type="dxa"/>
              <w:bottom w:w="90" w:type="dxa"/>
              <w:right w:w="80" w:type="dxa"/>
            </w:tcMar>
            <w:vAlign w:val="center"/>
          </w:tcPr>
          <w:p w14:paraId="144028DF" w14:textId="77777777" w:rsidR="008C5708" w:rsidRDefault="00000000">
            <w:pPr>
              <w:spacing w:after="0"/>
              <w:jc w:val="center"/>
            </w:pPr>
            <w:r>
              <w:rPr>
                <w:b/>
                <w:sz w:val="16"/>
              </w:rPr>
              <w:t>Evidence and setting</w:t>
            </w:r>
          </w:p>
        </w:tc>
        <w:tc>
          <w:tcPr>
            <w:tcW w:w="1296" w:type="dxa"/>
            <w:shd w:val="clear" w:color="auto" w:fill="D9E2F3"/>
            <w:tcMar>
              <w:top w:w="90" w:type="dxa"/>
              <w:left w:w="80" w:type="dxa"/>
              <w:bottom w:w="90" w:type="dxa"/>
              <w:right w:w="80" w:type="dxa"/>
            </w:tcMar>
            <w:vAlign w:val="center"/>
          </w:tcPr>
          <w:p w14:paraId="7C6CBE89" w14:textId="77777777" w:rsidR="008C5708" w:rsidRDefault="00000000">
            <w:pPr>
              <w:spacing w:after="0"/>
              <w:jc w:val="center"/>
            </w:pPr>
            <w:r>
              <w:rPr>
                <w:b/>
                <w:sz w:val="16"/>
              </w:rPr>
              <w:t>Design</w:t>
            </w:r>
          </w:p>
        </w:tc>
        <w:tc>
          <w:tcPr>
            <w:tcW w:w="1656" w:type="dxa"/>
            <w:shd w:val="clear" w:color="auto" w:fill="D9E2F3"/>
            <w:tcMar>
              <w:top w:w="90" w:type="dxa"/>
              <w:left w:w="80" w:type="dxa"/>
              <w:bottom w:w="90" w:type="dxa"/>
              <w:right w:w="80" w:type="dxa"/>
            </w:tcMar>
            <w:vAlign w:val="center"/>
          </w:tcPr>
          <w:p w14:paraId="72D69191" w14:textId="77777777" w:rsidR="008C5708" w:rsidRDefault="00000000">
            <w:pPr>
              <w:spacing w:after="0"/>
              <w:jc w:val="center"/>
            </w:pPr>
            <w:r>
              <w:rPr>
                <w:b/>
                <w:sz w:val="16"/>
              </w:rPr>
              <w:t>Precision intervention</w:t>
            </w:r>
          </w:p>
        </w:tc>
        <w:tc>
          <w:tcPr>
            <w:tcW w:w="1800" w:type="dxa"/>
            <w:shd w:val="clear" w:color="auto" w:fill="D9E2F3"/>
            <w:tcMar>
              <w:top w:w="90" w:type="dxa"/>
              <w:left w:w="80" w:type="dxa"/>
              <w:bottom w:w="90" w:type="dxa"/>
              <w:right w:w="80" w:type="dxa"/>
            </w:tcMar>
            <w:vAlign w:val="center"/>
          </w:tcPr>
          <w:p w14:paraId="2C9B54FF" w14:textId="77777777" w:rsidR="008C5708" w:rsidRDefault="00000000">
            <w:pPr>
              <w:spacing w:after="0"/>
              <w:jc w:val="center"/>
            </w:pPr>
            <w:r>
              <w:rPr>
                <w:b/>
                <w:sz w:val="16"/>
              </w:rPr>
              <w:t>Reported outcome</w:t>
            </w:r>
          </w:p>
        </w:tc>
        <w:tc>
          <w:tcPr>
            <w:tcW w:w="2088" w:type="dxa"/>
            <w:shd w:val="clear" w:color="auto" w:fill="D9E2F3"/>
            <w:tcMar>
              <w:top w:w="90" w:type="dxa"/>
              <w:left w:w="80" w:type="dxa"/>
              <w:bottom w:w="90" w:type="dxa"/>
              <w:right w:w="80" w:type="dxa"/>
            </w:tcMar>
            <w:vAlign w:val="center"/>
          </w:tcPr>
          <w:p w14:paraId="5E189513" w14:textId="77777777" w:rsidR="008C5708" w:rsidRDefault="00000000">
            <w:pPr>
              <w:spacing w:after="0"/>
              <w:jc w:val="center"/>
            </w:pPr>
            <w:r>
              <w:rPr>
                <w:b/>
                <w:sz w:val="16"/>
              </w:rPr>
              <w:t>Critical interpretation</w:t>
            </w:r>
          </w:p>
        </w:tc>
        <w:tc>
          <w:tcPr>
            <w:tcW w:w="1440" w:type="dxa"/>
            <w:shd w:val="clear" w:color="auto" w:fill="D9E2F3"/>
            <w:tcMar>
              <w:top w:w="90" w:type="dxa"/>
              <w:left w:w="80" w:type="dxa"/>
              <w:bottom w:w="90" w:type="dxa"/>
              <w:right w:w="80" w:type="dxa"/>
            </w:tcMar>
            <w:vAlign w:val="center"/>
          </w:tcPr>
          <w:p w14:paraId="701BDCF4" w14:textId="77777777" w:rsidR="008C5708" w:rsidRDefault="00000000">
            <w:pPr>
              <w:spacing w:after="0"/>
              <w:jc w:val="center"/>
            </w:pPr>
            <w:r>
              <w:rPr>
                <w:b/>
                <w:sz w:val="16"/>
              </w:rPr>
              <w:t>Supporting references</w:t>
            </w:r>
          </w:p>
        </w:tc>
      </w:tr>
      <w:tr w:rsidR="008C5708" w14:paraId="01646ADB" w14:textId="77777777">
        <w:trPr>
          <w:cantSplit/>
          <w:jc w:val="center"/>
        </w:trPr>
        <w:tc>
          <w:tcPr>
            <w:tcW w:w="1512" w:type="dxa"/>
            <w:tcMar>
              <w:top w:w="75" w:type="dxa"/>
              <w:left w:w="70" w:type="dxa"/>
              <w:bottom w:w="75" w:type="dxa"/>
              <w:right w:w="70" w:type="dxa"/>
            </w:tcMar>
            <w:vAlign w:val="center"/>
          </w:tcPr>
          <w:p w14:paraId="1397F3AF" w14:textId="77777777" w:rsidR="008C5708" w:rsidRDefault="00000000">
            <w:pPr>
              <w:spacing w:after="0"/>
            </w:pPr>
            <w:r>
              <w:rPr>
                <w:sz w:val="15"/>
              </w:rPr>
              <w:t>Rice-wheat, Indo-Gangetic Plains</w:t>
            </w:r>
          </w:p>
        </w:tc>
        <w:tc>
          <w:tcPr>
            <w:tcW w:w="1296" w:type="dxa"/>
            <w:tcMar>
              <w:top w:w="75" w:type="dxa"/>
              <w:left w:w="70" w:type="dxa"/>
              <w:bottom w:w="75" w:type="dxa"/>
              <w:right w:w="70" w:type="dxa"/>
            </w:tcMar>
            <w:vAlign w:val="center"/>
          </w:tcPr>
          <w:p w14:paraId="476C3732" w14:textId="77777777" w:rsidR="008C5708" w:rsidRDefault="00000000">
            <w:pPr>
              <w:spacing w:after="0"/>
            </w:pPr>
            <w:r>
              <w:rPr>
                <w:sz w:val="15"/>
              </w:rPr>
              <w:t>Multi-season field evaluation</w:t>
            </w:r>
          </w:p>
        </w:tc>
        <w:tc>
          <w:tcPr>
            <w:tcW w:w="1656" w:type="dxa"/>
            <w:tcMar>
              <w:top w:w="75" w:type="dxa"/>
              <w:left w:w="70" w:type="dxa"/>
              <w:bottom w:w="75" w:type="dxa"/>
              <w:right w:w="70" w:type="dxa"/>
            </w:tcMar>
            <w:vAlign w:val="center"/>
          </w:tcPr>
          <w:p w14:paraId="1D8E62F7" w14:textId="77777777" w:rsidR="008C5708" w:rsidRDefault="00000000">
            <w:pPr>
              <w:spacing w:after="0"/>
            </w:pPr>
            <w:r>
              <w:rPr>
                <w:sz w:val="15"/>
              </w:rPr>
              <w:t>Precision land levelling with conservation-tillage comparisons</w:t>
            </w:r>
          </w:p>
        </w:tc>
        <w:tc>
          <w:tcPr>
            <w:tcW w:w="1800" w:type="dxa"/>
            <w:tcMar>
              <w:top w:w="75" w:type="dxa"/>
              <w:left w:w="70" w:type="dxa"/>
              <w:bottom w:w="75" w:type="dxa"/>
              <w:right w:w="70" w:type="dxa"/>
            </w:tcMar>
            <w:vAlign w:val="center"/>
          </w:tcPr>
          <w:p w14:paraId="7A77637C" w14:textId="77777777" w:rsidR="008C5708" w:rsidRDefault="00000000">
            <w:pPr>
              <w:spacing w:after="0"/>
            </w:pPr>
            <w:r>
              <w:rPr>
                <w:sz w:val="15"/>
              </w:rPr>
              <w:t>Reported irrigation-water savings of about 12-14% in rice and 10-13% in wheat; system productivity improved in the second year</w:t>
            </w:r>
          </w:p>
        </w:tc>
        <w:tc>
          <w:tcPr>
            <w:tcW w:w="2088" w:type="dxa"/>
            <w:tcMar>
              <w:top w:w="75" w:type="dxa"/>
              <w:left w:w="70" w:type="dxa"/>
              <w:bottom w:w="75" w:type="dxa"/>
              <w:right w:w="70" w:type="dxa"/>
            </w:tcMar>
            <w:vAlign w:val="center"/>
          </w:tcPr>
          <w:p w14:paraId="5130905F" w14:textId="77777777" w:rsidR="008C5708" w:rsidRDefault="00000000">
            <w:pPr>
              <w:spacing w:after="0"/>
            </w:pPr>
            <w:r>
              <w:rPr>
                <w:sz w:val="15"/>
              </w:rPr>
              <w:t>Direct field evidence with a plausible physical mechanism; water applied is not identical to basin water conserved</w:t>
            </w:r>
          </w:p>
        </w:tc>
        <w:tc>
          <w:tcPr>
            <w:tcW w:w="1440" w:type="dxa"/>
            <w:tcMar>
              <w:top w:w="75" w:type="dxa"/>
              <w:left w:w="70" w:type="dxa"/>
              <w:bottom w:w="75" w:type="dxa"/>
              <w:right w:w="70" w:type="dxa"/>
            </w:tcMar>
            <w:vAlign w:val="center"/>
          </w:tcPr>
          <w:p w14:paraId="4F1F5DF5" w14:textId="77777777" w:rsidR="008C5708" w:rsidRDefault="00000000">
            <w:pPr>
              <w:spacing w:after="0"/>
              <w:jc w:val="left"/>
            </w:pPr>
            <w:r>
              <w:rPr>
                <w:sz w:val="15"/>
              </w:rPr>
              <w:t>Jat et al. (2009)</w:t>
            </w:r>
          </w:p>
        </w:tc>
      </w:tr>
      <w:tr w:rsidR="008C5708" w14:paraId="4E98FED6" w14:textId="77777777">
        <w:trPr>
          <w:cantSplit/>
          <w:jc w:val="center"/>
        </w:trPr>
        <w:tc>
          <w:tcPr>
            <w:tcW w:w="1512" w:type="dxa"/>
            <w:tcMar>
              <w:top w:w="75" w:type="dxa"/>
              <w:left w:w="70" w:type="dxa"/>
              <w:bottom w:w="75" w:type="dxa"/>
              <w:right w:w="70" w:type="dxa"/>
            </w:tcMar>
            <w:vAlign w:val="center"/>
          </w:tcPr>
          <w:p w14:paraId="046407CA" w14:textId="77777777" w:rsidR="008C5708" w:rsidRDefault="00000000">
            <w:pPr>
              <w:spacing w:after="0"/>
            </w:pPr>
            <w:r>
              <w:rPr>
                <w:sz w:val="15"/>
              </w:rPr>
              <w:t>Rice, West Bengal</w:t>
            </w:r>
          </w:p>
        </w:tc>
        <w:tc>
          <w:tcPr>
            <w:tcW w:w="1296" w:type="dxa"/>
            <w:tcMar>
              <w:top w:w="75" w:type="dxa"/>
              <w:left w:w="70" w:type="dxa"/>
              <w:bottom w:w="75" w:type="dxa"/>
              <w:right w:w="70" w:type="dxa"/>
            </w:tcMar>
            <w:vAlign w:val="center"/>
          </w:tcPr>
          <w:p w14:paraId="0C8B74A7" w14:textId="77777777" w:rsidR="008C5708" w:rsidRDefault="00000000">
            <w:pPr>
              <w:spacing w:after="0"/>
            </w:pPr>
            <w:r>
              <w:rPr>
                <w:sz w:val="15"/>
              </w:rPr>
              <w:t>Farmer-participatory impact assessment</w:t>
            </w:r>
          </w:p>
        </w:tc>
        <w:tc>
          <w:tcPr>
            <w:tcW w:w="1656" w:type="dxa"/>
            <w:tcMar>
              <w:top w:w="75" w:type="dxa"/>
              <w:left w:w="70" w:type="dxa"/>
              <w:bottom w:w="75" w:type="dxa"/>
              <w:right w:w="70" w:type="dxa"/>
            </w:tcMar>
            <w:vAlign w:val="center"/>
          </w:tcPr>
          <w:p w14:paraId="5D06E658" w14:textId="77777777" w:rsidR="008C5708" w:rsidRDefault="00000000">
            <w:pPr>
              <w:spacing w:after="0"/>
            </w:pPr>
            <w:r>
              <w:rPr>
                <w:sz w:val="15"/>
              </w:rPr>
              <w:t>Leaf colour chart for real-time N timing</w:t>
            </w:r>
          </w:p>
        </w:tc>
        <w:tc>
          <w:tcPr>
            <w:tcW w:w="1800" w:type="dxa"/>
            <w:tcMar>
              <w:top w:w="75" w:type="dxa"/>
              <w:left w:w="70" w:type="dxa"/>
              <w:bottom w:w="75" w:type="dxa"/>
              <w:right w:w="70" w:type="dxa"/>
            </w:tcMar>
            <w:vAlign w:val="center"/>
          </w:tcPr>
          <w:p w14:paraId="6CBF96F6" w14:textId="77777777" w:rsidR="008C5708" w:rsidRDefault="00000000">
            <w:pPr>
              <w:spacing w:after="0"/>
            </w:pPr>
            <w:r>
              <w:rPr>
                <w:sz w:val="15"/>
              </w:rPr>
              <w:t>Improved N-use efficiency through crop-responsive timing without reliance on high-cost sensing</w:t>
            </w:r>
          </w:p>
        </w:tc>
        <w:tc>
          <w:tcPr>
            <w:tcW w:w="2088" w:type="dxa"/>
            <w:tcMar>
              <w:top w:w="75" w:type="dxa"/>
              <w:left w:w="70" w:type="dxa"/>
              <w:bottom w:w="75" w:type="dxa"/>
              <w:right w:w="70" w:type="dxa"/>
            </w:tcMar>
            <w:vAlign w:val="center"/>
          </w:tcPr>
          <w:p w14:paraId="0D0F5B59" w14:textId="77777777" w:rsidR="008C5708" w:rsidRDefault="00000000">
            <w:pPr>
              <w:spacing w:after="0"/>
            </w:pPr>
            <w:r>
              <w:rPr>
                <w:sz w:val="15"/>
              </w:rPr>
              <w:t>Strong smallholder fit; effects depend on threshold use and farmer adherence</w:t>
            </w:r>
          </w:p>
        </w:tc>
        <w:tc>
          <w:tcPr>
            <w:tcW w:w="1440" w:type="dxa"/>
            <w:tcMar>
              <w:top w:w="75" w:type="dxa"/>
              <w:left w:w="70" w:type="dxa"/>
              <w:bottom w:w="75" w:type="dxa"/>
              <w:right w:w="70" w:type="dxa"/>
            </w:tcMar>
            <w:vAlign w:val="center"/>
          </w:tcPr>
          <w:p w14:paraId="2130221A" w14:textId="77777777" w:rsidR="008C5708" w:rsidRDefault="00000000">
            <w:pPr>
              <w:spacing w:after="0"/>
              <w:jc w:val="left"/>
            </w:pPr>
            <w:r>
              <w:rPr>
                <w:sz w:val="15"/>
              </w:rPr>
              <w:t>Islam et al. (2007)</w:t>
            </w:r>
          </w:p>
        </w:tc>
      </w:tr>
      <w:tr w:rsidR="008C5708" w14:paraId="602F5589" w14:textId="77777777">
        <w:trPr>
          <w:cantSplit/>
          <w:jc w:val="center"/>
        </w:trPr>
        <w:tc>
          <w:tcPr>
            <w:tcW w:w="1512" w:type="dxa"/>
            <w:tcMar>
              <w:top w:w="75" w:type="dxa"/>
              <w:left w:w="70" w:type="dxa"/>
              <w:bottom w:w="75" w:type="dxa"/>
              <w:right w:w="70" w:type="dxa"/>
            </w:tcMar>
            <w:vAlign w:val="center"/>
          </w:tcPr>
          <w:p w14:paraId="5E7524D8" w14:textId="77777777" w:rsidR="008C5708" w:rsidRDefault="00000000">
            <w:pPr>
              <w:spacing w:after="0"/>
            </w:pPr>
            <w:r>
              <w:rPr>
                <w:sz w:val="15"/>
              </w:rPr>
              <w:t>Dry direct-seeded rice, north-west India</w:t>
            </w:r>
          </w:p>
        </w:tc>
        <w:tc>
          <w:tcPr>
            <w:tcW w:w="1296" w:type="dxa"/>
            <w:tcMar>
              <w:top w:w="75" w:type="dxa"/>
              <w:left w:w="70" w:type="dxa"/>
              <w:bottom w:w="75" w:type="dxa"/>
              <w:right w:w="70" w:type="dxa"/>
            </w:tcMar>
            <w:vAlign w:val="center"/>
          </w:tcPr>
          <w:p w14:paraId="4F1348C9" w14:textId="77777777" w:rsidR="008C5708" w:rsidRDefault="00000000">
            <w:pPr>
              <w:spacing w:after="0"/>
            </w:pPr>
            <w:r>
              <w:rPr>
                <w:sz w:val="15"/>
              </w:rPr>
              <w:t>Four field experiments across 2011-2013</w:t>
            </w:r>
          </w:p>
        </w:tc>
        <w:tc>
          <w:tcPr>
            <w:tcW w:w="1656" w:type="dxa"/>
            <w:tcMar>
              <w:top w:w="75" w:type="dxa"/>
              <w:left w:w="70" w:type="dxa"/>
              <w:bottom w:w="75" w:type="dxa"/>
              <w:right w:w="70" w:type="dxa"/>
            </w:tcMar>
            <w:vAlign w:val="center"/>
          </w:tcPr>
          <w:p w14:paraId="31DC2A73" w14:textId="77777777" w:rsidR="008C5708" w:rsidRDefault="00000000">
            <w:pPr>
              <w:spacing w:after="0"/>
            </w:pPr>
            <w:r>
              <w:rPr>
                <w:sz w:val="15"/>
              </w:rPr>
              <w:t>GreenSeeker-based corrective N at panicle initiation</w:t>
            </w:r>
          </w:p>
        </w:tc>
        <w:tc>
          <w:tcPr>
            <w:tcW w:w="1800" w:type="dxa"/>
            <w:tcMar>
              <w:top w:w="75" w:type="dxa"/>
              <w:left w:w="70" w:type="dxa"/>
              <w:bottom w:w="75" w:type="dxa"/>
              <w:right w:w="70" w:type="dxa"/>
            </w:tcMar>
            <w:vAlign w:val="center"/>
          </w:tcPr>
          <w:p w14:paraId="6655590A" w14:textId="77777777" w:rsidR="008C5708" w:rsidRDefault="00000000">
            <w:pPr>
              <w:spacing w:after="0"/>
            </w:pPr>
            <w:r>
              <w:rPr>
                <w:sz w:val="15"/>
              </w:rPr>
              <w:t>Yield was maintained while N-use efficiency improved by more than 12% relative to the general recommendation in the evaluated programme</w:t>
            </w:r>
          </w:p>
        </w:tc>
        <w:tc>
          <w:tcPr>
            <w:tcW w:w="2088" w:type="dxa"/>
            <w:tcMar>
              <w:top w:w="75" w:type="dxa"/>
              <w:left w:w="70" w:type="dxa"/>
              <w:bottom w:w="75" w:type="dxa"/>
              <w:right w:w="70" w:type="dxa"/>
            </w:tcMar>
            <w:vAlign w:val="center"/>
          </w:tcPr>
          <w:p w14:paraId="7345B79C" w14:textId="77777777" w:rsidR="008C5708" w:rsidRDefault="00000000">
            <w:pPr>
              <w:spacing w:after="0"/>
            </w:pPr>
            <w:r>
              <w:rPr>
                <w:sz w:val="15"/>
              </w:rPr>
              <w:t>Good decision-linked sensor evidence; calibration remains crop- and environment-specific</w:t>
            </w:r>
          </w:p>
        </w:tc>
        <w:tc>
          <w:tcPr>
            <w:tcW w:w="1440" w:type="dxa"/>
            <w:tcMar>
              <w:top w:w="75" w:type="dxa"/>
              <w:left w:w="70" w:type="dxa"/>
              <w:bottom w:w="75" w:type="dxa"/>
              <w:right w:w="70" w:type="dxa"/>
            </w:tcMar>
            <w:vAlign w:val="center"/>
          </w:tcPr>
          <w:p w14:paraId="54A1D9DA" w14:textId="77777777" w:rsidR="008C5708" w:rsidRDefault="00000000">
            <w:pPr>
              <w:spacing w:after="0"/>
              <w:jc w:val="left"/>
            </w:pPr>
            <w:r>
              <w:rPr>
                <w:sz w:val="15"/>
              </w:rPr>
              <w:t>Ali et al. (2015)</w:t>
            </w:r>
          </w:p>
        </w:tc>
      </w:tr>
      <w:tr w:rsidR="008C5708" w14:paraId="386ECFC2" w14:textId="77777777">
        <w:trPr>
          <w:cantSplit/>
          <w:jc w:val="center"/>
        </w:trPr>
        <w:tc>
          <w:tcPr>
            <w:tcW w:w="1512" w:type="dxa"/>
            <w:tcMar>
              <w:top w:w="75" w:type="dxa"/>
              <w:left w:w="70" w:type="dxa"/>
              <w:bottom w:w="75" w:type="dxa"/>
              <w:right w:w="70" w:type="dxa"/>
            </w:tcMar>
            <w:vAlign w:val="center"/>
          </w:tcPr>
          <w:p w14:paraId="12F164B4" w14:textId="77777777" w:rsidR="008C5708" w:rsidRDefault="00000000">
            <w:pPr>
              <w:spacing w:after="0"/>
            </w:pPr>
            <w:r>
              <w:rPr>
                <w:sz w:val="15"/>
              </w:rPr>
              <w:t>Irrigated wheat, north-west India</w:t>
            </w:r>
          </w:p>
        </w:tc>
        <w:tc>
          <w:tcPr>
            <w:tcW w:w="1296" w:type="dxa"/>
            <w:tcMar>
              <w:top w:w="75" w:type="dxa"/>
              <w:left w:w="70" w:type="dxa"/>
              <w:bottom w:w="75" w:type="dxa"/>
              <w:right w:w="70" w:type="dxa"/>
            </w:tcMar>
            <w:vAlign w:val="center"/>
          </w:tcPr>
          <w:p w14:paraId="51B11180" w14:textId="77777777" w:rsidR="008C5708" w:rsidRDefault="00000000">
            <w:pPr>
              <w:spacing w:after="0"/>
            </w:pPr>
            <w:r>
              <w:rPr>
                <w:sz w:val="15"/>
              </w:rPr>
              <w:t>Seven field experiments over four seasons</w:t>
            </w:r>
          </w:p>
        </w:tc>
        <w:tc>
          <w:tcPr>
            <w:tcW w:w="1656" w:type="dxa"/>
            <w:tcMar>
              <w:top w:w="75" w:type="dxa"/>
              <w:left w:w="70" w:type="dxa"/>
              <w:bottom w:w="75" w:type="dxa"/>
              <w:right w:w="70" w:type="dxa"/>
            </w:tcMar>
            <w:vAlign w:val="center"/>
          </w:tcPr>
          <w:p w14:paraId="10F9399D" w14:textId="77777777" w:rsidR="008C5708" w:rsidRDefault="00000000">
            <w:pPr>
              <w:spacing w:after="0"/>
            </w:pPr>
            <w:r>
              <w:rPr>
                <w:sz w:val="15"/>
              </w:rPr>
              <w:t>Optical-sensor-guided N management</w:t>
            </w:r>
          </w:p>
        </w:tc>
        <w:tc>
          <w:tcPr>
            <w:tcW w:w="1800" w:type="dxa"/>
            <w:tcMar>
              <w:top w:w="75" w:type="dxa"/>
              <w:left w:w="70" w:type="dxa"/>
              <w:bottom w:w="75" w:type="dxa"/>
              <w:right w:w="70" w:type="dxa"/>
            </w:tcMar>
            <w:vAlign w:val="center"/>
          </w:tcPr>
          <w:p w14:paraId="4423F4E8" w14:textId="77777777" w:rsidR="008C5708" w:rsidRDefault="00000000">
            <w:pPr>
              <w:spacing w:after="0"/>
            </w:pPr>
            <w:r>
              <w:rPr>
                <w:sz w:val="15"/>
              </w:rPr>
              <w:t>Yield comparable with a 120 kg N ha-1 blanket rate, with higher recovery and agronomic N efficiencies</w:t>
            </w:r>
          </w:p>
        </w:tc>
        <w:tc>
          <w:tcPr>
            <w:tcW w:w="2088" w:type="dxa"/>
            <w:tcMar>
              <w:top w:w="75" w:type="dxa"/>
              <w:left w:w="70" w:type="dxa"/>
              <w:bottom w:w="75" w:type="dxa"/>
              <w:right w:w="70" w:type="dxa"/>
            </w:tcMar>
            <w:vAlign w:val="center"/>
          </w:tcPr>
          <w:p w14:paraId="32773CF4" w14:textId="77777777" w:rsidR="008C5708" w:rsidRDefault="00000000">
            <w:pPr>
              <w:spacing w:after="0"/>
            </w:pPr>
            <w:r>
              <w:rPr>
                <w:sz w:val="15"/>
              </w:rPr>
              <w:t>Supports input-efficiency gains even when yield response is small</w:t>
            </w:r>
          </w:p>
        </w:tc>
        <w:tc>
          <w:tcPr>
            <w:tcW w:w="1440" w:type="dxa"/>
            <w:tcMar>
              <w:top w:w="75" w:type="dxa"/>
              <w:left w:w="70" w:type="dxa"/>
              <w:bottom w:w="75" w:type="dxa"/>
              <w:right w:w="70" w:type="dxa"/>
            </w:tcMar>
            <w:vAlign w:val="center"/>
          </w:tcPr>
          <w:p w14:paraId="236A19DC" w14:textId="77777777" w:rsidR="008C5708" w:rsidRDefault="00000000">
            <w:pPr>
              <w:spacing w:after="0"/>
              <w:jc w:val="left"/>
            </w:pPr>
            <w:r>
              <w:rPr>
                <w:sz w:val="15"/>
              </w:rPr>
              <w:t>Singh et al. (2017)</w:t>
            </w:r>
          </w:p>
        </w:tc>
      </w:tr>
      <w:tr w:rsidR="008C5708" w14:paraId="4CF2E902" w14:textId="77777777">
        <w:trPr>
          <w:cantSplit/>
          <w:jc w:val="center"/>
        </w:trPr>
        <w:tc>
          <w:tcPr>
            <w:tcW w:w="1512" w:type="dxa"/>
            <w:tcMar>
              <w:top w:w="75" w:type="dxa"/>
              <w:left w:w="70" w:type="dxa"/>
              <w:bottom w:w="75" w:type="dxa"/>
              <w:right w:w="70" w:type="dxa"/>
            </w:tcMar>
            <w:vAlign w:val="center"/>
          </w:tcPr>
          <w:p w14:paraId="0E252038" w14:textId="77777777" w:rsidR="008C5708" w:rsidRDefault="00000000">
            <w:pPr>
              <w:spacing w:after="0"/>
            </w:pPr>
            <w:r>
              <w:rPr>
                <w:sz w:val="15"/>
              </w:rPr>
              <w:t>Wheat varieties, India</w:t>
            </w:r>
          </w:p>
        </w:tc>
        <w:tc>
          <w:tcPr>
            <w:tcW w:w="1296" w:type="dxa"/>
            <w:tcMar>
              <w:top w:w="75" w:type="dxa"/>
              <w:left w:w="70" w:type="dxa"/>
              <w:bottom w:w="75" w:type="dxa"/>
              <w:right w:w="70" w:type="dxa"/>
            </w:tcMar>
            <w:vAlign w:val="center"/>
          </w:tcPr>
          <w:p w14:paraId="4151B68C" w14:textId="77777777" w:rsidR="008C5708" w:rsidRDefault="00000000">
            <w:pPr>
              <w:spacing w:after="0"/>
            </w:pPr>
            <w:r>
              <w:rPr>
                <w:sz w:val="15"/>
              </w:rPr>
              <w:t>Two-season field experiment</w:t>
            </w:r>
          </w:p>
        </w:tc>
        <w:tc>
          <w:tcPr>
            <w:tcW w:w="1656" w:type="dxa"/>
            <w:tcMar>
              <w:top w:w="75" w:type="dxa"/>
              <w:left w:w="70" w:type="dxa"/>
              <w:bottom w:w="75" w:type="dxa"/>
              <w:right w:w="70" w:type="dxa"/>
            </w:tcMar>
            <w:vAlign w:val="center"/>
          </w:tcPr>
          <w:p w14:paraId="76D4E728" w14:textId="77777777" w:rsidR="008C5708" w:rsidRDefault="00000000">
            <w:pPr>
              <w:spacing w:after="0"/>
            </w:pPr>
            <w:r>
              <w:rPr>
                <w:sz w:val="15"/>
              </w:rPr>
              <w:t>LCC/GreenSeeker and alternative N schedules</w:t>
            </w:r>
          </w:p>
        </w:tc>
        <w:tc>
          <w:tcPr>
            <w:tcW w:w="1800" w:type="dxa"/>
            <w:tcMar>
              <w:top w:w="75" w:type="dxa"/>
              <w:left w:w="70" w:type="dxa"/>
              <w:bottom w:w="75" w:type="dxa"/>
              <w:right w:w="70" w:type="dxa"/>
            </w:tcMar>
            <w:vAlign w:val="center"/>
          </w:tcPr>
          <w:p w14:paraId="60B4E29D" w14:textId="77777777" w:rsidR="008C5708" w:rsidRDefault="00000000">
            <w:pPr>
              <w:spacing w:after="0"/>
            </w:pPr>
            <w:r>
              <w:rPr>
                <w:sz w:val="15"/>
              </w:rPr>
              <w:t>Sensor-based treatments improved some efficiency measures, while a blanket 150 kg N ha-1 treatment retained advantages for selected yield or recovery outcomes</w:t>
            </w:r>
          </w:p>
        </w:tc>
        <w:tc>
          <w:tcPr>
            <w:tcW w:w="2088" w:type="dxa"/>
            <w:tcMar>
              <w:top w:w="75" w:type="dxa"/>
              <w:left w:w="70" w:type="dxa"/>
              <w:bottom w:w="75" w:type="dxa"/>
              <w:right w:w="70" w:type="dxa"/>
            </w:tcMar>
            <w:vAlign w:val="center"/>
          </w:tcPr>
          <w:p w14:paraId="16668F42" w14:textId="77777777" w:rsidR="008C5708" w:rsidRDefault="00000000">
            <w:pPr>
              <w:spacing w:after="0"/>
            </w:pPr>
            <w:r>
              <w:rPr>
                <w:sz w:val="15"/>
              </w:rPr>
              <w:t>Useful counter-evidence against assuming sensors dominate every conventional rate</w:t>
            </w:r>
          </w:p>
        </w:tc>
        <w:tc>
          <w:tcPr>
            <w:tcW w:w="1440" w:type="dxa"/>
            <w:tcMar>
              <w:top w:w="75" w:type="dxa"/>
              <w:left w:w="70" w:type="dxa"/>
              <w:bottom w:w="75" w:type="dxa"/>
              <w:right w:w="70" w:type="dxa"/>
            </w:tcMar>
            <w:vAlign w:val="center"/>
          </w:tcPr>
          <w:p w14:paraId="779291DE" w14:textId="77777777" w:rsidR="008C5708" w:rsidRDefault="00000000">
            <w:pPr>
              <w:spacing w:after="0"/>
              <w:jc w:val="left"/>
            </w:pPr>
            <w:r>
              <w:rPr>
                <w:sz w:val="15"/>
              </w:rPr>
              <w:t>Tyagi et al. (2020)</w:t>
            </w:r>
          </w:p>
        </w:tc>
      </w:tr>
      <w:tr w:rsidR="008C5708" w14:paraId="5EA7A5B8" w14:textId="77777777">
        <w:trPr>
          <w:cantSplit/>
          <w:jc w:val="center"/>
        </w:trPr>
        <w:tc>
          <w:tcPr>
            <w:tcW w:w="1512" w:type="dxa"/>
            <w:tcMar>
              <w:top w:w="75" w:type="dxa"/>
              <w:left w:w="70" w:type="dxa"/>
              <w:bottom w:w="75" w:type="dxa"/>
              <w:right w:w="70" w:type="dxa"/>
            </w:tcMar>
            <w:vAlign w:val="center"/>
          </w:tcPr>
          <w:p w14:paraId="1DE1D934" w14:textId="77777777" w:rsidR="008C5708" w:rsidRDefault="00000000">
            <w:pPr>
              <w:spacing w:after="0"/>
            </w:pPr>
            <w:r>
              <w:rPr>
                <w:sz w:val="15"/>
              </w:rPr>
              <w:t>Rice, Tripura</w:t>
            </w:r>
          </w:p>
        </w:tc>
        <w:tc>
          <w:tcPr>
            <w:tcW w:w="1296" w:type="dxa"/>
            <w:tcMar>
              <w:top w:w="75" w:type="dxa"/>
              <w:left w:w="70" w:type="dxa"/>
              <w:bottom w:w="75" w:type="dxa"/>
              <w:right w:w="70" w:type="dxa"/>
            </w:tcMar>
            <w:vAlign w:val="center"/>
          </w:tcPr>
          <w:p w14:paraId="7C5673CF" w14:textId="77777777" w:rsidR="008C5708" w:rsidRDefault="00000000">
            <w:pPr>
              <w:spacing w:after="0"/>
            </w:pPr>
            <w:r>
              <w:rPr>
                <w:sz w:val="15"/>
              </w:rPr>
              <w:t>Farmer-participatory field evaluation</w:t>
            </w:r>
          </w:p>
        </w:tc>
        <w:tc>
          <w:tcPr>
            <w:tcW w:w="1656" w:type="dxa"/>
            <w:tcMar>
              <w:top w:w="75" w:type="dxa"/>
              <w:left w:w="70" w:type="dxa"/>
              <w:bottom w:w="75" w:type="dxa"/>
              <w:right w:w="70" w:type="dxa"/>
            </w:tcMar>
            <w:vAlign w:val="center"/>
          </w:tcPr>
          <w:p w14:paraId="1BA5B6D3" w14:textId="77777777" w:rsidR="008C5708" w:rsidRDefault="00000000">
            <w:pPr>
              <w:spacing w:after="0"/>
            </w:pPr>
            <w:r>
              <w:rPr>
                <w:sz w:val="15"/>
              </w:rPr>
              <w:t>Alternate wetting and drying plus LCC-guided N</w:t>
            </w:r>
          </w:p>
        </w:tc>
        <w:tc>
          <w:tcPr>
            <w:tcW w:w="1800" w:type="dxa"/>
            <w:tcMar>
              <w:top w:w="75" w:type="dxa"/>
              <w:left w:w="70" w:type="dxa"/>
              <w:bottom w:w="75" w:type="dxa"/>
              <w:right w:w="70" w:type="dxa"/>
            </w:tcMar>
            <w:vAlign w:val="center"/>
          </w:tcPr>
          <w:p w14:paraId="3F638269" w14:textId="77777777" w:rsidR="008C5708" w:rsidRDefault="00000000">
            <w:pPr>
              <w:spacing w:after="0"/>
            </w:pPr>
            <w:r>
              <w:rPr>
                <w:sz w:val="15"/>
              </w:rPr>
              <w:t>Approximately 30% irrigation-water saving was reported with alternate wetting and drying, with crop-responsive N scheduling</w:t>
            </w:r>
          </w:p>
        </w:tc>
        <w:tc>
          <w:tcPr>
            <w:tcW w:w="2088" w:type="dxa"/>
            <w:tcMar>
              <w:top w:w="75" w:type="dxa"/>
              <w:left w:w="70" w:type="dxa"/>
              <w:bottom w:w="75" w:type="dxa"/>
              <w:right w:w="70" w:type="dxa"/>
            </w:tcMar>
            <w:vAlign w:val="center"/>
          </w:tcPr>
          <w:p w14:paraId="678ED41A" w14:textId="77777777" w:rsidR="008C5708" w:rsidRDefault="00000000">
            <w:pPr>
              <w:spacing w:after="0"/>
            </w:pPr>
            <w:r>
              <w:rPr>
                <w:sz w:val="15"/>
              </w:rPr>
              <w:t>Shows value of coordinating water and nutrient precision; requires control over irrigation timing</w:t>
            </w:r>
          </w:p>
        </w:tc>
        <w:tc>
          <w:tcPr>
            <w:tcW w:w="1440" w:type="dxa"/>
            <w:tcMar>
              <w:top w:w="75" w:type="dxa"/>
              <w:left w:w="70" w:type="dxa"/>
              <w:bottom w:w="75" w:type="dxa"/>
              <w:right w:w="70" w:type="dxa"/>
            </w:tcMar>
            <w:vAlign w:val="center"/>
          </w:tcPr>
          <w:p w14:paraId="6D6BE11A" w14:textId="77777777" w:rsidR="008C5708" w:rsidRDefault="00000000">
            <w:pPr>
              <w:spacing w:after="0"/>
              <w:jc w:val="left"/>
            </w:pPr>
            <w:r>
              <w:rPr>
                <w:sz w:val="15"/>
              </w:rPr>
              <w:t>Singh &amp; Chakraborti (2019)</w:t>
            </w:r>
          </w:p>
        </w:tc>
      </w:tr>
      <w:tr w:rsidR="008C5708" w14:paraId="476470DF" w14:textId="77777777">
        <w:trPr>
          <w:cantSplit/>
          <w:jc w:val="center"/>
        </w:trPr>
        <w:tc>
          <w:tcPr>
            <w:tcW w:w="1512" w:type="dxa"/>
            <w:tcMar>
              <w:top w:w="75" w:type="dxa"/>
              <w:left w:w="70" w:type="dxa"/>
              <w:bottom w:w="75" w:type="dxa"/>
              <w:right w:w="70" w:type="dxa"/>
            </w:tcMar>
            <w:vAlign w:val="center"/>
          </w:tcPr>
          <w:p w14:paraId="608D66AC" w14:textId="77777777" w:rsidR="008C5708" w:rsidRDefault="00000000">
            <w:pPr>
              <w:spacing w:after="0"/>
            </w:pPr>
            <w:r>
              <w:rPr>
                <w:sz w:val="15"/>
              </w:rPr>
              <w:lastRenderedPageBreak/>
              <w:t>Spring sunflower, Punjab</w:t>
            </w:r>
          </w:p>
        </w:tc>
        <w:tc>
          <w:tcPr>
            <w:tcW w:w="1296" w:type="dxa"/>
            <w:tcMar>
              <w:top w:w="75" w:type="dxa"/>
              <w:left w:w="70" w:type="dxa"/>
              <w:bottom w:w="75" w:type="dxa"/>
              <w:right w:w="70" w:type="dxa"/>
            </w:tcMar>
            <w:vAlign w:val="center"/>
          </w:tcPr>
          <w:p w14:paraId="2BA8C4BB" w14:textId="77777777" w:rsidR="008C5708" w:rsidRDefault="00000000">
            <w:pPr>
              <w:spacing w:after="0"/>
            </w:pPr>
            <w:r>
              <w:rPr>
                <w:sz w:val="15"/>
              </w:rPr>
              <w:t>Field experiment</w:t>
            </w:r>
          </w:p>
        </w:tc>
        <w:tc>
          <w:tcPr>
            <w:tcW w:w="1656" w:type="dxa"/>
            <w:tcMar>
              <w:top w:w="75" w:type="dxa"/>
              <w:left w:w="70" w:type="dxa"/>
              <w:bottom w:w="75" w:type="dxa"/>
              <w:right w:w="70" w:type="dxa"/>
            </w:tcMar>
            <w:vAlign w:val="center"/>
          </w:tcPr>
          <w:p w14:paraId="048FF129" w14:textId="77777777" w:rsidR="008C5708" w:rsidRDefault="00000000">
            <w:pPr>
              <w:spacing w:after="0"/>
            </w:pPr>
            <w:r>
              <w:rPr>
                <w:sz w:val="15"/>
              </w:rPr>
              <w:t>Drip irrigation and fertigation</w:t>
            </w:r>
          </w:p>
        </w:tc>
        <w:tc>
          <w:tcPr>
            <w:tcW w:w="1800" w:type="dxa"/>
            <w:tcMar>
              <w:top w:w="75" w:type="dxa"/>
              <w:left w:w="70" w:type="dxa"/>
              <w:bottom w:w="75" w:type="dxa"/>
              <w:right w:w="70" w:type="dxa"/>
            </w:tcMar>
            <w:vAlign w:val="center"/>
          </w:tcPr>
          <w:p w14:paraId="2123605A" w14:textId="77777777" w:rsidR="008C5708" w:rsidRDefault="00000000">
            <w:pPr>
              <w:spacing w:after="0"/>
            </w:pPr>
            <w:r>
              <w:rPr>
                <w:sz w:val="15"/>
              </w:rPr>
              <w:t>Drip-based management improved seed yield, economics and water/energy productivity; irrigation-water saving of roughly one-third was reported under an efficient treatment</w:t>
            </w:r>
          </w:p>
        </w:tc>
        <w:tc>
          <w:tcPr>
            <w:tcW w:w="2088" w:type="dxa"/>
            <w:tcMar>
              <w:top w:w="75" w:type="dxa"/>
              <w:left w:w="70" w:type="dxa"/>
              <w:bottom w:w="75" w:type="dxa"/>
              <w:right w:w="70" w:type="dxa"/>
            </w:tcMar>
            <w:vAlign w:val="center"/>
          </w:tcPr>
          <w:p w14:paraId="653427D9" w14:textId="77777777" w:rsidR="008C5708" w:rsidRDefault="00000000">
            <w:pPr>
              <w:spacing w:after="0"/>
            </w:pPr>
            <w:r>
              <w:rPr>
                <w:sz w:val="15"/>
              </w:rPr>
              <w:t>Promising where crop value and irrigation control justify fixed cost</w:t>
            </w:r>
          </w:p>
        </w:tc>
        <w:tc>
          <w:tcPr>
            <w:tcW w:w="1440" w:type="dxa"/>
            <w:tcMar>
              <w:top w:w="75" w:type="dxa"/>
              <w:left w:w="70" w:type="dxa"/>
              <w:bottom w:w="75" w:type="dxa"/>
              <w:right w:w="70" w:type="dxa"/>
            </w:tcMar>
            <w:vAlign w:val="center"/>
          </w:tcPr>
          <w:p w14:paraId="1CE990CB" w14:textId="77777777" w:rsidR="008C5708" w:rsidRDefault="00000000">
            <w:pPr>
              <w:spacing w:after="0"/>
              <w:jc w:val="left"/>
            </w:pPr>
            <w:r>
              <w:rPr>
                <w:sz w:val="15"/>
              </w:rPr>
              <w:t>Sinha et al. (2017)</w:t>
            </w:r>
          </w:p>
        </w:tc>
      </w:tr>
      <w:tr w:rsidR="008C5708" w14:paraId="6AF997C2" w14:textId="77777777">
        <w:trPr>
          <w:cantSplit/>
          <w:jc w:val="center"/>
        </w:trPr>
        <w:tc>
          <w:tcPr>
            <w:tcW w:w="1512" w:type="dxa"/>
            <w:tcMar>
              <w:top w:w="75" w:type="dxa"/>
              <w:left w:w="70" w:type="dxa"/>
              <w:bottom w:w="75" w:type="dxa"/>
              <w:right w:w="70" w:type="dxa"/>
            </w:tcMar>
            <w:vAlign w:val="center"/>
          </w:tcPr>
          <w:p w14:paraId="734AEC88" w14:textId="77777777" w:rsidR="008C5708" w:rsidRDefault="00000000">
            <w:pPr>
              <w:spacing w:after="0"/>
            </w:pPr>
            <w:r>
              <w:rPr>
                <w:sz w:val="15"/>
              </w:rPr>
              <w:t>Direct-seeded rice, Tamil Nadu</w:t>
            </w:r>
          </w:p>
        </w:tc>
        <w:tc>
          <w:tcPr>
            <w:tcW w:w="1296" w:type="dxa"/>
            <w:tcMar>
              <w:top w:w="75" w:type="dxa"/>
              <w:left w:w="70" w:type="dxa"/>
              <w:bottom w:w="75" w:type="dxa"/>
              <w:right w:w="70" w:type="dxa"/>
            </w:tcMar>
            <w:vAlign w:val="center"/>
          </w:tcPr>
          <w:p w14:paraId="1C610F3A" w14:textId="77777777" w:rsidR="008C5708" w:rsidRDefault="00000000">
            <w:pPr>
              <w:spacing w:after="0"/>
            </w:pPr>
            <w:r>
              <w:rPr>
                <w:sz w:val="15"/>
              </w:rPr>
              <w:t>Two-season field experiment</w:t>
            </w:r>
          </w:p>
        </w:tc>
        <w:tc>
          <w:tcPr>
            <w:tcW w:w="1656" w:type="dxa"/>
            <w:tcMar>
              <w:top w:w="75" w:type="dxa"/>
              <w:left w:w="70" w:type="dxa"/>
              <w:bottom w:w="75" w:type="dxa"/>
              <w:right w:w="70" w:type="dxa"/>
            </w:tcMar>
            <w:vAlign w:val="center"/>
          </w:tcPr>
          <w:p w14:paraId="5291D440" w14:textId="77777777" w:rsidR="008C5708" w:rsidRDefault="00000000">
            <w:pPr>
              <w:spacing w:after="0"/>
            </w:pPr>
            <w:r>
              <w:rPr>
                <w:sz w:val="15"/>
              </w:rPr>
              <w:t>Drone versus knapsack herbicide application</w:t>
            </w:r>
          </w:p>
        </w:tc>
        <w:tc>
          <w:tcPr>
            <w:tcW w:w="1800" w:type="dxa"/>
            <w:tcMar>
              <w:top w:w="75" w:type="dxa"/>
              <w:left w:w="70" w:type="dxa"/>
              <w:bottom w:w="75" w:type="dxa"/>
              <w:right w:w="70" w:type="dxa"/>
            </w:tcMar>
            <w:vAlign w:val="center"/>
          </w:tcPr>
          <w:p w14:paraId="3F886D39" w14:textId="77777777" w:rsidR="008C5708" w:rsidRDefault="00000000">
            <w:pPr>
              <w:spacing w:after="0"/>
            </w:pPr>
            <w:r>
              <w:rPr>
                <w:sz w:val="15"/>
              </w:rPr>
              <w:t>Selected drone and knapsack programmes gave comparable weed control and grain yield; reported benefit-cost ratios for drone treatment were 2.27 and 2.09 across seasons</w:t>
            </w:r>
          </w:p>
        </w:tc>
        <w:tc>
          <w:tcPr>
            <w:tcW w:w="2088" w:type="dxa"/>
            <w:tcMar>
              <w:top w:w="75" w:type="dxa"/>
              <w:left w:w="70" w:type="dxa"/>
              <w:bottom w:w="75" w:type="dxa"/>
              <w:right w:w="70" w:type="dxa"/>
            </w:tcMar>
            <w:vAlign w:val="center"/>
          </w:tcPr>
          <w:p w14:paraId="6FD2F29B" w14:textId="77777777" w:rsidR="008C5708" w:rsidRDefault="00000000">
            <w:pPr>
              <w:spacing w:after="0"/>
            </w:pPr>
            <w:r>
              <w:rPr>
                <w:sz w:val="15"/>
              </w:rPr>
              <w:t>Demonstrates operational feasibility, not universal superiority across pesticides or crops</w:t>
            </w:r>
          </w:p>
        </w:tc>
        <w:tc>
          <w:tcPr>
            <w:tcW w:w="1440" w:type="dxa"/>
            <w:tcMar>
              <w:top w:w="75" w:type="dxa"/>
              <w:left w:w="70" w:type="dxa"/>
              <w:bottom w:w="75" w:type="dxa"/>
              <w:right w:w="70" w:type="dxa"/>
            </w:tcMar>
            <w:vAlign w:val="center"/>
          </w:tcPr>
          <w:p w14:paraId="0AB2086B" w14:textId="77777777" w:rsidR="008C5708" w:rsidRDefault="00000000">
            <w:pPr>
              <w:spacing w:after="0"/>
              <w:jc w:val="left"/>
            </w:pPr>
            <w:r>
              <w:rPr>
                <w:sz w:val="15"/>
              </w:rPr>
              <w:t>Paul et al. (2023)</w:t>
            </w:r>
          </w:p>
        </w:tc>
      </w:tr>
      <w:tr w:rsidR="008C5708" w14:paraId="546E7433" w14:textId="77777777">
        <w:trPr>
          <w:cantSplit/>
          <w:jc w:val="center"/>
        </w:trPr>
        <w:tc>
          <w:tcPr>
            <w:tcW w:w="1512" w:type="dxa"/>
            <w:tcMar>
              <w:top w:w="75" w:type="dxa"/>
              <w:left w:w="70" w:type="dxa"/>
              <w:bottom w:w="75" w:type="dxa"/>
              <w:right w:w="70" w:type="dxa"/>
            </w:tcMar>
            <w:vAlign w:val="center"/>
          </w:tcPr>
          <w:p w14:paraId="043FD1BC" w14:textId="77777777" w:rsidR="008C5708" w:rsidRDefault="00000000">
            <w:pPr>
              <w:spacing w:after="0"/>
            </w:pPr>
            <w:r>
              <w:rPr>
                <w:sz w:val="15"/>
              </w:rPr>
              <w:t>Smallholder cotton, India</w:t>
            </w:r>
          </w:p>
        </w:tc>
        <w:tc>
          <w:tcPr>
            <w:tcW w:w="1296" w:type="dxa"/>
            <w:tcMar>
              <w:top w:w="75" w:type="dxa"/>
              <w:left w:w="70" w:type="dxa"/>
              <w:bottom w:w="75" w:type="dxa"/>
              <w:right w:w="70" w:type="dxa"/>
            </w:tcMar>
            <w:vAlign w:val="center"/>
          </w:tcPr>
          <w:p w14:paraId="1F5DCE46" w14:textId="77777777" w:rsidR="008C5708" w:rsidRDefault="00000000">
            <w:pPr>
              <w:spacing w:after="0"/>
            </w:pPr>
            <w:r>
              <w:rPr>
                <w:sz w:val="15"/>
              </w:rPr>
              <w:t>Randomised programme evaluation</w:t>
            </w:r>
          </w:p>
        </w:tc>
        <w:tc>
          <w:tcPr>
            <w:tcW w:w="1656" w:type="dxa"/>
            <w:tcMar>
              <w:top w:w="75" w:type="dxa"/>
              <w:left w:w="70" w:type="dxa"/>
              <w:bottom w:w="75" w:type="dxa"/>
              <w:right w:w="70" w:type="dxa"/>
            </w:tcMar>
            <w:vAlign w:val="center"/>
          </w:tcPr>
          <w:p w14:paraId="6CBF1703" w14:textId="77777777" w:rsidR="008C5708" w:rsidRDefault="00000000">
            <w:pPr>
              <w:spacing w:after="0"/>
            </w:pPr>
            <w:r>
              <w:rPr>
                <w:sz w:val="15"/>
              </w:rPr>
              <w:t>Customised soil nutrient advice; satellite-assisted outcome measurement</w:t>
            </w:r>
          </w:p>
        </w:tc>
        <w:tc>
          <w:tcPr>
            <w:tcW w:w="1800" w:type="dxa"/>
            <w:tcMar>
              <w:top w:w="75" w:type="dxa"/>
              <w:left w:w="70" w:type="dxa"/>
              <w:bottom w:w="75" w:type="dxa"/>
              <w:right w:w="70" w:type="dxa"/>
            </w:tcMar>
            <w:vAlign w:val="center"/>
          </w:tcPr>
          <w:p w14:paraId="79E2C825" w14:textId="77777777" w:rsidR="008C5708" w:rsidRDefault="00000000">
            <w:pPr>
              <w:spacing w:after="0"/>
            </w:pPr>
            <w:r>
              <w:rPr>
                <w:sz w:val="15"/>
              </w:rPr>
              <w:t>Advice changed reported fertiliser management but produced no detectable yield gain</w:t>
            </w:r>
          </w:p>
        </w:tc>
        <w:tc>
          <w:tcPr>
            <w:tcW w:w="2088" w:type="dxa"/>
            <w:tcMar>
              <w:top w:w="75" w:type="dxa"/>
              <w:left w:w="70" w:type="dxa"/>
              <w:bottom w:w="75" w:type="dxa"/>
              <w:right w:w="70" w:type="dxa"/>
            </w:tcMar>
            <w:vAlign w:val="center"/>
          </w:tcPr>
          <w:p w14:paraId="0C252F9A" w14:textId="77777777" w:rsidR="008C5708" w:rsidRDefault="00000000">
            <w:pPr>
              <w:spacing w:after="0"/>
            </w:pPr>
            <w:r>
              <w:rPr>
                <w:sz w:val="15"/>
              </w:rPr>
              <w:t>Important null result: better information or behaviour does not guarantee a binding-constraint or yield effect</w:t>
            </w:r>
          </w:p>
        </w:tc>
        <w:tc>
          <w:tcPr>
            <w:tcW w:w="1440" w:type="dxa"/>
            <w:tcMar>
              <w:top w:w="75" w:type="dxa"/>
              <w:left w:w="70" w:type="dxa"/>
              <w:bottom w:w="75" w:type="dxa"/>
              <w:right w:w="70" w:type="dxa"/>
            </w:tcMar>
            <w:vAlign w:val="center"/>
          </w:tcPr>
          <w:p w14:paraId="099FD9AD" w14:textId="77777777" w:rsidR="008C5708" w:rsidRDefault="00000000">
            <w:pPr>
              <w:spacing w:after="0"/>
              <w:jc w:val="left"/>
            </w:pPr>
            <w:r>
              <w:rPr>
                <w:sz w:val="15"/>
              </w:rPr>
              <w:t>Cole et al. (2025)</w:t>
            </w:r>
          </w:p>
        </w:tc>
      </w:tr>
      <w:tr w:rsidR="008C5708" w14:paraId="6BC9485E" w14:textId="77777777">
        <w:trPr>
          <w:cantSplit/>
          <w:jc w:val="center"/>
        </w:trPr>
        <w:tc>
          <w:tcPr>
            <w:tcW w:w="1512" w:type="dxa"/>
            <w:tcMar>
              <w:top w:w="75" w:type="dxa"/>
              <w:left w:w="70" w:type="dxa"/>
              <w:bottom w:w="75" w:type="dxa"/>
              <w:right w:w="70" w:type="dxa"/>
            </w:tcMar>
            <w:vAlign w:val="center"/>
          </w:tcPr>
          <w:p w14:paraId="2C6CA4C4" w14:textId="77777777" w:rsidR="008C5708" w:rsidRDefault="00000000">
            <w:pPr>
              <w:spacing w:after="0"/>
            </w:pPr>
            <w:r>
              <w:rPr>
                <w:sz w:val="15"/>
              </w:rPr>
              <w:t>Rice, South Asia including four Indian regions</w:t>
            </w:r>
          </w:p>
        </w:tc>
        <w:tc>
          <w:tcPr>
            <w:tcW w:w="1296" w:type="dxa"/>
            <w:tcMar>
              <w:top w:w="75" w:type="dxa"/>
              <w:left w:w="70" w:type="dxa"/>
              <w:bottom w:w="75" w:type="dxa"/>
              <w:right w:w="70" w:type="dxa"/>
            </w:tcMar>
            <w:vAlign w:val="center"/>
          </w:tcPr>
          <w:p w14:paraId="5EF9BDAE" w14:textId="77777777" w:rsidR="008C5708" w:rsidRDefault="00000000">
            <w:pPr>
              <w:spacing w:after="0"/>
            </w:pPr>
            <w:r>
              <w:rPr>
                <w:sz w:val="15"/>
              </w:rPr>
              <w:t>Large observational farmer-field dataset</w:t>
            </w:r>
          </w:p>
        </w:tc>
        <w:tc>
          <w:tcPr>
            <w:tcW w:w="1656" w:type="dxa"/>
            <w:tcMar>
              <w:top w:w="75" w:type="dxa"/>
              <w:left w:w="70" w:type="dxa"/>
              <w:bottom w:w="75" w:type="dxa"/>
              <w:right w:w="70" w:type="dxa"/>
            </w:tcMar>
            <w:vAlign w:val="center"/>
          </w:tcPr>
          <w:p w14:paraId="2DEEAB2E" w14:textId="77777777" w:rsidR="008C5708" w:rsidRDefault="00000000">
            <w:pPr>
              <w:spacing w:after="0"/>
            </w:pPr>
            <w:r>
              <w:rPr>
                <w:sz w:val="15"/>
              </w:rPr>
              <w:t>Data-driven targeting of N management</w:t>
            </w:r>
          </w:p>
        </w:tc>
        <w:tc>
          <w:tcPr>
            <w:tcW w:w="1800" w:type="dxa"/>
            <w:tcMar>
              <w:top w:w="75" w:type="dxa"/>
              <w:left w:w="70" w:type="dxa"/>
              <w:bottom w:w="75" w:type="dxa"/>
              <w:right w:w="70" w:type="dxa"/>
            </w:tcMar>
            <w:vAlign w:val="center"/>
          </w:tcPr>
          <w:p w14:paraId="3829DDED" w14:textId="77777777" w:rsidR="008C5708" w:rsidRDefault="00000000">
            <w:pPr>
              <w:spacing w:after="0"/>
            </w:pPr>
            <w:r>
              <w:rPr>
                <w:sz w:val="15"/>
              </w:rPr>
              <w:t>Substantial heterogeneity and widespread excess N use indicated scope for lower N surplus without yield loss</w:t>
            </w:r>
          </w:p>
        </w:tc>
        <w:tc>
          <w:tcPr>
            <w:tcW w:w="2088" w:type="dxa"/>
            <w:tcMar>
              <w:top w:w="75" w:type="dxa"/>
              <w:left w:w="70" w:type="dxa"/>
              <w:bottom w:w="75" w:type="dxa"/>
              <w:right w:w="70" w:type="dxa"/>
            </w:tcMar>
            <w:vAlign w:val="center"/>
          </w:tcPr>
          <w:p w14:paraId="39339B40" w14:textId="77777777" w:rsidR="008C5708" w:rsidRDefault="00000000">
            <w:pPr>
              <w:spacing w:after="0"/>
            </w:pPr>
            <w:r>
              <w:rPr>
                <w:sz w:val="15"/>
              </w:rPr>
              <w:t>Strong evidence of targeting opportunity, but not a causal trial of a specific service</w:t>
            </w:r>
          </w:p>
        </w:tc>
        <w:tc>
          <w:tcPr>
            <w:tcW w:w="1440" w:type="dxa"/>
            <w:tcMar>
              <w:top w:w="75" w:type="dxa"/>
              <w:left w:w="70" w:type="dxa"/>
              <w:bottom w:w="75" w:type="dxa"/>
              <w:right w:w="70" w:type="dxa"/>
            </w:tcMar>
            <w:vAlign w:val="center"/>
          </w:tcPr>
          <w:p w14:paraId="0BD7AB0A" w14:textId="77777777" w:rsidR="008C5708" w:rsidRDefault="00000000">
            <w:pPr>
              <w:spacing w:after="0"/>
              <w:jc w:val="left"/>
            </w:pPr>
            <w:r>
              <w:rPr>
                <w:sz w:val="15"/>
              </w:rPr>
              <w:t>Coggins et al. (2025)</w:t>
            </w:r>
          </w:p>
        </w:tc>
      </w:tr>
      <w:tr w:rsidR="008C5708" w14:paraId="3DD4BDB3" w14:textId="77777777">
        <w:trPr>
          <w:cantSplit/>
          <w:jc w:val="center"/>
        </w:trPr>
        <w:tc>
          <w:tcPr>
            <w:tcW w:w="1512" w:type="dxa"/>
            <w:tcMar>
              <w:top w:w="75" w:type="dxa"/>
              <w:left w:w="70" w:type="dxa"/>
              <w:bottom w:w="75" w:type="dxa"/>
              <w:right w:w="70" w:type="dxa"/>
            </w:tcMar>
            <w:vAlign w:val="center"/>
          </w:tcPr>
          <w:p w14:paraId="23EA1EA8" w14:textId="77777777" w:rsidR="008C5708" w:rsidRDefault="00000000">
            <w:pPr>
              <w:spacing w:after="0"/>
            </w:pPr>
            <w:r>
              <w:rPr>
                <w:sz w:val="15"/>
              </w:rPr>
              <w:t>Wheat systems in India</w:t>
            </w:r>
          </w:p>
        </w:tc>
        <w:tc>
          <w:tcPr>
            <w:tcW w:w="1296" w:type="dxa"/>
            <w:tcMar>
              <w:top w:w="75" w:type="dxa"/>
              <w:left w:w="70" w:type="dxa"/>
              <w:bottom w:w="75" w:type="dxa"/>
              <w:right w:w="70" w:type="dxa"/>
            </w:tcMar>
            <w:vAlign w:val="center"/>
          </w:tcPr>
          <w:p w14:paraId="67A6EB12" w14:textId="77777777" w:rsidR="008C5708" w:rsidRDefault="00000000">
            <w:pPr>
              <w:spacing w:after="0"/>
            </w:pPr>
            <w:r>
              <w:rPr>
                <w:sz w:val="15"/>
              </w:rPr>
              <w:t>Large-n modelling using 8,705 farmer fields and digital soil information</w:t>
            </w:r>
          </w:p>
        </w:tc>
        <w:tc>
          <w:tcPr>
            <w:tcW w:w="1656" w:type="dxa"/>
            <w:tcMar>
              <w:top w:w="75" w:type="dxa"/>
              <w:left w:w="70" w:type="dxa"/>
              <w:bottom w:w="75" w:type="dxa"/>
              <w:right w:w="70" w:type="dxa"/>
            </w:tcMar>
            <w:vAlign w:val="center"/>
          </w:tcPr>
          <w:p w14:paraId="0994FBCB" w14:textId="77777777" w:rsidR="008C5708" w:rsidRDefault="00000000">
            <w:pPr>
              <w:spacing w:after="0"/>
            </w:pPr>
            <w:r>
              <w:rPr>
                <w:sz w:val="15"/>
              </w:rPr>
              <w:t>Data-driven precision N decision logic</w:t>
            </w:r>
          </w:p>
        </w:tc>
        <w:tc>
          <w:tcPr>
            <w:tcW w:w="1800" w:type="dxa"/>
            <w:tcMar>
              <w:top w:w="75" w:type="dxa"/>
              <w:left w:w="70" w:type="dxa"/>
              <w:bottom w:w="75" w:type="dxa"/>
              <w:right w:w="70" w:type="dxa"/>
            </w:tcMar>
            <w:vAlign w:val="center"/>
          </w:tcPr>
          <w:p w14:paraId="338C3D97" w14:textId="77777777" w:rsidR="008C5708" w:rsidRDefault="00000000">
            <w:pPr>
              <w:spacing w:after="0"/>
            </w:pPr>
            <w:r>
              <w:rPr>
                <w:sz w:val="15"/>
              </w:rPr>
              <w:t>Ex-ante simulations projected about 9% lower N use and 16% lower N2O emissions without yield loss</w:t>
            </w:r>
          </w:p>
        </w:tc>
        <w:tc>
          <w:tcPr>
            <w:tcW w:w="2088" w:type="dxa"/>
            <w:tcMar>
              <w:top w:w="75" w:type="dxa"/>
              <w:left w:w="70" w:type="dxa"/>
              <w:bottom w:w="75" w:type="dxa"/>
              <w:right w:w="70" w:type="dxa"/>
            </w:tcMar>
            <w:vAlign w:val="center"/>
          </w:tcPr>
          <w:p w14:paraId="26238F17" w14:textId="77777777" w:rsidR="008C5708" w:rsidRDefault="00000000">
            <w:pPr>
              <w:spacing w:after="0"/>
            </w:pPr>
            <w:r>
              <w:rPr>
                <w:sz w:val="15"/>
              </w:rPr>
              <w:t>Promising scalable decision logic; prospective field validation is still required</w:t>
            </w:r>
          </w:p>
        </w:tc>
        <w:tc>
          <w:tcPr>
            <w:tcW w:w="1440" w:type="dxa"/>
            <w:tcMar>
              <w:top w:w="75" w:type="dxa"/>
              <w:left w:w="70" w:type="dxa"/>
              <w:bottom w:w="75" w:type="dxa"/>
              <w:right w:w="70" w:type="dxa"/>
            </w:tcMar>
            <w:vAlign w:val="center"/>
          </w:tcPr>
          <w:p w14:paraId="3D3538E7" w14:textId="77777777" w:rsidR="008C5708" w:rsidRDefault="00000000">
            <w:pPr>
              <w:spacing w:after="0"/>
              <w:jc w:val="left"/>
            </w:pPr>
            <w:r>
              <w:rPr>
                <w:sz w:val="15"/>
              </w:rPr>
              <w:t>Sherpa et al. (2025)</w:t>
            </w:r>
          </w:p>
        </w:tc>
      </w:tr>
    </w:tbl>
    <w:p w14:paraId="257E5651" w14:textId="77777777" w:rsidR="008C5708" w:rsidRDefault="00000000">
      <w:pPr>
        <w:pStyle w:val="TableNote"/>
        <w:spacing w:before="60" w:after="140"/>
      </w:pPr>
      <w:r>
        <w:rPr>
          <w:i/>
        </w:rPr>
        <w:t>Note. LCC = leaf colour chart; N = nitrogen; N2O = nitrous oxide. Numerical values are reported study outcomes and are not pooled effect estimates.</w:t>
      </w:r>
    </w:p>
    <w:p w14:paraId="7AC2368B" w14:textId="77777777" w:rsidR="008C5708" w:rsidRDefault="00000000">
      <w:pPr>
        <w:pStyle w:val="Heading1"/>
      </w:pPr>
      <w:r>
        <w:t>5. Sensing, Remote Monitoring, Artificial Intelligence and Drone-Enabled Operations</w:t>
      </w:r>
    </w:p>
    <w:p w14:paraId="07B35987" w14:textId="77777777" w:rsidR="008C5708" w:rsidRDefault="00000000">
      <w:pPr>
        <w:pStyle w:val="Heading2"/>
      </w:pPr>
      <w:r>
        <w:t>5.1 Remote sensing as an observation layer</w:t>
      </w:r>
    </w:p>
    <w:p w14:paraId="067E3A3B" w14:textId="77777777" w:rsidR="008C5708" w:rsidRDefault="00000000">
      <w:r>
        <w:t>Remote sensing has become central to the contemporary precision-farming narrative because it changes the cost and spatial scale of observation. Satellite imagery can repeatedly cover large areas, unmanned aerial vehicles can provide higher-resolution local imagery, and proximal sensors can capture canopy or soil properties at management-relevant scales. Reviews consistently identify crop vigour, stress, soil properties, weeds, water status and yield estimation as major use cases (Kuunya et al., 2026; Sishodia et al., 2020). In India, where field-level advisory services must potentially serve millions of geographically dispersed farms, scalable observation is particularly attractive.</w:t>
      </w:r>
    </w:p>
    <w:p w14:paraId="338CA707" w14:textId="77777777" w:rsidR="008C5708" w:rsidRDefault="00000000">
      <w:r>
        <w:t>The main methodological weakness is the tendency to treat classification or prediction performance as the final outcome. A model with high cross-validation accuracy may still fail when transferred to a different variety, sowing date, soil background or sensor platform. Remote-sensing signals are often non-specific: reduced vegetation index can reflect nitrogen deficiency, moisture stress, disease, stand loss or phenological difference. Agronomic action requires causal diagnosis, not only anomaly detection. Kuunya et al. (2026) emphasised continuing problems of data integration, interpretation and validation, while Sishodia et al. (2020) documented the dependence of agricultural remote sensing on spatial, spectral and temporal resolution choices.</w:t>
      </w:r>
    </w:p>
    <w:p w14:paraId="35F076DC" w14:textId="77777777" w:rsidR="008C5708" w:rsidRDefault="00000000">
      <w:r>
        <w:t xml:space="preserve">The distinction between measurement precision and treatment-effect measurement is illustrated unusually clearly by Cole et al. (2025). Their randomised evaluation of customised soil nutrient advice for smallholder cotton farmers in India found changes in self-reported fertiliser management but no measurable yield </w:t>
      </w:r>
      <w:r>
        <w:lastRenderedPageBreak/>
        <w:t>improvement. The study simultaneously tested satellite-based yield measurement and showed that common linear calibration strategies can generate biased treatment-effect estimates, motivating an instrumental-variables alternative. This result cautions against the assumption that digitally measured outcomes are automatically more valid than conventional outcomes. Precision evaluation requires validation of the measurement system itself.</w:t>
      </w:r>
    </w:p>
    <w:p w14:paraId="650C9C0E" w14:textId="77777777" w:rsidR="008C5708" w:rsidRDefault="00000000">
      <w:pPr>
        <w:pStyle w:val="Heading2"/>
      </w:pPr>
      <w:r>
        <w:t>5.2 Machine learning and decision support</w:t>
      </w:r>
    </w:p>
    <w:p w14:paraId="2FCB9F87" w14:textId="77777777" w:rsidR="008C5708" w:rsidRDefault="00000000">
      <w:r>
        <w:t>Machine learning expands the capacity to integrate nonlinear relationships among weather, soil, crop imagery and management history. Reviews of agricultural machine learning describe successful applications in yield prediction, disease detection, crop classification and decision support (Liakos et al., 2018). In precision agriculture specifically, machine-learning approaches have been used for yield prediction and crop nitrogen assessment, but performance varies with data quality, feature selection, calibration and external validation (Chlingaryan et al., 2018). The risk is not that machine learning is intrinsically unreliable; it is that high-dimensional models can fit local data more easily than they can support robust, actionable decisions in new production environments.</w:t>
      </w:r>
    </w:p>
    <w:p w14:paraId="31B3BABC" w14:textId="77777777" w:rsidR="008C5708" w:rsidRDefault="00000000">
      <w:r>
        <w:t>Soil nutrient sensing demonstrates this problem. Vullaganti et al. (2025) reviewed site-specific nutrient technologies and found no universal sensor capable of accurately predicting all soil properties. Spectroscopy and electrochemical sensing are promising, but model choice, preprocessing and soil variability materially affect performance. For India, where soil mineralogy and management histories vary sharply across regions, the implication is that national-scale deployment requires local validation frameworks rather than a single presumed universal calibration.</w:t>
      </w:r>
    </w:p>
    <w:p w14:paraId="570F9D15" w14:textId="77777777" w:rsidR="008C5708" w:rsidRDefault="00000000">
      <w:r>
        <w:t>Decision-support systems should therefore be judged by a chain of evidence. First, the input data must be valid at the field scale. Second, the model must generalise across the intended population. Third, the recommendation must be agronomically actionable. Fourth, the farmer or service provider must execute it. Fifth, the realised outcome must exceed the cost of data, advice and action. Digital agriculture research has often concentrated on the first two stages because they are easier to quantify computationally. Agribusiness research needs to shift effort towards the last three.</w:t>
      </w:r>
    </w:p>
    <w:p w14:paraId="0D09FFDB" w14:textId="77777777" w:rsidR="008C5708" w:rsidRDefault="00000000">
      <w:r>
        <w:t>The government's Digital Agriculture Mission could materially lower the cost of data integration by providing common registries, georeferenced information and decision-support infrastructure (Government of India, 2025a). The agronomic value of this infrastructure will depend on how effectively field-level data quality and model uncertainty are managed. Public infrastructure can improve discoverability and interoperability without guaranteeing that a recommendation is correct. A credible architecture should support provenance, local calibration, versioning of decision models and outcome feedback so that recommendations can be evaluated and improved rather than treated as static software products.</w:t>
      </w:r>
    </w:p>
    <w:p w14:paraId="53A92423" w14:textId="77777777" w:rsidR="008C5708" w:rsidRDefault="00000000">
      <w:pPr>
        <w:pStyle w:val="Heading2"/>
      </w:pPr>
      <w:r>
        <w:t>5.3 Drones and precision execution</w:t>
      </w:r>
    </w:p>
    <w:p w14:paraId="1ADC39AB" w14:textId="77777777" w:rsidR="008C5708" w:rsidRDefault="00000000">
      <w:r>
        <w:t>Drones occupy a different position in the decision chain because they can be both sensing platforms and execution tools. Their strongest near-term agribusiness proposition in India may be targeted service delivery rather than farm-level ownership. Drone application can reduce the time required to cover a field and reduce direct operator exposure compared with backpack spraying, but spray quality depends on flight parameters, droplet characteristics, canopy structure, weather and formulation. Precision is therefore not guaranteed by the aircraft itself.</w:t>
      </w:r>
    </w:p>
    <w:p w14:paraId="0D9D1EA1" w14:textId="77777777" w:rsidR="008C5708" w:rsidRDefault="00000000">
      <w:r>
        <w:t xml:space="preserve">Field evidence is emerging. Paul et al. (2023) compared drone and knapsack herbicide application in direct-seeded rice and reported comparable weed-control and grain-yield performance for selected herbicide programmes, with favourable benefit-cost and energy indicators for drone application in the tested setting. The </w:t>
      </w:r>
      <w:r>
        <w:lastRenderedPageBreak/>
        <w:t>study supports the feasibility of drone execution but should not be generalised to all crops, pesticides or application conditions. Its value is strongest as proof that service-based aerial application can achieve agronomically competitive outcomes under defined operational parameters.</w:t>
      </w:r>
    </w:p>
    <w:p w14:paraId="5FACC13B" w14:textId="77777777" w:rsidR="008C5708" w:rsidRDefault="00000000">
      <w:r>
        <w:t>Government support under the Sub-Mission on Agricultural Mechanization includes assistance for drone demonstrations, ownership and Custom Hiring Centres, explicitly recognising a rental-service pathway (Government of India, 2025b). That policy direction is aligned with small-farm economics because drone utilisation can be aggregated across farms. The unresolved questions are service density, seasonal scheduling, operator competence, regulatory compliance, repair capacity and whether competition is sufficient to prevent high local service prices.</w:t>
      </w:r>
    </w:p>
    <w:p w14:paraId="017DDDDD" w14:textId="77777777" w:rsidR="008C5708" w:rsidRDefault="00000000">
      <w:r>
        <w:t>Table 3 maps the sensing and automation stack to the decisions it can plausibly support. The central conclusion is that evidence maturity declines as distance increases between the measured signal and the farm outcome. Proximal sensors with validated thresholds have relatively direct decision pathways, whereas multisource predictive platforms require more layers of calibration and institutional support.</w:t>
      </w:r>
    </w:p>
    <w:p w14:paraId="54B50A33" w14:textId="77777777" w:rsidR="008C5708" w:rsidRDefault="00000000">
      <w:pPr>
        <w:pStyle w:val="TableCaption"/>
      </w:pPr>
      <w:r>
        <w:t>Table 3. Sensing, analytics and automation stack for precision-farming decisions</w:t>
      </w:r>
    </w:p>
    <w:tbl>
      <w:tblPr>
        <w:tblStyle w:val="TableGrid"/>
        <w:tblW w:w="0" w:type="auto"/>
        <w:jc w:val="center"/>
        <w:tblLayout w:type="fixed"/>
        <w:tblLook w:val="04A0" w:firstRow="1" w:lastRow="0" w:firstColumn="1" w:lastColumn="0" w:noHBand="0" w:noVBand="1"/>
      </w:tblPr>
      <w:tblGrid>
        <w:gridCol w:w="1440"/>
        <w:gridCol w:w="1512"/>
        <w:gridCol w:w="1728"/>
        <w:gridCol w:w="1584"/>
        <w:gridCol w:w="2088"/>
        <w:gridCol w:w="1440"/>
      </w:tblGrid>
      <w:tr w:rsidR="008C5708" w14:paraId="45234128" w14:textId="77777777">
        <w:trPr>
          <w:tblHeader/>
          <w:jc w:val="center"/>
        </w:trPr>
        <w:tc>
          <w:tcPr>
            <w:tcW w:w="1440" w:type="dxa"/>
            <w:shd w:val="clear" w:color="auto" w:fill="D9E2F3"/>
            <w:tcMar>
              <w:top w:w="90" w:type="dxa"/>
              <w:left w:w="80" w:type="dxa"/>
              <w:bottom w:w="90" w:type="dxa"/>
              <w:right w:w="80" w:type="dxa"/>
            </w:tcMar>
            <w:vAlign w:val="center"/>
          </w:tcPr>
          <w:p w14:paraId="40553918" w14:textId="77777777" w:rsidR="008C5708" w:rsidRDefault="00000000">
            <w:pPr>
              <w:spacing w:after="0"/>
              <w:jc w:val="center"/>
            </w:pPr>
            <w:r>
              <w:rPr>
                <w:b/>
                <w:sz w:val="16"/>
              </w:rPr>
              <w:t>Technology layer</w:t>
            </w:r>
          </w:p>
        </w:tc>
        <w:tc>
          <w:tcPr>
            <w:tcW w:w="1512" w:type="dxa"/>
            <w:shd w:val="clear" w:color="auto" w:fill="D9E2F3"/>
            <w:tcMar>
              <w:top w:w="90" w:type="dxa"/>
              <w:left w:w="80" w:type="dxa"/>
              <w:bottom w:w="90" w:type="dxa"/>
              <w:right w:w="80" w:type="dxa"/>
            </w:tcMar>
            <w:vAlign w:val="center"/>
          </w:tcPr>
          <w:p w14:paraId="207C289C" w14:textId="77777777" w:rsidR="008C5708" w:rsidRDefault="00000000">
            <w:pPr>
              <w:spacing w:after="0"/>
              <w:jc w:val="center"/>
            </w:pPr>
            <w:r>
              <w:rPr>
                <w:b/>
                <w:sz w:val="16"/>
              </w:rPr>
              <w:t>Decision supported</w:t>
            </w:r>
          </w:p>
        </w:tc>
        <w:tc>
          <w:tcPr>
            <w:tcW w:w="1728" w:type="dxa"/>
            <w:shd w:val="clear" w:color="auto" w:fill="D9E2F3"/>
            <w:tcMar>
              <w:top w:w="90" w:type="dxa"/>
              <w:left w:w="80" w:type="dxa"/>
              <w:bottom w:w="90" w:type="dxa"/>
              <w:right w:w="80" w:type="dxa"/>
            </w:tcMar>
            <w:vAlign w:val="center"/>
          </w:tcPr>
          <w:p w14:paraId="562EA8CF" w14:textId="77777777" w:rsidR="008C5708" w:rsidRDefault="00000000">
            <w:pPr>
              <w:spacing w:after="0"/>
              <w:jc w:val="center"/>
            </w:pPr>
            <w:r>
              <w:rPr>
                <w:b/>
                <w:sz w:val="16"/>
              </w:rPr>
              <w:t>Operational strength</w:t>
            </w:r>
          </w:p>
        </w:tc>
        <w:tc>
          <w:tcPr>
            <w:tcW w:w="1584" w:type="dxa"/>
            <w:shd w:val="clear" w:color="auto" w:fill="D9E2F3"/>
            <w:tcMar>
              <w:top w:w="90" w:type="dxa"/>
              <w:left w:w="80" w:type="dxa"/>
              <w:bottom w:w="90" w:type="dxa"/>
              <w:right w:w="80" w:type="dxa"/>
            </w:tcMar>
            <w:vAlign w:val="center"/>
          </w:tcPr>
          <w:p w14:paraId="570EF99F" w14:textId="77777777" w:rsidR="008C5708" w:rsidRDefault="00000000">
            <w:pPr>
              <w:spacing w:after="0"/>
              <w:jc w:val="center"/>
            </w:pPr>
            <w:r>
              <w:rPr>
                <w:b/>
                <w:sz w:val="16"/>
              </w:rPr>
              <w:t>Evidence status</w:t>
            </w:r>
          </w:p>
        </w:tc>
        <w:tc>
          <w:tcPr>
            <w:tcW w:w="2088" w:type="dxa"/>
            <w:shd w:val="clear" w:color="auto" w:fill="D9E2F3"/>
            <w:tcMar>
              <w:top w:w="90" w:type="dxa"/>
              <w:left w:w="80" w:type="dxa"/>
              <w:bottom w:w="90" w:type="dxa"/>
              <w:right w:w="80" w:type="dxa"/>
            </w:tcMar>
            <w:vAlign w:val="center"/>
          </w:tcPr>
          <w:p w14:paraId="748B1C3B" w14:textId="77777777" w:rsidR="008C5708" w:rsidRDefault="00000000">
            <w:pPr>
              <w:spacing w:after="0"/>
              <w:jc w:val="center"/>
            </w:pPr>
            <w:r>
              <w:rPr>
                <w:b/>
                <w:sz w:val="16"/>
              </w:rPr>
              <w:t>Main validation risk</w:t>
            </w:r>
          </w:p>
        </w:tc>
        <w:tc>
          <w:tcPr>
            <w:tcW w:w="1440" w:type="dxa"/>
            <w:shd w:val="clear" w:color="auto" w:fill="D9E2F3"/>
            <w:tcMar>
              <w:top w:w="90" w:type="dxa"/>
              <w:left w:w="80" w:type="dxa"/>
              <w:bottom w:w="90" w:type="dxa"/>
              <w:right w:w="80" w:type="dxa"/>
            </w:tcMar>
            <w:vAlign w:val="center"/>
          </w:tcPr>
          <w:p w14:paraId="17C6EA9D" w14:textId="77777777" w:rsidR="008C5708" w:rsidRDefault="00000000">
            <w:pPr>
              <w:spacing w:after="0"/>
              <w:jc w:val="center"/>
            </w:pPr>
            <w:r>
              <w:rPr>
                <w:b/>
                <w:sz w:val="16"/>
              </w:rPr>
              <w:t>Supporting references</w:t>
            </w:r>
          </w:p>
        </w:tc>
      </w:tr>
      <w:tr w:rsidR="008C5708" w14:paraId="5670299F" w14:textId="77777777">
        <w:trPr>
          <w:cantSplit/>
          <w:jc w:val="center"/>
        </w:trPr>
        <w:tc>
          <w:tcPr>
            <w:tcW w:w="1440" w:type="dxa"/>
            <w:tcMar>
              <w:top w:w="75" w:type="dxa"/>
              <w:left w:w="70" w:type="dxa"/>
              <w:bottom w:w="75" w:type="dxa"/>
              <w:right w:w="70" w:type="dxa"/>
            </w:tcMar>
            <w:vAlign w:val="center"/>
          </w:tcPr>
          <w:p w14:paraId="7487773E" w14:textId="77777777" w:rsidR="008C5708" w:rsidRDefault="00000000">
            <w:pPr>
              <w:spacing w:after="0"/>
            </w:pPr>
            <w:r>
              <w:rPr>
                <w:sz w:val="15"/>
              </w:rPr>
              <w:t>Proximal canopy sensors</w:t>
            </w:r>
          </w:p>
        </w:tc>
        <w:tc>
          <w:tcPr>
            <w:tcW w:w="1512" w:type="dxa"/>
            <w:tcMar>
              <w:top w:w="75" w:type="dxa"/>
              <w:left w:w="70" w:type="dxa"/>
              <w:bottom w:w="75" w:type="dxa"/>
              <w:right w:w="70" w:type="dxa"/>
            </w:tcMar>
            <w:vAlign w:val="center"/>
          </w:tcPr>
          <w:p w14:paraId="0BF66BF4" w14:textId="77777777" w:rsidR="008C5708" w:rsidRDefault="00000000">
            <w:pPr>
              <w:spacing w:after="0"/>
            </w:pPr>
            <w:r>
              <w:rPr>
                <w:sz w:val="15"/>
              </w:rPr>
              <w:t>Within-season N need</w:t>
            </w:r>
          </w:p>
        </w:tc>
        <w:tc>
          <w:tcPr>
            <w:tcW w:w="1728" w:type="dxa"/>
            <w:tcMar>
              <w:top w:w="75" w:type="dxa"/>
              <w:left w:w="70" w:type="dxa"/>
              <w:bottom w:w="75" w:type="dxa"/>
              <w:right w:w="70" w:type="dxa"/>
            </w:tcMar>
            <w:vAlign w:val="center"/>
          </w:tcPr>
          <w:p w14:paraId="07982ECF" w14:textId="77777777" w:rsidR="008C5708" w:rsidRDefault="00000000">
            <w:pPr>
              <w:spacing w:after="0"/>
            </w:pPr>
            <w:r>
              <w:rPr>
                <w:sz w:val="15"/>
              </w:rPr>
              <w:t>Immediate crop signal linked to a management event</w:t>
            </w:r>
          </w:p>
        </w:tc>
        <w:tc>
          <w:tcPr>
            <w:tcW w:w="1584" w:type="dxa"/>
            <w:tcMar>
              <w:top w:w="75" w:type="dxa"/>
              <w:left w:w="70" w:type="dxa"/>
              <w:bottom w:w="75" w:type="dxa"/>
              <w:right w:w="70" w:type="dxa"/>
            </w:tcMar>
            <w:vAlign w:val="center"/>
          </w:tcPr>
          <w:p w14:paraId="74487364" w14:textId="77777777" w:rsidR="008C5708" w:rsidRDefault="00000000">
            <w:pPr>
              <w:spacing w:after="0"/>
            </w:pPr>
            <w:r>
              <w:rPr>
                <w:sz w:val="15"/>
              </w:rPr>
              <w:t>Field-tested in Indian rice and wheat</w:t>
            </w:r>
          </w:p>
        </w:tc>
        <w:tc>
          <w:tcPr>
            <w:tcW w:w="2088" w:type="dxa"/>
            <w:tcMar>
              <w:top w:w="75" w:type="dxa"/>
              <w:left w:w="70" w:type="dxa"/>
              <w:bottom w:w="75" w:type="dxa"/>
              <w:right w:w="70" w:type="dxa"/>
            </w:tcMar>
            <w:vAlign w:val="center"/>
          </w:tcPr>
          <w:p w14:paraId="1A7FCC60" w14:textId="77777777" w:rsidR="008C5708" w:rsidRDefault="00000000">
            <w:pPr>
              <w:spacing w:after="0"/>
            </w:pPr>
            <w:r>
              <w:rPr>
                <w:sz w:val="15"/>
              </w:rPr>
              <w:t>Threshold and response-function transfer across varieties and environments</w:t>
            </w:r>
          </w:p>
        </w:tc>
        <w:tc>
          <w:tcPr>
            <w:tcW w:w="1440" w:type="dxa"/>
            <w:tcMar>
              <w:top w:w="75" w:type="dxa"/>
              <w:left w:w="70" w:type="dxa"/>
              <w:bottom w:w="75" w:type="dxa"/>
              <w:right w:w="70" w:type="dxa"/>
            </w:tcMar>
            <w:vAlign w:val="center"/>
          </w:tcPr>
          <w:p w14:paraId="33D03AE5" w14:textId="77777777" w:rsidR="008C5708" w:rsidRDefault="00000000">
            <w:pPr>
              <w:spacing w:after="0"/>
              <w:jc w:val="left"/>
            </w:pPr>
            <w:r>
              <w:rPr>
                <w:sz w:val="15"/>
              </w:rPr>
              <w:t>Ali et al. (2015); Singh et al. (2017)</w:t>
            </w:r>
          </w:p>
        </w:tc>
      </w:tr>
      <w:tr w:rsidR="008C5708" w14:paraId="6F1EB3FA" w14:textId="77777777">
        <w:trPr>
          <w:cantSplit/>
          <w:jc w:val="center"/>
        </w:trPr>
        <w:tc>
          <w:tcPr>
            <w:tcW w:w="1440" w:type="dxa"/>
            <w:tcMar>
              <w:top w:w="75" w:type="dxa"/>
              <w:left w:w="70" w:type="dxa"/>
              <w:bottom w:w="75" w:type="dxa"/>
              <w:right w:w="70" w:type="dxa"/>
            </w:tcMar>
            <w:vAlign w:val="center"/>
          </w:tcPr>
          <w:p w14:paraId="27F9AF13" w14:textId="77777777" w:rsidR="008C5708" w:rsidRDefault="00000000">
            <w:pPr>
              <w:spacing w:after="0"/>
            </w:pPr>
            <w:r>
              <w:rPr>
                <w:sz w:val="15"/>
              </w:rPr>
              <w:t>Satellite remote sensing</w:t>
            </w:r>
          </w:p>
        </w:tc>
        <w:tc>
          <w:tcPr>
            <w:tcW w:w="1512" w:type="dxa"/>
            <w:tcMar>
              <w:top w:w="75" w:type="dxa"/>
              <w:left w:w="70" w:type="dxa"/>
              <w:bottom w:w="75" w:type="dxa"/>
              <w:right w:w="70" w:type="dxa"/>
            </w:tcMar>
            <w:vAlign w:val="center"/>
          </w:tcPr>
          <w:p w14:paraId="30BE3E79" w14:textId="77777777" w:rsidR="008C5708" w:rsidRDefault="00000000">
            <w:pPr>
              <w:spacing w:after="0"/>
            </w:pPr>
            <w:r>
              <w:rPr>
                <w:sz w:val="15"/>
              </w:rPr>
              <w:t>Crop condition, spatial targeting and regional monitoring</w:t>
            </w:r>
          </w:p>
        </w:tc>
        <w:tc>
          <w:tcPr>
            <w:tcW w:w="1728" w:type="dxa"/>
            <w:tcMar>
              <w:top w:w="75" w:type="dxa"/>
              <w:left w:w="70" w:type="dxa"/>
              <w:bottom w:w="75" w:type="dxa"/>
              <w:right w:w="70" w:type="dxa"/>
            </w:tcMar>
            <w:vAlign w:val="center"/>
          </w:tcPr>
          <w:p w14:paraId="0D6F883E" w14:textId="77777777" w:rsidR="008C5708" w:rsidRDefault="00000000">
            <w:pPr>
              <w:spacing w:after="0"/>
            </w:pPr>
            <w:r>
              <w:rPr>
                <w:sz w:val="15"/>
              </w:rPr>
              <w:t>Wide-area repeat coverage at relatively low marginal observation cost</w:t>
            </w:r>
          </w:p>
        </w:tc>
        <w:tc>
          <w:tcPr>
            <w:tcW w:w="1584" w:type="dxa"/>
            <w:tcMar>
              <w:top w:w="75" w:type="dxa"/>
              <w:left w:w="70" w:type="dxa"/>
              <w:bottom w:w="75" w:type="dxa"/>
              <w:right w:w="70" w:type="dxa"/>
            </w:tcMar>
            <w:vAlign w:val="center"/>
          </w:tcPr>
          <w:p w14:paraId="0ACA75AA" w14:textId="77777777" w:rsidR="008C5708" w:rsidRDefault="00000000">
            <w:pPr>
              <w:spacing w:after="0"/>
            </w:pPr>
            <w:r>
              <w:rPr>
                <w:sz w:val="15"/>
              </w:rPr>
              <w:t>Strong observational capability; causal decision impact less established</w:t>
            </w:r>
          </w:p>
        </w:tc>
        <w:tc>
          <w:tcPr>
            <w:tcW w:w="2088" w:type="dxa"/>
            <w:tcMar>
              <w:top w:w="75" w:type="dxa"/>
              <w:left w:w="70" w:type="dxa"/>
              <w:bottom w:w="75" w:type="dxa"/>
              <w:right w:w="70" w:type="dxa"/>
            </w:tcMar>
            <w:vAlign w:val="center"/>
          </w:tcPr>
          <w:p w14:paraId="1410A4A5" w14:textId="77777777" w:rsidR="008C5708" w:rsidRDefault="00000000">
            <w:pPr>
              <w:spacing w:after="0"/>
            </w:pPr>
            <w:r>
              <w:rPr>
                <w:sz w:val="15"/>
              </w:rPr>
              <w:t>Spatial resolution, cloud cover, non-specific stress signals and biased calibration</w:t>
            </w:r>
          </w:p>
        </w:tc>
        <w:tc>
          <w:tcPr>
            <w:tcW w:w="1440" w:type="dxa"/>
            <w:tcMar>
              <w:top w:w="75" w:type="dxa"/>
              <w:left w:w="70" w:type="dxa"/>
              <w:bottom w:w="75" w:type="dxa"/>
              <w:right w:w="70" w:type="dxa"/>
            </w:tcMar>
            <w:vAlign w:val="center"/>
          </w:tcPr>
          <w:p w14:paraId="5D891605" w14:textId="77777777" w:rsidR="008C5708" w:rsidRDefault="00000000">
            <w:pPr>
              <w:spacing w:after="0"/>
              <w:jc w:val="left"/>
            </w:pPr>
            <w:r>
              <w:rPr>
                <w:sz w:val="15"/>
              </w:rPr>
              <w:t>Cole et al. (2025); Sishodia et al. (2020)</w:t>
            </w:r>
          </w:p>
        </w:tc>
      </w:tr>
      <w:tr w:rsidR="008C5708" w14:paraId="00032B45" w14:textId="77777777">
        <w:trPr>
          <w:cantSplit/>
          <w:jc w:val="center"/>
        </w:trPr>
        <w:tc>
          <w:tcPr>
            <w:tcW w:w="1440" w:type="dxa"/>
            <w:tcMar>
              <w:top w:w="75" w:type="dxa"/>
              <w:left w:w="70" w:type="dxa"/>
              <w:bottom w:w="75" w:type="dxa"/>
              <w:right w:w="70" w:type="dxa"/>
            </w:tcMar>
            <w:vAlign w:val="center"/>
          </w:tcPr>
          <w:p w14:paraId="07EB68D2" w14:textId="77777777" w:rsidR="008C5708" w:rsidRDefault="00000000">
            <w:pPr>
              <w:spacing w:after="0"/>
            </w:pPr>
            <w:r>
              <w:rPr>
                <w:sz w:val="15"/>
              </w:rPr>
              <w:t>UAV imaging</w:t>
            </w:r>
          </w:p>
        </w:tc>
        <w:tc>
          <w:tcPr>
            <w:tcW w:w="1512" w:type="dxa"/>
            <w:tcMar>
              <w:top w:w="75" w:type="dxa"/>
              <w:left w:w="70" w:type="dxa"/>
              <w:bottom w:w="75" w:type="dxa"/>
              <w:right w:w="70" w:type="dxa"/>
            </w:tcMar>
            <w:vAlign w:val="center"/>
          </w:tcPr>
          <w:p w14:paraId="6D210273" w14:textId="77777777" w:rsidR="008C5708" w:rsidRDefault="00000000">
            <w:pPr>
              <w:spacing w:after="0"/>
            </w:pPr>
            <w:r>
              <w:rPr>
                <w:sz w:val="15"/>
              </w:rPr>
              <w:t>High-resolution scouting and local mapping</w:t>
            </w:r>
          </w:p>
        </w:tc>
        <w:tc>
          <w:tcPr>
            <w:tcW w:w="1728" w:type="dxa"/>
            <w:tcMar>
              <w:top w:w="75" w:type="dxa"/>
              <w:left w:w="70" w:type="dxa"/>
              <w:bottom w:w="75" w:type="dxa"/>
              <w:right w:w="70" w:type="dxa"/>
            </w:tcMar>
            <w:vAlign w:val="center"/>
          </w:tcPr>
          <w:p w14:paraId="2667DE87" w14:textId="77777777" w:rsidR="008C5708" w:rsidRDefault="00000000">
            <w:pPr>
              <w:spacing w:after="0"/>
            </w:pPr>
            <w:r>
              <w:rPr>
                <w:sz w:val="15"/>
              </w:rPr>
              <w:t>Flexible timing and finer spatial detail than many satellites</w:t>
            </w:r>
          </w:p>
        </w:tc>
        <w:tc>
          <w:tcPr>
            <w:tcW w:w="1584" w:type="dxa"/>
            <w:tcMar>
              <w:top w:w="75" w:type="dxa"/>
              <w:left w:w="70" w:type="dxa"/>
              <w:bottom w:w="75" w:type="dxa"/>
              <w:right w:w="70" w:type="dxa"/>
            </w:tcMar>
            <w:vAlign w:val="center"/>
          </w:tcPr>
          <w:p w14:paraId="79D0B87B" w14:textId="77777777" w:rsidR="008C5708" w:rsidRDefault="00000000">
            <w:pPr>
              <w:spacing w:after="0"/>
            </w:pPr>
            <w:r>
              <w:rPr>
                <w:sz w:val="15"/>
              </w:rPr>
              <w:t>Rapidly developing, with growing technical literature</w:t>
            </w:r>
          </w:p>
        </w:tc>
        <w:tc>
          <w:tcPr>
            <w:tcW w:w="2088" w:type="dxa"/>
            <w:tcMar>
              <w:top w:w="75" w:type="dxa"/>
              <w:left w:w="70" w:type="dxa"/>
              <w:bottom w:w="75" w:type="dxa"/>
              <w:right w:w="70" w:type="dxa"/>
            </w:tcMar>
            <w:vAlign w:val="center"/>
          </w:tcPr>
          <w:p w14:paraId="574245E9" w14:textId="77777777" w:rsidR="008C5708" w:rsidRDefault="00000000">
            <w:pPr>
              <w:spacing w:after="0"/>
            </w:pPr>
            <w:r>
              <w:rPr>
                <w:sz w:val="15"/>
              </w:rPr>
              <w:t>Flight standardisation, image calibration and economic utilisation</w:t>
            </w:r>
          </w:p>
        </w:tc>
        <w:tc>
          <w:tcPr>
            <w:tcW w:w="1440" w:type="dxa"/>
            <w:tcMar>
              <w:top w:w="75" w:type="dxa"/>
              <w:left w:w="70" w:type="dxa"/>
              <w:bottom w:w="75" w:type="dxa"/>
              <w:right w:w="70" w:type="dxa"/>
            </w:tcMar>
            <w:vAlign w:val="center"/>
          </w:tcPr>
          <w:p w14:paraId="2480E5F8" w14:textId="77777777" w:rsidR="008C5708" w:rsidRDefault="00000000">
            <w:pPr>
              <w:spacing w:after="0"/>
              <w:jc w:val="left"/>
            </w:pPr>
            <w:r>
              <w:rPr>
                <w:sz w:val="15"/>
              </w:rPr>
              <w:t>Kuunya et al. (2026); Sishodia et al. (2020)</w:t>
            </w:r>
          </w:p>
        </w:tc>
      </w:tr>
      <w:tr w:rsidR="008C5708" w14:paraId="4BDAAAB5" w14:textId="77777777">
        <w:trPr>
          <w:cantSplit/>
          <w:jc w:val="center"/>
        </w:trPr>
        <w:tc>
          <w:tcPr>
            <w:tcW w:w="1440" w:type="dxa"/>
            <w:tcMar>
              <w:top w:w="75" w:type="dxa"/>
              <w:left w:w="70" w:type="dxa"/>
              <w:bottom w:w="75" w:type="dxa"/>
              <w:right w:w="70" w:type="dxa"/>
            </w:tcMar>
            <w:vAlign w:val="center"/>
          </w:tcPr>
          <w:p w14:paraId="149FB72F" w14:textId="77777777" w:rsidR="008C5708" w:rsidRDefault="00000000">
            <w:pPr>
              <w:spacing w:after="0"/>
            </w:pPr>
            <w:r>
              <w:rPr>
                <w:sz w:val="15"/>
              </w:rPr>
              <w:t>Machine-learning models</w:t>
            </w:r>
          </w:p>
        </w:tc>
        <w:tc>
          <w:tcPr>
            <w:tcW w:w="1512" w:type="dxa"/>
            <w:tcMar>
              <w:top w:w="75" w:type="dxa"/>
              <w:left w:w="70" w:type="dxa"/>
              <w:bottom w:w="75" w:type="dxa"/>
              <w:right w:w="70" w:type="dxa"/>
            </w:tcMar>
            <w:vAlign w:val="center"/>
          </w:tcPr>
          <w:p w14:paraId="4E4333A2" w14:textId="77777777" w:rsidR="008C5708" w:rsidRDefault="00000000">
            <w:pPr>
              <w:spacing w:after="0"/>
            </w:pPr>
            <w:r>
              <w:rPr>
                <w:sz w:val="15"/>
              </w:rPr>
              <w:t>Yield, nutrient status and risk prediction</w:t>
            </w:r>
          </w:p>
        </w:tc>
        <w:tc>
          <w:tcPr>
            <w:tcW w:w="1728" w:type="dxa"/>
            <w:tcMar>
              <w:top w:w="75" w:type="dxa"/>
              <w:left w:w="70" w:type="dxa"/>
              <w:bottom w:w="75" w:type="dxa"/>
              <w:right w:w="70" w:type="dxa"/>
            </w:tcMar>
            <w:vAlign w:val="center"/>
          </w:tcPr>
          <w:p w14:paraId="03209FF1" w14:textId="77777777" w:rsidR="008C5708" w:rsidRDefault="00000000">
            <w:pPr>
              <w:spacing w:after="0"/>
            </w:pPr>
            <w:r>
              <w:rPr>
                <w:sz w:val="15"/>
              </w:rPr>
              <w:t>Can integrate nonlinear multisource relationships</w:t>
            </w:r>
          </w:p>
        </w:tc>
        <w:tc>
          <w:tcPr>
            <w:tcW w:w="1584" w:type="dxa"/>
            <w:tcMar>
              <w:top w:w="75" w:type="dxa"/>
              <w:left w:w="70" w:type="dxa"/>
              <w:bottom w:w="75" w:type="dxa"/>
              <w:right w:w="70" w:type="dxa"/>
            </w:tcMar>
            <w:vAlign w:val="center"/>
          </w:tcPr>
          <w:p w14:paraId="15A48053" w14:textId="77777777" w:rsidR="008C5708" w:rsidRDefault="00000000">
            <w:pPr>
              <w:spacing w:after="0"/>
            </w:pPr>
            <w:r>
              <w:rPr>
                <w:sz w:val="15"/>
              </w:rPr>
              <w:t>High research activity; uneven external validation</w:t>
            </w:r>
          </w:p>
        </w:tc>
        <w:tc>
          <w:tcPr>
            <w:tcW w:w="2088" w:type="dxa"/>
            <w:tcMar>
              <w:top w:w="75" w:type="dxa"/>
              <w:left w:w="70" w:type="dxa"/>
              <w:bottom w:w="75" w:type="dxa"/>
              <w:right w:w="70" w:type="dxa"/>
            </w:tcMar>
            <w:vAlign w:val="center"/>
          </w:tcPr>
          <w:p w14:paraId="62DBA43A" w14:textId="77777777" w:rsidR="008C5708" w:rsidRDefault="00000000">
            <w:pPr>
              <w:spacing w:after="0"/>
            </w:pPr>
            <w:r>
              <w:rPr>
                <w:sz w:val="15"/>
              </w:rPr>
              <w:t>Overfitting, domain shift and weak linkage between prediction accuracy and farm value</w:t>
            </w:r>
          </w:p>
        </w:tc>
        <w:tc>
          <w:tcPr>
            <w:tcW w:w="1440" w:type="dxa"/>
            <w:tcMar>
              <w:top w:w="75" w:type="dxa"/>
              <w:left w:w="70" w:type="dxa"/>
              <w:bottom w:w="75" w:type="dxa"/>
              <w:right w:w="70" w:type="dxa"/>
            </w:tcMar>
            <w:vAlign w:val="center"/>
          </w:tcPr>
          <w:p w14:paraId="1F383F21" w14:textId="77777777" w:rsidR="008C5708" w:rsidRDefault="00000000">
            <w:pPr>
              <w:spacing w:after="0"/>
              <w:jc w:val="left"/>
            </w:pPr>
            <w:r>
              <w:rPr>
                <w:sz w:val="15"/>
              </w:rPr>
              <w:t>Chlingaryan et al. (2018); Liakos et al. (2018)</w:t>
            </w:r>
          </w:p>
        </w:tc>
      </w:tr>
      <w:tr w:rsidR="008C5708" w14:paraId="4C75CA06" w14:textId="77777777">
        <w:trPr>
          <w:cantSplit/>
          <w:jc w:val="center"/>
        </w:trPr>
        <w:tc>
          <w:tcPr>
            <w:tcW w:w="1440" w:type="dxa"/>
            <w:tcMar>
              <w:top w:w="75" w:type="dxa"/>
              <w:left w:w="70" w:type="dxa"/>
              <w:bottom w:w="75" w:type="dxa"/>
              <w:right w:w="70" w:type="dxa"/>
            </w:tcMar>
            <w:vAlign w:val="center"/>
          </w:tcPr>
          <w:p w14:paraId="1ED3B3CE" w14:textId="77777777" w:rsidR="008C5708" w:rsidRDefault="00000000">
            <w:pPr>
              <w:spacing w:after="0"/>
            </w:pPr>
            <w:r>
              <w:rPr>
                <w:sz w:val="15"/>
              </w:rPr>
              <w:t>Soil sensing and spectroscopy</w:t>
            </w:r>
          </w:p>
        </w:tc>
        <w:tc>
          <w:tcPr>
            <w:tcW w:w="1512" w:type="dxa"/>
            <w:tcMar>
              <w:top w:w="75" w:type="dxa"/>
              <w:left w:w="70" w:type="dxa"/>
              <w:bottom w:w="75" w:type="dxa"/>
              <w:right w:w="70" w:type="dxa"/>
            </w:tcMar>
            <w:vAlign w:val="center"/>
          </w:tcPr>
          <w:p w14:paraId="3AA59557" w14:textId="77777777" w:rsidR="008C5708" w:rsidRDefault="00000000">
            <w:pPr>
              <w:spacing w:after="0"/>
            </w:pPr>
            <w:r>
              <w:rPr>
                <w:sz w:val="15"/>
              </w:rPr>
              <w:t>Site-specific soil-property estimation</w:t>
            </w:r>
          </w:p>
        </w:tc>
        <w:tc>
          <w:tcPr>
            <w:tcW w:w="1728" w:type="dxa"/>
            <w:tcMar>
              <w:top w:w="75" w:type="dxa"/>
              <w:left w:w="70" w:type="dxa"/>
              <w:bottom w:w="75" w:type="dxa"/>
              <w:right w:w="70" w:type="dxa"/>
            </w:tcMar>
            <w:vAlign w:val="center"/>
          </w:tcPr>
          <w:p w14:paraId="7D5F0A96" w14:textId="77777777" w:rsidR="008C5708" w:rsidRDefault="00000000">
            <w:pPr>
              <w:spacing w:after="0"/>
            </w:pPr>
            <w:r>
              <w:rPr>
                <w:sz w:val="15"/>
              </w:rPr>
              <w:t>Potentially faster mapping than dense laboratory sampling</w:t>
            </w:r>
          </w:p>
        </w:tc>
        <w:tc>
          <w:tcPr>
            <w:tcW w:w="1584" w:type="dxa"/>
            <w:tcMar>
              <w:top w:w="75" w:type="dxa"/>
              <w:left w:w="70" w:type="dxa"/>
              <w:bottom w:w="75" w:type="dxa"/>
              <w:right w:w="70" w:type="dxa"/>
            </w:tcMar>
            <w:vAlign w:val="center"/>
          </w:tcPr>
          <w:p w14:paraId="4226107B" w14:textId="77777777" w:rsidR="008C5708" w:rsidRDefault="00000000">
            <w:pPr>
              <w:spacing w:after="0"/>
            </w:pPr>
            <w:r>
              <w:rPr>
                <w:sz w:val="15"/>
              </w:rPr>
              <w:t>Promising but property-specific</w:t>
            </w:r>
          </w:p>
        </w:tc>
        <w:tc>
          <w:tcPr>
            <w:tcW w:w="2088" w:type="dxa"/>
            <w:tcMar>
              <w:top w:w="75" w:type="dxa"/>
              <w:left w:w="70" w:type="dxa"/>
              <w:bottom w:w="75" w:type="dxa"/>
              <w:right w:w="70" w:type="dxa"/>
            </w:tcMar>
            <w:vAlign w:val="center"/>
          </w:tcPr>
          <w:p w14:paraId="49531F6A" w14:textId="77777777" w:rsidR="008C5708" w:rsidRDefault="00000000">
            <w:pPr>
              <w:spacing w:after="0"/>
            </w:pPr>
            <w:r>
              <w:rPr>
                <w:sz w:val="15"/>
              </w:rPr>
              <w:t>No universal sensor; preprocessing and model choice materially affect accuracy</w:t>
            </w:r>
          </w:p>
        </w:tc>
        <w:tc>
          <w:tcPr>
            <w:tcW w:w="1440" w:type="dxa"/>
            <w:tcMar>
              <w:top w:w="75" w:type="dxa"/>
              <w:left w:w="70" w:type="dxa"/>
              <w:bottom w:w="75" w:type="dxa"/>
              <w:right w:w="70" w:type="dxa"/>
            </w:tcMar>
            <w:vAlign w:val="center"/>
          </w:tcPr>
          <w:p w14:paraId="14E91275" w14:textId="77777777" w:rsidR="008C5708" w:rsidRDefault="00000000">
            <w:pPr>
              <w:spacing w:after="0"/>
              <w:jc w:val="left"/>
            </w:pPr>
            <w:r>
              <w:rPr>
                <w:sz w:val="15"/>
              </w:rPr>
              <w:t>Vullaganti et al. (2025)</w:t>
            </w:r>
          </w:p>
        </w:tc>
      </w:tr>
      <w:tr w:rsidR="008C5708" w14:paraId="6BC6C3BB" w14:textId="77777777">
        <w:trPr>
          <w:cantSplit/>
          <w:jc w:val="center"/>
        </w:trPr>
        <w:tc>
          <w:tcPr>
            <w:tcW w:w="1440" w:type="dxa"/>
            <w:tcMar>
              <w:top w:w="75" w:type="dxa"/>
              <w:left w:w="70" w:type="dxa"/>
              <w:bottom w:w="75" w:type="dxa"/>
              <w:right w:w="70" w:type="dxa"/>
            </w:tcMar>
            <w:vAlign w:val="center"/>
          </w:tcPr>
          <w:p w14:paraId="5DD438DF" w14:textId="77777777" w:rsidR="008C5708" w:rsidRDefault="00000000">
            <w:pPr>
              <w:spacing w:after="0"/>
            </w:pPr>
            <w:r>
              <w:rPr>
                <w:sz w:val="15"/>
              </w:rPr>
              <w:t>Drone application systems</w:t>
            </w:r>
          </w:p>
        </w:tc>
        <w:tc>
          <w:tcPr>
            <w:tcW w:w="1512" w:type="dxa"/>
            <w:tcMar>
              <w:top w:w="75" w:type="dxa"/>
              <w:left w:w="70" w:type="dxa"/>
              <w:bottom w:w="75" w:type="dxa"/>
              <w:right w:w="70" w:type="dxa"/>
            </w:tcMar>
            <w:vAlign w:val="center"/>
          </w:tcPr>
          <w:p w14:paraId="3196A40C" w14:textId="77777777" w:rsidR="008C5708" w:rsidRDefault="00000000">
            <w:pPr>
              <w:spacing w:after="0"/>
            </w:pPr>
            <w:r>
              <w:rPr>
                <w:sz w:val="15"/>
              </w:rPr>
              <w:t>Time-sensitive pesticide or nutrient application</w:t>
            </w:r>
          </w:p>
        </w:tc>
        <w:tc>
          <w:tcPr>
            <w:tcW w:w="1728" w:type="dxa"/>
            <w:tcMar>
              <w:top w:w="75" w:type="dxa"/>
              <w:left w:w="70" w:type="dxa"/>
              <w:bottom w:w="75" w:type="dxa"/>
              <w:right w:w="70" w:type="dxa"/>
            </w:tcMar>
            <w:vAlign w:val="center"/>
          </w:tcPr>
          <w:p w14:paraId="7B201C73" w14:textId="77777777" w:rsidR="008C5708" w:rsidRDefault="00000000">
            <w:pPr>
              <w:spacing w:after="0"/>
            </w:pPr>
            <w:r>
              <w:rPr>
                <w:sz w:val="15"/>
              </w:rPr>
              <w:t>Rapid execution and contractor-based service potential</w:t>
            </w:r>
          </w:p>
        </w:tc>
        <w:tc>
          <w:tcPr>
            <w:tcW w:w="1584" w:type="dxa"/>
            <w:tcMar>
              <w:top w:w="75" w:type="dxa"/>
              <w:left w:w="70" w:type="dxa"/>
              <w:bottom w:w="75" w:type="dxa"/>
              <w:right w:w="70" w:type="dxa"/>
            </w:tcMar>
            <w:vAlign w:val="center"/>
          </w:tcPr>
          <w:p w14:paraId="19F05B8B" w14:textId="77777777" w:rsidR="008C5708" w:rsidRDefault="00000000">
            <w:pPr>
              <w:spacing w:after="0"/>
            </w:pPr>
            <w:r>
              <w:rPr>
                <w:sz w:val="15"/>
              </w:rPr>
              <w:t>Emerging field evidence in India</w:t>
            </w:r>
          </w:p>
        </w:tc>
        <w:tc>
          <w:tcPr>
            <w:tcW w:w="2088" w:type="dxa"/>
            <w:tcMar>
              <w:top w:w="75" w:type="dxa"/>
              <w:left w:w="70" w:type="dxa"/>
              <w:bottom w:w="75" w:type="dxa"/>
              <w:right w:w="70" w:type="dxa"/>
            </w:tcMar>
            <w:vAlign w:val="center"/>
          </w:tcPr>
          <w:p w14:paraId="34F4AF66" w14:textId="77777777" w:rsidR="008C5708" w:rsidRDefault="00000000">
            <w:pPr>
              <w:spacing w:after="0"/>
            </w:pPr>
            <w:r>
              <w:rPr>
                <w:sz w:val="15"/>
              </w:rPr>
              <w:t>Application quality depends on operator, weather, droplet and crop parameters</w:t>
            </w:r>
          </w:p>
        </w:tc>
        <w:tc>
          <w:tcPr>
            <w:tcW w:w="1440" w:type="dxa"/>
            <w:tcMar>
              <w:top w:w="75" w:type="dxa"/>
              <w:left w:w="70" w:type="dxa"/>
              <w:bottom w:w="75" w:type="dxa"/>
              <w:right w:w="70" w:type="dxa"/>
            </w:tcMar>
            <w:vAlign w:val="center"/>
          </w:tcPr>
          <w:p w14:paraId="29F9B5F8" w14:textId="77777777" w:rsidR="008C5708" w:rsidRDefault="00000000">
            <w:pPr>
              <w:spacing w:after="0"/>
              <w:jc w:val="left"/>
            </w:pPr>
            <w:r>
              <w:rPr>
                <w:sz w:val="15"/>
              </w:rPr>
              <w:t>Paul et al. (2023); Government of India (2025b)</w:t>
            </w:r>
          </w:p>
        </w:tc>
      </w:tr>
      <w:tr w:rsidR="008C5708" w14:paraId="2655CD0E" w14:textId="77777777">
        <w:trPr>
          <w:cantSplit/>
          <w:jc w:val="center"/>
        </w:trPr>
        <w:tc>
          <w:tcPr>
            <w:tcW w:w="1440" w:type="dxa"/>
            <w:tcMar>
              <w:top w:w="75" w:type="dxa"/>
              <w:left w:w="70" w:type="dxa"/>
              <w:bottom w:w="75" w:type="dxa"/>
              <w:right w:w="70" w:type="dxa"/>
            </w:tcMar>
            <w:vAlign w:val="center"/>
          </w:tcPr>
          <w:p w14:paraId="434FD891" w14:textId="77777777" w:rsidR="008C5708" w:rsidRDefault="00000000">
            <w:pPr>
              <w:spacing w:after="0"/>
            </w:pPr>
            <w:r>
              <w:rPr>
                <w:sz w:val="15"/>
              </w:rPr>
              <w:t>Digital public infrastructure / decision systems</w:t>
            </w:r>
          </w:p>
        </w:tc>
        <w:tc>
          <w:tcPr>
            <w:tcW w:w="1512" w:type="dxa"/>
            <w:tcMar>
              <w:top w:w="75" w:type="dxa"/>
              <w:left w:w="70" w:type="dxa"/>
              <w:bottom w:w="75" w:type="dxa"/>
              <w:right w:w="70" w:type="dxa"/>
            </w:tcMar>
            <w:vAlign w:val="center"/>
          </w:tcPr>
          <w:p w14:paraId="6934016C" w14:textId="77777777" w:rsidR="008C5708" w:rsidRDefault="00000000">
            <w:pPr>
              <w:spacing w:after="0"/>
            </w:pPr>
            <w:r>
              <w:rPr>
                <w:sz w:val="15"/>
              </w:rPr>
              <w:t>Data linkage, targeting and advisory coordination</w:t>
            </w:r>
          </w:p>
        </w:tc>
        <w:tc>
          <w:tcPr>
            <w:tcW w:w="1728" w:type="dxa"/>
            <w:tcMar>
              <w:top w:w="75" w:type="dxa"/>
              <w:left w:w="70" w:type="dxa"/>
              <w:bottom w:w="75" w:type="dxa"/>
              <w:right w:w="70" w:type="dxa"/>
            </w:tcMar>
            <w:vAlign w:val="center"/>
          </w:tcPr>
          <w:p w14:paraId="0B2788C5" w14:textId="77777777" w:rsidR="008C5708" w:rsidRDefault="00000000">
            <w:pPr>
              <w:spacing w:after="0"/>
            </w:pPr>
            <w:r>
              <w:rPr>
                <w:sz w:val="15"/>
              </w:rPr>
              <w:t>Potential reduction in information and coordination costs</w:t>
            </w:r>
          </w:p>
        </w:tc>
        <w:tc>
          <w:tcPr>
            <w:tcW w:w="1584" w:type="dxa"/>
            <w:tcMar>
              <w:top w:w="75" w:type="dxa"/>
              <w:left w:w="70" w:type="dxa"/>
              <w:bottom w:w="75" w:type="dxa"/>
              <w:right w:w="70" w:type="dxa"/>
            </w:tcMar>
            <w:vAlign w:val="center"/>
          </w:tcPr>
          <w:p w14:paraId="06B69CB3" w14:textId="77777777" w:rsidR="008C5708" w:rsidRDefault="00000000">
            <w:pPr>
              <w:spacing w:after="0"/>
            </w:pPr>
            <w:r>
              <w:rPr>
                <w:sz w:val="15"/>
              </w:rPr>
              <w:t>Institutionally expanding; agronomic impact requires independent evaluation</w:t>
            </w:r>
          </w:p>
        </w:tc>
        <w:tc>
          <w:tcPr>
            <w:tcW w:w="2088" w:type="dxa"/>
            <w:tcMar>
              <w:top w:w="75" w:type="dxa"/>
              <w:left w:w="70" w:type="dxa"/>
              <w:bottom w:w="75" w:type="dxa"/>
              <w:right w:w="70" w:type="dxa"/>
            </w:tcMar>
            <w:vAlign w:val="center"/>
          </w:tcPr>
          <w:p w14:paraId="26A63C2C" w14:textId="77777777" w:rsidR="008C5708" w:rsidRDefault="00000000">
            <w:pPr>
              <w:spacing w:after="0"/>
            </w:pPr>
            <w:r>
              <w:rPr>
                <w:sz w:val="15"/>
              </w:rPr>
              <w:t>Data quality, interoperability, governance and model accountability</w:t>
            </w:r>
          </w:p>
        </w:tc>
        <w:tc>
          <w:tcPr>
            <w:tcW w:w="1440" w:type="dxa"/>
            <w:tcMar>
              <w:top w:w="75" w:type="dxa"/>
              <w:left w:w="70" w:type="dxa"/>
              <w:bottom w:w="75" w:type="dxa"/>
              <w:right w:w="70" w:type="dxa"/>
            </w:tcMar>
            <w:vAlign w:val="center"/>
          </w:tcPr>
          <w:p w14:paraId="525F1FDA" w14:textId="77777777" w:rsidR="008C5708" w:rsidRDefault="00000000">
            <w:pPr>
              <w:spacing w:after="0"/>
              <w:jc w:val="left"/>
            </w:pPr>
            <w:r>
              <w:rPr>
                <w:sz w:val="15"/>
              </w:rPr>
              <w:t>Government of India (2025a); Klerkx et al. (2019); Wolfert et al. (2017)</w:t>
            </w:r>
          </w:p>
        </w:tc>
      </w:tr>
    </w:tbl>
    <w:p w14:paraId="44A86A47" w14:textId="77777777" w:rsidR="008C5708" w:rsidRDefault="00000000">
      <w:pPr>
        <w:pStyle w:val="TableNote"/>
        <w:spacing w:before="60" w:after="140"/>
      </w:pPr>
      <w:r>
        <w:rPr>
          <w:i/>
        </w:rPr>
        <w:t>Note. N = nitrogen; UAV = unmanned aerial vehicle.</w:t>
      </w:r>
    </w:p>
    <w:p w14:paraId="0C01F79E" w14:textId="77777777" w:rsidR="008C5708" w:rsidRDefault="00000000">
      <w:pPr>
        <w:pStyle w:val="Heading1"/>
      </w:pPr>
      <w:r>
        <w:t>6. Farm Economics, Adoption and Agribusiness Service Models</w:t>
      </w:r>
    </w:p>
    <w:p w14:paraId="4285295D" w14:textId="77777777" w:rsidR="008C5708" w:rsidRDefault="00000000">
      <w:pPr>
        <w:pStyle w:val="Heading2"/>
      </w:pPr>
      <w:r>
        <w:t>6.1 Farm size, fixed costs and the ownership fallacy</w:t>
      </w:r>
    </w:p>
    <w:p w14:paraId="09909AC6" w14:textId="77777777" w:rsidR="008C5708" w:rsidRDefault="00000000">
      <w:r>
        <w:t xml:space="preserve">India's landholding structure is not merely a demographic detail; it determines the cost architecture of precision farming. When fixed costs are high and the asset is used for only a few hours or days per season on a small holding, individual ownership can produce poor capital utilisation even when the technology is agronomically effective. This is why adoption evidence from large mechanised farms cannot be directly extrapolated to Indian smallholders. Studies in European contexts show that farm size and business characteristics influence adoption of precision technologies because the cost can be spread across more </w:t>
      </w:r>
      <w:r>
        <w:lastRenderedPageBreak/>
        <w:t>hectares (Paustian &amp; Theuvsen, 2017). The small-scale precision-farming literature similarly identifies high capital cost and lack of technical support as recurring constraints (Mizik, 2023).</w:t>
      </w:r>
    </w:p>
    <w:p w14:paraId="0B8E4412" w14:textId="77777777" w:rsidR="008C5708" w:rsidRDefault="00000000">
      <w:r>
        <w:t>The relevant comparison is therefore not "precision versus traditional" in the abstract but among alternative delivery modes. A farmer may own a low-cost leaf colour chart, receive satellite advice through a phone, rent laser levelling, hire a drone application, join a farmer producer organisation that contracts sensing, or purchase a full sensor-and-actuator package. Each mode shifts fixed cost, transaction cost and decision responsibility differently. The efficient institutional form depends on asset indivisibility, frequency of use, need for local calibration and the cost of service delay.</w:t>
      </w:r>
    </w:p>
    <w:p w14:paraId="6BD62B79" w14:textId="77777777" w:rsidR="008C5708" w:rsidRDefault="00000000">
      <w:r>
        <w:t>Custom hiring is attractive for episodic operations such as land levelling and spraying because a contractor can spread capital cost over many farms. It is less straightforward for high-frequency monitoring or irrigation decisions, where service responsiveness must be almost continuous. Digital observation can be centralised cheaply, but field verification and action may still require local agents. A viable precision-farming ecosystem therefore needs complementary service layers rather than a single universal delivery model.</w:t>
      </w:r>
    </w:p>
    <w:p w14:paraId="124E9EFF" w14:textId="77777777" w:rsidR="008C5708" w:rsidRDefault="00000000">
      <w:pPr>
        <w:pStyle w:val="Heading2"/>
      </w:pPr>
      <w:r>
        <w:t>6.2 Adoption is a behavioural and organisational outcome</w:t>
      </w:r>
    </w:p>
    <w:p w14:paraId="6D364E9D" w14:textId="77777777" w:rsidR="008C5708" w:rsidRDefault="00000000">
      <w:r>
        <w:t>Technology-adoption studies often measure awareness or stated willingness, which can overstate durable use. Adoption should instead be treated as a sequence: trial, correct use, repeated use and integration into routine management. Precision systems are especially vulnerable to attrition because their benefit may be uncertain to the farmer while their information or service cost is immediate. Complexity also shifts risk: if a recommendation fails, the farmer may not know whether the cause was the sensor, algorithm, input quality, weather, operator or underlying agronomy.</w:t>
      </w:r>
    </w:p>
    <w:p w14:paraId="5772BCCB" w14:textId="77777777" w:rsidR="008C5708" w:rsidRDefault="00000000">
      <w:r>
        <w:t>Soil Health Card evidence illustrates the difference between information provision and behavioural response. In Haryana, Ohlan et al. (2025a) documented farmer perceptions and practical impediments to adopting soil-test-based recommendations, including institutional and land-tenure factors. Their companion analysis reported lower urea use among adopters without an observed reduction in crop yield (Ohlan et al., 2025b). These findings are suggestive of improved input discipline, but adopter-versus-non-adopter comparisons are vulnerable to selection bias because farmers who follow recommendations may differ systematically in education, resources, management intensity or market orientation. Kumar (2025) likewise identified barriers to implementing Soil Health Card recommendations in Madhya Pradesh, reinforcing the point that diagnostic information does not automatically become changed practice.</w:t>
      </w:r>
    </w:p>
    <w:p w14:paraId="67C196FA" w14:textId="77777777" w:rsidR="008C5708" w:rsidRDefault="00000000">
      <w:r>
        <w:t>Randomised evidence provides a stronger test. Cole et al. (2025) found that customised nutrient advice changed reported fertiliser practices yet did not measurably increase yield. That result does not imply that advisory services have no value. It indicates that behavioural change can be insufficient in magnitude, incorrectly targeted or economically offset by other constraints. Yield may already be limited by water, pest pressure, seed quality or timing. Precision advice can only improve the constraint it addresses.</w:t>
      </w:r>
    </w:p>
    <w:p w14:paraId="08C9EFDB" w14:textId="77777777" w:rsidR="008C5708" w:rsidRDefault="00000000">
      <w:pPr>
        <w:pStyle w:val="Heading2"/>
      </w:pPr>
      <w:r>
        <w:t>6.3 Service models, farmer collectives and agribusiness opportunity</w:t>
      </w:r>
    </w:p>
    <w:p w14:paraId="460361C6" w14:textId="77777777" w:rsidR="008C5708" w:rsidRDefault="00000000">
      <w:r>
        <w:t>Service-based precision farming can convert fragmentation from a capital constraint into an aggregation problem. Custom Hiring Centres can spread the fixed costs of equipment, while farmer producer organisations can aggregate demand, coordinate scheduling and negotiate with technology providers. Government policy already recognises this logic for machinery and drones (Government of India, 2025b, 2026). The economic question is whether local demand density is sufficient to sustain reliable providers at competitive prices.</w:t>
      </w:r>
    </w:p>
    <w:p w14:paraId="0ACAD222" w14:textId="77777777" w:rsidR="008C5708" w:rsidRDefault="00000000">
      <w:r>
        <w:t xml:space="preserve">Precision services also create rural enterprise opportunities. A service provider can specialise in laser levelling, drone spraying, soil sampling, sensor installation or agronomic interpretation, while a platform can coordinate </w:t>
      </w:r>
      <w:r>
        <w:lastRenderedPageBreak/>
        <w:t>bookings, payments and field records. Yet profitability for the provider is not equivalent to welfare gain for the farmer. Service contracts should therefore be evaluated on delivered agronomic quality, timeliness, price transparency and outcome accountability. A poorly calibrated but heavily subsidised service can diffuse rapidly without creating durable value.</w:t>
      </w:r>
    </w:p>
    <w:p w14:paraId="21EC16BB" w14:textId="77777777" w:rsidR="008C5708" w:rsidRDefault="00000000">
      <w:r>
        <w:t>Interoperability is a further economic issue. Farms and service providers may use sensors, machinery and software from different vendors. If data cannot move across systems, switching costs rise and small firms can be locked into proprietary ecosystems. Big-data agriculture research has long highlighted questions of data ownership, governance and platform power (Wolfert et al., 2017). These concerns are amplified when farm identities, geospatial records and crop information are integrated at national scale. India's public digital infrastructure may reduce fragmentation between data silos, but only if technical standards and governance arrangements allow authorised reuse without compromising legitimate privacy interests.</w:t>
      </w:r>
    </w:p>
    <w:p w14:paraId="7930B622" w14:textId="77777777" w:rsidR="008C5708" w:rsidRDefault="00000000">
      <w:r>
        <w:t>The strongest business case is consequently for technologies with low farmer-side fixed costs, visible and timely value, and a clear execution pathway. Precision land levelling and drone operations can be hired; crop-responsive nitrogen tools can be low cost; remote sensing can be delivered as a service; and digital infrastructure can reduce information costs. High-cost, farm-owned variable-rate machinery remains less naturally aligned with the modal Indian holding unless it is embedded in a contractor or cooperative model.</w:t>
      </w:r>
    </w:p>
    <w:p w14:paraId="5CC82B03" w14:textId="77777777" w:rsidR="008C5708" w:rsidRDefault="00000000">
      <w:r>
        <w:t>Table 4 links the principal adoption barriers to plausible agribusiness responses. The table deliberately separates a response mechanism from proof of effectiveness: custom hiring, collectives and digital platforms are institutionally plausible, but their performance should be measured rather than assumed.</w:t>
      </w:r>
    </w:p>
    <w:p w14:paraId="06270B41" w14:textId="77777777" w:rsidR="008C5708" w:rsidRDefault="00000000">
      <w:pPr>
        <w:pStyle w:val="TableCaption"/>
      </w:pPr>
      <w:r>
        <w:t>Table 4. Adoption constraints and agribusiness responses for precision farming in India</w:t>
      </w:r>
    </w:p>
    <w:tbl>
      <w:tblPr>
        <w:tblStyle w:val="TableGrid"/>
        <w:tblW w:w="0" w:type="auto"/>
        <w:jc w:val="center"/>
        <w:tblLayout w:type="fixed"/>
        <w:tblLook w:val="04A0" w:firstRow="1" w:lastRow="0" w:firstColumn="1" w:lastColumn="0" w:noHBand="0" w:noVBand="1"/>
      </w:tblPr>
      <w:tblGrid>
        <w:gridCol w:w="1440"/>
        <w:gridCol w:w="1656"/>
        <w:gridCol w:w="1800"/>
        <w:gridCol w:w="1512"/>
        <w:gridCol w:w="1944"/>
        <w:gridCol w:w="1440"/>
      </w:tblGrid>
      <w:tr w:rsidR="008C5708" w14:paraId="028853CA" w14:textId="77777777">
        <w:trPr>
          <w:tblHeader/>
          <w:jc w:val="center"/>
        </w:trPr>
        <w:tc>
          <w:tcPr>
            <w:tcW w:w="1440" w:type="dxa"/>
            <w:shd w:val="clear" w:color="auto" w:fill="D9E2F3"/>
            <w:tcMar>
              <w:top w:w="90" w:type="dxa"/>
              <w:left w:w="80" w:type="dxa"/>
              <w:bottom w:w="90" w:type="dxa"/>
              <w:right w:w="80" w:type="dxa"/>
            </w:tcMar>
            <w:vAlign w:val="center"/>
          </w:tcPr>
          <w:p w14:paraId="22E76514" w14:textId="77777777" w:rsidR="008C5708" w:rsidRDefault="00000000">
            <w:pPr>
              <w:spacing w:after="0"/>
              <w:jc w:val="center"/>
            </w:pPr>
            <w:r>
              <w:rPr>
                <w:b/>
                <w:sz w:val="16"/>
              </w:rPr>
              <w:t>Constraint</w:t>
            </w:r>
          </w:p>
        </w:tc>
        <w:tc>
          <w:tcPr>
            <w:tcW w:w="1656" w:type="dxa"/>
            <w:shd w:val="clear" w:color="auto" w:fill="D9E2F3"/>
            <w:tcMar>
              <w:top w:w="90" w:type="dxa"/>
              <w:left w:w="80" w:type="dxa"/>
              <w:bottom w:w="90" w:type="dxa"/>
              <w:right w:w="80" w:type="dxa"/>
            </w:tcMar>
            <w:vAlign w:val="center"/>
          </w:tcPr>
          <w:p w14:paraId="221D670A" w14:textId="77777777" w:rsidR="008C5708" w:rsidRDefault="00000000">
            <w:pPr>
              <w:spacing w:after="0"/>
              <w:jc w:val="center"/>
            </w:pPr>
            <w:r>
              <w:rPr>
                <w:b/>
                <w:sz w:val="16"/>
              </w:rPr>
              <w:t>Why it matters in India</w:t>
            </w:r>
          </w:p>
        </w:tc>
        <w:tc>
          <w:tcPr>
            <w:tcW w:w="1800" w:type="dxa"/>
            <w:shd w:val="clear" w:color="auto" w:fill="D9E2F3"/>
            <w:tcMar>
              <w:top w:w="90" w:type="dxa"/>
              <w:left w:w="80" w:type="dxa"/>
              <w:bottom w:w="90" w:type="dxa"/>
              <w:right w:w="80" w:type="dxa"/>
            </w:tcMar>
            <w:vAlign w:val="center"/>
          </w:tcPr>
          <w:p w14:paraId="5D06BC01" w14:textId="77777777" w:rsidR="008C5708" w:rsidRDefault="00000000">
            <w:pPr>
              <w:spacing w:after="0"/>
              <w:jc w:val="center"/>
            </w:pPr>
            <w:r>
              <w:rPr>
                <w:b/>
                <w:sz w:val="16"/>
              </w:rPr>
              <w:t>Plausible response</w:t>
            </w:r>
          </w:p>
        </w:tc>
        <w:tc>
          <w:tcPr>
            <w:tcW w:w="1512" w:type="dxa"/>
            <w:shd w:val="clear" w:color="auto" w:fill="D9E2F3"/>
            <w:tcMar>
              <w:top w:w="90" w:type="dxa"/>
              <w:left w:w="80" w:type="dxa"/>
              <w:bottom w:w="90" w:type="dxa"/>
              <w:right w:w="80" w:type="dxa"/>
            </w:tcMar>
            <w:vAlign w:val="center"/>
          </w:tcPr>
          <w:p w14:paraId="6667563E" w14:textId="77777777" w:rsidR="008C5708" w:rsidRDefault="00000000">
            <w:pPr>
              <w:spacing w:after="0"/>
              <w:jc w:val="center"/>
            </w:pPr>
            <w:r>
              <w:rPr>
                <w:b/>
                <w:sz w:val="16"/>
              </w:rPr>
              <w:t>Evidence basis</w:t>
            </w:r>
          </w:p>
        </w:tc>
        <w:tc>
          <w:tcPr>
            <w:tcW w:w="1944" w:type="dxa"/>
            <w:shd w:val="clear" w:color="auto" w:fill="D9E2F3"/>
            <w:tcMar>
              <w:top w:w="90" w:type="dxa"/>
              <w:left w:w="80" w:type="dxa"/>
              <w:bottom w:w="90" w:type="dxa"/>
              <w:right w:w="80" w:type="dxa"/>
            </w:tcMar>
            <w:vAlign w:val="center"/>
          </w:tcPr>
          <w:p w14:paraId="2564673C" w14:textId="77777777" w:rsidR="008C5708" w:rsidRDefault="00000000">
            <w:pPr>
              <w:spacing w:after="0"/>
              <w:jc w:val="center"/>
            </w:pPr>
            <w:r>
              <w:rPr>
                <w:b/>
                <w:sz w:val="16"/>
              </w:rPr>
              <w:t>Unresolved risk</w:t>
            </w:r>
          </w:p>
        </w:tc>
        <w:tc>
          <w:tcPr>
            <w:tcW w:w="1440" w:type="dxa"/>
            <w:shd w:val="clear" w:color="auto" w:fill="D9E2F3"/>
            <w:tcMar>
              <w:top w:w="90" w:type="dxa"/>
              <w:left w:w="80" w:type="dxa"/>
              <w:bottom w:w="90" w:type="dxa"/>
              <w:right w:w="80" w:type="dxa"/>
            </w:tcMar>
            <w:vAlign w:val="center"/>
          </w:tcPr>
          <w:p w14:paraId="17D9330E" w14:textId="77777777" w:rsidR="008C5708" w:rsidRDefault="00000000">
            <w:pPr>
              <w:spacing w:after="0"/>
              <w:jc w:val="center"/>
            </w:pPr>
            <w:r>
              <w:rPr>
                <w:b/>
                <w:sz w:val="16"/>
              </w:rPr>
              <w:t>Supporting references</w:t>
            </w:r>
          </w:p>
        </w:tc>
      </w:tr>
      <w:tr w:rsidR="008C5708" w14:paraId="539265AD" w14:textId="77777777">
        <w:trPr>
          <w:cantSplit/>
          <w:jc w:val="center"/>
        </w:trPr>
        <w:tc>
          <w:tcPr>
            <w:tcW w:w="1440" w:type="dxa"/>
            <w:tcMar>
              <w:top w:w="75" w:type="dxa"/>
              <w:left w:w="70" w:type="dxa"/>
              <w:bottom w:w="75" w:type="dxa"/>
              <w:right w:w="70" w:type="dxa"/>
            </w:tcMar>
            <w:vAlign w:val="center"/>
          </w:tcPr>
          <w:p w14:paraId="43032C99" w14:textId="77777777" w:rsidR="008C5708" w:rsidRDefault="00000000">
            <w:pPr>
              <w:spacing w:after="0"/>
            </w:pPr>
            <w:r>
              <w:rPr>
                <w:sz w:val="15"/>
              </w:rPr>
              <w:t>High fixed cost</w:t>
            </w:r>
          </w:p>
        </w:tc>
        <w:tc>
          <w:tcPr>
            <w:tcW w:w="1656" w:type="dxa"/>
            <w:tcMar>
              <w:top w:w="75" w:type="dxa"/>
              <w:left w:w="70" w:type="dxa"/>
              <w:bottom w:w="75" w:type="dxa"/>
              <w:right w:w="70" w:type="dxa"/>
            </w:tcMar>
            <w:vAlign w:val="center"/>
          </w:tcPr>
          <w:p w14:paraId="6BD2B69C" w14:textId="77777777" w:rsidR="008C5708" w:rsidRDefault="00000000">
            <w:pPr>
              <w:spacing w:after="0"/>
            </w:pPr>
            <w:r>
              <w:rPr>
                <w:sz w:val="15"/>
              </w:rPr>
              <w:t>Small holdings provide low annual utilisation for specialised assets</w:t>
            </w:r>
          </w:p>
        </w:tc>
        <w:tc>
          <w:tcPr>
            <w:tcW w:w="1800" w:type="dxa"/>
            <w:tcMar>
              <w:top w:w="75" w:type="dxa"/>
              <w:left w:w="70" w:type="dxa"/>
              <w:bottom w:w="75" w:type="dxa"/>
              <w:right w:w="70" w:type="dxa"/>
            </w:tcMar>
            <w:vAlign w:val="center"/>
          </w:tcPr>
          <w:p w14:paraId="0DB46507" w14:textId="77777777" w:rsidR="008C5708" w:rsidRDefault="00000000">
            <w:pPr>
              <w:spacing w:after="0"/>
            </w:pPr>
            <w:r>
              <w:rPr>
                <w:sz w:val="15"/>
              </w:rPr>
              <w:t>Custom hiring, contractor services and cooperative ownership</w:t>
            </w:r>
          </w:p>
        </w:tc>
        <w:tc>
          <w:tcPr>
            <w:tcW w:w="1512" w:type="dxa"/>
            <w:tcMar>
              <w:top w:w="75" w:type="dxa"/>
              <w:left w:w="70" w:type="dxa"/>
              <w:bottom w:w="75" w:type="dxa"/>
              <w:right w:w="70" w:type="dxa"/>
            </w:tcMar>
            <w:vAlign w:val="center"/>
          </w:tcPr>
          <w:p w14:paraId="5C9475D0" w14:textId="77777777" w:rsidR="008C5708" w:rsidRDefault="00000000">
            <w:pPr>
              <w:spacing w:after="0"/>
            </w:pPr>
            <w:r>
              <w:rPr>
                <w:sz w:val="15"/>
              </w:rPr>
              <w:t>Small-scale adoption reviews and machinery-service policy</w:t>
            </w:r>
          </w:p>
        </w:tc>
        <w:tc>
          <w:tcPr>
            <w:tcW w:w="1944" w:type="dxa"/>
            <w:tcMar>
              <w:top w:w="75" w:type="dxa"/>
              <w:left w:w="70" w:type="dxa"/>
              <w:bottom w:w="75" w:type="dxa"/>
              <w:right w:w="70" w:type="dxa"/>
            </w:tcMar>
            <w:vAlign w:val="center"/>
          </w:tcPr>
          <w:p w14:paraId="46789636" w14:textId="77777777" w:rsidR="008C5708" w:rsidRDefault="00000000">
            <w:pPr>
              <w:spacing w:after="0"/>
            </w:pPr>
            <w:r>
              <w:rPr>
                <w:sz w:val="15"/>
              </w:rPr>
              <w:t>Seasonal congestion, local monopoly pricing and downtime</w:t>
            </w:r>
          </w:p>
        </w:tc>
        <w:tc>
          <w:tcPr>
            <w:tcW w:w="1440" w:type="dxa"/>
            <w:tcMar>
              <w:top w:w="75" w:type="dxa"/>
              <w:left w:w="70" w:type="dxa"/>
              <w:bottom w:w="75" w:type="dxa"/>
              <w:right w:w="70" w:type="dxa"/>
            </w:tcMar>
            <w:vAlign w:val="center"/>
          </w:tcPr>
          <w:p w14:paraId="1B2773CE" w14:textId="77777777" w:rsidR="008C5708" w:rsidRDefault="00000000">
            <w:pPr>
              <w:spacing w:after="0"/>
              <w:jc w:val="left"/>
            </w:pPr>
            <w:r>
              <w:rPr>
                <w:sz w:val="15"/>
              </w:rPr>
              <w:t>Mizik (2023); Paustian &amp; Theuvsen (2017); Government of India (2025b)</w:t>
            </w:r>
          </w:p>
        </w:tc>
      </w:tr>
      <w:tr w:rsidR="008C5708" w14:paraId="379BA548" w14:textId="77777777">
        <w:trPr>
          <w:cantSplit/>
          <w:jc w:val="center"/>
        </w:trPr>
        <w:tc>
          <w:tcPr>
            <w:tcW w:w="1440" w:type="dxa"/>
            <w:tcMar>
              <w:top w:w="75" w:type="dxa"/>
              <w:left w:w="70" w:type="dxa"/>
              <w:bottom w:w="75" w:type="dxa"/>
              <w:right w:w="70" w:type="dxa"/>
            </w:tcMar>
            <w:vAlign w:val="center"/>
          </w:tcPr>
          <w:p w14:paraId="32536E66" w14:textId="77777777" w:rsidR="008C5708" w:rsidRDefault="00000000">
            <w:pPr>
              <w:spacing w:after="0"/>
            </w:pPr>
            <w:r>
              <w:rPr>
                <w:sz w:val="15"/>
              </w:rPr>
              <w:t>Fragmented demand</w:t>
            </w:r>
          </w:p>
        </w:tc>
        <w:tc>
          <w:tcPr>
            <w:tcW w:w="1656" w:type="dxa"/>
            <w:tcMar>
              <w:top w:w="75" w:type="dxa"/>
              <w:left w:w="70" w:type="dxa"/>
              <w:bottom w:w="75" w:type="dxa"/>
              <w:right w:w="70" w:type="dxa"/>
            </w:tcMar>
            <w:vAlign w:val="center"/>
          </w:tcPr>
          <w:p w14:paraId="45BEFCA5" w14:textId="77777777" w:rsidR="008C5708" w:rsidRDefault="00000000">
            <w:pPr>
              <w:spacing w:after="0"/>
            </w:pPr>
            <w:r>
              <w:rPr>
                <w:sz w:val="15"/>
              </w:rPr>
              <w:t>Many small plots increase coordination and travel costs</w:t>
            </w:r>
          </w:p>
        </w:tc>
        <w:tc>
          <w:tcPr>
            <w:tcW w:w="1800" w:type="dxa"/>
            <w:tcMar>
              <w:top w:w="75" w:type="dxa"/>
              <w:left w:w="70" w:type="dxa"/>
              <w:bottom w:w="75" w:type="dxa"/>
              <w:right w:w="70" w:type="dxa"/>
            </w:tcMar>
            <w:vAlign w:val="center"/>
          </w:tcPr>
          <w:p w14:paraId="4AEF2B9E" w14:textId="77777777" w:rsidR="008C5708" w:rsidRDefault="00000000">
            <w:pPr>
              <w:spacing w:after="0"/>
            </w:pPr>
            <w:r>
              <w:rPr>
                <w:sz w:val="15"/>
              </w:rPr>
              <w:t>Farmer producer organisations, booking platforms and clustered service routes</w:t>
            </w:r>
          </w:p>
        </w:tc>
        <w:tc>
          <w:tcPr>
            <w:tcW w:w="1512" w:type="dxa"/>
            <w:tcMar>
              <w:top w:w="75" w:type="dxa"/>
              <w:left w:w="70" w:type="dxa"/>
              <w:bottom w:w="75" w:type="dxa"/>
              <w:right w:w="70" w:type="dxa"/>
            </w:tcMar>
            <w:vAlign w:val="center"/>
          </w:tcPr>
          <w:p w14:paraId="546938E5" w14:textId="77777777" w:rsidR="008C5708" w:rsidRDefault="00000000">
            <w:pPr>
              <w:spacing w:after="0"/>
            </w:pPr>
            <w:r>
              <w:rPr>
                <w:sz w:val="15"/>
              </w:rPr>
              <w:t>Institutional logic and Indian collective-farming policy direction</w:t>
            </w:r>
          </w:p>
        </w:tc>
        <w:tc>
          <w:tcPr>
            <w:tcW w:w="1944" w:type="dxa"/>
            <w:tcMar>
              <w:top w:w="75" w:type="dxa"/>
              <w:left w:w="70" w:type="dxa"/>
              <w:bottom w:w="75" w:type="dxa"/>
              <w:right w:w="70" w:type="dxa"/>
            </w:tcMar>
            <w:vAlign w:val="center"/>
          </w:tcPr>
          <w:p w14:paraId="63B883A1" w14:textId="77777777" w:rsidR="008C5708" w:rsidRDefault="00000000">
            <w:pPr>
              <w:spacing w:after="0"/>
            </w:pPr>
            <w:r>
              <w:rPr>
                <w:sz w:val="15"/>
              </w:rPr>
              <w:t>Benefits depend on governance quality and local demand density</w:t>
            </w:r>
          </w:p>
        </w:tc>
        <w:tc>
          <w:tcPr>
            <w:tcW w:w="1440" w:type="dxa"/>
            <w:tcMar>
              <w:top w:w="75" w:type="dxa"/>
              <w:left w:w="70" w:type="dxa"/>
              <w:bottom w:w="75" w:type="dxa"/>
              <w:right w:w="70" w:type="dxa"/>
            </w:tcMar>
            <w:vAlign w:val="center"/>
          </w:tcPr>
          <w:p w14:paraId="389E9A8B" w14:textId="77777777" w:rsidR="008C5708" w:rsidRDefault="00000000">
            <w:pPr>
              <w:spacing w:after="0"/>
              <w:jc w:val="left"/>
            </w:pPr>
            <w:r>
              <w:rPr>
                <w:sz w:val="15"/>
              </w:rPr>
              <w:t>Government of India (2026); Lowenberg-DeBoer &amp; Erickson (2019)</w:t>
            </w:r>
          </w:p>
        </w:tc>
      </w:tr>
      <w:tr w:rsidR="008C5708" w14:paraId="3B397363" w14:textId="77777777">
        <w:trPr>
          <w:cantSplit/>
          <w:jc w:val="center"/>
        </w:trPr>
        <w:tc>
          <w:tcPr>
            <w:tcW w:w="1440" w:type="dxa"/>
            <w:tcMar>
              <w:top w:w="75" w:type="dxa"/>
              <w:left w:w="70" w:type="dxa"/>
              <w:bottom w:w="75" w:type="dxa"/>
              <w:right w:w="70" w:type="dxa"/>
            </w:tcMar>
            <w:vAlign w:val="center"/>
          </w:tcPr>
          <w:p w14:paraId="69208C60" w14:textId="77777777" w:rsidR="008C5708" w:rsidRDefault="00000000">
            <w:pPr>
              <w:spacing w:after="0"/>
            </w:pPr>
            <w:r>
              <w:rPr>
                <w:sz w:val="15"/>
              </w:rPr>
              <w:t>Weak translation from information to action</w:t>
            </w:r>
          </w:p>
        </w:tc>
        <w:tc>
          <w:tcPr>
            <w:tcW w:w="1656" w:type="dxa"/>
            <w:tcMar>
              <w:top w:w="75" w:type="dxa"/>
              <w:left w:w="70" w:type="dxa"/>
              <w:bottom w:w="75" w:type="dxa"/>
              <w:right w:w="70" w:type="dxa"/>
            </w:tcMar>
            <w:vAlign w:val="center"/>
          </w:tcPr>
          <w:p w14:paraId="20B63B2F" w14:textId="77777777" w:rsidR="008C5708" w:rsidRDefault="00000000">
            <w:pPr>
              <w:spacing w:after="0"/>
            </w:pPr>
            <w:r>
              <w:rPr>
                <w:sz w:val="15"/>
              </w:rPr>
              <w:t>Advice may arrive without credit, input access or controllable irrigation</w:t>
            </w:r>
          </w:p>
        </w:tc>
        <w:tc>
          <w:tcPr>
            <w:tcW w:w="1800" w:type="dxa"/>
            <w:tcMar>
              <w:top w:w="75" w:type="dxa"/>
              <w:left w:w="70" w:type="dxa"/>
              <w:bottom w:w="75" w:type="dxa"/>
              <w:right w:w="70" w:type="dxa"/>
            </w:tcMar>
            <w:vAlign w:val="center"/>
          </w:tcPr>
          <w:p w14:paraId="0A093AAB" w14:textId="77777777" w:rsidR="008C5708" w:rsidRDefault="00000000">
            <w:pPr>
              <w:spacing w:after="0"/>
            </w:pPr>
            <w:r>
              <w:rPr>
                <w:sz w:val="15"/>
              </w:rPr>
              <w:t>Bundle advisory with actionable input/service access</w:t>
            </w:r>
          </w:p>
        </w:tc>
        <w:tc>
          <w:tcPr>
            <w:tcW w:w="1512" w:type="dxa"/>
            <w:tcMar>
              <w:top w:w="75" w:type="dxa"/>
              <w:left w:w="70" w:type="dxa"/>
              <w:bottom w:w="75" w:type="dxa"/>
              <w:right w:w="70" w:type="dxa"/>
            </w:tcMar>
            <w:vAlign w:val="center"/>
          </w:tcPr>
          <w:p w14:paraId="1F1C5544" w14:textId="77777777" w:rsidR="008C5708" w:rsidRDefault="00000000">
            <w:pPr>
              <w:spacing w:after="0"/>
            </w:pPr>
            <w:r>
              <w:rPr>
                <w:sz w:val="15"/>
              </w:rPr>
              <w:t>Indian advisory and Soil Health Card evidence</w:t>
            </w:r>
          </w:p>
        </w:tc>
        <w:tc>
          <w:tcPr>
            <w:tcW w:w="1944" w:type="dxa"/>
            <w:tcMar>
              <w:top w:w="75" w:type="dxa"/>
              <w:left w:w="70" w:type="dxa"/>
              <w:bottom w:w="75" w:type="dxa"/>
              <w:right w:w="70" w:type="dxa"/>
            </w:tcMar>
            <w:vAlign w:val="center"/>
          </w:tcPr>
          <w:p w14:paraId="1CFFCC73" w14:textId="77777777" w:rsidR="008C5708" w:rsidRDefault="00000000">
            <w:pPr>
              <w:spacing w:after="0"/>
            </w:pPr>
            <w:r>
              <w:rPr>
                <w:sz w:val="15"/>
              </w:rPr>
              <w:t>Bundling can increase vendor influence and obscure recommendation neutrality</w:t>
            </w:r>
          </w:p>
        </w:tc>
        <w:tc>
          <w:tcPr>
            <w:tcW w:w="1440" w:type="dxa"/>
            <w:tcMar>
              <w:top w:w="75" w:type="dxa"/>
              <w:left w:w="70" w:type="dxa"/>
              <w:bottom w:w="75" w:type="dxa"/>
              <w:right w:w="70" w:type="dxa"/>
            </w:tcMar>
            <w:vAlign w:val="center"/>
          </w:tcPr>
          <w:p w14:paraId="1C531AD7" w14:textId="77777777" w:rsidR="008C5708" w:rsidRDefault="00000000">
            <w:pPr>
              <w:spacing w:after="0"/>
              <w:jc w:val="left"/>
            </w:pPr>
            <w:r>
              <w:rPr>
                <w:sz w:val="15"/>
              </w:rPr>
              <w:t>Cole et al. (2025); Ohlan et al. (2025a, 2025b)</w:t>
            </w:r>
          </w:p>
        </w:tc>
      </w:tr>
      <w:tr w:rsidR="008C5708" w14:paraId="63D76640" w14:textId="77777777">
        <w:trPr>
          <w:cantSplit/>
          <w:jc w:val="center"/>
        </w:trPr>
        <w:tc>
          <w:tcPr>
            <w:tcW w:w="1440" w:type="dxa"/>
            <w:tcMar>
              <w:top w:w="75" w:type="dxa"/>
              <w:left w:w="70" w:type="dxa"/>
              <w:bottom w:w="75" w:type="dxa"/>
              <w:right w:w="70" w:type="dxa"/>
            </w:tcMar>
            <w:vAlign w:val="center"/>
          </w:tcPr>
          <w:p w14:paraId="260C692B" w14:textId="77777777" w:rsidR="008C5708" w:rsidRDefault="00000000">
            <w:pPr>
              <w:spacing w:after="0"/>
            </w:pPr>
            <w:r>
              <w:rPr>
                <w:sz w:val="15"/>
              </w:rPr>
              <w:t>Calibration and skill gaps</w:t>
            </w:r>
          </w:p>
        </w:tc>
        <w:tc>
          <w:tcPr>
            <w:tcW w:w="1656" w:type="dxa"/>
            <w:tcMar>
              <w:top w:w="75" w:type="dxa"/>
              <w:left w:w="70" w:type="dxa"/>
              <w:bottom w:w="75" w:type="dxa"/>
              <w:right w:w="70" w:type="dxa"/>
            </w:tcMar>
            <w:vAlign w:val="center"/>
          </w:tcPr>
          <w:p w14:paraId="452B660C" w14:textId="77777777" w:rsidR="008C5708" w:rsidRDefault="00000000">
            <w:pPr>
              <w:spacing w:after="0"/>
            </w:pPr>
            <w:r>
              <w:rPr>
                <w:sz w:val="15"/>
              </w:rPr>
              <w:t>Sensor and model performance varies across crops and environments</w:t>
            </w:r>
          </w:p>
        </w:tc>
        <w:tc>
          <w:tcPr>
            <w:tcW w:w="1800" w:type="dxa"/>
            <w:tcMar>
              <w:top w:w="75" w:type="dxa"/>
              <w:left w:w="70" w:type="dxa"/>
              <w:bottom w:w="75" w:type="dxa"/>
              <w:right w:w="70" w:type="dxa"/>
            </w:tcMar>
            <w:vAlign w:val="center"/>
          </w:tcPr>
          <w:p w14:paraId="2CF6A284" w14:textId="77777777" w:rsidR="008C5708" w:rsidRDefault="00000000">
            <w:pPr>
              <w:spacing w:after="0"/>
            </w:pPr>
            <w:r>
              <w:rPr>
                <w:sz w:val="15"/>
              </w:rPr>
              <w:t>Local calibration, operator certification and independent benchmarking</w:t>
            </w:r>
          </w:p>
        </w:tc>
        <w:tc>
          <w:tcPr>
            <w:tcW w:w="1512" w:type="dxa"/>
            <w:tcMar>
              <w:top w:w="75" w:type="dxa"/>
              <w:left w:w="70" w:type="dxa"/>
              <w:bottom w:w="75" w:type="dxa"/>
              <w:right w:w="70" w:type="dxa"/>
            </w:tcMar>
            <w:vAlign w:val="center"/>
          </w:tcPr>
          <w:p w14:paraId="0CC578B9" w14:textId="77777777" w:rsidR="008C5708" w:rsidRDefault="00000000">
            <w:pPr>
              <w:spacing w:after="0"/>
            </w:pPr>
            <w:r>
              <w:rPr>
                <w:sz w:val="15"/>
              </w:rPr>
              <w:t>Sensor, remote-sensing and ML reviews</w:t>
            </w:r>
          </w:p>
        </w:tc>
        <w:tc>
          <w:tcPr>
            <w:tcW w:w="1944" w:type="dxa"/>
            <w:tcMar>
              <w:top w:w="75" w:type="dxa"/>
              <w:left w:w="70" w:type="dxa"/>
              <w:bottom w:w="75" w:type="dxa"/>
              <w:right w:w="70" w:type="dxa"/>
            </w:tcMar>
            <w:vAlign w:val="center"/>
          </w:tcPr>
          <w:p w14:paraId="0EB511B9" w14:textId="77777777" w:rsidR="008C5708" w:rsidRDefault="00000000">
            <w:pPr>
              <w:spacing w:after="0"/>
            </w:pPr>
            <w:r>
              <w:rPr>
                <w:sz w:val="15"/>
              </w:rPr>
              <w:t>Training may not keep pace with model and hardware changes</w:t>
            </w:r>
          </w:p>
        </w:tc>
        <w:tc>
          <w:tcPr>
            <w:tcW w:w="1440" w:type="dxa"/>
            <w:tcMar>
              <w:top w:w="75" w:type="dxa"/>
              <w:left w:w="70" w:type="dxa"/>
              <w:bottom w:w="75" w:type="dxa"/>
              <w:right w:w="70" w:type="dxa"/>
            </w:tcMar>
            <w:vAlign w:val="center"/>
          </w:tcPr>
          <w:p w14:paraId="5375A8BE" w14:textId="77777777" w:rsidR="008C5708" w:rsidRDefault="00000000">
            <w:pPr>
              <w:spacing w:after="0"/>
              <w:jc w:val="left"/>
            </w:pPr>
            <w:r>
              <w:rPr>
                <w:sz w:val="15"/>
              </w:rPr>
              <w:t>Kuunya et al. (2026); Vullaganti et al. (2025)</w:t>
            </w:r>
          </w:p>
        </w:tc>
      </w:tr>
      <w:tr w:rsidR="008C5708" w14:paraId="647380D8" w14:textId="77777777">
        <w:trPr>
          <w:cantSplit/>
          <w:jc w:val="center"/>
        </w:trPr>
        <w:tc>
          <w:tcPr>
            <w:tcW w:w="1440" w:type="dxa"/>
            <w:tcMar>
              <w:top w:w="75" w:type="dxa"/>
              <w:left w:w="70" w:type="dxa"/>
              <w:bottom w:w="75" w:type="dxa"/>
              <w:right w:w="70" w:type="dxa"/>
            </w:tcMar>
            <w:vAlign w:val="center"/>
          </w:tcPr>
          <w:p w14:paraId="597A8E4C" w14:textId="77777777" w:rsidR="008C5708" w:rsidRDefault="00000000">
            <w:pPr>
              <w:spacing w:after="0"/>
            </w:pPr>
            <w:r>
              <w:rPr>
                <w:sz w:val="15"/>
              </w:rPr>
              <w:t>Low trust or uncertain payoff</w:t>
            </w:r>
          </w:p>
        </w:tc>
        <w:tc>
          <w:tcPr>
            <w:tcW w:w="1656" w:type="dxa"/>
            <w:tcMar>
              <w:top w:w="75" w:type="dxa"/>
              <w:left w:w="70" w:type="dxa"/>
              <w:bottom w:w="75" w:type="dxa"/>
              <w:right w:w="70" w:type="dxa"/>
            </w:tcMar>
            <w:vAlign w:val="center"/>
          </w:tcPr>
          <w:p w14:paraId="4DB1ECC6" w14:textId="77777777" w:rsidR="008C5708" w:rsidRDefault="00000000">
            <w:pPr>
              <w:spacing w:after="0"/>
            </w:pPr>
            <w:r>
              <w:rPr>
                <w:sz w:val="15"/>
              </w:rPr>
              <w:t>Benefits may be variable and difficult for farmers to attribute</w:t>
            </w:r>
          </w:p>
        </w:tc>
        <w:tc>
          <w:tcPr>
            <w:tcW w:w="1800" w:type="dxa"/>
            <w:tcMar>
              <w:top w:w="75" w:type="dxa"/>
              <w:left w:w="70" w:type="dxa"/>
              <w:bottom w:w="75" w:type="dxa"/>
              <w:right w:w="70" w:type="dxa"/>
            </w:tcMar>
            <w:vAlign w:val="center"/>
          </w:tcPr>
          <w:p w14:paraId="3DD548BD" w14:textId="77777777" w:rsidR="008C5708" w:rsidRDefault="00000000">
            <w:pPr>
              <w:spacing w:after="0"/>
            </w:pPr>
            <w:r>
              <w:rPr>
                <w:sz w:val="15"/>
              </w:rPr>
              <w:t>Transparent demonstrations, repeatable outcome records and simple decision rules</w:t>
            </w:r>
          </w:p>
        </w:tc>
        <w:tc>
          <w:tcPr>
            <w:tcW w:w="1512" w:type="dxa"/>
            <w:tcMar>
              <w:top w:w="75" w:type="dxa"/>
              <w:left w:w="70" w:type="dxa"/>
              <w:bottom w:w="75" w:type="dxa"/>
              <w:right w:w="70" w:type="dxa"/>
            </w:tcMar>
            <w:vAlign w:val="center"/>
          </w:tcPr>
          <w:p w14:paraId="3A544836" w14:textId="77777777" w:rsidR="008C5708" w:rsidRDefault="00000000">
            <w:pPr>
              <w:spacing w:after="0"/>
            </w:pPr>
            <w:r>
              <w:rPr>
                <w:sz w:val="15"/>
              </w:rPr>
              <w:t>Adoption and extension evidence</w:t>
            </w:r>
          </w:p>
        </w:tc>
        <w:tc>
          <w:tcPr>
            <w:tcW w:w="1944" w:type="dxa"/>
            <w:tcMar>
              <w:top w:w="75" w:type="dxa"/>
              <w:left w:w="70" w:type="dxa"/>
              <w:bottom w:w="75" w:type="dxa"/>
              <w:right w:w="70" w:type="dxa"/>
            </w:tcMar>
            <w:vAlign w:val="center"/>
          </w:tcPr>
          <w:p w14:paraId="4E631961" w14:textId="77777777" w:rsidR="008C5708" w:rsidRDefault="00000000">
            <w:pPr>
              <w:spacing w:after="0"/>
            </w:pPr>
            <w:r>
              <w:rPr>
                <w:sz w:val="15"/>
              </w:rPr>
              <w:t>Demonstration farms can overstate performance under routine conditions</w:t>
            </w:r>
          </w:p>
        </w:tc>
        <w:tc>
          <w:tcPr>
            <w:tcW w:w="1440" w:type="dxa"/>
            <w:tcMar>
              <w:top w:w="75" w:type="dxa"/>
              <w:left w:w="70" w:type="dxa"/>
              <w:bottom w:w="75" w:type="dxa"/>
              <w:right w:w="70" w:type="dxa"/>
            </w:tcMar>
            <w:vAlign w:val="center"/>
          </w:tcPr>
          <w:p w14:paraId="4AD18F4E" w14:textId="77777777" w:rsidR="008C5708" w:rsidRDefault="00000000">
            <w:pPr>
              <w:spacing w:after="0"/>
              <w:jc w:val="left"/>
            </w:pPr>
            <w:r>
              <w:rPr>
                <w:sz w:val="15"/>
              </w:rPr>
              <w:t>Kumar (2025); Ohlan et al. (2025a)</w:t>
            </w:r>
          </w:p>
        </w:tc>
      </w:tr>
      <w:tr w:rsidR="008C5708" w14:paraId="648A6E54" w14:textId="77777777">
        <w:trPr>
          <w:cantSplit/>
          <w:jc w:val="center"/>
        </w:trPr>
        <w:tc>
          <w:tcPr>
            <w:tcW w:w="1440" w:type="dxa"/>
            <w:tcMar>
              <w:top w:w="75" w:type="dxa"/>
              <w:left w:w="70" w:type="dxa"/>
              <w:bottom w:w="75" w:type="dxa"/>
              <w:right w:w="70" w:type="dxa"/>
            </w:tcMar>
            <w:vAlign w:val="center"/>
          </w:tcPr>
          <w:p w14:paraId="3E22D2AF" w14:textId="77777777" w:rsidR="008C5708" w:rsidRDefault="00000000">
            <w:pPr>
              <w:spacing w:after="0"/>
            </w:pPr>
            <w:r>
              <w:rPr>
                <w:sz w:val="15"/>
              </w:rPr>
              <w:t>Data fragmentation and lock-in</w:t>
            </w:r>
          </w:p>
        </w:tc>
        <w:tc>
          <w:tcPr>
            <w:tcW w:w="1656" w:type="dxa"/>
            <w:tcMar>
              <w:top w:w="75" w:type="dxa"/>
              <w:left w:w="70" w:type="dxa"/>
              <w:bottom w:w="75" w:type="dxa"/>
              <w:right w:w="70" w:type="dxa"/>
            </w:tcMar>
            <w:vAlign w:val="center"/>
          </w:tcPr>
          <w:p w14:paraId="58F952D9" w14:textId="77777777" w:rsidR="008C5708" w:rsidRDefault="00000000">
            <w:pPr>
              <w:spacing w:after="0"/>
            </w:pPr>
            <w:r>
              <w:rPr>
                <w:sz w:val="15"/>
              </w:rPr>
              <w:t>Multiple vendors can create incompatible data and high switching cost</w:t>
            </w:r>
          </w:p>
        </w:tc>
        <w:tc>
          <w:tcPr>
            <w:tcW w:w="1800" w:type="dxa"/>
            <w:tcMar>
              <w:top w:w="75" w:type="dxa"/>
              <w:left w:w="70" w:type="dxa"/>
              <w:bottom w:w="75" w:type="dxa"/>
              <w:right w:w="70" w:type="dxa"/>
            </w:tcMar>
            <w:vAlign w:val="center"/>
          </w:tcPr>
          <w:p w14:paraId="6FEC2F69" w14:textId="77777777" w:rsidR="008C5708" w:rsidRDefault="00000000">
            <w:pPr>
              <w:spacing w:after="0"/>
            </w:pPr>
            <w:r>
              <w:rPr>
                <w:sz w:val="15"/>
              </w:rPr>
              <w:t>Interoperable standards and public digital infrastructure</w:t>
            </w:r>
          </w:p>
        </w:tc>
        <w:tc>
          <w:tcPr>
            <w:tcW w:w="1512" w:type="dxa"/>
            <w:tcMar>
              <w:top w:w="75" w:type="dxa"/>
              <w:left w:w="70" w:type="dxa"/>
              <w:bottom w:w="75" w:type="dxa"/>
              <w:right w:w="70" w:type="dxa"/>
            </w:tcMar>
            <w:vAlign w:val="center"/>
          </w:tcPr>
          <w:p w14:paraId="52E3D484" w14:textId="77777777" w:rsidR="008C5708" w:rsidRDefault="00000000">
            <w:pPr>
              <w:spacing w:after="0"/>
            </w:pPr>
            <w:r>
              <w:rPr>
                <w:sz w:val="15"/>
              </w:rPr>
              <w:t>Digital-agriculture governance literature and current Indian infrastructure</w:t>
            </w:r>
          </w:p>
        </w:tc>
        <w:tc>
          <w:tcPr>
            <w:tcW w:w="1944" w:type="dxa"/>
            <w:tcMar>
              <w:top w:w="75" w:type="dxa"/>
              <w:left w:w="70" w:type="dxa"/>
              <w:bottom w:w="75" w:type="dxa"/>
              <w:right w:w="70" w:type="dxa"/>
            </w:tcMar>
            <w:vAlign w:val="center"/>
          </w:tcPr>
          <w:p w14:paraId="095CB216" w14:textId="77777777" w:rsidR="008C5708" w:rsidRDefault="00000000">
            <w:pPr>
              <w:spacing w:after="0"/>
            </w:pPr>
            <w:r>
              <w:rPr>
                <w:sz w:val="15"/>
              </w:rPr>
              <w:t>Privacy, consent, cybersecurity and concentration of platform power</w:t>
            </w:r>
          </w:p>
        </w:tc>
        <w:tc>
          <w:tcPr>
            <w:tcW w:w="1440" w:type="dxa"/>
            <w:tcMar>
              <w:top w:w="75" w:type="dxa"/>
              <w:left w:w="70" w:type="dxa"/>
              <w:bottom w:w="75" w:type="dxa"/>
              <w:right w:w="70" w:type="dxa"/>
            </w:tcMar>
            <w:vAlign w:val="center"/>
          </w:tcPr>
          <w:p w14:paraId="44289935" w14:textId="77777777" w:rsidR="008C5708" w:rsidRDefault="00000000">
            <w:pPr>
              <w:spacing w:after="0"/>
              <w:jc w:val="left"/>
            </w:pPr>
            <w:r>
              <w:rPr>
                <w:sz w:val="15"/>
              </w:rPr>
              <w:t>Government of India (2025a); Klerkx et al. (2019); Wolfert et al. (2017)</w:t>
            </w:r>
          </w:p>
        </w:tc>
      </w:tr>
    </w:tbl>
    <w:p w14:paraId="2DB771D2" w14:textId="77777777" w:rsidR="008C5708" w:rsidRDefault="00000000">
      <w:pPr>
        <w:pStyle w:val="TableNote"/>
        <w:spacing w:before="60" w:after="140"/>
      </w:pPr>
      <w:r>
        <w:rPr>
          <w:i/>
        </w:rPr>
        <w:t>Note. The listed responses are plausible institutional mechanisms; their inclusion does not imply proven effectiveness in every setting.</w:t>
      </w:r>
    </w:p>
    <w:p w14:paraId="71964EF1" w14:textId="77777777" w:rsidR="008C5708" w:rsidRDefault="00000000">
      <w:pPr>
        <w:pStyle w:val="Heading1"/>
      </w:pPr>
      <w:r>
        <w:lastRenderedPageBreak/>
        <w:t>7. Sustainability, Resilience and Trade-offs</w:t>
      </w:r>
    </w:p>
    <w:p w14:paraId="2E5F6299" w14:textId="77777777" w:rsidR="008C5708" w:rsidRDefault="00000000">
      <w:pPr>
        <w:pStyle w:val="Heading2"/>
      </w:pPr>
      <w:r>
        <w:t>7.1 Efficiency gains versus absolute environmental outcomes</w:t>
      </w:r>
    </w:p>
    <w:p w14:paraId="1C56428E" w14:textId="77777777" w:rsidR="008C5708" w:rsidRDefault="00000000">
      <w:r>
        <w:t>Precision farming is often presented as inherently sustainable because it can reduce input use per unit of output. The evidence supports a more conditional statement. Precision technologies can improve efficiency when they correct spatial or temporal mismatch between input supply and crop demand, but the environmental outcome depends on what happens to total input use, land use and production intensity. Global reviews identify credible pathways to lower greenhouse-gas emissions, fertiliser losses, pesticide use and fuel consumption in selected applications (Balafoutis et al., 2017; Finger et al., 2019; Getahun et al., 2024). The magnitude varies substantially by technology and baseline management.</w:t>
      </w:r>
    </w:p>
    <w:p w14:paraId="3443F331" w14:textId="77777777" w:rsidR="008C5708" w:rsidRDefault="00000000">
      <w:r>
        <w:t>Nitrogen provides the clearest example. If a farmer is over-applying nitrogen, a crop- or site-specific recommendation can reduce expenditure and lower the nitrogen surplus without sacrificing yield. Coggins et al. (2025) found that excess nitrogen use was common across a large South Asian rice dataset and that improved targeting offered substantial scope to raise nitrogen-use efficiency. Sherpa et al. (2025) similarly modelled reductions in nitrogen use and nitrous oxide emissions for wheat under a data-driven strategy. These results are environmentally important, but one is observational and the other ex-ante. Direct measurements of emissions, leaching or water quality under scaled Indian precision programmes remain much less common than measurements of yield and fertiliser rate.</w:t>
      </w:r>
    </w:p>
    <w:p w14:paraId="2DD55BB8" w14:textId="77777777" w:rsidR="008C5708" w:rsidRDefault="00000000">
      <w:r>
        <w:t>Water follows a similar pattern. Precision levelling and drip systems can reduce applied irrigation water and pumping energy at the field level (Jat et al., 2009; Sinha et al., 2017). Whether those savings reduce basin-level depletion depends on hydrology and farmer response. A farmer may use saved water to irrigate a larger area, shift to a more water-intensive crop or increase irrigation frequency. This rebound does not erase farm-level efficiency but weakens claims that application savings directly equal resource conservation.</w:t>
      </w:r>
    </w:p>
    <w:p w14:paraId="6D2C6F2B" w14:textId="77777777" w:rsidR="008C5708" w:rsidRDefault="00000000">
      <w:pPr>
        <w:pStyle w:val="Heading2"/>
      </w:pPr>
      <w:r>
        <w:t>7.2 Sustainability under heterogeneous farm performance</w:t>
      </w:r>
    </w:p>
    <w:p w14:paraId="5CB1AFD8" w14:textId="77777777" w:rsidR="008C5708" w:rsidRDefault="00000000">
      <w:r>
        <w:t>The sustainability value of precision farming may be greatest where average performance statistics conceal a long tail of inefficient farms. Nayak et al. (2025) examined thousands of wheat fields in north-west India and found material variation in productivity, profitability, greenhouse-gas emissions and nutrient-use performance even in a region where yield gaps were comparatively small. The study suggests that sustainability policy should not focus exclusively on increasing average yield. Identifying poorly performing combinations of tillage, residue and nitrogen management may deliver larger gains than pushing already efficient farms towards marginal yield increments.</w:t>
      </w:r>
    </w:p>
    <w:p w14:paraId="27B3C89D" w14:textId="77777777" w:rsidR="008C5708" w:rsidRDefault="00000000">
      <w:r>
        <w:t>This creates an important role for precision diagnostics, but also a targeting problem. The farms with the largest potential gains may be those with weakest access to capital, extension or reliable services. If digital precision reaches mainly larger or better-connected farms, average efficiency can improve while inequality in technical capability widens. The social-science literature on digital agriculture therefore treats inclusiveness, skill, institutional capacity and power relationships as part of technology performance rather than external concerns (Klerkx et al., 2019).</w:t>
      </w:r>
    </w:p>
    <w:p w14:paraId="3723EC07" w14:textId="77777777" w:rsidR="008C5708" w:rsidRDefault="00000000">
      <w:r>
        <w:t>Resilience claims also require calibration. Better weather, soil and crop information can improve timing and support adaptation to variable conditions. Precision irrigation can help buffer water stress where a controllable water source exists. Yet dependence on connectivity, sensors, cloud services or proprietary platforms can introduce new failure modes. A low-tech crop-colour threshold may remain usable during a network outage; a fully connected system may not. Resilient precision farming should therefore be judged partly by graceful degradation: whether a farmer can continue making defensible decisions when one digital component fails.</w:t>
      </w:r>
    </w:p>
    <w:p w14:paraId="78229CD6" w14:textId="77777777" w:rsidR="008C5708" w:rsidRDefault="00000000">
      <w:pPr>
        <w:pStyle w:val="Heading2"/>
      </w:pPr>
      <w:r>
        <w:lastRenderedPageBreak/>
        <w:t>7.3 Life-cycle and rebound effects</w:t>
      </w:r>
    </w:p>
    <w:p w14:paraId="62E7A4D7" w14:textId="77777777" w:rsidR="008C5708" w:rsidRDefault="00000000">
      <w:r>
        <w:t>Most precision-agriculture studies measure operational benefits and give less attention to embodied materials, batteries, electronics, device replacement and data-processing infrastructure. These life-cycle burdens may be small relative to fertiliser or irrigation impacts in some systems, but they should not be presumed negligible. The environmental case is strongest where a durable device or shared service enables repeated reductions in a high-impact input. It is weaker where hardware is rapidly obsolete, poorly utilised or added without changing management.</w:t>
      </w:r>
    </w:p>
    <w:p w14:paraId="6BABC9E8" w14:textId="77777777" w:rsidR="008C5708" w:rsidRDefault="00000000">
      <w:r>
        <w:t>Rebound effects also matter economically. If precision reduces pesticide or water cost, the savings can finance expansion or more intensive input use elsewhere. If higher expected yields increase land rental values, benefits may be redistributed between operators and owners. Such second-order effects are rarely measured in agronomic trials but can determine whether private efficiency translates into system-level sustainability.</w:t>
      </w:r>
    </w:p>
    <w:p w14:paraId="386DC883" w14:textId="77777777" w:rsidR="008C5708" w:rsidRDefault="00000000">
      <w:r>
        <w:t>A balanced interpretation is therefore that precision farming is an enabling strategy, not a sustainability guarantee. Its environmental performance depends on baseline inefficiency, the specific input being targeted, the behavioural response to savings and the scale at which outcomes are measured. Table 5 summarises the strongest sustainability pathways, the principal countervailing risks and the confidence that can reasonably be assigned to current evidence.</w:t>
      </w:r>
    </w:p>
    <w:p w14:paraId="66B20D8C" w14:textId="77777777" w:rsidR="008C5708" w:rsidRDefault="00000000">
      <w:pPr>
        <w:pStyle w:val="TableCaption"/>
      </w:pPr>
      <w:r>
        <w:t>Table 5. Sustainability pathways, trade-offs and confidence in current evidence</w:t>
      </w:r>
    </w:p>
    <w:tbl>
      <w:tblPr>
        <w:tblStyle w:val="TableGrid"/>
        <w:tblW w:w="0" w:type="auto"/>
        <w:jc w:val="center"/>
        <w:tblLayout w:type="fixed"/>
        <w:tblLook w:val="04A0" w:firstRow="1" w:lastRow="0" w:firstColumn="1" w:lastColumn="0" w:noHBand="0" w:noVBand="1"/>
      </w:tblPr>
      <w:tblGrid>
        <w:gridCol w:w="1440"/>
        <w:gridCol w:w="1656"/>
        <w:gridCol w:w="1800"/>
        <w:gridCol w:w="1800"/>
        <w:gridCol w:w="1152"/>
        <w:gridCol w:w="1944"/>
      </w:tblGrid>
      <w:tr w:rsidR="008C5708" w14:paraId="769AC9E1" w14:textId="77777777">
        <w:trPr>
          <w:tblHeader/>
          <w:jc w:val="center"/>
        </w:trPr>
        <w:tc>
          <w:tcPr>
            <w:tcW w:w="1440" w:type="dxa"/>
            <w:shd w:val="clear" w:color="auto" w:fill="D9E2F3"/>
            <w:tcMar>
              <w:top w:w="90" w:type="dxa"/>
              <w:left w:w="80" w:type="dxa"/>
              <w:bottom w:w="90" w:type="dxa"/>
              <w:right w:w="80" w:type="dxa"/>
            </w:tcMar>
            <w:vAlign w:val="center"/>
          </w:tcPr>
          <w:p w14:paraId="57BEAA65" w14:textId="77777777" w:rsidR="008C5708" w:rsidRDefault="00000000">
            <w:pPr>
              <w:spacing w:after="0"/>
              <w:jc w:val="center"/>
            </w:pPr>
            <w:r>
              <w:rPr>
                <w:b/>
                <w:sz w:val="16"/>
              </w:rPr>
              <w:t>Sustainability dimension</w:t>
            </w:r>
          </w:p>
        </w:tc>
        <w:tc>
          <w:tcPr>
            <w:tcW w:w="1656" w:type="dxa"/>
            <w:shd w:val="clear" w:color="auto" w:fill="D9E2F3"/>
            <w:tcMar>
              <w:top w:w="90" w:type="dxa"/>
              <w:left w:w="80" w:type="dxa"/>
              <w:bottom w:w="90" w:type="dxa"/>
              <w:right w:w="80" w:type="dxa"/>
            </w:tcMar>
            <w:vAlign w:val="center"/>
          </w:tcPr>
          <w:p w14:paraId="489BCC2B" w14:textId="77777777" w:rsidR="008C5708" w:rsidRDefault="00000000">
            <w:pPr>
              <w:spacing w:after="0"/>
              <w:jc w:val="center"/>
            </w:pPr>
            <w:r>
              <w:rPr>
                <w:b/>
                <w:sz w:val="16"/>
              </w:rPr>
              <w:t>Precision pathway</w:t>
            </w:r>
          </w:p>
        </w:tc>
        <w:tc>
          <w:tcPr>
            <w:tcW w:w="1800" w:type="dxa"/>
            <w:shd w:val="clear" w:color="auto" w:fill="D9E2F3"/>
            <w:tcMar>
              <w:top w:w="90" w:type="dxa"/>
              <w:left w:w="80" w:type="dxa"/>
              <w:bottom w:w="90" w:type="dxa"/>
              <w:right w:w="80" w:type="dxa"/>
            </w:tcMar>
            <w:vAlign w:val="center"/>
          </w:tcPr>
          <w:p w14:paraId="1BF4618B" w14:textId="77777777" w:rsidR="008C5708" w:rsidRDefault="00000000">
            <w:pPr>
              <w:spacing w:after="0"/>
              <w:jc w:val="center"/>
            </w:pPr>
            <w:r>
              <w:rPr>
                <w:b/>
                <w:sz w:val="16"/>
              </w:rPr>
              <w:t>Current evidence</w:t>
            </w:r>
          </w:p>
        </w:tc>
        <w:tc>
          <w:tcPr>
            <w:tcW w:w="1800" w:type="dxa"/>
            <w:shd w:val="clear" w:color="auto" w:fill="D9E2F3"/>
            <w:tcMar>
              <w:top w:w="90" w:type="dxa"/>
              <w:left w:w="80" w:type="dxa"/>
              <w:bottom w:w="90" w:type="dxa"/>
              <w:right w:w="80" w:type="dxa"/>
            </w:tcMar>
            <w:vAlign w:val="center"/>
          </w:tcPr>
          <w:p w14:paraId="094ED5C2" w14:textId="77777777" w:rsidR="008C5708" w:rsidRDefault="00000000">
            <w:pPr>
              <w:spacing w:after="0"/>
              <w:jc w:val="center"/>
            </w:pPr>
            <w:r>
              <w:rPr>
                <w:b/>
                <w:sz w:val="16"/>
              </w:rPr>
              <w:t>Countervailing risk</w:t>
            </w:r>
          </w:p>
        </w:tc>
        <w:tc>
          <w:tcPr>
            <w:tcW w:w="1152" w:type="dxa"/>
            <w:shd w:val="clear" w:color="auto" w:fill="D9E2F3"/>
            <w:tcMar>
              <w:top w:w="90" w:type="dxa"/>
              <w:left w:w="80" w:type="dxa"/>
              <w:bottom w:w="90" w:type="dxa"/>
              <w:right w:w="80" w:type="dxa"/>
            </w:tcMar>
            <w:vAlign w:val="center"/>
          </w:tcPr>
          <w:p w14:paraId="306B3929" w14:textId="77777777" w:rsidR="008C5708" w:rsidRDefault="00000000">
            <w:pPr>
              <w:spacing w:after="0"/>
              <w:jc w:val="center"/>
            </w:pPr>
            <w:r>
              <w:rPr>
                <w:b/>
                <w:sz w:val="16"/>
              </w:rPr>
              <w:t>Confidence</w:t>
            </w:r>
          </w:p>
        </w:tc>
        <w:tc>
          <w:tcPr>
            <w:tcW w:w="1944" w:type="dxa"/>
            <w:shd w:val="clear" w:color="auto" w:fill="D9E2F3"/>
            <w:tcMar>
              <w:top w:w="90" w:type="dxa"/>
              <w:left w:w="80" w:type="dxa"/>
              <w:bottom w:w="90" w:type="dxa"/>
              <w:right w:w="80" w:type="dxa"/>
            </w:tcMar>
            <w:vAlign w:val="center"/>
          </w:tcPr>
          <w:p w14:paraId="1C7CB0E4" w14:textId="77777777" w:rsidR="008C5708" w:rsidRDefault="00000000">
            <w:pPr>
              <w:spacing w:after="0"/>
              <w:jc w:val="center"/>
            </w:pPr>
            <w:r>
              <w:rPr>
                <w:b/>
                <w:sz w:val="16"/>
              </w:rPr>
              <w:t>Supporting references</w:t>
            </w:r>
          </w:p>
        </w:tc>
      </w:tr>
      <w:tr w:rsidR="008C5708" w14:paraId="7B16943F" w14:textId="77777777">
        <w:trPr>
          <w:cantSplit/>
          <w:jc w:val="center"/>
        </w:trPr>
        <w:tc>
          <w:tcPr>
            <w:tcW w:w="1440" w:type="dxa"/>
            <w:tcMar>
              <w:top w:w="75" w:type="dxa"/>
              <w:left w:w="70" w:type="dxa"/>
              <w:bottom w:w="75" w:type="dxa"/>
              <w:right w:w="70" w:type="dxa"/>
            </w:tcMar>
            <w:vAlign w:val="center"/>
          </w:tcPr>
          <w:p w14:paraId="2B3FBFA4" w14:textId="77777777" w:rsidR="008C5708" w:rsidRDefault="00000000">
            <w:pPr>
              <w:spacing w:after="0"/>
            </w:pPr>
            <w:r>
              <w:rPr>
                <w:sz w:val="15"/>
              </w:rPr>
              <w:t>Nitrogen</w:t>
            </w:r>
          </w:p>
        </w:tc>
        <w:tc>
          <w:tcPr>
            <w:tcW w:w="1656" w:type="dxa"/>
            <w:tcMar>
              <w:top w:w="75" w:type="dxa"/>
              <w:left w:w="70" w:type="dxa"/>
              <w:bottom w:w="75" w:type="dxa"/>
              <w:right w:w="70" w:type="dxa"/>
            </w:tcMar>
            <w:vAlign w:val="center"/>
          </w:tcPr>
          <w:p w14:paraId="47A7B6A4" w14:textId="77777777" w:rsidR="008C5708" w:rsidRDefault="00000000">
            <w:pPr>
              <w:spacing w:after="0"/>
            </w:pPr>
            <w:r>
              <w:rPr>
                <w:sz w:val="15"/>
              </w:rPr>
              <w:t>Match rate and timing to crop/field need</w:t>
            </w:r>
          </w:p>
        </w:tc>
        <w:tc>
          <w:tcPr>
            <w:tcW w:w="1800" w:type="dxa"/>
            <w:tcMar>
              <w:top w:w="75" w:type="dxa"/>
              <w:left w:w="70" w:type="dxa"/>
              <w:bottom w:w="75" w:type="dxa"/>
              <w:right w:w="70" w:type="dxa"/>
            </w:tcMar>
            <w:vAlign w:val="center"/>
          </w:tcPr>
          <w:p w14:paraId="08169709" w14:textId="77777777" w:rsidR="008C5708" w:rsidRDefault="00000000">
            <w:pPr>
              <w:spacing w:after="0"/>
            </w:pPr>
            <w:r>
              <w:rPr>
                <w:sz w:val="15"/>
              </w:rPr>
              <w:t>Indian experiments and large-n analyses support scope for higher N-use efficiency and lower surplus</w:t>
            </w:r>
          </w:p>
        </w:tc>
        <w:tc>
          <w:tcPr>
            <w:tcW w:w="1800" w:type="dxa"/>
            <w:tcMar>
              <w:top w:w="75" w:type="dxa"/>
              <w:left w:w="70" w:type="dxa"/>
              <w:bottom w:w="75" w:type="dxa"/>
              <w:right w:w="70" w:type="dxa"/>
            </w:tcMar>
            <w:vAlign w:val="center"/>
          </w:tcPr>
          <w:p w14:paraId="65ACE57F" w14:textId="77777777" w:rsidR="008C5708" w:rsidRDefault="00000000">
            <w:pPr>
              <w:spacing w:after="0"/>
            </w:pPr>
            <w:r>
              <w:rPr>
                <w:sz w:val="15"/>
              </w:rPr>
              <w:t>Incorrect calibration can under- or over-supply N; modelled savings may not be realised</w:t>
            </w:r>
          </w:p>
        </w:tc>
        <w:tc>
          <w:tcPr>
            <w:tcW w:w="1152" w:type="dxa"/>
            <w:tcMar>
              <w:top w:w="75" w:type="dxa"/>
              <w:left w:w="70" w:type="dxa"/>
              <w:bottom w:w="75" w:type="dxa"/>
              <w:right w:w="70" w:type="dxa"/>
            </w:tcMar>
            <w:vAlign w:val="center"/>
          </w:tcPr>
          <w:p w14:paraId="34ED1FF0" w14:textId="77777777" w:rsidR="008C5708" w:rsidRDefault="00000000">
            <w:pPr>
              <w:spacing w:after="0"/>
            </w:pPr>
            <w:r>
              <w:rPr>
                <w:sz w:val="15"/>
              </w:rPr>
              <w:t>Moderate to strong for efficiency; lower for scaled pollution reduction</w:t>
            </w:r>
          </w:p>
        </w:tc>
        <w:tc>
          <w:tcPr>
            <w:tcW w:w="1944" w:type="dxa"/>
            <w:tcMar>
              <w:top w:w="75" w:type="dxa"/>
              <w:left w:w="70" w:type="dxa"/>
              <w:bottom w:w="75" w:type="dxa"/>
              <w:right w:w="70" w:type="dxa"/>
            </w:tcMar>
            <w:vAlign w:val="center"/>
          </w:tcPr>
          <w:p w14:paraId="07EF1C1F" w14:textId="77777777" w:rsidR="008C5708" w:rsidRDefault="00000000">
            <w:pPr>
              <w:spacing w:after="0"/>
              <w:jc w:val="left"/>
            </w:pPr>
            <w:r>
              <w:rPr>
                <w:sz w:val="15"/>
              </w:rPr>
              <w:t>Coggins et al. (2025); Khurana et al. (2007); Sherpa et al. (2025); Singh et al. (2017)</w:t>
            </w:r>
          </w:p>
        </w:tc>
      </w:tr>
      <w:tr w:rsidR="008C5708" w14:paraId="035279E7" w14:textId="77777777">
        <w:trPr>
          <w:cantSplit/>
          <w:jc w:val="center"/>
        </w:trPr>
        <w:tc>
          <w:tcPr>
            <w:tcW w:w="1440" w:type="dxa"/>
            <w:tcMar>
              <w:top w:w="75" w:type="dxa"/>
              <w:left w:w="70" w:type="dxa"/>
              <w:bottom w:w="75" w:type="dxa"/>
              <w:right w:w="70" w:type="dxa"/>
            </w:tcMar>
            <w:vAlign w:val="center"/>
          </w:tcPr>
          <w:p w14:paraId="2C421D90" w14:textId="77777777" w:rsidR="008C5708" w:rsidRDefault="00000000">
            <w:pPr>
              <w:spacing w:after="0"/>
            </w:pPr>
            <w:r>
              <w:rPr>
                <w:sz w:val="15"/>
              </w:rPr>
              <w:t>Irrigation water</w:t>
            </w:r>
          </w:p>
        </w:tc>
        <w:tc>
          <w:tcPr>
            <w:tcW w:w="1656" w:type="dxa"/>
            <w:tcMar>
              <w:top w:w="75" w:type="dxa"/>
              <w:left w:w="70" w:type="dxa"/>
              <w:bottom w:w="75" w:type="dxa"/>
              <w:right w:w="70" w:type="dxa"/>
            </w:tcMar>
            <w:vAlign w:val="center"/>
          </w:tcPr>
          <w:p w14:paraId="7F74EDB5" w14:textId="77777777" w:rsidR="008C5708" w:rsidRDefault="00000000">
            <w:pPr>
              <w:spacing w:after="0"/>
            </w:pPr>
            <w:r>
              <w:rPr>
                <w:sz w:val="15"/>
              </w:rPr>
              <w:t>Improve field uniformity and target irrigation to need</w:t>
            </w:r>
          </w:p>
        </w:tc>
        <w:tc>
          <w:tcPr>
            <w:tcW w:w="1800" w:type="dxa"/>
            <w:tcMar>
              <w:top w:w="75" w:type="dxa"/>
              <w:left w:w="70" w:type="dxa"/>
              <w:bottom w:w="75" w:type="dxa"/>
              <w:right w:w="70" w:type="dxa"/>
            </w:tcMar>
            <w:vAlign w:val="center"/>
          </w:tcPr>
          <w:p w14:paraId="43D03523" w14:textId="77777777" w:rsidR="008C5708" w:rsidRDefault="00000000">
            <w:pPr>
              <w:spacing w:after="0"/>
            </w:pPr>
            <w:r>
              <w:rPr>
                <w:sz w:val="15"/>
              </w:rPr>
              <w:t>Field studies support lower applied water with levelling, AWD and drip approaches</w:t>
            </w:r>
          </w:p>
        </w:tc>
        <w:tc>
          <w:tcPr>
            <w:tcW w:w="1800" w:type="dxa"/>
            <w:tcMar>
              <w:top w:w="75" w:type="dxa"/>
              <w:left w:w="70" w:type="dxa"/>
              <w:bottom w:w="75" w:type="dxa"/>
              <w:right w:w="70" w:type="dxa"/>
            </w:tcMar>
            <w:vAlign w:val="center"/>
          </w:tcPr>
          <w:p w14:paraId="25934746" w14:textId="77777777" w:rsidR="008C5708" w:rsidRDefault="00000000">
            <w:pPr>
              <w:spacing w:after="0"/>
            </w:pPr>
            <w:r>
              <w:rPr>
                <w:sz w:val="15"/>
              </w:rPr>
              <w:t>Field savings may partly become return flow; rebound can offset basin savings</w:t>
            </w:r>
          </w:p>
        </w:tc>
        <w:tc>
          <w:tcPr>
            <w:tcW w:w="1152" w:type="dxa"/>
            <w:tcMar>
              <w:top w:w="75" w:type="dxa"/>
              <w:left w:w="70" w:type="dxa"/>
              <w:bottom w:w="75" w:type="dxa"/>
              <w:right w:w="70" w:type="dxa"/>
            </w:tcMar>
            <w:vAlign w:val="center"/>
          </w:tcPr>
          <w:p w14:paraId="1E220DD1" w14:textId="77777777" w:rsidR="008C5708" w:rsidRDefault="00000000">
            <w:pPr>
              <w:spacing w:after="0"/>
            </w:pPr>
            <w:r>
              <w:rPr>
                <w:sz w:val="15"/>
              </w:rPr>
              <w:t>Strong for field application efficiency; moderate for absolute conservation</w:t>
            </w:r>
          </w:p>
        </w:tc>
        <w:tc>
          <w:tcPr>
            <w:tcW w:w="1944" w:type="dxa"/>
            <w:tcMar>
              <w:top w:w="75" w:type="dxa"/>
              <w:left w:w="70" w:type="dxa"/>
              <w:bottom w:w="75" w:type="dxa"/>
              <w:right w:w="70" w:type="dxa"/>
            </w:tcMar>
            <w:vAlign w:val="center"/>
          </w:tcPr>
          <w:p w14:paraId="1B78C60C" w14:textId="77777777" w:rsidR="008C5708" w:rsidRDefault="00000000">
            <w:pPr>
              <w:spacing w:after="0"/>
              <w:jc w:val="left"/>
            </w:pPr>
            <w:r>
              <w:rPr>
                <w:sz w:val="15"/>
              </w:rPr>
              <w:t>Jat et al. (2009); Singh &amp; Chakraborti (2019); Sinha et al. (2017)</w:t>
            </w:r>
          </w:p>
        </w:tc>
      </w:tr>
      <w:tr w:rsidR="008C5708" w14:paraId="569CAAC0" w14:textId="77777777">
        <w:trPr>
          <w:cantSplit/>
          <w:jc w:val="center"/>
        </w:trPr>
        <w:tc>
          <w:tcPr>
            <w:tcW w:w="1440" w:type="dxa"/>
            <w:tcMar>
              <w:top w:w="75" w:type="dxa"/>
              <w:left w:w="70" w:type="dxa"/>
              <w:bottom w:w="75" w:type="dxa"/>
              <w:right w:w="70" w:type="dxa"/>
            </w:tcMar>
            <w:vAlign w:val="center"/>
          </w:tcPr>
          <w:p w14:paraId="0E1B4799" w14:textId="77777777" w:rsidR="008C5708" w:rsidRDefault="00000000">
            <w:pPr>
              <w:spacing w:after="0"/>
            </w:pPr>
            <w:r>
              <w:rPr>
                <w:sz w:val="15"/>
              </w:rPr>
              <w:t>Energy</w:t>
            </w:r>
          </w:p>
        </w:tc>
        <w:tc>
          <w:tcPr>
            <w:tcW w:w="1656" w:type="dxa"/>
            <w:tcMar>
              <w:top w:w="75" w:type="dxa"/>
              <w:left w:w="70" w:type="dxa"/>
              <w:bottom w:w="75" w:type="dxa"/>
              <w:right w:w="70" w:type="dxa"/>
            </w:tcMar>
            <w:vAlign w:val="center"/>
          </w:tcPr>
          <w:p w14:paraId="4796604C" w14:textId="77777777" w:rsidR="008C5708" w:rsidRDefault="00000000">
            <w:pPr>
              <w:spacing w:after="0"/>
            </w:pPr>
            <w:r>
              <w:rPr>
                <w:sz w:val="15"/>
              </w:rPr>
              <w:t>Reduce pumping, passes or application time</w:t>
            </w:r>
          </w:p>
        </w:tc>
        <w:tc>
          <w:tcPr>
            <w:tcW w:w="1800" w:type="dxa"/>
            <w:tcMar>
              <w:top w:w="75" w:type="dxa"/>
              <w:left w:w="70" w:type="dxa"/>
              <w:bottom w:w="75" w:type="dxa"/>
              <w:right w:w="70" w:type="dxa"/>
            </w:tcMar>
            <w:vAlign w:val="center"/>
          </w:tcPr>
          <w:p w14:paraId="6EF9186D" w14:textId="77777777" w:rsidR="008C5708" w:rsidRDefault="00000000">
            <w:pPr>
              <w:spacing w:after="0"/>
            </w:pPr>
            <w:r>
              <w:rPr>
                <w:sz w:val="15"/>
              </w:rPr>
              <w:t>Energy-productivity benefits reported for drip and drone operations</w:t>
            </w:r>
          </w:p>
        </w:tc>
        <w:tc>
          <w:tcPr>
            <w:tcW w:w="1800" w:type="dxa"/>
            <w:tcMar>
              <w:top w:w="75" w:type="dxa"/>
              <w:left w:w="70" w:type="dxa"/>
              <w:bottom w:w="75" w:type="dxa"/>
              <w:right w:w="70" w:type="dxa"/>
            </w:tcMar>
            <w:vAlign w:val="center"/>
          </w:tcPr>
          <w:p w14:paraId="652AFF1D" w14:textId="77777777" w:rsidR="008C5708" w:rsidRDefault="00000000">
            <w:pPr>
              <w:spacing w:after="0"/>
            </w:pPr>
            <w:r>
              <w:rPr>
                <w:sz w:val="15"/>
              </w:rPr>
              <w:t>Embodied hardware and service travel are rarely included</w:t>
            </w:r>
          </w:p>
        </w:tc>
        <w:tc>
          <w:tcPr>
            <w:tcW w:w="1152" w:type="dxa"/>
            <w:tcMar>
              <w:top w:w="75" w:type="dxa"/>
              <w:left w:w="70" w:type="dxa"/>
              <w:bottom w:w="75" w:type="dxa"/>
              <w:right w:w="70" w:type="dxa"/>
            </w:tcMar>
            <w:vAlign w:val="center"/>
          </w:tcPr>
          <w:p w14:paraId="3D89DC91" w14:textId="77777777" w:rsidR="008C5708" w:rsidRDefault="00000000">
            <w:pPr>
              <w:spacing w:after="0"/>
            </w:pPr>
            <w:r>
              <w:rPr>
                <w:sz w:val="15"/>
              </w:rPr>
              <w:t>Moderate for operational energy; low for full life cycle</w:t>
            </w:r>
          </w:p>
        </w:tc>
        <w:tc>
          <w:tcPr>
            <w:tcW w:w="1944" w:type="dxa"/>
            <w:tcMar>
              <w:top w:w="75" w:type="dxa"/>
              <w:left w:w="70" w:type="dxa"/>
              <w:bottom w:w="75" w:type="dxa"/>
              <w:right w:w="70" w:type="dxa"/>
            </w:tcMar>
            <w:vAlign w:val="center"/>
          </w:tcPr>
          <w:p w14:paraId="6CDF8921" w14:textId="77777777" w:rsidR="008C5708" w:rsidRDefault="00000000">
            <w:pPr>
              <w:spacing w:after="0"/>
              <w:jc w:val="left"/>
            </w:pPr>
            <w:r>
              <w:rPr>
                <w:sz w:val="15"/>
              </w:rPr>
              <w:t>Paul et al. (2023); Sinha et al. (2017)</w:t>
            </w:r>
          </w:p>
        </w:tc>
      </w:tr>
      <w:tr w:rsidR="008C5708" w14:paraId="11BDF259" w14:textId="77777777">
        <w:trPr>
          <w:cantSplit/>
          <w:jc w:val="center"/>
        </w:trPr>
        <w:tc>
          <w:tcPr>
            <w:tcW w:w="1440" w:type="dxa"/>
            <w:tcMar>
              <w:top w:w="75" w:type="dxa"/>
              <w:left w:w="70" w:type="dxa"/>
              <w:bottom w:w="75" w:type="dxa"/>
              <w:right w:w="70" w:type="dxa"/>
            </w:tcMar>
            <w:vAlign w:val="center"/>
          </w:tcPr>
          <w:p w14:paraId="534F7A04" w14:textId="77777777" w:rsidR="008C5708" w:rsidRDefault="00000000">
            <w:pPr>
              <w:spacing w:after="0"/>
            </w:pPr>
            <w:r>
              <w:rPr>
                <w:sz w:val="15"/>
              </w:rPr>
              <w:t>Greenhouse-gas emissions</w:t>
            </w:r>
          </w:p>
        </w:tc>
        <w:tc>
          <w:tcPr>
            <w:tcW w:w="1656" w:type="dxa"/>
            <w:tcMar>
              <w:top w:w="75" w:type="dxa"/>
              <w:left w:w="70" w:type="dxa"/>
              <w:bottom w:w="75" w:type="dxa"/>
              <w:right w:w="70" w:type="dxa"/>
            </w:tcMar>
            <w:vAlign w:val="center"/>
          </w:tcPr>
          <w:p w14:paraId="2B08C55E" w14:textId="77777777" w:rsidR="008C5708" w:rsidRDefault="00000000">
            <w:pPr>
              <w:spacing w:after="0"/>
            </w:pPr>
            <w:r>
              <w:rPr>
                <w:sz w:val="15"/>
              </w:rPr>
              <w:t>Reduce excess N, fuel and inefficient field operations</w:t>
            </w:r>
          </w:p>
        </w:tc>
        <w:tc>
          <w:tcPr>
            <w:tcW w:w="1800" w:type="dxa"/>
            <w:tcMar>
              <w:top w:w="75" w:type="dxa"/>
              <w:left w:w="70" w:type="dxa"/>
              <w:bottom w:w="75" w:type="dxa"/>
              <w:right w:w="70" w:type="dxa"/>
            </w:tcMar>
            <w:vAlign w:val="center"/>
          </w:tcPr>
          <w:p w14:paraId="0A887FCB" w14:textId="77777777" w:rsidR="008C5708" w:rsidRDefault="00000000">
            <w:pPr>
              <w:spacing w:after="0"/>
            </w:pPr>
            <w:r>
              <w:rPr>
                <w:sz w:val="15"/>
              </w:rPr>
              <w:t>Global reviews and Indian modelling indicate plausible reductions</w:t>
            </w:r>
          </w:p>
        </w:tc>
        <w:tc>
          <w:tcPr>
            <w:tcW w:w="1800" w:type="dxa"/>
            <w:tcMar>
              <w:top w:w="75" w:type="dxa"/>
              <w:left w:w="70" w:type="dxa"/>
              <w:bottom w:w="75" w:type="dxa"/>
              <w:right w:w="70" w:type="dxa"/>
            </w:tcMar>
            <w:vAlign w:val="center"/>
          </w:tcPr>
          <w:p w14:paraId="319B3DA7" w14:textId="77777777" w:rsidR="008C5708" w:rsidRDefault="00000000">
            <w:pPr>
              <w:spacing w:after="0"/>
            </w:pPr>
            <w:r>
              <w:rPr>
                <w:sz w:val="15"/>
              </w:rPr>
              <w:t>Direct multi-season field measurements remain scarce</w:t>
            </w:r>
          </w:p>
        </w:tc>
        <w:tc>
          <w:tcPr>
            <w:tcW w:w="1152" w:type="dxa"/>
            <w:tcMar>
              <w:top w:w="75" w:type="dxa"/>
              <w:left w:w="70" w:type="dxa"/>
              <w:bottom w:w="75" w:type="dxa"/>
              <w:right w:w="70" w:type="dxa"/>
            </w:tcMar>
            <w:vAlign w:val="center"/>
          </w:tcPr>
          <w:p w14:paraId="2B98FE45" w14:textId="77777777" w:rsidR="008C5708" w:rsidRDefault="00000000">
            <w:pPr>
              <w:spacing w:after="0"/>
            </w:pPr>
            <w:r>
              <w:rPr>
                <w:sz w:val="15"/>
              </w:rPr>
              <w:t>Moderate for mechanism; low-to-moderate for India-wide absolute effect</w:t>
            </w:r>
          </w:p>
        </w:tc>
        <w:tc>
          <w:tcPr>
            <w:tcW w:w="1944" w:type="dxa"/>
            <w:tcMar>
              <w:top w:w="75" w:type="dxa"/>
              <w:left w:w="70" w:type="dxa"/>
              <w:bottom w:w="75" w:type="dxa"/>
              <w:right w:w="70" w:type="dxa"/>
            </w:tcMar>
            <w:vAlign w:val="center"/>
          </w:tcPr>
          <w:p w14:paraId="275F654D" w14:textId="77777777" w:rsidR="008C5708" w:rsidRDefault="00000000">
            <w:pPr>
              <w:spacing w:after="0"/>
              <w:jc w:val="left"/>
            </w:pPr>
            <w:r>
              <w:rPr>
                <w:sz w:val="15"/>
              </w:rPr>
              <w:t>Balafoutis et al. (2017); Finger et al. (2019); Sherpa et al. (2025)</w:t>
            </w:r>
          </w:p>
        </w:tc>
      </w:tr>
      <w:tr w:rsidR="008C5708" w14:paraId="4EC959D7" w14:textId="77777777">
        <w:trPr>
          <w:cantSplit/>
          <w:jc w:val="center"/>
        </w:trPr>
        <w:tc>
          <w:tcPr>
            <w:tcW w:w="1440" w:type="dxa"/>
            <w:tcMar>
              <w:top w:w="75" w:type="dxa"/>
              <w:left w:w="70" w:type="dxa"/>
              <w:bottom w:w="75" w:type="dxa"/>
              <w:right w:w="70" w:type="dxa"/>
            </w:tcMar>
            <w:vAlign w:val="center"/>
          </w:tcPr>
          <w:p w14:paraId="3F06FCBA" w14:textId="77777777" w:rsidR="008C5708" w:rsidRDefault="00000000">
            <w:pPr>
              <w:spacing w:after="0"/>
            </w:pPr>
            <w:r>
              <w:rPr>
                <w:sz w:val="15"/>
              </w:rPr>
              <w:t>Yield stability and resilience</w:t>
            </w:r>
          </w:p>
        </w:tc>
        <w:tc>
          <w:tcPr>
            <w:tcW w:w="1656" w:type="dxa"/>
            <w:tcMar>
              <w:top w:w="75" w:type="dxa"/>
              <w:left w:w="70" w:type="dxa"/>
              <w:bottom w:w="75" w:type="dxa"/>
              <w:right w:w="70" w:type="dxa"/>
            </w:tcMar>
            <w:vAlign w:val="center"/>
          </w:tcPr>
          <w:p w14:paraId="0A1A2E7C" w14:textId="77777777" w:rsidR="008C5708" w:rsidRDefault="00000000">
            <w:pPr>
              <w:spacing w:after="0"/>
            </w:pPr>
            <w:r>
              <w:rPr>
                <w:sz w:val="15"/>
              </w:rPr>
              <w:t>Use timely information to adapt to variable crop and weather conditions</w:t>
            </w:r>
          </w:p>
        </w:tc>
        <w:tc>
          <w:tcPr>
            <w:tcW w:w="1800" w:type="dxa"/>
            <w:tcMar>
              <w:top w:w="75" w:type="dxa"/>
              <w:left w:w="70" w:type="dxa"/>
              <w:bottom w:w="75" w:type="dxa"/>
              <w:right w:w="70" w:type="dxa"/>
            </w:tcMar>
            <w:vAlign w:val="center"/>
          </w:tcPr>
          <w:p w14:paraId="29760664" w14:textId="77777777" w:rsidR="008C5708" w:rsidRDefault="00000000">
            <w:pPr>
              <w:spacing w:after="0"/>
            </w:pPr>
            <w:r>
              <w:rPr>
                <w:sz w:val="15"/>
              </w:rPr>
              <w:t>Mechanistically plausible; evidence strongest where precision controls a known constraint</w:t>
            </w:r>
          </w:p>
        </w:tc>
        <w:tc>
          <w:tcPr>
            <w:tcW w:w="1800" w:type="dxa"/>
            <w:tcMar>
              <w:top w:w="75" w:type="dxa"/>
              <w:left w:w="70" w:type="dxa"/>
              <w:bottom w:w="75" w:type="dxa"/>
              <w:right w:w="70" w:type="dxa"/>
            </w:tcMar>
            <w:vAlign w:val="center"/>
          </w:tcPr>
          <w:p w14:paraId="2FDFFEC6" w14:textId="77777777" w:rsidR="008C5708" w:rsidRDefault="00000000">
            <w:pPr>
              <w:spacing w:after="0"/>
            </w:pPr>
            <w:r>
              <w:rPr>
                <w:sz w:val="15"/>
              </w:rPr>
              <w:t>Digital dependence can create new failure modes; benefits vary with input control</w:t>
            </w:r>
          </w:p>
        </w:tc>
        <w:tc>
          <w:tcPr>
            <w:tcW w:w="1152" w:type="dxa"/>
            <w:tcMar>
              <w:top w:w="75" w:type="dxa"/>
              <w:left w:w="70" w:type="dxa"/>
              <w:bottom w:w="75" w:type="dxa"/>
              <w:right w:w="70" w:type="dxa"/>
            </w:tcMar>
            <w:vAlign w:val="center"/>
          </w:tcPr>
          <w:p w14:paraId="3F3DC09B" w14:textId="77777777" w:rsidR="008C5708" w:rsidRDefault="00000000">
            <w:pPr>
              <w:spacing w:after="0"/>
            </w:pPr>
            <w:r>
              <w:rPr>
                <w:sz w:val="15"/>
              </w:rPr>
              <w:t>Moderate and context dependent</w:t>
            </w:r>
          </w:p>
        </w:tc>
        <w:tc>
          <w:tcPr>
            <w:tcW w:w="1944" w:type="dxa"/>
            <w:tcMar>
              <w:top w:w="75" w:type="dxa"/>
              <w:left w:w="70" w:type="dxa"/>
              <w:bottom w:w="75" w:type="dxa"/>
              <w:right w:w="70" w:type="dxa"/>
            </w:tcMar>
            <w:vAlign w:val="center"/>
          </w:tcPr>
          <w:p w14:paraId="3F12C982" w14:textId="77777777" w:rsidR="008C5708" w:rsidRDefault="00000000">
            <w:pPr>
              <w:spacing w:after="0"/>
              <w:jc w:val="left"/>
            </w:pPr>
            <w:r>
              <w:rPr>
                <w:sz w:val="15"/>
              </w:rPr>
              <w:t>Getahun et al. (2024); Klerkx et al. (2019)</w:t>
            </w:r>
          </w:p>
        </w:tc>
      </w:tr>
      <w:tr w:rsidR="008C5708" w14:paraId="5390C908" w14:textId="77777777">
        <w:trPr>
          <w:cantSplit/>
          <w:jc w:val="center"/>
        </w:trPr>
        <w:tc>
          <w:tcPr>
            <w:tcW w:w="1440" w:type="dxa"/>
            <w:tcMar>
              <w:top w:w="75" w:type="dxa"/>
              <w:left w:w="70" w:type="dxa"/>
              <w:bottom w:w="75" w:type="dxa"/>
              <w:right w:w="70" w:type="dxa"/>
            </w:tcMar>
            <w:vAlign w:val="center"/>
          </w:tcPr>
          <w:p w14:paraId="1D88703D" w14:textId="77777777" w:rsidR="008C5708" w:rsidRDefault="00000000">
            <w:pPr>
              <w:spacing w:after="0"/>
            </w:pPr>
            <w:r>
              <w:rPr>
                <w:sz w:val="15"/>
              </w:rPr>
              <w:t>Equity and inclusion</w:t>
            </w:r>
          </w:p>
        </w:tc>
        <w:tc>
          <w:tcPr>
            <w:tcW w:w="1656" w:type="dxa"/>
            <w:tcMar>
              <w:top w:w="75" w:type="dxa"/>
              <w:left w:w="70" w:type="dxa"/>
              <w:bottom w:w="75" w:type="dxa"/>
              <w:right w:w="70" w:type="dxa"/>
            </w:tcMar>
            <w:vAlign w:val="center"/>
          </w:tcPr>
          <w:p w14:paraId="1646938D" w14:textId="77777777" w:rsidR="008C5708" w:rsidRDefault="00000000">
            <w:pPr>
              <w:spacing w:after="0"/>
            </w:pPr>
            <w:r>
              <w:rPr>
                <w:sz w:val="15"/>
              </w:rPr>
              <w:t>Use services and shared infrastructure to lower entry cost</w:t>
            </w:r>
          </w:p>
        </w:tc>
        <w:tc>
          <w:tcPr>
            <w:tcW w:w="1800" w:type="dxa"/>
            <w:tcMar>
              <w:top w:w="75" w:type="dxa"/>
              <w:left w:w="70" w:type="dxa"/>
              <w:bottom w:w="75" w:type="dxa"/>
              <w:right w:w="70" w:type="dxa"/>
            </w:tcMar>
            <w:vAlign w:val="center"/>
          </w:tcPr>
          <w:p w14:paraId="2C975553" w14:textId="77777777" w:rsidR="008C5708" w:rsidRDefault="00000000">
            <w:pPr>
              <w:spacing w:after="0"/>
            </w:pPr>
            <w:r>
              <w:rPr>
                <w:sz w:val="15"/>
              </w:rPr>
              <w:t>Service models can reduce ownership barriers</w:t>
            </w:r>
          </w:p>
        </w:tc>
        <w:tc>
          <w:tcPr>
            <w:tcW w:w="1800" w:type="dxa"/>
            <w:tcMar>
              <w:top w:w="75" w:type="dxa"/>
              <w:left w:w="70" w:type="dxa"/>
              <w:bottom w:w="75" w:type="dxa"/>
              <w:right w:w="70" w:type="dxa"/>
            </w:tcMar>
            <w:vAlign w:val="center"/>
          </w:tcPr>
          <w:p w14:paraId="44B12778" w14:textId="77777777" w:rsidR="008C5708" w:rsidRDefault="00000000">
            <w:pPr>
              <w:spacing w:after="0"/>
            </w:pPr>
            <w:r>
              <w:rPr>
                <w:sz w:val="15"/>
              </w:rPr>
              <w:t>Digital, skill and geographic divides may concentrate benefits</w:t>
            </w:r>
          </w:p>
        </w:tc>
        <w:tc>
          <w:tcPr>
            <w:tcW w:w="1152" w:type="dxa"/>
            <w:tcMar>
              <w:top w:w="75" w:type="dxa"/>
              <w:left w:w="70" w:type="dxa"/>
              <w:bottom w:w="75" w:type="dxa"/>
              <w:right w:w="70" w:type="dxa"/>
            </w:tcMar>
            <w:vAlign w:val="center"/>
          </w:tcPr>
          <w:p w14:paraId="5B440A06" w14:textId="77777777" w:rsidR="008C5708" w:rsidRDefault="00000000">
            <w:pPr>
              <w:spacing w:after="0"/>
            </w:pPr>
            <w:r>
              <w:rPr>
                <w:sz w:val="15"/>
              </w:rPr>
              <w:t>Low-to-moderate; distributional outcomes are under-measured</w:t>
            </w:r>
          </w:p>
        </w:tc>
        <w:tc>
          <w:tcPr>
            <w:tcW w:w="1944" w:type="dxa"/>
            <w:tcMar>
              <w:top w:w="75" w:type="dxa"/>
              <w:left w:w="70" w:type="dxa"/>
              <w:bottom w:w="75" w:type="dxa"/>
              <w:right w:w="70" w:type="dxa"/>
            </w:tcMar>
            <w:vAlign w:val="center"/>
          </w:tcPr>
          <w:p w14:paraId="5C416371" w14:textId="77777777" w:rsidR="008C5708" w:rsidRDefault="00000000">
            <w:pPr>
              <w:spacing w:after="0"/>
              <w:jc w:val="left"/>
            </w:pPr>
            <w:r>
              <w:rPr>
                <w:sz w:val="15"/>
              </w:rPr>
              <w:t>Mizik (2023); Mondal &amp; Basu (2009); Government of India (2025b)</w:t>
            </w:r>
          </w:p>
        </w:tc>
      </w:tr>
    </w:tbl>
    <w:p w14:paraId="747D0FB8" w14:textId="77777777" w:rsidR="008C5708" w:rsidRDefault="00000000">
      <w:pPr>
        <w:pStyle w:val="TableNote"/>
        <w:spacing w:before="60" w:after="140"/>
      </w:pPr>
      <w:r>
        <w:rPr>
          <w:i/>
        </w:rPr>
        <w:t>Note. AWD = alternate wetting and drying; N = nitrogen. Confidence ratings are qualitative judgements from the reviewed evidence, not formal risk-of-bias scores.</w:t>
      </w:r>
    </w:p>
    <w:p w14:paraId="7CD1018C" w14:textId="77777777" w:rsidR="008C5708" w:rsidRDefault="00000000">
      <w:pPr>
        <w:pStyle w:val="Heading1"/>
      </w:pPr>
      <w:r>
        <w:lastRenderedPageBreak/>
        <w:t>8. Integrated Critical Synthesis: What Is Ready to Scale in India?</w:t>
      </w:r>
    </w:p>
    <w:p w14:paraId="793553DD" w14:textId="77777777" w:rsidR="008C5708" w:rsidRDefault="00000000">
      <w:r>
        <w:t>The evidence supports a tiered view of readiness rather than a single verdict on precision farming. The most mature technologies are those in which the management signal is interpretable, the action is controllable and the economics can be organised around shared access. Precision land levelling fits this pattern: it corrects a physical source of irrigation inefficiency, has direct field evidence and can be offered through custom hiring. Crop-responsive nitrogen management also fits, particularly where low-cost indicators or validated optical sensors are coupled to local recommendations. The agronomic mechanism is established, and Indian studies show that yield can often be maintained while nitrogen efficiency improves (Ali et al., 2015; Khurana et al., 2007; Singh et al., 2017). Drip fertigation has a credible and often strong resource-efficiency case, but readiness is more selective because capital cost, maintenance and crop value determine profitability (Singh &amp; Singh, 2026; Sinha et al., 2017).</w:t>
      </w:r>
    </w:p>
    <w:p w14:paraId="0DDF36CE" w14:textId="77777777" w:rsidR="008C5708" w:rsidRDefault="00000000">
      <w:r>
        <w:t>A second tier comprises service-enabled execution technologies such as drones. The technical feasibility of aerial application is no longer the main question. The more consequential questions are calibration, operator competence, service timing, effective competition and crop-specific application protocols. Evidence such as Paul et al. (2023) demonstrates that drone application can be agronomically competitive under defined conditions, while public support for rental services provides a plausible scaling mechanism. Yet broad claims of reduced pesticide use or improved yield require direct comparison across crops, operators and seasons.</w:t>
      </w:r>
    </w:p>
    <w:p w14:paraId="47463781" w14:textId="77777777" w:rsidR="008C5708" w:rsidRDefault="00000000">
      <w:r>
        <w:t>A third tier comprises high-dimensional digital prediction and decision-support systems. Remote sensing and machine learning clearly expand observational capacity, and recent reviews document rapid technical development (Kuunya et al., 2026; Liakos et al., 2018; Sishodia et al., 2020). Their scaling challenge is epistemic as much as economic. Models must generalise across agroecological conditions, recommendations must be connected to controllable actions, and outcome monitoring must detect when a model stops working. The null yield result in Cole et al. (2025) is especially valuable because it shows that personalised advice and improved measurement do not necessarily create production gains. Digital precision should be evaluated as an intervention, not only as software.</w:t>
      </w:r>
    </w:p>
    <w:p w14:paraId="6BCC3251" w14:textId="77777777" w:rsidR="008C5708" w:rsidRDefault="00000000">
      <w:r>
        <w:t>The large-n studies by Coggins et al. (2025), Nayak et al. (2025) and Sherpa et al. (2025) point towards a productive middle ground between simple rules and black-box individualisation. India has enormous heterogeneity, but it also has recurring production environments. Data can be used to identify management domains and decision rules that are more specific than national recommendations without attempting to optimise every square metre. This "meso-scale precision" may be particularly appropriate for smallholder systems: recommendations can vary by agroecological and management context, while execution remains feasible with ordinary farm operations or local service providers.</w:t>
      </w:r>
    </w:p>
    <w:p w14:paraId="13B34131" w14:textId="77777777" w:rsidR="008C5708" w:rsidRDefault="00000000">
      <w:r>
        <w:t>The descriptive quantitative evidence does not support a single average effect for precision farming in India. Reported water savings from land levelling, efficiency improvements from crop sensing, economic gains from drip systems and operational advantages from drones refer to different baselines and outcomes. Pooling them would create a mathematically precise but conceptually meaningless number. The more defensible synthesis is directional. First, several Indian field studies show that precision interventions can reduce resource use or improve resource productivity without penalising yield. Second, the magnitude of benefit is highest where baseline management is inefficient and the precision intervention corrects a real constraint. Third, digital observation and modelling have stronger evidence for detecting heterogeneity than for producing causal farm-income gains. Fourth, ownership economics substantially mediate adoption; service models can change the cost curve. Fifth, environmental benefits are more convincingly demonstrated as field-level efficiency improvements than as absolute regional reductions in water depletion, greenhouse-gas emissions or pollution.</w:t>
      </w:r>
    </w:p>
    <w:p w14:paraId="5ED8C0B4" w14:textId="77777777" w:rsidR="008C5708" w:rsidRDefault="00000000">
      <w:r>
        <w:lastRenderedPageBreak/>
        <w:t>This interpretation also clarifies the role of public policy. Subsidising hardware can accelerate diffusion, but it does not guarantee high utilisation or agronomic quality. Public investment may produce larger system value when it lowers common infrastructure costs: georeferenced registries, interoperable data standards, independent calibration protocols, extension capacity, service-provider training and evaluation systems. The Digital Agriculture Mission creates a platform on which such functions could develop, but a digital public infrastructure should not become an implicit endorsement of every algorithm built on it (Government of India, 2025a). Independent benchmarking should be designed into the ecosystem.</w:t>
      </w:r>
    </w:p>
    <w:p w14:paraId="3C65934E" w14:textId="77777777" w:rsidR="008C5708" w:rsidRDefault="00000000">
      <w:r>
        <w:t>Agribusiness strategy should similarly distinguish value creation from technology acquisition. A farmer benefits when a decision improves margin, risk or resource use. A service provider benefits when enough demand is aggregated to cover fixed cost. A platform benefits from scale and repeat use. A sustainable ecosystem aligns these incentives without forcing the farmer to bear unobservable model risk. Transparent pricing, auditable recommendations and outcome-linked service quality can therefore be as important as sensor accuracy.</w:t>
      </w:r>
    </w:p>
    <w:p w14:paraId="1FD0EFFA" w14:textId="77777777" w:rsidR="008C5708" w:rsidRDefault="00000000">
      <w:r>
        <w:t>The likely near-term frontier in India is "frugal precision": use the lowest-cost reliable information needed to change a high-value decision, and add technological complexity only when it creates incremental decision value. This does not imply technological conservatism. It implies evidence-based sequencing. A leaf colour chart can be superior to a sophisticated sensor when both lead to the same nitrogen decision at very different costs; a satellite service can be superior when it eliminates repeated scouting over a large region; a drone can be superior when time or labour is the binding constraint. Precision is economically meaningful only relative to the decision it improves.</w:t>
      </w:r>
    </w:p>
    <w:p w14:paraId="2D931F17" w14:textId="77777777" w:rsidR="008C5708" w:rsidRDefault="00000000">
      <w:pPr>
        <w:pStyle w:val="Heading1"/>
      </w:pPr>
      <w:r>
        <w:t>9. Future Directions</w:t>
      </w:r>
    </w:p>
    <w:p w14:paraId="001C83F6" w14:textId="77777777" w:rsidR="008C5708" w:rsidRDefault="00000000">
      <w:r>
        <w:t>The first research priority is to move from proof-of-concept studies towards multi-season, multi-location causal evaluation. Many Indian studies establish agronomic feasibility under carefully managed experimental conditions, but farm-scale performance depends on operator skill, weather, input access and service timing. Future trials should compare realistic delivery packages rather than isolated devices. For example, a crop-sensing intervention should include the recommendation rule, input availability, farmer communication and actual application, with outcomes measured over multiple seasons. Cluster-randomised or stepped-wedge designs could be appropriate where services are delivered at village or provider level. Core outcomes should include net margin, yield variability, labour, input use, service cost and adoption persistence, not yield alone.</w:t>
      </w:r>
    </w:p>
    <w:p w14:paraId="60FF163C" w14:textId="77777777" w:rsidR="008C5708" w:rsidRDefault="00000000">
      <w:r>
        <w:t>A second priority is independent validation of digital prediction models. Remote-sensing and machine-learning systems should be tested prospectively outside the data used for development, across contrasting agroecologies and management regimes. Validation should report calibration error and decision consequences, not only classification accuracy. Where a model triggers nitrogen, irrigation or pesticide action, the relevant metric is the cost of false positive and false negative decisions. The methodological caution from satellite yield measurement in Cole et al. (2025) and the sensor-specific limitations identified by Vullaganti et al. (2025) show why external validation is essential.</w:t>
      </w:r>
    </w:p>
    <w:p w14:paraId="3504D989" w14:textId="77777777" w:rsidR="008C5708" w:rsidRDefault="00000000">
      <w:r>
        <w:t>Third, precision research should adopt whole-farm and service-provider economics. Current agronomic studies commonly report benefit-cost ratios for treatments but omit depreciation, downtime, operator training, travel, data subscriptions and seasonal utilisation. Studies of drones, sensors and custom-hired machinery should model provider break-even utilisation and farmer willingness to pay simultaneously. This would identify where Custom Hiring Centres, farmer producer organisations or private contractors can operate without permanent subsidy. Farm-size heterogeneity should be analysed explicitly, because an intervention can be profitable for a service provider while remaining unaffordable to the smallest farms.</w:t>
      </w:r>
    </w:p>
    <w:p w14:paraId="161A278D" w14:textId="77777777" w:rsidR="008C5708" w:rsidRDefault="00000000">
      <w:r>
        <w:lastRenderedPageBreak/>
        <w:t>Fourth, environmental evaluation must progress from input efficiency to absolute outcomes. Nitrogen-focused studies should combine fertiliser rate and yield with nitrous oxide, nitrate loss or nitrogen-surplus indicators where feasible. Irrigation studies should distinguish applied water, energy use, consumptive water use and local hydrological context. Longitudinal monitoring is needed to determine whether efficiency gains persist after adoption and whether rebound effects offset part of the savings. The large observational datasets used by Coggins et al. (2025) and Nayak et al. (2025) provide a strong basis for targeting future field experiments towards the farms and management combinations with the largest potential environmental gains.</w:t>
      </w:r>
    </w:p>
    <w:p w14:paraId="046C0A58" w14:textId="77777777" w:rsidR="008C5708" w:rsidRDefault="00000000">
      <w:r>
        <w:t>Fifth, interoperability and data governance require empirical research rather than purely normative discussion. The Digital Agriculture Mission creates opportunities to link farm identity, crop, geospatial, weather and soil information at unprecedented scale (Government of India, 2025a). Research should test whether interoperable data actually reduces advisory cost, improves calibration or expands access for smaller providers. Parallel work should assess farmer comprehension of consent, data-sharing preferences, error-correction procedures and the distribution of value created from farm data. Technical standards should include provenance and model-version information so that advice can be audited after an adverse or unexpectedly poor outcome.</w:t>
      </w:r>
    </w:p>
    <w:p w14:paraId="3FD57556" w14:textId="77777777" w:rsidR="008C5708" w:rsidRDefault="00000000">
      <w:r>
        <w:t>Sixth, research should examine distributional impacts. Small and marginal farms dominate Indian agriculture, but technology studies frequently recruit accessible farmers, irrigated systems or progressive adopters. Evaluation should pre-specify subgroup analysis by farm size, tenancy, irrigation access, region and gendered control over devices and services. The adoption barriers documented in Soil Health Card studies suggest that land tenure and institutional frictions can alter whether information is acted upon (Kumar, 2025; Ohlan et al., 2025a). A technology that raises average profit while excluding tenant farmers or remote villages may be commercially successful but weak as a public sustainability strategy.</w:t>
      </w:r>
    </w:p>
    <w:p w14:paraId="7B0333E3" w14:textId="77777777" w:rsidR="008C5708" w:rsidRDefault="00000000">
      <w:r>
        <w:t>Finally, a national precision-farming evidence architecture would materially improve cumulative learning. Trials and service programmes should use a shared minimum outcome set covering crop output, variable costs, labour, water, nutrients, energy, service cost and uncertainty. Geospatial and management metadata should be recorded with privacy-preserving identifiers. This would allow future evidence synthesis to compare like with like and, where sufficient homogeneity emerges, support formal meta-analysis. At present, methodological heterogeneity is itself a major finding: the field cannot reliably estimate a single Indian precision-farming effect because studies operationalise both "precision" and "success" differently.</w:t>
      </w:r>
    </w:p>
    <w:p w14:paraId="44EA8EE4" w14:textId="77777777" w:rsidR="008C5708" w:rsidRDefault="00000000">
      <w:pPr>
        <w:pStyle w:val="Heading1"/>
      </w:pPr>
      <w:r>
        <w:t>10. Conclusions</w:t>
      </w:r>
    </w:p>
    <w:p w14:paraId="75788B61" w14:textId="77777777" w:rsidR="008C5708" w:rsidRDefault="00000000">
      <w:r>
        <w:t>Precision farming can contribute to more sustainable and efficient agribusiness in India, but its value is conditional rather than intrinsic. The strongest evidence supports interventions that connect a locally meaningful observation or physical correction to a controllable field action. Precision land levelling, crop-responsive nitrogen management, targeted irrigation and fertigation, and selected service-based application technologies can improve resource productivity and, in many settings, maintain or increase output. These technologies are especially credible when they correct demonstrable overuse, uneven application or poor timing.</w:t>
      </w:r>
    </w:p>
    <w:p w14:paraId="2C87FE2D" w14:textId="77777777" w:rsidR="008C5708" w:rsidRDefault="00000000">
      <w:r>
        <w:t>The evidence is less mature for claims that increasingly complex digital systems will automatically raise farm income or environmental performance. Remote sensing, artificial intelligence and integrated digital platforms greatly expand observation and analytical capacity, but causal farm-level benefits depend on calibration, recommendation quality, execution and farmer response. Large datasets reveal substantial heterogeneity and therefore a strong rationale for more targeted management, yet estimated opportunity is not equivalent to realised impact.</w:t>
      </w:r>
    </w:p>
    <w:p w14:paraId="782EDA96" w14:textId="77777777" w:rsidR="008C5708" w:rsidRDefault="00000000">
      <w:r>
        <w:lastRenderedPageBreak/>
        <w:t>India's small-farm structure changes the economically appropriate form of precision. High fixed costs make universal individual ownership implausible for many technologies, whereas custom hiring, farmer collectives and service platforms can aggregate demand and improve utilisation. These models, in turn, require timely service, transparent pricing, interoperability, trained operators and credible accountability. Public digital infrastructure can reduce information and coordination costs, but it should be paired with independent validation rather than used as a proxy for technology effectiveness.</w:t>
      </w:r>
    </w:p>
    <w:p w14:paraId="3884AF51" w14:textId="77777777" w:rsidR="008C5708" w:rsidRDefault="00000000">
      <w:r>
        <w:t>The most defensible development pathway is therefore frugal, service-enabled and evidence-led precision farming. Investment should begin with decisions where the agronomic signal is reliable, the action is feasible and the economic or environmental loss from imprecision is material. More sophisticated sensing and artificial intelligence should be added when they demonstrably improve those decisions. Under this sequence, precision farming becomes not a hardware agenda but an agribusiness capability: measuring relevant variability, acting at the appropriate scale, learning from outcomes and allocating resources more efficiently without transferring disproportionate technical or financial risk to smallholders.</w:t>
      </w:r>
    </w:p>
    <w:p w14:paraId="554695F5" w14:textId="77777777" w:rsidR="008C5708" w:rsidRDefault="00000000">
      <w:pPr>
        <w:pStyle w:val="Heading1"/>
      </w:pPr>
      <w:r>
        <w:t>11. Limitations</w:t>
      </w:r>
    </w:p>
    <w:p w14:paraId="0FF3C88D" w14:textId="77777777" w:rsidR="008C5708" w:rsidRDefault="00000000">
      <w:r>
        <w:t>As a critical narrative review, this synthesis is intrinsically vulnerable to selection and interpretive bias despite transparent searching, explicit eligibility criteria and design-sensitive appraisal. It was not designed to produce exhaustive screening counts or a pooled quantitative effect. Access was concentrated in open scholarly indexes, accessible full-text repositories, official records and verifiable bibliographic sources rather than complete subscription-database exports. English-language evidence predominated, which may underrepresent locally published work in Indian languages.</w:t>
      </w:r>
    </w:p>
    <w:p w14:paraId="166175F5" w14:textId="77777777" w:rsidR="008C5708" w:rsidRDefault="00000000">
      <w:r>
        <w:t>The evidence base is highly heterogeneous in crop, region, intervention, comparator, duration and outcome definition. Many studies are short-term field experiments, observational analyses or model-based assessments, limiting direct comparison and causal generalisation. Studies with favourable technology results may be more likely to be published than unsuccessful implementation, and demonstration conditions may exceed the technical support available in routine farm use. Environmental outcomes are also unevenly measured: input savings and efficiency indicators are more common than direct measurements of emissions, leaching, biodiversity or basin-scale water conservation.</w:t>
      </w:r>
    </w:p>
    <w:p w14:paraId="33F6FC57" w14:textId="77777777" w:rsidR="008C5708" w:rsidRDefault="00000000">
      <w:r>
        <w:t>The rapid evolution of digital agriculture creates temporal limitations. Sensor costs, connectivity, public digital infrastructure and service markets can change faster than agronomic evidence accumulates. Consequently, technology readiness should be interpreted as a judgement based on evidence available to the stated search date rather than a permanent classification. The absence of sufficiently comparable effect measures also means that the descriptive quantitative comparisons in this review cannot establish a single average effect size for precision farming in India.</w:t>
      </w:r>
    </w:p>
    <w:p w14:paraId="4D7D09B4" w14:textId="77777777" w:rsidR="0034176B" w:rsidRPr="0034176B" w:rsidRDefault="0034176B" w:rsidP="0034176B">
      <w:pPr>
        <w:rPr>
          <w:b/>
        </w:rPr>
      </w:pPr>
      <w:r w:rsidRPr="0034176B">
        <w:rPr>
          <w:b/>
        </w:rPr>
        <w:t>Declaration of AI Use</w:t>
      </w:r>
    </w:p>
    <w:p w14:paraId="50EA2D6F" w14:textId="77777777" w:rsidR="0034176B" w:rsidRPr="0034176B" w:rsidRDefault="0034176B" w:rsidP="0034176B"/>
    <w:p w14:paraId="42DDDC82" w14:textId="77777777" w:rsidR="0034176B" w:rsidRPr="0034176B" w:rsidRDefault="0034176B" w:rsidP="0034176B">
      <w:r w:rsidRPr="0034176B">
        <w:t>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p>
    <w:p w14:paraId="54613141" w14:textId="77777777" w:rsidR="0034176B" w:rsidRPr="0034176B" w:rsidRDefault="0034176B" w:rsidP="0034176B"/>
    <w:p w14:paraId="47124BCB" w14:textId="77777777" w:rsidR="0034176B" w:rsidRDefault="0034176B"/>
    <w:p w14:paraId="253B6242" w14:textId="77777777" w:rsidR="008C5708" w:rsidRDefault="00000000">
      <w:pPr>
        <w:pStyle w:val="Heading1"/>
      </w:pPr>
      <w:r>
        <w:t>References</w:t>
      </w:r>
    </w:p>
    <w:p w14:paraId="723550D8" w14:textId="79CA64A2" w:rsidR="008C5708" w:rsidRDefault="00000000">
      <w:pPr>
        <w:pStyle w:val="Reference"/>
        <w:spacing w:after="80"/>
        <w:ind w:left="720" w:hanging="720"/>
      </w:pPr>
      <w:r>
        <w:t xml:space="preserve">Ali, A. M., Thind, H. S., Singh, V., &amp; Singh, B. (2015). A framework for refining nitrogen management in dry direct-seeded rice using GreenSeeker™ optical sensor. </w:t>
      </w:r>
      <w:r>
        <w:rPr>
          <w:i/>
        </w:rPr>
        <w:t>Computers and Electronics in Agriculture</w:t>
      </w:r>
      <w:r>
        <w:t xml:space="preserve">, </w:t>
      </w:r>
      <w:r>
        <w:rPr>
          <w:i/>
        </w:rPr>
        <w:t>110</w:t>
      </w:r>
      <w:r>
        <w:t xml:space="preserve">, 114–120. </w:t>
      </w:r>
      <w:r>
        <w:rPr>
          <w:color w:val="0563C1"/>
          <w:u w:val="single"/>
        </w:rPr>
        <w:t>https://doi.org/10.1016/j.compag.2014.10.021</w:t>
      </w:r>
    </w:p>
    <w:p w14:paraId="026B6AA1" w14:textId="01F724EC" w:rsidR="008C5708" w:rsidRDefault="00000000">
      <w:pPr>
        <w:pStyle w:val="Reference"/>
        <w:spacing w:after="80"/>
        <w:ind w:left="720" w:hanging="720"/>
      </w:pPr>
      <w:r>
        <w:t xml:space="preserve">Baethge, C., Goldbeck-Wood, S., &amp; Mertens, S. (2019). SANRA—a scale for the quality assessment of narrative review articles. </w:t>
      </w:r>
      <w:r>
        <w:rPr>
          <w:i/>
        </w:rPr>
        <w:t>Research Integrity and Peer Review</w:t>
      </w:r>
      <w:r>
        <w:t xml:space="preserve">, </w:t>
      </w:r>
      <w:r>
        <w:rPr>
          <w:i/>
        </w:rPr>
        <w:t>4</w:t>
      </w:r>
      <w:r>
        <w:t xml:space="preserve">, 5. </w:t>
      </w:r>
      <w:r>
        <w:rPr>
          <w:color w:val="0563C1"/>
          <w:u w:val="single"/>
        </w:rPr>
        <w:t>https://doi.org/10.1186/s41073-019-0064-8</w:t>
      </w:r>
    </w:p>
    <w:p w14:paraId="6DE65536" w14:textId="330557EA" w:rsidR="008C5708" w:rsidRDefault="00000000">
      <w:pPr>
        <w:pStyle w:val="Reference"/>
        <w:spacing w:after="80"/>
        <w:ind w:left="720" w:hanging="720"/>
      </w:pPr>
      <w:r>
        <w:t xml:space="preserve">Balafoutis, A., Beck, B., Fountas, S., Vangeyte, J., Van der Wal, T., Soto, I., Gómez-Barbero, M., Barnes, A., &amp; Eory, V. (2017). Precision agriculture technologies positively contributing to GHG emissions mitigation, farm productivity and economics. </w:t>
      </w:r>
      <w:r>
        <w:rPr>
          <w:i/>
        </w:rPr>
        <w:t>Sustainability</w:t>
      </w:r>
      <w:r>
        <w:t xml:space="preserve">, </w:t>
      </w:r>
      <w:r>
        <w:rPr>
          <w:i/>
        </w:rPr>
        <w:t>9</w:t>
      </w:r>
      <w:r>
        <w:t xml:space="preserve">(8), 1339. </w:t>
      </w:r>
      <w:r>
        <w:rPr>
          <w:color w:val="0563C1"/>
          <w:u w:val="single"/>
        </w:rPr>
        <w:t>https://doi.org/10.3390/su9081339</w:t>
      </w:r>
    </w:p>
    <w:p w14:paraId="385FF7B3" w14:textId="184EE38E" w:rsidR="008C5708" w:rsidRDefault="00000000">
      <w:pPr>
        <w:pStyle w:val="Reference"/>
        <w:spacing w:after="80"/>
        <w:ind w:left="720" w:hanging="720"/>
      </w:pPr>
      <w:r>
        <w:t xml:space="preserve">Bhakta, I., Phadikar, S., &amp; Majumder, K. (2019). State-of-the-art technologies in precision agriculture: A systematic review. </w:t>
      </w:r>
      <w:r>
        <w:rPr>
          <w:i/>
        </w:rPr>
        <w:t>Journal of the Science of Food and Agriculture</w:t>
      </w:r>
      <w:r>
        <w:t xml:space="preserve">, </w:t>
      </w:r>
      <w:r>
        <w:rPr>
          <w:i/>
        </w:rPr>
        <w:t>99</w:t>
      </w:r>
      <w:r>
        <w:t xml:space="preserve">(11), 4878–4888. </w:t>
      </w:r>
      <w:r>
        <w:rPr>
          <w:color w:val="0563C1"/>
          <w:u w:val="single"/>
        </w:rPr>
        <w:t>https://doi.org/10.1002/jsfa.9693</w:t>
      </w:r>
    </w:p>
    <w:p w14:paraId="54AE5AFA" w14:textId="34F67113" w:rsidR="008C5708" w:rsidRDefault="00000000">
      <w:pPr>
        <w:pStyle w:val="Reference"/>
        <w:spacing w:after="80"/>
        <w:ind w:left="720" w:hanging="720"/>
      </w:pPr>
      <w:r>
        <w:t xml:space="preserve">Bramley, R. G. V. (2009). Lessons from nearly 20 years of precision agriculture research, development, and adoption as a guide to its appropriate application. </w:t>
      </w:r>
      <w:r>
        <w:rPr>
          <w:i/>
        </w:rPr>
        <w:t>Crop &amp; Pasture Science</w:t>
      </w:r>
      <w:r>
        <w:t xml:space="preserve">, </w:t>
      </w:r>
      <w:r>
        <w:rPr>
          <w:i/>
        </w:rPr>
        <w:t>60</w:t>
      </w:r>
      <w:r>
        <w:t xml:space="preserve">(3), 197–217. </w:t>
      </w:r>
      <w:r>
        <w:rPr>
          <w:color w:val="0563C1"/>
          <w:u w:val="single"/>
        </w:rPr>
        <w:t>https://doi.org/10.1071/CP08304</w:t>
      </w:r>
    </w:p>
    <w:p w14:paraId="3FE51791" w14:textId="322023A4" w:rsidR="008C5708" w:rsidRDefault="00000000">
      <w:pPr>
        <w:pStyle w:val="Reference"/>
        <w:spacing w:after="80"/>
        <w:ind w:left="720" w:hanging="720"/>
      </w:pPr>
      <w:r>
        <w:t xml:space="preserve">Chlingaryan, A., Sukkarieh, S., &amp; Whelan, B. (2018). Machine learning approaches for crop yield prediction and nitrogen status estimation in precision agriculture: A review. </w:t>
      </w:r>
      <w:r>
        <w:rPr>
          <w:i/>
        </w:rPr>
        <w:t>Computers and Electronics in Agriculture</w:t>
      </w:r>
      <w:r>
        <w:t xml:space="preserve">, </w:t>
      </w:r>
      <w:r>
        <w:rPr>
          <w:i/>
        </w:rPr>
        <w:t>151</w:t>
      </w:r>
      <w:r>
        <w:t xml:space="preserve">, 61–69. </w:t>
      </w:r>
      <w:r>
        <w:rPr>
          <w:color w:val="0563C1"/>
          <w:u w:val="single"/>
        </w:rPr>
        <w:t>https://doi.org/10.1016/j.compag.2018.05.012</w:t>
      </w:r>
    </w:p>
    <w:p w14:paraId="52C5DAFC" w14:textId="4F110EE9" w:rsidR="008C5708" w:rsidRDefault="00000000">
      <w:pPr>
        <w:pStyle w:val="Reference"/>
        <w:spacing w:after="80"/>
        <w:ind w:left="720" w:hanging="720"/>
      </w:pPr>
      <w:r>
        <w:t xml:space="preserve">Coggins, S., McDonald, A. J., Silva, J. V., Urfels, A., Nayak, H. S., Sherpa, S. R., Jat, M. L., Jat, H. S., Krupnik, T., Kumar, V., Malik, R. K., Sapkota, T. B., Nayak, A. K., &amp; Craufurd, P. (2025). Data-driven strategies to improve nitrogen use efficiency of rice farming in South Asia. </w:t>
      </w:r>
      <w:r>
        <w:rPr>
          <w:i/>
        </w:rPr>
        <w:t>Nature Sustainability</w:t>
      </w:r>
      <w:r>
        <w:t xml:space="preserve">, </w:t>
      </w:r>
      <w:r>
        <w:rPr>
          <w:i/>
        </w:rPr>
        <w:t>8</w:t>
      </w:r>
      <w:r>
        <w:t xml:space="preserve">, 22–33. </w:t>
      </w:r>
      <w:r>
        <w:rPr>
          <w:color w:val="0563C1"/>
          <w:u w:val="single"/>
        </w:rPr>
        <w:t>https://doi.org/10.1038/s41893-024-01496-3</w:t>
      </w:r>
    </w:p>
    <w:p w14:paraId="0B6ED010" w14:textId="71E38A30" w:rsidR="008C5708" w:rsidRDefault="00000000">
      <w:pPr>
        <w:pStyle w:val="Reference"/>
        <w:spacing w:after="80"/>
        <w:ind w:left="720" w:hanging="720"/>
      </w:pPr>
      <w:r>
        <w:t xml:space="preserve">Cole, S., Harigaya, T., Killeen, G., &amp; Krishna, A. (2025). Using satellites and phones to evaluate and promote agricultural technology adoption: Evidence from smallholder farms in India. </w:t>
      </w:r>
      <w:r>
        <w:rPr>
          <w:i/>
        </w:rPr>
        <w:t>Journal of Development Economics</w:t>
      </w:r>
      <w:r>
        <w:t xml:space="preserve">, </w:t>
      </w:r>
      <w:r>
        <w:rPr>
          <w:i/>
        </w:rPr>
        <w:t>176</w:t>
      </w:r>
      <w:r>
        <w:t xml:space="preserve">, 103463. </w:t>
      </w:r>
      <w:r>
        <w:rPr>
          <w:color w:val="0563C1"/>
          <w:u w:val="single"/>
        </w:rPr>
        <w:t>https://doi.org/10.1016/j.jdeveco.2025.103463</w:t>
      </w:r>
    </w:p>
    <w:p w14:paraId="3530B979" w14:textId="225600A3" w:rsidR="008C5708" w:rsidRDefault="00000000">
      <w:pPr>
        <w:pStyle w:val="Reference"/>
        <w:spacing w:after="80"/>
        <w:ind w:left="720" w:hanging="720"/>
      </w:pPr>
      <w:r>
        <w:t xml:space="preserve">Finger, R., Swinton, S. M., El Benni, N., &amp; Walter, A. (2019). Precision farming at the nexus of agricultural production and the environment. </w:t>
      </w:r>
      <w:r>
        <w:rPr>
          <w:i/>
        </w:rPr>
        <w:t>Annual Review of Resource Economics</w:t>
      </w:r>
      <w:r>
        <w:t xml:space="preserve">, </w:t>
      </w:r>
      <w:r>
        <w:rPr>
          <w:i/>
        </w:rPr>
        <w:t>11</w:t>
      </w:r>
      <w:r>
        <w:t xml:space="preserve">, 313–335. </w:t>
      </w:r>
      <w:r>
        <w:rPr>
          <w:color w:val="0563C1"/>
          <w:u w:val="single"/>
        </w:rPr>
        <w:t>https://doi.org/10.1146/annurev-resource-100518-093929</w:t>
      </w:r>
    </w:p>
    <w:p w14:paraId="2948319F" w14:textId="0D8AD2C9" w:rsidR="008C5708" w:rsidRDefault="00000000">
      <w:pPr>
        <w:pStyle w:val="Reference"/>
        <w:spacing w:after="80"/>
        <w:ind w:left="720" w:hanging="720"/>
      </w:pPr>
      <w:r>
        <w:t xml:space="preserve">Gebbers, R., &amp; Adamchuk, V. I. (2010). Precision agriculture and food security. </w:t>
      </w:r>
      <w:r>
        <w:rPr>
          <w:i/>
        </w:rPr>
        <w:t>Science</w:t>
      </w:r>
      <w:r>
        <w:t xml:space="preserve">, </w:t>
      </w:r>
      <w:r>
        <w:rPr>
          <w:i/>
        </w:rPr>
        <w:t>327</w:t>
      </w:r>
      <w:r>
        <w:t xml:space="preserve">(5967), 828–831. </w:t>
      </w:r>
      <w:r>
        <w:rPr>
          <w:color w:val="0563C1"/>
          <w:u w:val="single"/>
        </w:rPr>
        <w:t>https://doi.org/10.1126/science.1183899</w:t>
      </w:r>
    </w:p>
    <w:p w14:paraId="51A4725C" w14:textId="62FDABB7" w:rsidR="008C5708" w:rsidRDefault="00000000">
      <w:pPr>
        <w:pStyle w:val="Reference"/>
        <w:spacing w:after="80"/>
        <w:ind w:left="720" w:hanging="720"/>
      </w:pPr>
      <w:r>
        <w:t xml:space="preserve">Getahun, S., Kefale, H., &amp; Gelaye, Y. (2024). Application of precision agriculture technologies for sustainable crop production and environmental sustainability: A systematic review. </w:t>
      </w:r>
      <w:r>
        <w:rPr>
          <w:i/>
        </w:rPr>
        <w:t>The Scientific World Journal</w:t>
      </w:r>
      <w:r>
        <w:t xml:space="preserve">, </w:t>
      </w:r>
      <w:r>
        <w:rPr>
          <w:i/>
        </w:rPr>
        <w:t>2024</w:t>
      </w:r>
      <w:r>
        <w:t xml:space="preserve">, 2126734. </w:t>
      </w:r>
      <w:r>
        <w:rPr>
          <w:color w:val="0563C1"/>
          <w:u w:val="single"/>
        </w:rPr>
        <w:t>https://doi.org/10.1155/2024/2126734</w:t>
      </w:r>
    </w:p>
    <w:p w14:paraId="2CC405D8" w14:textId="256AE233" w:rsidR="008C5708" w:rsidRDefault="00000000">
      <w:pPr>
        <w:pStyle w:val="Reference"/>
        <w:spacing w:after="80"/>
        <w:ind w:left="720" w:hanging="720"/>
      </w:pPr>
      <w:r>
        <w:t xml:space="preserve">Government of India (2023, March 14). Livelihood of farmers. </w:t>
      </w:r>
      <w:r>
        <w:rPr>
          <w:i/>
        </w:rPr>
        <w:t>Press Information Bureau</w:t>
      </w:r>
      <w:r>
        <w:t xml:space="preserve">. </w:t>
      </w:r>
      <w:r>
        <w:rPr>
          <w:color w:val="0563C1"/>
          <w:u w:val="single"/>
        </w:rPr>
        <w:t>https://www.pib.gov.in/PressReleasePage.aspx?PRID=1906888</w:t>
      </w:r>
    </w:p>
    <w:p w14:paraId="772101D0" w14:textId="64A4A853" w:rsidR="008C5708" w:rsidRDefault="00000000">
      <w:pPr>
        <w:pStyle w:val="Reference"/>
        <w:spacing w:after="80"/>
        <w:ind w:left="720" w:hanging="720"/>
      </w:pPr>
      <w:r>
        <w:t xml:space="preserve">Government of India (2025a, February 11). Digital Agriculture Mission. </w:t>
      </w:r>
      <w:r>
        <w:rPr>
          <w:i/>
        </w:rPr>
        <w:t>Press Information Bureau</w:t>
      </w:r>
      <w:r>
        <w:t xml:space="preserve">. </w:t>
      </w:r>
      <w:r>
        <w:rPr>
          <w:color w:val="0563C1"/>
          <w:u w:val="single"/>
        </w:rPr>
        <w:t>https://www.pib.gov.in/Pressreleaseshare.aspx?PRID=2101848</w:t>
      </w:r>
    </w:p>
    <w:p w14:paraId="484F7A4E" w14:textId="432CD5BF" w:rsidR="008C5708" w:rsidRDefault="00000000">
      <w:pPr>
        <w:pStyle w:val="Reference"/>
        <w:spacing w:after="80"/>
        <w:ind w:left="720" w:hanging="720"/>
      </w:pPr>
      <w:r>
        <w:t xml:space="preserve">Government of India (2025b, April 4). Promotion of new technologies in agriculture. </w:t>
      </w:r>
      <w:r>
        <w:rPr>
          <w:i/>
        </w:rPr>
        <w:t>Press Information Bureau</w:t>
      </w:r>
      <w:r>
        <w:t xml:space="preserve">. </w:t>
      </w:r>
      <w:r>
        <w:rPr>
          <w:color w:val="0563C1"/>
          <w:u w:val="single"/>
        </w:rPr>
        <w:t>https://www.pib.gov.in/PressReleasePage.aspx?PRID=2118770</w:t>
      </w:r>
    </w:p>
    <w:p w14:paraId="2C13D1FC" w14:textId="3B29B854" w:rsidR="008C5708" w:rsidRDefault="00000000">
      <w:pPr>
        <w:pStyle w:val="Reference"/>
        <w:spacing w:after="80"/>
        <w:ind w:left="720" w:hanging="720"/>
      </w:pPr>
      <w:r>
        <w:t xml:space="preserve">Government of India (2026, March 27). Record food and horticulture output amid declining average landholdings. </w:t>
      </w:r>
      <w:r>
        <w:rPr>
          <w:i/>
        </w:rPr>
        <w:t>Press Information Bureau</w:t>
      </w:r>
      <w:r>
        <w:t xml:space="preserve">. </w:t>
      </w:r>
      <w:r>
        <w:rPr>
          <w:color w:val="0563C1"/>
          <w:u w:val="single"/>
        </w:rPr>
        <w:t>https://www.pib.gov.in/PressReleasePage.aspx?PRID=2246182</w:t>
      </w:r>
    </w:p>
    <w:p w14:paraId="0F6B8D9C" w14:textId="4FFB69E5" w:rsidR="008C5708" w:rsidRDefault="00000000">
      <w:pPr>
        <w:pStyle w:val="Reference"/>
        <w:spacing w:after="80"/>
        <w:ind w:left="720" w:hanging="720"/>
      </w:pPr>
      <w:r>
        <w:t xml:space="preserve">Islam, Z., Bagchi, B., &amp; Hossain, M. (2007). Adoption of leaf color chart for nitrogen use efficiency in rice: Impact assessment of a farmer-participatory experiment in West Bengal, India. </w:t>
      </w:r>
      <w:r>
        <w:rPr>
          <w:i/>
        </w:rPr>
        <w:t>Field Crops Research</w:t>
      </w:r>
      <w:r>
        <w:t xml:space="preserve">, </w:t>
      </w:r>
      <w:r>
        <w:rPr>
          <w:i/>
        </w:rPr>
        <w:t>103</w:t>
      </w:r>
      <w:r>
        <w:t xml:space="preserve">(1), 70–75. </w:t>
      </w:r>
      <w:r>
        <w:rPr>
          <w:color w:val="0563C1"/>
          <w:u w:val="single"/>
        </w:rPr>
        <w:t>https://doi.org/10.1016/j.fcr.2007.04.012</w:t>
      </w:r>
    </w:p>
    <w:p w14:paraId="2C246414" w14:textId="66A0B38E" w:rsidR="008C5708" w:rsidRDefault="00000000">
      <w:pPr>
        <w:pStyle w:val="Reference"/>
        <w:spacing w:after="80"/>
        <w:ind w:left="720" w:hanging="720"/>
      </w:pPr>
      <w:r>
        <w:t xml:space="preserve">Jat, M. L., Gathala, M. K., Ladha, J. K., Saharawat, Y. S., Jat, A. S., Kumar, V., Sharma, S. K., Kumar, V., &amp; Gupta, R. (2009). Evaluation of precision land leveling and double zero-till systems in the rice-wheat rotation: Water use, productivity, profitability and soil physical properties. </w:t>
      </w:r>
      <w:r>
        <w:rPr>
          <w:i/>
        </w:rPr>
        <w:t>Soil &amp; Tillage Research</w:t>
      </w:r>
      <w:r>
        <w:t xml:space="preserve">, </w:t>
      </w:r>
      <w:r>
        <w:rPr>
          <w:i/>
        </w:rPr>
        <w:t>105</w:t>
      </w:r>
      <w:r>
        <w:t xml:space="preserve">(1), 112–121. </w:t>
      </w:r>
      <w:r>
        <w:rPr>
          <w:color w:val="0563C1"/>
          <w:u w:val="single"/>
        </w:rPr>
        <w:t>https://doi.org/10.1016/j.still.2009.06.003</w:t>
      </w:r>
    </w:p>
    <w:p w14:paraId="0B2014E8" w14:textId="207C094F" w:rsidR="008C5708" w:rsidRDefault="00000000">
      <w:pPr>
        <w:pStyle w:val="Reference"/>
        <w:spacing w:after="80"/>
        <w:ind w:left="720" w:hanging="720"/>
      </w:pPr>
      <w:r>
        <w:lastRenderedPageBreak/>
        <w:t xml:space="preserve">Khurana, H. S., Phillips, S. B., Bijay-Singh, Dobermann, A., Sidhu, A. S., Yadvinder-Singh, &amp; Peng, S. (2007). Performance of site-specific nutrient management for irrigated, transplanted rice in Northwest India. </w:t>
      </w:r>
      <w:r>
        <w:rPr>
          <w:i/>
        </w:rPr>
        <w:t>Agronomy Journal</w:t>
      </w:r>
      <w:r>
        <w:t xml:space="preserve">, </w:t>
      </w:r>
      <w:r>
        <w:rPr>
          <w:i/>
        </w:rPr>
        <w:t>99</w:t>
      </w:r>
      <w:r>
        <w:t xml:space="preserve">(6), 1436–1447. </w:t>
      </w:r>
      <w:r>
        <w:rPr>
          <w:color w:val="0563C1"/>
          <w:u w:val="single"/>
        </w:rPr>
        <w:t>https://doi.org/10.2134/agronj2006.0283</w:t>
      </w:r>
    </w:p>
    <w:p w14:paraId="68CEC040" w14:textId="6CDFBA26" w:rsidR="008C5708" w:rsidRDefault="00000000">
      <w:pPr>
        <w:pStyle w:val="Reference"/>
        <w:spacing w:after="80"/>
        <w:ind w:left="720" w:hanging="720"/>
      </w:pPr>
      <w:r>
        <w:t xml:space="preserve">Klerkx, L., Jakku, E., &amp; Labarthe, P. (2019). A review of social science on digital agriculture, smart farming and agriculture 4.0: New contributions and a future research agenda. </w:t>
      </w:r>
      <w:r>
        <w:rPr>
          <w:i/>
        </w:rPr>
        <w:t>NJAS - Wageningen Journal of Life Sciences</w:t>
      </w:r>
      <w:r>
        <w:t xml:space="preserve">, </w:t>
      </w:r>
      <w:r>
        <w:rPr>
          <w:i/>
        </w:rPr>
        <w:t>90–91</w:t>
      </w:r>
      <w:r>
        <w:t xml:space="preserve">, 100315. </w:t>
      </w:r>
      <w:r>
        <w:rPr>
          <w:color w:val="0563C1"/>
          <w:u w:val="single"/>
        </w:rPr>
        <w:t>https://doi.org/10.1016/j.njas.2019.100315</w:t>
      </w:r>
    </w:p>
    <w:p w14:paraId="5EB24B63" w14:textId="5BA03551" w:rsidR="008C5708" w:rsidRDefault="00000000">
      <w:pPr>
        <w:pStyle w:val="Reference"/>
        <w:spacing w:after="80"/>
        <w:ind w:left="720" w:hanging="720"/>
      </w:pPr>
      <w:r>
        <w:t xml:space="preserve">Kumar, S. (2025). Analyzing adoption impediments in Soil Health Card based fertilizer application by farmers. </w:t>
      </w:r>
      <w:r>
        <w:rPr>
          <w:i/>
        </w:rPr>
        <w:t>Indian Journal of Extension Education</w:t>
      </w:r>
      <w:r>
        <w:t xml:space="preserve">, </w:t>
      </w:r>
      <w:r>
        <w:rPr>
          <w:i/>
        </w:rPr>
        <w:t>61</w:t>
      </w:r>
      <w:r>
        <w:t xml:space="preserve">(2), 114–117. </w:t>
      </w:r>
      <w:r>
        <w:rPr>
          <w:color w:val="0563C1"/>
          <w:u w:val="single"/>
        </w:rPr>
        <w:t>https://doi.org/10.48165/IJEE.2025.612RN04</w:t>
      </w:r>
    </w:p>
    <w:p w14:paraId="790303A1" w14:textId="2E1238CE" w:rsidR="008C5708" w:rsidRDefault="00000000">
      <w:pPr>
        <w:pStyle w:val="Reference"/>
        <w:spacing w:after="80"/>
        <w:ind w:left="720" w:hanging="720"/>
      </w:pPr>
      <w:r>
        <w:t xml:space="preserve">Kuunya, R., Mohammed, E. A. H., Osman, M. M. A., Ssemugenze, B., Tamás, A., &amp; Ragán, P. (2026). Leveraging remote sensing technologies: A review of precision cropping challenges and research trend analysis. </w:t>
      </w:r>
      <w:r>
        <w:rPr>
          <w:i/>
        </w:rPr>
        <w:t>Journal of the Indian Society of Remote Sensing</w:t>
      </w:r>
      <w:r>
        <w:t xml:space="preserve">. Advance online publication. </w:t>
      </w:r>
      <w:r>
        <w:rPr>
          <w:color w:val="0563C1"/>
          <w:u w:val="single"/>
        </w:rPr>
        <w:t>https://doi.org/10.1007/s12524-026-02475-1</w:t>
      </w:r>
    </w:p>
    <w:p w14:paraId="03AF428F" w14:textId="376E8B86" w:rsidR="008C5708" w:rsidRDefault="00000000">
      <w:pPr>
        <w:pStyle w:val="Reference"/>
        <w:spacing w:after="80"/>
        <w:ind w:left="720" w:hanging="720"/>
      </w:pPr>
      <w:r>
        <w:t xml:space="preserve">Lan, J., &amp; Ban, Q. (2025). The farm-level economic and environmental benefits of precision agriculture technology adoption: A meta-analysis of global evidence. </w:t>
      </w:r>
      <w:r>
        <w:rPr>
          <w:i/>
        </w:rPr>
        <w:t>Sustainability</w:t>
      </w:r>
      <w:r>
        <w:t xml:space="preserve">, </w:t>
      </w:r>
      <w:r>
        <w:rPr>
          <w:i/>
        </w:rPr>
        <w:t>17</w:t>
      </w:r>
      <w:r>
        <w:t xml:space="preserve">(24), 11223. </w:t>
      </w:r>
      <w:r>
        <w:rPr>
          <w:color w:val="0563C1"/>
          <w:u w:val="single"/>
        </w:rPr>
        <w:t>https://doi.org/10.3390/su172411223</w:t>
      </w:r>
    </w:p>
    <w:p w14:paraId="75992038" w14:textId="54031B6E" w:rsidR="008C5708" w:rsidRDefault="00000000">
      <w:pPr>
        <w:pStyle w:val="Reference"/>
        <w:spacing w:after="80"/>
        <w:ind w:left="720" w:hanging="720"/>
      </w:pPr>
      <w:r>
        <w:t xml:space="preserve">Liakos, K. G., Busato, P., Moshou, D., Pearson, S., &amp; Bochtis, D. (2018). Machine learning in agriculture: A review. </w:t>
      </w:r>
      <w:r>
        <w:rPr>
          <w:i/>
        </w:rPr>
        <w:t>Sensors</w:t>
      </w:r>
      <w:r>
        <w:t xml:space="preserve">, </w:t>
      </w:r>
      <w:r>
        <w:rPr>
          <w:i/>
        </w:rPr>
        <w:t>18</w:t>
      </w:r>
      <w:r>
        <w:t xml:space="preserve">(8), 2674. </w:t>
      </w:r>
      <w:r>
        <w:rPr>
          <w:color w:val="0563C1"/>
          <w:u w:val="single"/>
        </w:rPr>
        <w:t>https://doi.org/10.3390/s18082674</w:t>
      </w:r>
    </w:p>
    <w:p w14:paraId="0E75EDFF" w14:textId="681E8236" w:rsidR="008C5708" w:rsidRDefault="00000000">
      <w:pPr>
        <w:pStyle w:val="Reference"/>
        <w:spacing w:after="80"/>
        <w:ind w:left="720" w:hanging="720"/>
      </w:pPr>
      <w:r>
        <w:t xml:space="preserve">Lowenberg-DeBoer, J., &amp; Erickson, B. (2019). Setting the record straight on precision agriculture adoption. </w:t>
      </w:r>
      <w:r>
        <w:rPr>
          <w:i/>
        </w:rPr>
        <w:t>Agronomy Journal</w:t>
      </w:r>
      <w:r>
        <w:t xml:space="preserve">, </w:t>
      </w:r>
      <w:r>
        <w:rPr>
          <w:i/>
        </w:rPr>
        <w:t>111</w:t>
      </w:r>
      <w:r>
        <w:t xml:space="preserve">(4), 1552–1569. </w:t>
      </w:r>
      <w:r>
        <w:rPr>
          <w:color w:val="0563C1"/>
          <w:u w:val="single"/>
        </w:rPr>
        <w:t>https://doi.org/10.2134/agronj2018.12.0779</w:t>
      </w:r>
    </w:p>
    <w:p w14:paraId="5D38079B" w14:textId="4593FC77" w:rsidR="008C5708" w:rsidRDefault="00000000">
      <w:pPr>
        <w:pStyle w:val="Reference"/>
        <w:spacing w:after="80"/>
        <w:ind w:left="720" w:hanging="720"/>
      </w:pPr>
      <w:r>
        <w:t xml:space="preserve">Mizik, T. (2023). How can precision farming work on a small scale? A systematic literature review. </w:t>
      </w:r>
      <w:r>
        <w:rPr>
          <w:i/>
        </w:rPr>
        <w:t>Precision Agriculture</w:t>
      </w:r>
      <w:r>
        <w:t xml:space="preserve">, </w:t>
      </w:r>
      <w:r>
        <w:rPr>
          <w:i/>
        </w:rPr>
        <w:t>24</w:t>
      </w:r>
      <w:r>
        <w:t xml:space="preserve">(2), 384–406. </w:t>
      </w:r>
      <w:r>
        <w:rPr>
          <w:color w:val="0563C1"/>
          <w:u w:val="single"/>
        </w:rPr>
        <w:t>https://doi.org/10.1007/s11119-022-09934-y</w:t>
      </w:r>
    </w:p>
    <w:p w14:paraId="4988B972" w14:textId="0C1A23F7" w:rsidR="008C5708" w:rsidRDefault="00000000">
      <w:pPr>
        <w:pStyle w:val="Reference"/>
        <w:spacing w:after="80"/>
        <w:ind w:left="720" w:hanging="720"/>
      </w:pPr>
      <w:r>
        <w:t xml:space="preserve">Mondal, P., &amp; Basu, M. (2009). Adoption of precision agriculture technologies in India and in some developing countries: Scope, present status and strategies. </w:t>
      </w:r>
      <w:r>
        <w:rPr>
          <w:i/>
        </w:rPr>
        <w:t>Progress in Natural Science</w:t>
      </w:r>
      <w:r>
        <w:t xml:space="preserve">, </w:t>
      </w:r>
      <w:r>
        <w:rPr>
          <w:i/>
        </w:rPr>
        <w:t>19</w:t>
      </w:r>
      <w:r>
        <w:t xml:space="preserve">(6), 659–666. </w:t>
      </w:r>
      <w:r>
        <w:rPr>
          <w:color w:val="0563C1"/>
          <w:u w:val="single"/>
        </w:rPr>
        <w:t>https://doi.org/10.1016/j.pnsc.2008.07.020</w:t>
      </w:r>
    </w:p>
    <w:p w14:paraId="1D3F3916" w14:textId="46F6BE2F" w:rsidR="008C5708" w:rsidRDefault="00000000">
      <w:pPr>
        <w:pStyle w:val="Reference"/>
        <w:spacing w:after="80"/>
        <w:ind w:left="720" w:hanging="720"/>
      </w:pPr>
      <w:r>
        <w:t xml:space="preserve">Monteiro, A., Santos, S., &amp; Gonçalves, P. (2021). Precision agriculture for crop and livestock farming—Brief review. </w:t>
      </w:r>
      <w:r>
        <w:rPr>
          <w:i/>
        </w:rPr>
        <w:t>Animals</w:t>
      </w:r>
      <w:r>
        <w:t xml:space="preserve">, </w:t>
      </w:r>
      <w:r>
        <w:rPr>
          <w:i/>
        </w:rPr>
        <w:t>11</w:t>
      </w:r>
      <w:r>
        <w:t xml:space="preserve">(8), 2345. </w:t>
      </w:r>
      <w:r>
        <w:rPr>
          <w:color w:val="0563C1"/>
          <w:u w:val="single"/>
        </w:rPr>
        <w:t>https://doi.org/10.3390/ani11082345</w:t>
      </w:r>
    </w:p>
    <w:p w14:paraId="1D7DBF56" w14:textId="484D96C7" w:rsidR="008C5708" w:rsidRDefault="00000000">
      <w:pPr>
        <w:pStyle w:val="Reference"/>
        <w:spacing w:after="80"/>
        <w:ind w:left="720" w:hanging="720"/>
      </w:pPr>
      <w:r>
        <w:t xml:space="preserve">Nayak, H. S., Silva, J. V., Parihar, C. M., Jat, M. L., Singh, R., Kumar, R., Sena, D. R., Jat, H. S., Sidhu, H. S., Krupnik, T. J., &amp; Sapkota, T. B. (2025). Ensuring sustainable crop production when yield gaps are small: A data-driven integrated assessment for wheat farms in Northwest India. </w:t>
      </w:r>
      <w:r>
        <w:rPr>
          <w:i/>
        </w:rPr>
        <w:t>European Journal of Agronomy</w:t>
      </w:r>
      <w:r>
        <w:t xml:space="preserve">, </w:t>
      </w:r>
      <w:r>
        <w:rPr>
          <w:i/>
        </w:rPr>
        <w:t>164</w:t>
      </w:r>
      <w:r>
        <w:t xml:space="preserve">, 127492. </w:t>
      </w:r>
      <w:r>
        <w:rPr>
          <w:color w:val="0563C1"/>
          <w:u w:val="single"/>
        </w:rPr>
        <w:t>https://doi.org/10.1016/j.eja.2024.127492</w:t>
      </w:r>
    </w:p>
    <w:p w14:paraId="7C21FE83" w14:textId="38AF6931" w:rsidR="008C5708" w:rsidRDefault="00000000">
      <w:pPr>
        <w:pStyle w:val="Reference"/>
        <w:spacing w:after="80"/>
        <w:ind w:left="720" w:hanging="720"/>
      </w:pPr>
      <w:r>
        <w:t xml:space="preserve">Ohlan, R., Ohlan, A., &amp; Singh, R. (2025a). Adoption of Soil Health Card by farmers in Haryana: Perceptions, challenges and way forward. </w:t>
      </w:r>
      <w:r>
        <w:rPr>
          <w:i/>
        </w:rPr>
        <w:t>Indian Journal of Extension Education</w:t>
      </w:r>
      <w:r>
        <w:t xml:space="preserve">, </w:t>
      </w:r>
      <w:r>
        <w:rPr>
          <w:i/>
        </w:rPr>
        <w:t>61</w:t>
      </w:r>
      <w:r>
        <w:t xml:space="preserve">(1), 19–24. </w:t>
      </w:r>
      <w:r>
        <w:rPr>
          <w:color w:val="0563C1"/>
          <w:u w:val="single"/>
        </w:rPr>
        <w:t>https://doi.org/10.48165/IJEE.2025.61104</w:t>
      </w:r>
    </w:p>
    <w:p w14:paraId="3F2DD13D" w14:textId="35550422" w:rsidR="008C5708" w:rsidRDefault="00000000">
      <w:pPr>
        <w:pStyle w:val="Reference"/>
        <w:spacing w:after="80"/>
        <w:ind w:left="720" w:hanging="720"/>
      </w:pPr>
      <w:r>
        <w:t xml:space="preserve">Ohlan, R., Ohlan, A., &amp; Singh, R. (2025b). Impact of Soil Health Card on urea fertilizer usage and crop yield in Haryana. </w:t>
      </w:r>
      <w:r>
        <w:rPr>
          <w:i/>
        </w:rPr>
        <w:t>Indian Journal of Extension Education</w:t>
      </w:r>
      <w:r>
        <w:t xml:space="preserve">, </w:t>
      </w:r>
      <w:r>
        <w:rPr>
          <w:i/>
        </w:rPr>
        <w:t>61</w:t>
      </w:r>
      <w:r>
        <w:t xml:space="preserve">(2), 35–39. </w:t>
      </w:r>
      <w:r>
        <w:rPr>
          <w:color w:val="0563C1"/>
          <w:u w:val="single"/>
        </w:rPr>
        <w:t>https://doi.org/10.48165/IJEE.2025.61207</w:t>
      </w:r>
    </w:p>
    <w:p w14:paraId="5BC0EF7E" w14:textId="335D2882" w:rsidR="008C5708" w:rsidRDefault="00000000">
      <w:pPr>
        <w:pStyle w:val="Reference"/>
        <w:spacing w:after="80"/>
        <w:ind w:left="720" w:hanging="720"/>
      </w:pPr>
      <w:r>
        <w:t>Paul, R. A. I., Arthanari, P. M., Pazhanivelan, S., Kavitha, R., &amp; Djanaguiraman, M. (2023). Drone-based herbicide application for energy saving, higher weed control and economics in direct-seeded rice (</w:t>
      </w:r>
      <w:r>
        <w:rPr>
          <w:i/>
        </w:rPr>
        <w:t>Oryza sativa</w:t>
      </w:r>
      <w:r>
        <w:t xml:space="preserve">). </w:t>
      </w:r>
      <w:r>
        <w:rPr>
          <w:i/>
        </w:rPr>
        <w:t>The Indian Journal of Agricultural Sciences</w:t>
      </w:r>
      <w:r>
        <w:t xml:space="preserve">, </w:t>
      </w:r>
      <w:r>
        <w:rPr>
          <w:i/>
        </w:rPr>
        <w:t>93</w:t>
      </w:r>
      <w:r>
        <w:t xml:space="preserve">(7), 704–709. </w:t>
      </w:r>
      <w:r>
        <w:rPr>
          <w:color w:val="0563C1"/>
          <w:u w:val="single"/>
        </w:rPr>
        <w:t>https://doi.org/10.56093/ijas.v93i7.137859</w:t>
      </w:r>
    </w:p>
    <w:p w14:paraId="13B0A8EA" w14:textId="25F028DC" w:rsidR="008C5708" w:rsidRDefault="00000000">
      <w:pPr>
        <w:pStyle w:val="Reference"/>
        <w:spacing w:after="80"/>
        <w:ind w:left="720" w:hanging="720"/>
      </w:pPr>
      <w:r>
        <w:t xml:space="preserve">Paustian, M., &amp; Theuvsen, L. (2017). Adoption of precision agriculture technologies by German crop farmers. </w:t>
      </w:r>
      <w:r>
        <w:rPr>
          <w:i/>
        </w:rPr>
        <w:t>Precision Agriculture</w:t>
      </w:r>
      <w:r>
        <w:t xml:space="preserve">, </w:t>
      </w:r>
      <w:r>
        <w:rPr>
          <w:i/>
        </w:rPr>
        <w:t>18</w:t>
      </w:r>
      <w:r>
        <w:t xml:space="preserve">(5), 701–716. </w:t>
      </w:r>
      <w:r>
        <w:rPr>
          <w:color w:val="0563C1"/>
          <w:u w:val="single"/>
        </w:rPr>
        <w:t>https://doi.org/10.1007/s11119-016-9482-5</w:t>
      </w:r>
    </w:p>
    <w:p w14:paraId="7B4CE14F" w14:textId="1D71854A" w:rsidR="008C5708" w:rsidRDefault="00000000">
      <w:pPr>
        <w:pStyle w:val="Reference"/>
        <w:spacing w:after="80"/>
        <w:ind w:left="720" w:hanging="720"/>
      </w:pPr>
      <w:r>
        <w:t xml:space="preserve">Peng, S., Buresh, R. J., Huang, J., Zhong, X., Zou, Y., Yang, J., Wang, G., Liu, Y., Hu, R., Tang, Q., Cui, K., Zhang, F., &amp; Dobermann, A. (2010). Improving nitrogen fertilization in rice by site-specific N management: A review. </w:t>
      </w:r>
      <w:r>
        <w:rPr>
          <w:i/>
        </w:rPr>
        <w:t>Agronomy for Sustainable Development</w:t>
      </w:r>
      <w:r>
        <w:t xml:space="preserve">, </w:t>
      </w:r>
      <w:r>
        <w:rPr>
          <w:i/>
        </w:rPr>
        <w:t>30</w:t>
      </w:r>
      <w:r>
        <w:t xml:space="preserve">(3), 649–656. </w:t>
      </w:r>
      <w:r>
        <w:rPr>
          <w:color w:val="0563C1"/>
          <w:u w:val="single"/>
        </w:rPr>
        <w:t>https://doi.org/10.1051/agro/2010002</w:t>
      </w:r>
    </w:p>
    <w:p w14:paraId="4F6C9EC4" w14:textId="2813DFEB" w:rsidR="008C5708" w:rsidRDefault="00000000">
      <w:pPr>
        <w:pStyle w:val="Reference"/>
        <w:spacing w:after="80"/>
        <w:ind w:left="720" w:hanging="720"/>
      </w:pPr>
      <w:r>
        <w:t xml:space="preserve">Sherpa, S., Nayak, H. S., Rossiter, D. G., Craufurd, P. Q., Kritee, K., Kumar, V., Paudel, G. P., Peramaiyan, P., Pathak, H., Poonia, S. P., Singh, B., Urfels, A., van Es, H. M., Gautam, U. S., Malik, R. K., &amp; McDonald, A. J. (2025). A data-driven approach for devising and assessing precision nitrogen management strategies applied to wheat systems in India. </w:t>
      </w:r>
      <w:r>
        <w:rPr>
          <w:i/>
        </w:rPr>
        <w:t>Environmental Research: Food Systems</w:t>
      </w:r>
      <w:r>
        <w:t xml:space="preserve">, </w:t>
      </w:r>
      <w:r>
        <w:rPr>
          <w:i/>
        </w:rPr>
        <w:t>2</w:t>
      </w:r>
      <w:r>
        <w:t xml:space="preserve">(4), 045007. </w:t>
      </w:r>
      <w:r>
        <w:rPr>
          <w:color w:val="0563C1"/>
          <w:u w:val="single"/>
        </w:rPr>
        <w:t>https://doi.org/10.1088/2976-601X/ae1839</w:t>
      </w:r>
    </w:p>
    <w:p w14:paraId="1513A3D7" w14:textId="7A2AE3EE" w:rsidR="008C5708" w:rsidRDefault="00000000">
      <w:pPr>
        <w:pStyle w:val="Reference"/>
        <w:spacing w:after="80"/>
        <w:ind w:left="720" w:hanging="720"/>
      </w:pPr>
      <w:r>
        <w:t xml:space="preserve">Singh, A. K., &amp; Chakraborti, M. (2019). Water and nitrogen use efficiency in SRI through AWD and LCC. </w:t>
      </w:r>
      <w:r>
        <w:rPr>
          <w:i/>
        </w:rPr>
        <w:t>The Indian Journal of Agricultural Sciences</w:t>
      </w:r>
      <w:r>
        <w:t xml:space="preserve">, </w:t>
      </w:r>
      <w:r>
        <w:rPr>
          <w:i/>
        </w:rPr>
        <w:t>89</w:t>
      </w:r>
      <w:r>
        <w:t xml:space="preserve">(12), 2059–2063. </w:t>
      </w:r>
      <w:r>
        <w:rPr>
          <w:color w:val="0563C1"/>
          <w:u w:val="single"/>
        </w:rPr>
        <w:t>https://doi.org/10.56093/ijas.v89i12.96274</w:t>
      </w:r>
    </w:p>
    <w:p w14:paraId="2D813264" w14:textId="6BEBA69F" w:rsidR="008C5708" w:rsidRDefault="00000000">
      <w:pPr>
        <w:pStyle w:val="Reference"/>
        <w:spacing w:after="80"/>
        <w:ind w:left="720" w:hanging="720"/>
      </w:pPr>
      <w:r>
        <w:t xml:space="preserve">Singh, B., Singh, V., Singh, Y., Thind, H. S., Kumar, A., Choudhary, O. P., Gupta, R. K., &amp; Vashistha, M. (2017). Site-specific fertilizer nitrogen management using optical sensor in irrigated wheat in the Northwestern India. </w:t>
      </w:r>
      <w:r>
        <w:rPr>
          <w:i/>
        </w:rPr>
        <w:t>Agricultural Research</w:t>
      </w:r>
      <w:r>
        <w:t xml:space="preserve">, </w:t>
      </w:r>
      <w:r>
        <w:rPr>
          <w:i/>
        </w:rPr>
        <w:t>6</w:t>
      </w:r>
      <w:r>
        <w:t xml:space="preserve">(2), 159–168. </w:t>
      </w:r>
      <w:r>
        <w:rPr>
          <w:color w:val="0563C1"/>
          <w:u w:val="single"/>
        </w:rPr>
        <w:t>https://doi.org/10.1007/s40003-017-0251-0</w:t>
      </w:r>
    </w:p>
    <w:p w14:paraId="50770483" w14:textId="617E2E71" w:rsidR="008C5708" w:rsidRDefault="00000000">
      <w:pPr>
        <w:pStyle w:val="Reference"/>
        <w:spacing w:after="80"/>
        <w:ind w:left="720" w:hanging="720"/>
      </w:pPr>
      <w:r>
        <w:lastRenderedPageBreak/>
        <w:t xml:space="preserve">Singh, M., &amp; Singh, K. (2026). Enhancing crop productivity and soil health through precision fertigation: Advancements, challenges and future prospects. </w:t>
      </w:r>
      <w:r>
        <w:rPr>
          <w:i/>
        </w:rPr>
        <w:t>Applied Water Science</w:t>
      </w:r>
      <w:r>
        <w:t xml:space="preserve">, </w:t>
      </w:r>
      <w:r>
        <w:rPr>
          <w:i/>
        </w:rPr>
        <w:t>16</w:t>
      </w:r>
      <w:r>
        <w:t xml:space="preserve">, 130. </w:t>
      </w:r>
      <w:r>
        <w:rPr>
          <w:color w:val="0563C1"/>
          <w:u w:val="single"/>
        </w:rPr>
        <w:t>https://doi.org/10.1007/s13201-026-02767-4</w:t>
      </w:r>
    </w:p>
    <w:p w14:paraId="00F4FBCC" w14:textId="642C88F6" w:rsidR="008C5708" w:rsidRDefault="00000000">
      <w:pPr>
        <w:pStyle w:val="Reference"/>
        <w:spacing w:after="80"/>
        <w:ind w:left="720" w:hanging="720"/>
      </w:pPr>
      <w:r>
        <w:t>Sinha, I., Buttar, G. S., &amp; Brar, A. S. (2017). Drip irrigation and fertigation improve economics, water and energy productivity of spring sunflower (</w:t>
      </w:r>
      <w:r>
        <w:rPr>
          <w:i/>
        </w:rPr>
        <w:t>Helianthus annuus</w:t>
      </w:r>
      <w:r>
        <w:t xml:space="preserve"> L.) in Indian Punjab. </w:t>
      </w:r>
      <w:r>
        <w:rPr>
          <w:i/>
        </w:rPr>
        <w:t>Agricultural Water Management</w:t>
      </w:r>
      <w:r>
        <w:t xml:space="preserve">, </w:t>
      </w:r>
      <w:r>
        <w:rPr>
          <w:i/>
        </w:rPr>
        <w:t>185</w:t>
      </w:r>
      <w:r>
        <w:t xml:space="preserve">, 58–64. </w:t>
      </w:r>
      <w:r>
        <w:rPr>
          <w:color w:val="0563C1"/>
          <w:u w:val="single"/>
        </w:rPr>
        <w:t>https://doi.org/10.1016/j.agwat.2017.02.008</w:t>
      </w:r>
    </w:p>
    <w:p w14:paraId="516C6B4B" w14:textId="3B512420" w:rsidR="008C5708" w:rsidRDefault="00000000">
      <w:pPr>
        <w:pStyle w:val="Reference"/>
        <w:spacing w:after="80"/>
        <w:ind w:left="720" w:hanging="720"/>
      </w:pPr>
      <w:r>
        <w:t xml:space="preserve">Sishodia, R. P., Ray, R. L., &amp; Singh, S. K. (2020). Applications of remote sensing in precision agriculture: A review. </w:t>
      </w:r>
      <w:r>
        <w:rPr>
          <w:i/>
        </w:rPr>
        <w:t>Remote Sensing</w:t>
      </w:r>
      <w:r>
        <w:t xml:space="preserve">, </w:t>
      </w:r>
      <w:r>
        <w:rPr>
          <w:i/>
        </w:rPr>
        <w:t>12</w:t>
      </w:r>
      <w:r>
        <w:t xml:space="preserve">(19), 3136. </w:t>
      </w:r>
      <w:r>
        <w:rPr>
          <w:color w:val="0563C1"/>
          <w:u w:val="single"/>
        </w:rPr>
        <w:t>https://doi.org/10.3390/rs12193136</w:t>
      </w:r>
    </w:p>
    <w:p w14:paraId="475D0034" w14:textId="0152C887" w:rsidR="008C5708" w:rsidRDefault="00000000">
      <w:pPr>
        <w:pStyle w:val="Reference"/>
        <w:spacing w:after="80"/>
        <w:ind w:left="720" w:hanging="720"/>
      </w:pPr>
      <w:r>
        <w:t>Tyagi, V., Singh, R. K., &amp; Nagargade, M. (2020). Effect of precision nitrogen management on yield and nitrogen use efficiency in different varieties of wheat (</w:t>
      </w:r>
      <w:r>
        <w:rPr>
          <w:i/>
        </w:rPr>
        <w:t>Triticum aestivum</w:t>
      </w:r>
      <w:r>
        <w:t xml:space="preserve">). </w:t>
      </w:r>
      <w:r>
        <w:rPr>
          <w:i/>
        </w:rPr>
        <w:t>The Indian Journal of Agricultural Sciences</w:t>
      </w:r>
      <w:r>
        <w:t xml:space="preserve">, </w:t>
      </w:r>
      <w:r>
        <w:rPr>
          <w:i/>
        </w:rPr>
        <w:t>90</w:t>
      </w:r>
      <w:r>
        <w:t xml:space="preserve">(9), 1663–1669. </w:t>
      </w:r>
      <w:r>
        <w:rPr>
          <w:color w:val="0563C1"/>
          <w:u w:val="single"/>
        </w:rPr>
        <w:t>https://doi.org/10.56093/ijas.v90i9.106588</w:t>
      </w:r>
    </w:p>
    <w:p w14:paraId="55DD95AB" w14:textId="2D4475D6" w:rsidR="008C5708" w:rsidRDefault="00000000">
      <w:pPr>
        <w:pStyle w:val="Reference"/>
        <w:spacing w:after="80"/>
        <w:ind w:left="720" w:hanging="720"/>
      </w:pPr>
      <w:r>
        <w:t xml:space="preserve">Vullaganti, N., Ram, B. G., &amp; Sun, X. (2025). Precision agriculture technologies for soil site-specific nutrient management: A comprehensive review. </w:t>
      </w:r>
      <w:r>
        <w:rPr>
          <w:i/>
        </w:rPr>
        <w:t>Artificial Intelligence in Agriculture</w:t>
      </w:r>
      <w:r>
        <w:t xml:space="preserve">, </w:t>
      </w:r>
      <w:r>
        <w:rPr>
          <w:i/>
        </w:rPr>
        <w:t>15</w:t>
      </w:r>
      <w:r>
        <w:t xml:space="preserve">(2), 147–161. </w:t>
      </w:r>
      <w:r>
        <w:rPr>
          <w:color w:val="0563C1"/>
          <w:u w:val="single"/>
        </w:rPr>
        <w:t>https://doi.org/10.1016/j.aiia.2025.02.001</w:t>
      </w:r>
    </w:p>
    <w:p w14:paraId="30C3A59A" w14:textId="7E6BA36E" w:rsidR="008C5708" w:rsidRDefault="00000000">
      <w:pPr>
        <w:pStyle w:val="Reference"/>
        <w:spacing w:after="80"/>
        <w:ind w:left="720" w:hanging="720"/>
      </w:pPr>
      <w:r>
        <w:t xml:space="preserve">Wolfert, S., Ge, L., Verdouw, C., &amp; Bogaardt, M.-J. (2017). Big data in smart farming—A review. </w:t>
      </w:r>
      <w:r>
        <w:rPr>
          <w:i/>
        </w:rPr>
        <w:t>Agricultural Systems</w:t>
      </w:r>
      <w:r>
        <w:t xml:space="preserve">, </w:t>
      </w:r>
      <w:r>
        <w:rPr>
          <w:i/>
        </w:rPr>
        <w:t>153</w:t>
      </w:r>
      <w:r>
        <w:t xml:space="preserve">, 69–80. </w:t>
      </w:r>
      <w:r>
        <w:rPr>
          <w:color w:val="0563C1"/>
          <w:u w:val="single"/>
        </w:rPr>
        <w:t>https://doi.org/10.1016/j.agsy.2017.01.023</w:t>
      </w:r>
    </w:p>
    <w:sectPr w:rsidR="008C5708" w:rsidSect="00034616">
      <w:headerReference w:type="even" r:id="rId8"/>
      <w:headerReference w:type="default" r:id="rId9"/>
      <w:footerReference w:type="even" r:id="rId10"/>
      <w:footerReference w:type="default" r:id="rId11"/>
      <w:headerReference w:type="first" r:id="rId12"/>
      <w:footerReference w:type="first" r:id="rId13"/>
      <w:pgSz w:w="12240" w:h="15840"/>
      <w:pgMar w:top="1224" w:right="1224" w:bottom="1152" w:left="122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E88070" w14:textId="77777777" w:rsidR="007776CF" w:rsidRDefault="007776CF">
      <w:pPr>
        <w:spacing w:after="0" w:line="240" w:lineRule="auto"/>
      </w:pPr>
      <w:r>
        <w:separator/>
      </w:r>
    </w:p>
  </w:endnote>
  <w:endnote w:type="continuationSeparator" w:id="0">
    <w:p w14:paraId="40415EA0" w14:textId="77777777" w:rsidR="007776CF" w:rsidRDefault="007776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F585F" w14:textId="77777777" w:rsidR="0005725B" w:rsidRDefault="0005725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0BA9C" w14:textId="77777777" w:rsidR="008C5708" w:rsidRDefault="00000000">
    <w:pPr>
      <w:pStyle w:val="Footer"/>
      <w:jc w:val="center"/>
    </w:pPr>
    <w:r>
      <w:rPr>
        <w:sz w:val="18"/>
      </w:rPr>
      <w:fldChar w:fldCharType="begin"/>
    </w:r>
    <w:r>
      <w:rPr>
        <w:sz w:val="18"/>
      </w:rPr>
      <w:instrText xml:space="preserve"> PAGE </w:instrText>
    </w:r>
    <w:r>
      <w:rPr>
        <w:sz w:val="18"/>
      </w:rPr>
      <w:fldChar w:fldCharType="separate"/>
    </w:r>
    <w:r w:rsidR="00BF4227">
      <w:rPr>
        <w:noProof/>
        <w:sz w:val="18"/>
      </w:rPr>
      <w:t>1</w:t>
    </w:r>
    <w:r>
      <w:rPr>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23398" w14:textId="77777777" w:rsidR="0005725B" w:rsidRDefault="000572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828793" w14:textId="77777777" w:rsidR="007776CF" w:rsidRDefault="007776CF">
      <w:pPr>
        <w:spacing w:after="0" w:line="240" w:lineRule="auto"/>
      </w:pPr>
      <w:r>
        <w:separator/>
      </w:r>
    </w:p>
  </w:footnote>
  <w:footnote w:type="continuationSeparator" w:id="0">
    <w:p w14:paraId="3CDBDD5E" w14:textId="77777777" w:rsidR="007776CF" w:rsidRDefault="007776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A54D1" w14:textId="1CEAE6AA" w:rsidR="0005725B" w:rsidRDefault="0005725B">
    <w:pPr>
      <w:pStyle w:val="Header"/>
    </w:pPr>
    <w:r>
      <w:rPr>
        <w:noProof/>
      </w:rPr>
      <w:pict w14:anchorId="6E5DBB6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1113501" o:spid="_x0000_s1026" type="#_x0000_t136" style="position:absolute;left:0;text-align:left;margin-left:0;margin-top:0;width:621.25pt;height:69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C12CE" w14:textId="6A30838F" w:rsidR="0005725B" w:rsidRDefault="0005725B">
    <w:pPr>
      <w:pStyle w:val="Header"/>
    </w:pPr>
    <w:r>
      <w:rPr>
        <w:noProof/>
      </w:rPr>
      <w:pict w14:anchorId="424EF59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1113502" o:spid="_x0000_s1027" type="#_x0000_t136" style="position:absolute;left:0;text-align:left;margin-left:0;margin-top:0;width:621.25pt;height:69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BC1C8" w14:textId="175D4807" w:rsidR="0005725B" w:rsidRDefault="0005725B">
    <w:pPr>
      <w:pStyle w:val="Header"/>
    </w:pPr>
    <w:r>
      <w:rPr>
        <w:noProof/>
      </w:rPr>
      <w:pict w14:anchorId="1148226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1113500" o:spid="_x0000_s1025" type="#_x0000_t136" style="position:absolute;left:0;text-align:left;margin-left:0;margin-top:0;width:621.25pt;height:69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22852486">
    <w:abstractNumId w:val="8"/>
  </w:num>
  <w:num w:numId="2" w16cid:durableId="1482845255">
    <w:abstractNumId w:val="6"/>
  </w:num>
  <w:num w:numId="3" w16cid:durableId="47733006">
    <w:abstractNumId w:val="5"/>
  </w:num>
  <w:num w:numId="4" w16cid:durableId="874000518">
    <w:abstractNumId w:val="4"/>
  </w:num>
  <w:num w:numId="5" w16cid:durableId="976107061">
    <w:abstractNumId w:val="7"/>
  </w:num>
  <w:num w:numId="6" w16cid:durableId="1414858601">
    <w:abstractNumId w:val="3"/>
  </w:num>
  <w:num w:numId="7" w16cid:durableId="328753607">
    <w:abstractNumId w:val="2"/>
  </w:num>
  <w:num w:numId="8" w16cid:durableId="932980829">
    <w:abstractNumId w:val="1"/>
  </w:num>
  <w:num w:numId="9" w16cid:durableId="17154984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5725B"/>
    <w:rsid w:val="0006063C"/>
    <w:rsid w:val="0015074B"/>
    <w:rsid w:val="0029639D"/>
    <w:rsid w:val="002F24C1"/>
    <w:rsid w:val="00326F90"/>
    <w:rsid w:val="0034176B"/>
    <w:rsid w:val="00453302"/>
    <w:rsid w:val="007721D0"/>
    <w:rsid w:val="007776CF"/>
    <w:rsid w:val="00810855"/>
    <w:rsid w:val="008C5708"/>
    <w:rsid w:val="00927F03"/>
    <w:rsid w:val="00AA1D8D"/>
    <w:rsid w:val="00B47730"/>
    <w:rsid w:val="00BF4227"/>
    <w:rsid w:val="00C82DE3"/>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FC54521"/>
  <w14:defaultImageDpi w14:val="300"/>
  <w15:docId w15:val="{B1F58CD6-8FD0-4808-8C9F-BC067038BD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jc w:val="both"/>
    </w:pPr>
    <w:rPr>
      <w:rFonts w:ascii="Times New Roman" w:eastAsia="Times New Roman" w:hAnsi="Times New Roman"/>
    </w:rPr>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b/>
      <w:bCs/>
      <w:color w:val="1F374F"/>
      <w:sz w:val="26"/>
      <w:szCs w:val="28"/>
    </w:rPr>
  </w:style>
  <w:style w:type="paragraph" w:styleId="Heading2">
    <w:name w:val="heading 2"/>
    <w:basedOn w:val="Normal"/>
    <w:next w:val="Normal"/>
    <w:link w:val="Heading2Char"/>
    <w:uiPriority w:val="9"/>
    <w:unhideWhenUsed/>
    <w:qFormat/>
    <w:rsid w:val="00FC693F"/>
    <w:pPr>
      <w:keepNext/>
      <w:keepLines/>
      <w:spacing w:before="160" w:after="60"/>
      <w:outlineLvl w:val="1"/>
    </w:pPr>
    <w:rPr>
      <w:rFonts w:asciiTheme="majorHAnsi" w:eastAsiaTheme="majorEastAsia" w:hAnsiTheme="majorHAnsi" w:cstheme="majorBidi"/>
      <w:b/>
      <w:bCs/>
      <w:color w:val="1F374F"/>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ableCaption">
    <w:name w:val="Table Caption"/>
    <w:pPr>
      <w:keepNext/>
      <w:spacing w:before="140" w:after="60"/>
    </w:pPr>
    <w:rPr>
      <w:rFonts w:ascii="Times New Roman" w:hAnsi="Times New Roman"/>
      <w:b/>
      <w:sz w:val="18"/>
    </w:rPr>
  </w:style>
  <w:style w:type="paragraph" w:customStyle="1" w:styleId="TableNote">
    <w:name w:val="Table Note"/>
    <w:pPr>
      <w:spacing w:line="240" w:lineRule="auto"/>
    </w:pPr>
    <w:rPr>
      <w:rFonts w:ascii="Times New Roman" w:hAnsi="Times New Roman"/>
      <w:sz w:val="16"/>
    </w:rPr>
  </w:style>
  <w:style w:type="paragraph" w:customStyle="1" w:styleId="Reference">
    <w:name w:val="Reference"/>
    <w:pPr>
      <w:spacing w:line="240" w:lineRule="auto"/>
    </w:pPr>
    <w:rPr>
      <w:rFonts w:ascii="Times New Roman" w:hAnsi="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14420</Words>
  <Characters>82196</Characters>
  <Application>Microsoft Office Word</Application>
  <DocSecurity>0</DocSecurity>
  <Lines>684</Lines>
  <Paragraphs>192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96424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Precision Farming for Sustainable and Efficient Agribusiness in India: A Critical Narrative Review with Descriptive Evidence Synthesis</dc:title>
  <dc:subject>Critical narrative review of precision farming in India</dc:subject>
  <dc:creator/>
  <cp:keywords>precision farming; India; digital agriculture; sustainable agribusiness; site-specific management</cp:keywords>
  <dc:description>generated by python-docx</dc:description>
  <cp:lastModifiedBy>SDI 1084</cp:lastModifiedBy>
  <cp:revision>7</cp:revision>
  <dcterms:created xsi:type="dcterms:W3CDTF">2013-12-23T23:15:00Z</dcterms:created>
  <dcterms:modified xsi:type="dcterms:W3CDTF">2026-08-14T07:53:00Z</dcterms:modified>
  <cp:category/>
</cp:coreProperties>
</file>