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73A43" w14:textId="77777777" w:rsidR="000419F2" w:rsidRPr="006D641C" w:rsidRDefault="000419F2" w:rsidP="000419F2">
      <w:pPr>
        <w:pStyle w:val="Author"/>
        <w:outlineLvl w:val="0"/>
        <w:rPr>
          <w:rFonts w:ascii="Arial" w:hAnsi="Arial" w:cs="Arial"/>
          <w:bCs/>
          <w:i/>
          <w:iCs/>
          <w:kern w:val="28"/>
          <w:sz w:val="36"/>
          <w:u w:val="single"/>
        </w:rPr>
      </w:pPr>
      <w:bookmarkStart w:id="0" w:name="Xc5d31ea9011a63489a81b11eaf35d14982c946e"/>
      <w:r>
        <w:rPr>
          <w:rFonts w:ascii="Arial" w:hAnsi="Arial" w:cs="Arial"/>
          <w:bCs/>
          <w:i/>
          <w:iCs/>
          <w:kern w:val="28"/>
          <w:sz w:val="36"/>
          <w:u w:val="single"/>
        </w:rPr>
        <w:t xml:space="preserve">Review </w:t>
      </w:r>
      <w:r w:rsidRPr="00D52414">
        <w:rPr>
          <w:rFonts w:ascii="Arial" w:hAnsi="Arial" w:cs="Arial"/>
          <w:bCs/>
          <w:i/>
          <w:iCs/>
          <w:kern w:val="28"/>
          <w:sz w:val="36"/>
          <w:u w:val="single"/>
        </w:rPr>
        <w:t>Article</w:t>
      </w:r>
    </w:p>
    <w:p w14:paraId="6C0E8808" w14:textId="77777777" w:rsidR="001A6ECF" w:rsidRDefault="00000000" w:rsidP="00BD4822">
      <w:pPr>
        <w:pStyle w:val="Heading1"/>
        <w:spacing w:before="100" w:beforeAutospacing="1" w:after="100" w:afterAutospacing="1"/>
        <w:jc w:val="both"/>
      </w:pPr>
      <w:proofErr w:type="spellStart"/>
      <w:r>
        <w:t>Haemorrhoidal</w:t>
      </w:r>
      <w:proofErr w:type="spellEnd"/>
      <w:r>
        <w:t xml:space="preserve"> Disease Across the Care Continuum: A Critical Narrative Review of Pathophysiological Mechanisms, Clinical Classification and Evidence-Based Management</w:t>
      </w:r>
    </w:p>
    <w:p w14:paraId="04858D1A" w14:textId="77777777" w:rsidR="001A6ECF" w:rsidRDefault="00000000" w:rsidP="00BD4822">
      <w:pPr>
        <w:pStyle w:val="Heading2"/>
        <w:spacing w:before="100" w:beforeAutospacing="1" w:after="100" w:afterAutospacing="1"/>
        <w:jc w:val="both"/>
      </w:pPr>
      <w:bookmarkStart w:id="1" w:name="abstract"/>
      <w:r>
        <w:t>Abstract</w:t>
      </w:r>
    </w:p>
    <w:p w14:paraId="1282CB08" w14:textId="77777777" w:rsidR="001A6ECF" w:rsidRDefault="00000000" w:rsidP="00BD4822">
      <w:pPr>
        <w:pStyle w:val="FirstParagraph"/>
        <w:spacing w:before="100" w:beforeAutospacing="1" w:after="100" w:afterAutospacing="1"/>
        <w:jc w:val="both"/>
      </w:pPr>
      <w:proofErr w:type="spellStart"/>
      <w:r>
        <w:t>Haemorrhoidal</w:t>
      </w:r>
      <w:proofErr w:type="spellEnd"/>
      <w:r>
        <w:t xml:space="preserve"> disease is among the most frequently encountered anorectal conditions in general practice, gastroenterology and colorectal surgery, yet the field remains unusually resistant to the forms of evidential consolidation achieved in comparable benign surgical domains. This critical narrative review examines the state of knowledge across the full care continuum, from mechanistic accounts of disease initiation through diagnostic classification to the comparative performance of conservative, office-based, ablative and operative interventions. Literature was identified through structured searching of MEDLINE via PubMed, </w:t>
      </w:r>
      <w:proofErr w:type="spellStart"/>
      <w:r>
        <w:t>Crossref</w:t>
      </w:r>
      <w:proofErr w:type="spellEnd"/>
      <w:r>
        <w:t xml:space="preserve"> Metadata Search and Semantic Scholar, supplemented by targeted retrieval of individual trials, consensus documents and guidelines named within retrieved sources, with a final search date of 9 June 2026. The synthesis is </w:t>
      </w:r>
      <w:proofErr w:type="spellStart"/>
      <w:r>
        <w:t>organised</w:t>
      </w:r>
      <w:proofErr w:type="spellEnd"/>
      <w:r>
        <w:t xml:space="preserve"> around mechanisms, measurement and management rather than around individual studies. Three interlocking problems are identified. First, the dominant sliding-anal-cushion model, although anatomically coherent and now supported by genetic evidence implicating smooth muscle, epithelial and connective tissue biology, has limited power to explain why symptomatic disease develops in some individuals and not others, and it has generated few testable predictions relevant to treatment selection. Second, the </w:t>
      </w:r>
      <w:proofErr w:type="spellStart"/>
      <w:r>
        <w:t>Goligher</w:t>
      </w:r>
      <w:proofErr w:type="spellEnd"/>
      <w:r>
        <w:t xml:space="preserve"> classification continues to serve simultaneously as a descriptive scheme, an eligibility criterion and an outcome, despite documented interobserver variability and weak correspondence with symptom burden, and the validated symptom scores and patient-reported outcome measures developed to replace it have not yet been consistently adopted in comparative trials. Third, the comparative evidence base is extensive but structurally weak, with recurrence defined inconsistently, follow-up frequently truncated before the interval at which prolapse recurs, and newer energy-based and endovascular techniques supported largely by uncontrolled series. Recurring findings that appear robust include the efficacy of </w:t>
      </w:r>
      <w:proofErr w:type="spellStart"/>
      <w:r>
        <w:t>fibre</w:t>
      </w:r>
      <w:proofErr w:type="spellEnd"/>
      <w:r>
        <w:t xml:space="preserve"> supplementation for bleeding, the trade-off between procedural invasiveness and durability, and the higher long-term recurrence of stapled </w:t>
      </w:r>
      <w:proofErr w:type="spellStart"/>
      <w:r>
        <w:t>haemorrhoidopexy</w:t>
      </w:r>
      <w:proofErr w:type="spellEnd"/>
      <w:r>
        <w:t xml:space="preserve"> relative to excisional surgery. Priorities for research include outcome </w:t>
      </w:r>
      <w:proofErr w:type="spellStart"/>
      <w:r>
        <w:t>standardisation</w:t>
      </w:r>
      <w:proofErr w:type="spellEnd"/>
      <w:r>
        <w:t xml:space="preserve">, mechanistic stratification of patients, and adequately powered </w:t>
      </w:r>
      <w:proofErr w:type="spellStart"/>
      <w:r>
        <w:t>randomised</w:t>
      </w:r>
      <w:proofErr w:type="spellEnd"/>
      <w:r>
        <w:t xml:space="preserve"> comparison of the newer minimally invasive techniques against established office-based treatment.</w:t>
      </w:r>
    </w:p>
    <w:p w14:paraId="3EB3A84E" w14:textId="77777777" w:rsidR="001A6ECF" w:rsidRDefault="00000000" w:rsidP="00BD4822">
      <w:pPr>
        <w:pStyle w:val="BodyText"/>
        <w:spacing w:before="100" w:beforeAutospacing="1" w:after="100" w:afterAutospacing="1"/>
        <w:jc w:val="both"/>
      </w:pPr>
      <w:r>
        <w:rPr>
          <w:b/>
          <w:bCs/>
        </w:rPr>
        <w:t>Keywords:</w:t>
      </w:r>
      <w:r>
        <w:t xml:space="preserve"> </w:t>
      </w:r>
      <w:proofErr w:type="spellStart"/>
      <w:r>
        <w:t>haemorrhoids</w:t>
      </w:r>
      <w:proofErr w:type="spellEnd"/>
      <w:r>
        <w:t xml:space="preserve">; anal cushions; </w:t>
      </w:r>
      <w:proofErr w:type="spellStart"/>
      <w:r>
        <w:t>Goligher</w:t>
      </w:r>
      <w:proofErr w:type="spellEnd"/>
      <w:r>
        <w:t xml:space="preserve"> classification; patient-reported outcome measures; rubber band ligation; </w:t>
      </w:r>
      <w:proofErr w:type="spellStart"/>
      <w:r>
        <w:t>haemorrhoidectomy</w:t>
      </w:r>
      <w:proofErr w:type="spellEnd"/>
      <w:r>
        <w:t>; sclerotherapy; narrative review</w:t>
      </w:r>
    </w:p>
    <w:p w14:paraId="0D4C8D3C" w14:textId="77777777" w:rsidR="001A6ECF" w:rsidRDefault="00000000" w:rsidP="00BD4822">
      <w:pPr>
        <w:pStyle w:val="Heading2"/>
        <w:spacing w:before="100" w:beforeAutospacing="1" w:after="100" w:afterAutospacing="1"/>
        <w:jc w:val="both"/>
      </w:pPr>
      <w:bookmarkStart w:id="2" w:name="introduction"/>
      <w:bookmarkEnd w:id="1"/>
      <w:r>
        <w:t>1. Introduction</w:t>
      </w:r>
    </w:p>
    <w:p w14:paraId="4CD2E28E" w14:textId="77777777" w:rsidR="001A6ECF" w:rsidRDefault="00000000" w:rsidP="00BD4822">
      <w:pPr>
        <w:pStyle w:val="FirstParagraph"/>
        <w:spacing w:before="100" w:beforeAutospacing="1" w:after="100" w:afterAutospacing="1"/>
        <w:jc w:val="both"/>
      </w:pPr>
      <w:proofErr w:type="spellStart"/>
      <w:r>
        <w:t>Haemorrhoidal</w:t>
      </w:r>
      <w:proofErr w:type="spellEnd"/>
      <w:r>
        <w:t xml:space="preserve"> disease occupies an incongruous position in clinical medicine. It is extraordinarily common, it consumes substantial elective surgical and endoscopic capacity, and it generates a large and continuously expanding trial literature, yet the fundamental questions that determine clinical decisions remain contested. A pooled analysis of 150 studies comprising nearly nine million individuals estimated a global point prevalence of approximately 26%, with a one-year prevalence of about 22% and a lifetime prevalence near 27% (</w:t>
      </w:r>
      <w:proofErr w:type="spellStart"/>
      <w:r>
        <w:t>Esmaeilnia</w:t>
      </w:r>
      <w:proofErr w:type="spellEnd"/>
      <w:r>
        <w:t xml:space="preserve"> Shirvani et al., 2026). Prospective </w:t>
      </w:r>
      <w:proofErr w:type="spellStart"/>
      <w:r>
        <w:t>colonoscopic</w:t>
      </w:r>
      <w:proofErr w:type="spellEnd"/>
      <w:r>
        <w:t xml:space="preserve"> examination of an adult screening population in Austria identified </w:t>
      </w:r>
      <w:proofErr w:type="spellStart"/>
      <w:r>
        <w:lastRenderedPageBreak/>
        <w:t>haemorrhoids</w:t>
      </w:r>
      <w:proofErr w:type="spellEnd"/>
      <w:r>
        <w:t xml:space="preserve"> in 38.9% of participants, of whom 55.3% reported no symptoms at all (Riss et al., 2012). The disparity between anatomical finding and clinical complaint is central to everything that follows, because it establishes that the visible </w:t>
      </w:r>
      <w:proofErr w:type="spellStart"/>
      <w:r>
        <w:t>haemorrhoidal</w:t>
      </w:r>
      <w:proofErr w:type="spellEnd"/>
      <w:r>
        <w:t xml:space="preserve"> cushion is not itself the disease.</w:t>
      </w:r>
    </w:p>
    <w:p w14:paraId="514A3E6C" w14:textId="77777777" w:rsidR="001A6ECF" w:rsidRDefault="00000000" w:rsidP="00BD4822">
      <w:pPr>
        <w:pStyle w:val="BodyText"/>
        <w:spacing w:before="100" w:beforeAutospacing="1" w:after="100" w:afterAutospacing="1"/>
        <w:jc w:val="both"/>
      </w:pPr>
      <w:r>
        <w:t xml:space="preserve">The condition materially degrades quality of life. Patients with </w:t>
      </w:r>
      <w:proofErr w:type="spellStart"/>
      <w:r>
        <w:t>haemorrhoids</w:t>
      </w:r>
      <w:proofErr w:type="spellEnd"/>
      <w:r>
        <w:t xml:space="preserve"> report impairment across physical and social domains that is not trivial and that correlates only loosely with the anatomical grade assigned by the examining clinician (Riss et al., 2011). Population-level data from New Zealand demonstrate that the disease generates a sustained demand for publicly funded excisional surgery, with rates that vary by ethnicity and socioeconomic position in ways that are unlikely to reflect biological differences alone (Xia et al., 2021). During pregnancy, a nationwide Taiwanese cohort documented a substantial burden of symptomatic disease and a management pattern dominated by conservative measures, reflecting both the self-limiting course in many women and the reluctance to intervene procedurally in this population (Chen et al., 2023).</w:t>
      </w:r>
    </w:p>
    <w:p w14:paraId="28499119" w14:textId="77777777" w:rsidR="001A6ECF" w:rsidRDefault="00000000" w:rsidP="00BD4822">
      <w:pPr>
        <w:pStyle w:val="BodyText"/>
        <w:spacing w:before="100" w:beforeAutospacing="1" w:after="100" w:afterAutospacing="1"/>
        <w:jc w:val="both"/>
      </w:pPr>
      <w:r>
        <w:t xml:space="preserve">Terminology requires early precision. The anal cushions are normal submucosal vascular structures, composed of arteriovenous communications, smooth muscle and supporting connective tissue, present from </w:t>
      </w:r>
      <w:proofErr w:type="spellStart"/>
      <w:r>
        <w:t>foetal</w:t>
      </w:r>
      <w:proofErr w:type="spellEnd"/>
      <w:r>
        <w:t xml:space="preserve"> life and contributing to fine continence (</w:t>
      </w:r>
      <w:proofErr w:type="spellStart"/>
      <w:r>
        <w:t>Lestar</w:t>
      </w:r>
      <w:proofErr w:type="spellEnd"/>
      <w:r>
        <w:t xml:space="preserve"> et al., 1989; Thomson, 1975). </w:t>
      </w:r>
      <w:proofErr w:type="spellStart"/>
      <w:r>
        <w:t>Haemorrhoidal</w:t>
      </w:r>
      <w:proofErr w:type="spellEnd"/>
      <w:r>
        <w:t xml:space="preserve"> disease denotes the symptomatic state arising when these structures become enlarged, displaced distally or subject to bleeding, thrombosis or prolapse. The distinction between internal </w:t>
      </w:r>
      <w:proofErr w:type="spellStart"/>
      <w:r>
        <w:t>haemorrhoids</w:t>
      </w:r>
      <w:proofErr w:type="spellEnd"/>
      <w:r>
        <w:t xml:space="preserve">, arising above the dentate line from the superior </w:t>
      </w:r>
      <w:proofErr w:type="spellStart"/>
      <w:r>
        <w:t>haemorrhoidal</w:t>
      </w:r>
      <w:proofErr w:type="spellEnd"/>
      <w:r>
        <w:t xml:space="preserve"> plexus, and external </w:t>
      </w:r>
      <w:proofErr w:type="spellStart"/>
      <w:r>
        <w:t>haemorrhoids</w:t>
      </w:r>
      <w:proofErr w:type="spellEnd"/>
      <w:r>
        <w:t>, arising below it and covered by somatically innervated anoderm, remains clinically consequential because it determines both symptom profile and the tolerability of office-based intervention (Pata et al., 2021).</w:t>
      </w:r>
    </w:p>
    <w:p w14:paraId="29503A16" w14:textId="77777777" w:rsidR="001A6ECF" w:rsidRDefault="00000000" w:rsidP="00BD4822">
      <w:pPr>
        <w:pStyle w:val="BodyText"/>
        <w:spacing w:before="100" w:beforeAutospacing="1" w:after="100" w:afterAutospacing="1"/>
        <w:jc w:val="both"/>
      </w:pPr>
      <w:r>
        <w:t xml:space="preserve">The modern conceptual framework was established by Thomson (1975), who demonstrated that </w:t>
      </w:r>
      <w:proofErr w:type="spellStart"/>
      <w:r>
        <w:t>haemorrhoids</w:t>
      </w:r>
      <w:proofErr w:type="spellEnd"/>
      <w:r>
        <w:t xml:space="preserve"> are not varicosities of the rectal veins but displaced normal cushions, and by Loder et al. (1994), who consolidated the pathological, physiological and </w:t>
      </w:r>
      <w:proofErr w:type="spellStart"/>
      <w:r>
        <w:t>aetiological</w:t>
      </w:r>
      <w:proofErr w:type="spellEnd"/>
      <w:r>
        <w:t xml:space="preserve"> evidence into a coherent account of cushion disintegration. That framework has proved durable. It has also proved difficult to extend. Genetic analysis of 944,133 individuals subsequently demonstrated modest heritability and identified 102 independent risk loci enriched for genes expressed in blood vessels and gastrointestinal tissues and for pathways governing smooth muscle, epithelial and endothelial development (Zheng et al., 2021). This finding supports a constitutional predisposition to smooth muscle, epithelial and connective tissue dysfunction, but it does not yet identify which patients will progress, which will bleed rather than prolapse, or which will recur after a given intervention.</w:t>
      </w:r>
    </w:p>
    <w:p w14:paraId="05D114D8" w14:textId="77777777" w:rsidR="001A6ECF" w:rsidRDefault="00000000" w:rsidP="00BD4822">
      <w:pPr>
        <w:pStyle w:val="BodyText"/>
        <w:spacing w:before="100" w:beforeAutospacing="1" w:after="100" w:afterAutospacing="1"/>
        <w:jc w:val="both"/>
      </w:pPr>
      <w:r>
        <w:t xml:space="preserve">Clinical practice has meanwhile expanded rapidly. Rubber band ligation, sclerotherapy and excisional </w:t>
      </w:r>
      <w:proofErr w:type="spellStart"/>
      <w:r>
        <w:t>haemorrhoidectomy</w:t>
      </w:r>
      <w:proofErr w:type="spellEnd"/>
      <w:r>
        <w:t xml:space="preserve"> have been joined by stapled </w:t>
      </w:r>
      <w:proofErr w:type="spellStart"/>
      <w:r>
        <w:t>haemorrhoidopexy</w:t>
      </w:r>
      <w:proofErr w:type="spellEnd"/>
      <w:r>
        <w:t xml:space="preserve">, Doppler-guided </w:t>
      </w:r>
      <w:proofErr w:type="spellStart"/>
      <w:r>
        <w:t>haemorrhoidal</w:t>
      </w:r>
      <w:proofErr w:type="spellEnd"/>
      <w:r>
        <w:t xml:space="preserve"> artery ligation with or without </w:t>
      </w:r>
      <w:proofErr w:type="spellStart"/>
      <w:r>
        <w:t>mucopexy</w:t>
      </w:r>
      <w:proofErr w:type="spellEnd"/>
      <w:r>
        <w:t xml:space="preserve">, laser </w:t>
      </w:r>
      <w:proofErr w:type="spellStart"/>
      <w:r>
        <w:t>haemorrhoidoplasty</w:t>
      </w:r>
      <w:proofErr w:type="spellEnd"/>
      <w:r>
        <w:t xml:space="preserve">, radiofrequency ablation and superior rectal artery </w:t>
      </w:r>
      <w:proofErr w:type="spellStart"/>
      <w:r>
        <w:t>embolisation</w:t>
      </w:r>
      <w:proofErr w:type="spellEnd"/>
      <w:r>
        <w:t xml:space="preserve">. Each technique arrives with an initial cohort of </w:t>
      </w:r>
      <w:proofErr w:type="spellStart"/>
      <w:r>
        <w:t>favourable</w:t>
      </w:r>
      <w:proofErr w:type="spellEnd"/>
      <w:r>
        <w:t xml:space="preserve"> uncontrolled series, and each subsequently encounters a more equivocal </w:t>
      </w:r>
      <w:proofErr w:type="spellStart"/>
      <w:r>
        <w:t>randomised</w:t>
      </w:r>
      <w:proofErr w:type="spellEnd"/>
      <w:r>
        <w:t xml:space="preserve"> literature. Contemporary guidance from several national and international bodies now exists (</w:t>
      </w:r>
      <w:proofErr w:type="spellStart"/>
      <w:r>
        <w:t>Brillantino</w:t>
      </w:r>
      <w:proofErr w:type="spellEnd"/>
      <w:r>
        <w:t xml:space="preserve"> et al., 2024; Gallo et al., 2020; Hawkins et al., 2024; Qureshi et al., 2026; van Tol et al., 2020; Yamana, 2017), yet these documents diverge in their treatment of newer modalities, in part because they were written at different points in the accumulation of evidence and in part because they weight the same trials differently.</w:t>
      </w:r>
    </w:p>
    <w:p w14:paraId="41195472" w14:textId="77777777" w:rsidR="001A6ECF" w:rsidRDefault="00000000" w:rsidP="00BD4822">
      <w:pPr>
        <w:pStyle w:val="BodyText"/>
        <w:spacing w:before="100" w:beforeAutospacing="1" w:after="100" w:afterAutospacing="1"/>
        <w:jc w:val="both"/>
      </w:pPr>
      <w:r>
        <w:t xml:space="preserve">Existing reviews have addressed components of this landscape competently. Network meta-analyses have compared surgical and interventional treatments (Jin et al., 2021; </w:t>
      </w:r>
      <w:proofErr w:type="spellStart"/>
      <w:r>
        <w:t>Simillis</w:t>
      </w:r>
      <w:proofErr w:type="spellEnd"/>
      <w:r>
        <w:t xml:space="preserve"> et al., 2015; Yuan et al., 2023), and focused syntheses have examined sclerotherapy (Gallo et al., 2024), </w:t>
      </w:r>
      <w:r>
        <w:lastRenderedPageBreak/>
        <w:t xml:space="preserve">rubber band ligation against excision (Dekker et al., 2021), stapled </w:t>
      </w:r>
      <w:proofErr w:type="spellStart"/>
      <w:r>
        <w:t>haemorrhoidopexy</w:t>
      </w:r>
      <w:proofErr w:type="spellEnd"/>
      <w:r>
        <w:t xml:space="preserve"> (Lauricella et al., 2026), radiofrequency ablation (Christodoulou et al., 2023) and </w:t>
      </w:r>
      <w:proofErr w:type="spellStart"/>
      <w:r>
        <w:t>embolisation</w:t>
      </w:r>
      <w:proofErr w:type="spellEnd"/>
      <w:r>
        <w:t xml:space="preserve"> (Al </w:t>
      </w:r>
      <w:proofErr w:type="spellStart"/>
      <w:r>
        <w:t>Jnainati</w:t>
      </w:r>
      <w:proofErr w:type="spellEnd"/>
      <w:r>
        <w:t xml:space="preserve"> et al., 2025; </w:t>
      </w:r>
      <w:proofErr w:type="spellStart"/>
      <w:r>
        <w:t>Talaie</w:t>
      </w:r>
      <w:proofErr w:type="spellEnd"/>
      <w:r>
        <w:t xml:space="preserve"> et al., 2022). What these syntheses share is a treatment-comparison framing that takes the underlying diagnostic and outcome constructs as given. When the construct itself is unstable, as the accumulating critique of the </w:t>
      </w:r>
      <w:proofErr w:type="spellStart"/>
      <w:r>
        <w:t>Goligher</w:t>
      </w:r>
      <w:proofErr w:type="spellEnd"/>
      <w:r>
        <w:t xml:space="preserve"> classification suggests (Dekker et al., 2022; </w:t>
      </w:r>
      <w:proofErr w:type="spellStart"/>
      <w:r>
        <w:t>Rubbini</w:t>
      </w:r>
      <w:proofErr w:type="spellEnd"/>
      <w:r>
        <w:t xml:space="preserve"> &amp; </w:t>
      </w:r>
      <w:proofErr w:type="spellStart"/>
      <w:r>
        <w:t>Ascanelli</w:t>
      </w:r>
      <w:proofErr w:type="spellEnd"/>
      <w:r>
        <w:t>, 2019; van Oostendorp et al., 2025b), pooled comparisons inherit that instability without acknowledging it. A review that interrogates the measurement layer, the mechanistic layer and the therapeutic layer together, and that traces how weakness in the first two propagates into the third, has not been undertaken.</w:t>
      </w:r>
    </w:p>
    <w:p w14:paraId="03C9792D" w14:textId="77777777" w:rsidR="001A6ECF" w:rsidRDefault="00000000" w:rsidP="00BD4822">
      <w:pPr>
        <w:pStyle w:val="Heading3"/>
        <w:spacing w:before="100" w:beforeAutospacing="1" w:after="100" w:afterAutospacing="1"/>
        <w:jc w:val="both"/>
      </w:pPr>
      <w:bookmarkStart w:id="3" w:name="scope-research-gap-and-objectives"/>
      <w:r>
        <w:t>1.1 Scope, Research Gap and Objectives</w:t>
      </w:r>
    </w:p>
    <w:p w14:paraId="633A6C11" w14:textId="77777777" w:rsidR="001A6ECF" w:rsidRDefault="00000000" w:rsidP="00BD4822">
      <w:pPr>
        <w:pStyle w:val="FirstParagraph"/>
        <w:spacing w:before="100" w:beforeAutospacing="1" w:after="100" w:afterAutospacing="1"/>
        <w:jc w:val="both"/>
      </w:pPr>
      <w:r>
        <w:t xml:space="preserve">This review addresses symptomatic </w:t>
      </w:r>
      <w:proofErr w:type="spellStart"/>
      <w:r>
        <w:t>haemorrhoidal</w:t>
      </w:r>
      <w:proofErr w:type="spellEnd"/>
      <w:r>
        <w:t xml:space="preserve"> disease in non-pregnant and pregnant adults across the continuum of care, encompassing mechanistic accounts of disease development, systems of clinical classification and symptom measurement, and the comparative evidence for conservative, pharmacological, office-based, ablative, endovascular and operative management. Attention is directed towards the coherence of the evidence base as a whole rather than towards adjudicating any single treatment comparison.</w:t>
      </w:r>
    </w:p>
    <w:p w14:paraId="5350B545" w14:textId="77777777" w:rsidR="001A6ECF" w:rsidRDefault="00000000" w:rsidP="00BD4822">
      <w:pPr>
        <w:pStyle w:val="BodyText"/>
        <w:spacing w:before="100" w:beforeAutospacing="1" w:after="100" w:afterAutospacing="1"/>
        <w:jc w:val="both"/>
      </w:pPr>
      <w:r>
        <w:t>The research gap addressed is the persistent disconnection between three layers of the field. Mechanistic understanding has advanced without generating stratification tools; classification has remained anchored to a scheme of contested reliability that continues to define trial eligibility and outcome; and therapeutic evaluation has proliferated without resolving whether the compared groups, outcomes and time horizons are commensurable. Prior reviews have examined each layer separately, and the consequences of their misalignment have not been systematically appraised.</w:t>
      </w:r>
    </w:p>
    <w:p w14:paraId="5A4703E3" w14:textId="77777777" w:rsidR="001A6ECF" w:rsidRDefault="00000000" w:rsidP="00BD4822">
      <w:pPr>
        <w:pStyle w:val="BodyText"/>
        <w:spacing w:before="100" w:beforeAutospacing="1" w:after="100" w:afterAutospacing="1"/>
        <w:jc w:val="both"/>
      </w:pPr>
      <w:r>
        <w:t>The objectives are to evaluate the strength and internal consistency of current mechanistic models and their clinical utility; to appraise the reliability, validity and practical consequences of existing classification systems, severity scores and patient-reported outcome measures; to compare interventions across the care continuum with explicit attention to the durability of benefit, the definition of recurrence and the adequacy of follow-up; to identify the methodological features that most limit confidence in the aggregate evidence; and to specify research priorities capable of resolving the identified uncertainties.</w:t>
      </w:r>
    </w:p>
    <w:p w14:paraId="716D03EA" w14:textId="77777777" w:rsidR="001A6ECF" w:rsidRDefault="00000000" w:rsidP="00BD4822">
      <w:pPr>
        <w:pStyle w:val="BodyText"/>
        <w:spacing w:before="100" w:beforeAutospacing="1" w:after="100" w:afterAutospacing="1"/>
        <w:jc w:val="both"/>
      </w:pPr>
      <w:r>
        <w:t xml:space="preserve">The intended contribution is an integrated critical account that treats measurement and mechanism as determinants of therapeutic evidence quality rather than as separate preliminaries. Excluded from the scope are </w:t>
      </w:r>
      <w:proofErr w:type="spellStart"/>
      <w:r>
        <w:t>paediatric</w:t>
      </w:r>
      <w:proofErr w:type="spellEnd"/>
      <w:r>
        <w:t xml:space="preserve"> populations, </w:t>
      </w:r>
      <w:proofErr w:type="spellStart"/>
      <w:r>
        <w:t>haemorrhoidal</w:t>
      </w:r>
      <w:proofErr w:type="spellEnd"/>
      <w:r>
        <w:t xml:space="preserve"> bleeding arising as a manifestation of portal hypertension where anorectal varices rather than </w:t>
      </w:r>
      <w:proofErr w:type="spellStart"/>
      <w:r>
        <w:t>haemorrhoids</w:t>
      </w:r>
      <w:proofErr w:type="spellEnd"/>
      <w:r>
        <w:t xml:space="preserve"> are the underlying lesion, anal fissure, fistula and other anorectal conditions except where they bear on differential diagnosis, and detailed pharmacoeconomic modelling beyond the comparative cost-effectiveness evidence generated within </w:t>
      </w:r>
      <w:proofErr w:type="spellStart"/>
      <w:r>
        <w:t>randomised</w:t>
      </w:r>
      <w:proofErr w:type="spellEnd"/>
      <w:r>
        <w:t xml:space="preserve"> trials.</w:t>
      </w:r>
    </w:p>
    <w:p w14:paraId="7E3C09C9" w14:textId="77777777" w:rsidR="001A6ECF" w:rsidRDefault="00000000" w:rsidP="00BD4822">
      <w:pPr>
        <w:pStyle w:val="Heading2"/>
        <w:spacing w:before="100" w:beforeAutospacing="1" w:after="100" w:afterAutospacing="1"/>
        <w:jc w:val="both"/>
      </w:pPr>
      <w:bookmarkStart w:id="4" w:name="methods-for-literature-selection"/>
      <w:bookmarkEnd w:id="2"/>
      <w:bookmarkEnd w:id="3"/>
      <w:r>
        <w:t>2. Methods for Literature Selection</w:t>
      </w:r>
    </w:p>
    <w:p w14:paraId="605065DE" w14:textId="77777777" w:rsidR="001A6ECF" w:rsidRDefault="00000000" w:rsidP="00BD4822">
      <w:pPr>
        <w:pStyle w:val="Heading3"/>
        <w:spacing w:before="100" w:beforeAutospacing="1" w:after="100" w:afterAutospacing="1"/>
        <w:jc w:val="both"/>
      </w:pPr>
      <w:bookmarkStart w:id="5" w:name="review-design-and-rationale"/>
      <w:r>
        <w:t>2.1 Review Design and Rationale</w:t>
      </w:r>
    </w:p>
    <w:p w14:paraId="0760ED9D" w14:textId="77777777" w:rsidR="001A6ECF" w:rsidRDefault="00000000" w:rsidP="00BD4822">
      <w:pPr>
        <w:pStyle w:val="FirstParagraph"/>
        <w:spacing w:before="100" w:beforeAutospacing="1" w:after="100" w:afterAutospacing="1"/>
        <w:jc w:val="both"/>
      </w:pPr>
      <w:r>
        <w:t xml:space="preserve">A critical narrative design was selected in preference to a systematic review, scoping review or meta-analysis because the review question is interpretive rather than estimative. The objective is to assess whether mechanistic models, classification instruments and therapeutic trials in </w:t>
      </w:r>
      <w:proofErr w:type="spellStart"/>
      <w:r>
        <w:t>haemorrhoidal</w:t>
      </w:r>
      <w:proofErr w:type="spellEnd"/>
      <w:r>
        <w:t xml:space="preserve"> disease constitute a coherent evidential structure, a question that cannot be </w:t>
      </w:r>
      <w:r>
        <w:lastRenderedPageBreak/>
        <w:t>answered by pooling effect estimates across studies whose populations are defined by an instrument of contested reliability. Several treatment comparisons within this field have already been subjected to competent quantitative synthesis, and repeating that exercise would add little. Narrative synthesis is appropriate where the analytical task involves reconciling heterogeneous designs, disciplines and outcome constructs, and where the interrogation of assumptions embedded in the primary literature is itself the contribution (Greenhalgh et al., 2018).</w:t>
      </w:r>
    </w:p>
    <w:p w14:paraId="2C884C18" w14:textId="77777777" w:rsidR="001A6ECF" w:rsidRDefault="00000000" w:rsidP="00BD4822">
      <w:pPr>
        <w:pStyle w:val="BodyText"/>
        <w:spacing w:before="100" w:beforeAutospacing="1" w:after="100" w:afterAutospacing="1"/>
        <w:jc w:val="both"/>
      </w:pPr>
      <w:r>
        <w:t>The choice of a narrative design does not license methodological informality. Reporting was structured in accordance with the domains covered by the Scale for the Assessment of Narrative Review Articles, which specifies justification of importance, statement of aims, description of the literature search, referencing of claims, evidence-appropriate presentation of data, and adequacy of supporting evidence for principal statements (</w:t>
      </w:r>
      <w:proofErr w:type="spellStart"/>
      <w:r>
        <w:t>Baethge</w:t>
      </w:r>
      <w:proofErr w:type="spellEnd"/>
      <w:r>
        <w:t xml:space="preserve"> et al., 2019). Search concepts, sources, eligibility criteria and appraisal approach are reported below so that the coverage and its boundaries can be examined by readers.</w:t>
      </w:r>
    </w:p>
    <w:p w14:paraId="03DC0712" w14:textId="77777777" w:rsidR="001A6ECF" w:rsidRDefault="00000000" w:rsidP="00BD4822">
      <w:pPr>
        <w:pStyle w:val="Heading3"/>
        <w:spacing w:before="100" w:beforeAutospacing="1" w:after="100" w:afterAutospacing="1"/>
        <w:jc w:val="both"/>
      </w:pPr>
      <w:bookmarkStart w:id="6" w:name="information-sources"/>
      <w:bookmarkEnd w:id="5"/>
      <w:r>
        <w:t>2.2 Information Sources</w:t>
      </w:r>
    </w:p>
    <w:p w14:paraId="2B07E28E" w14:textId="77777777" w:rsidR="001A6ECF" w:rsidRDefault="00000000" w:rsidP="00BD4822">
      <w:pPr>
        <w:pStyle w:val="FirstParagraph"/>
        <w:spacing w:before="100" w:beforeAutospacing="1" w:after="100" w:afterAutospacing="1"/>
        <w:jc w:val="both"/>
      </w:pPr>
      <w:r>
        <w:t xml:space="preserve">Three sources were searched directly during preparation of this review: MEDLINE through the PubMed interface and its programmatic application programming interface; </w:t>
      </w:r>
      <w:proofErr w:type="spellStart"/>
      <w:r>
        <w:t>Crossref</w:t>
      </w:r>
      <w:proofErr w:type="spellEnd"/>
      <w:r>
        <w:t xml:space="preserve"> Metadata Search, used both for topic-level retrieval and for verification of bibliographic records; and Semantic Scholar. Records retrieved from these sources were cross-checked against one another where metadata disagreed, and the version-of-record details were adopted.</w:t>
      </w:r>
    </w:p>
    <w:p w14:paraId="688B3115" w14:textId="77777777" w:rsidR="001A6ECF" w:rsidRDefault="00000000" w:rsidP="00BD4822">
      <w:pPr>
        <w:pStyle w:val="BodyText"/>
        <w:spacing w:before="100" w:beforeAutospacing="1" w:after="100" w:afterAutospacing="1"/>
        <w:jc w:val="both"/>
      </w:pPr>
      <w:r>
        <w:t xml:space="preserve">No subscription-based bibliographic database was accessible during this work. Web of Science Core Collection, Scopus and Embase were not searched, and no claim of coverage from those indexes is made. The consequences of this restriction are considered in the Limitations. Institutional and society guidance documents were retrieved through the indexed literature rather than through direct interrogation of </w:t>
      </w:r>
      <w:proofErr w:type="spellStart"/>
      <w:r>
        <w:t>organisational</w:t>
      </w:r>
      <w:proofErr w:type="spellEnd"/>
      <w:r>
        <w:t xml:space="preserve"> websites.</w:t>
      </w:r>
    </w:p>
    <w:p w14:paraId="3EE6E81E" w14:textId="77777777" w:rsidR="001A6ECF" w:rsidRDefault="00000000" w:rsidP="00BD4822">
      <w:pPr>
        <w:pStyle w:val="BodyText"/>
        <w:spacing w:before="100" w:beforeAutospacing="1" w:after="100" w:afterAutospacing="1"/>
        <w:jc w:val="both"/>
      </w:pPr>
      <w:r>
        <w:t>Database searching was supplemented by citation-informed retrieval. Where a retrieved review, guideline or consensus statement identified a specific trial, cohort or classification proposal by name, that item was sought individually and its bibliographic record verified. Reference lists of recent syntheses and guidance documents were used in the same manner to identify studies not surfaced by the topic searches.</w:t>
      </w:r>
    </w:p>
    <w:p w14:paraId="3B63998C" w14:textId="77777777" w:rsidR="001A6ECF" w:rsidRDefault="00000000" w:rsidP="00BD4822">
      <w:pPr>
        <w:pStyle w:val="Heading3"/>
        <w:spacing w:before="100" w:beforeAutospacing="1" w:after="100" w:afterAutospacing="1"/>
        <w:jc w:val="both"/>
      </w:pPr>
      <w:bookmarkStart w:id="7" w:name="search-strategy-and-search-period"/>
      <w:bookmarkEnd w:id="6"/>
      <w:r>
        <w:t>2.3 Search Strategy and Search Period</w:t>
      </w:r>
    </w:p>
    <w:p w14:paraId="770650BF" w14:textId="77777777" w:rsidR="001A6ECF" w:rsidRDefault="00000000" w:rsidP="00BD4822">
      <w:pPr>
        <w:pStyle w:val="FirstParagraph"/>
        <w:spacing w:before="100" w:beforeAutospacing="1" w:after="100" w:afterAutospacing="1"/>
        <w:jc w:val="both"/>
      </w:pPr>
      <w:r>
        <w:t>Search concepts were constructed around five domains: the condition and its anatomical substrate; mechanisms and pathophysiological constructs; classification, severity and outcome measurement; interventions across the care continuum; and outcomes including recurrence, pain, complications and quality of life. Free-text terms were combined with database-supplied indexing terms where these were available, and both British and American orthographic variants were included throughout, since the literature is split between them.</w:t>
      </w:r>
    </w:p>
    <w:p w14:paraId="485494C4" w14:textId="77777777" w:rsidR="001A6ECF" w:rsidRDefault="00000000" w:rsidP="00BD4822">
      <w:pPr>
        <w:pStyle w:val="BodyText"/>
        <w:spacing w:before="100" w:beforeAutospacing="1" w:after="100" w:afterAutospacing="1"/>
        <w:jc w:val="both"/>
      </w:pPr>
      <w:r>
        <w:t>Representative strings included the following. For the mechanistic domain: (</w:t>
      </w:r>
      <w:proofErr w:type="spellStart"/>
      <w:r>
        <w:t>haemorrhoid</w:t>
      </w:r>
      <w:proofErr w:type="spellEnd"/>
      <w:r>
        <w:t>* OR hemorrhoid* OR “anal cushion</w:t>
      </w:r>
      <w:r>
        <w:rPr>
          <w:i/>
          <w:iCs/>
        </w:rPr>
        <w:t>”) AND (</w:t>
      </w:r>
      <w:proofErr w:type="spellStart"/>
      <w:r>
        <w:rPr>
          <w:i/>
          <w:iCs/>
        </w:rPr>
        <w:t>pathophysiolog</w:t>
      </w:r>
      <w:proofErr w:type="spellEnd"/>
      <w:r>
        <w:t xml:space="preserve"> OR </w:t>
      </w:r>
      <w:proofErr w:type="spellStart"/>
      <w:r>
        <w:t>aetiolog</w:t>
      </w:r>
      <w:proofErr w:type="spellEnd"/>
      <w:r>
        <w:t xml:space="preserve">* OR </w:t>
      </w:r>
      <w:proofErr w:type="spellStart"/>
      <w:r>
        <w:t>etiolog</w:t>
      </w:r>
      <w:proofErr w:type="spellEnd"/>
      <w:r>
        <w:t xml:space="preserve">* </w:t>
      </w:r>
      <w:proofErr w:type="spellStart"/>
      <w:proofErr w:type="gramStart"/>
      <w:r>
        <w:t>OR”connective</w:t>
      </w:r>
      <w:proofErr w:type="spellEnd"/>
      <w:proofErr w:type="gramEnd"/>
      <w:r>
        <w:t xml:space="preserve"> tissue” OR “smooth muscle” OR vascular* OR genome-wide OR </w:t>
      </w:r>
      <w:proofErr w:type="spellStart"/>
      <w:r>
        <w:t>manometr</w:t>
      </w:r>
      <w:proofErr w:type="spellEnd"/>
      <w:r>
        <w:rPr>
          <w:i/>
          <w:iCs/>
        </w:rPr>
        <w:t>). For the classification and measurement domain: (</w:t>
      </w:r>
      <w:proofErr w:type="spellStart"/>
      <w:r>
        <w:rPr>
          <w:i/>
          <w:iCs/>
        </w:rPr>
        <w:t>haemorrhoid</w:t>
      </w:r>
      <w:proofErr w:type="spellEnd"/>
      <w:r>
        <w:t xml:space="preserve"> OR hemorrhoid</w:t>
      </w:r>
      <w:r>
        <w:rPr>
          <w:i/>
          <w:iCs/>
        </w:rPr>
        <w:t>) AND (</w:t>
      </w:r>
      <w:proofErr w:type="spellStart"/>
      <w:r>
        <w:rPr>
          <w:i/>
          <w:iCs/>
        </w:rPr>
        <w:t>Goligher</w:t>
      </w:r>
      <w:proofErr w:type="spellEnd"/>
      <w:r>
        <w:rPr>
          <w:i/>
          <w:iCs/>
        </w:rPr>
        <w:t xml:space="preserve"> OR classification OR grading OR “severity score” OR “patient-reported outcome” OR “core outcome set” OR </w:t>
      </w:r>
      <w:proofErr w:type="spellStart"/>
      <w:r>
        <w:rPr>
          <w:i/>
          <w:iCs/>
        </w:rPr>
        <w:t>validat</w:t>
      </w:r>
      <w:proofErr w:type="spellEnd"/>
      <w:r>
        <w:t>). For the intervention domain: (</w:t>
      </w:r>
      <w:proofErr w:type="spellStart"/>
      <w:r>
        <w:t>haemorrhoid</w:t>
      </w:r>
      <w:proofErr w:type="spellEnd"/>
      <w:r>
        <w:t>* OR hemorrhoid</w:t>
      </w:r>
      <w:r>
        <w:rPr>
          <w:i/>
          <w:iCs/>
        </w:rPr>
        <w:t>) AND (</w:t>
      </w:r>
      <w:proofErr w:type="spellStart"/>
      <w:r>
        <w:rPr>
          <w:i/>
          <w:iCs/>
        </w:rPr>
        <w:t>fibre</w:t>
      </w:r>
      <w:proofErr w:type="spellEnd"/>
      <w:r>
        <w:rPr>
          <w:i/>
          <w:iCs/>
        </w:rPr>
        <w:t xml:space="preserve"> OR fiber OR flavonoid OR “rubber band ligation” OR sclerotherapy OR polidocanol OR “artery ligation” OR </w:t>
      </w:r>
      <w:proofErr w:type="spellStart"/>
      <w:r>
        <w:rPr>
          <w:i/>
          <w:iCs/>
        </w:rPr>
        <w:t>dearterial</w:t>
      </w:r>
      <w:proofErr w:type="spellEnd"/>
      <w:r>
        <w:t xml:space="preserve"> OR </w:t>
      </w:r>
      <w:proofErr w:type="spellStart"/>
      <w:r>
        <w:lastRenderedPageBreak/>
        <w:t>mucopexy</w:t>
      </w:r>
      <w:proofErr w:type="spellEnd"/>
      <w:r>
        <w:t xml:space="preserve"> OR </w:t>
      </w:r>
      <w:proofErr w:type="spellStart"/>
      <w:r>
        <w:t>haemorrhoidectomy</w:t>
      </w:r>
      <w:proofErr w:type="spellEnd"/>
      <w:r>
        <w:t xml:space="preserve"> OR hemorrhoidectomy OR </w:t>
      </w:r>
      <w:proofErr w:type="spellStart"/>
      <w:r>
        <w:t>stapl</w:t>
      </w:r>
      <w:proofErr w:type="spellEnd"/>
      <w:r>
        <w:t>* OR laser OR radiofrequency OR emboli</w:t>
      </w:r>
      <w:r>
        <w:rPr>
          <w:i/>
          <w:iCs/>
        </w:rPr>
        <w:t>). For the outcome domain: (</w:t>
      </w:r>
      <w:proofErr w:type="spellStart"/>
      <w:r>
        <w:rPr>
          <w:i/>
          <w:iCs/>
        </w:rPr>
        <w:t>haemorrhoid</w:t>
      </w:r>
      <w:proofErr w:type="spellEnd"/>
      <w:r>
        <w:t xml:space="preserve"> OR hemorrhoid*) AND (recurrence OR reintervention OR “postoperative pain” OR incontinence OR stenosis OR “quality of life” OR cost-effectiveness). Filters restricting results to </w:t>
      </w:r>
      <w:proofErr w:type="spellStart"/>
      <w:r>
        <w:t>randomised</w:t>
      </w:r>
      <w:proofErr w:type="spellEnd"/>
      <w:r>
        <w:t xml:space="preserve"> controlled trials, systematic reviews, meta-analyses and practice guidelines were applied selectively to locate the higher tiers of the evidence hierarchy, and were then removed to identify observational and mechanistic work that such filters exclude.</w:t>
      </w:r>
    </w:p>
    <w:p w14:paraId="6FDBF3E6" w14:textId="77777777" w:rsidR="001A6ECF" w:rsidRDefault="00000000" w:rsidP="00BD4822">
      <w:pPr>
        <w:pStyle w:val="BodyText"/>
        <w:spacing w:before="100" w:beforeAutospacing="1" w:after="100" w:afterAutospacing="1"/>
        <w:jc w:val="both"/>
      </w:pPr>
      <w:r>
        <w:t xml:space="preserve">The principal search period extended from 1 January 1994 to 9 June 2026. The starting point was selected because the consolidated pathological, physiological and </w:t>
      </w:r>
      <w:proofErr w:type="spellStart"/>
      <w:r>
        <w:t>aetiological</w:t>
      </w:r>
      <w:proofErr w:type="spellEnd"/>
      <w:r>
        <w:t xml:space="preserve"> synthesis published in that year (Loder et al., 1994) marks the transition from descriptive accounts of </w:t>
      </w:r>
      <w:proofErr w:type="spellStart"/>
      <w:r>
        <w:t>haemorrhoidal</w:t>
      </w:r>
      <w:proofErr w:type="spellEnd"/>
      <w:r>
        <w:t xml:space="preserve"> anatomy to the mechanistic framework that governs contemporary research. Foundational publications preceding this date were included where they were necessary to explain the origin of established concepts, specifically the demonstration that </w:t>
      </w:r>
      <w:proofErr w:type="spellStart"/>
      <w:r>
        <w:t>haemorrhoids</w:t>
      </w:r>
      <w:proofErr w:type="spellEnd"/>
      <w:r>
        <w:t xml:space="preserve"> are displaced normal cushions rather than varices (Thomson, 1975), the quantification of the vascular contribution to resting anal pressure (</w:t>
      </w:r>
      <w:proofErr w:type="spellStart"/>
      <w:r>
        <w:t>Lestar</w:t>
      </w:r>
      <w:proofErr w:type="spellEnd"/>
      <w:r>
        <w:t xml:space="preserve"> et al., 1989) and the first large epidemiological </w:t>
      </w:r>
      <w:proofErr w:type="spellStart"/>
      <w:r>
        <w:t>characterisation</w:t>
      </w:r>
      <w:proofErr w:type="spellEnd"/>
      <w:r>
        <w:t xml:space="preserve"> of the condition in relation to bowel habit (Johanson &amp; Sonnenberg, 1990).</w:t>
      </w:r>
    </w:p>
    <w:p w14:paraId="6428B072" w14:textId="77777777" w:rsidR="001A6ECF" w:rsidRDefault="00000000" w:rsidP="00BD4822">
      <w:pPr>
        <w:pStyle w:val="Heading3"/>
        <w:spacing w:before="100" w:beforeAutospacing="1" w:after="100" w:afterAutospacing="1"/>
        <w:jc w:val="both"/>
      </w:pPr>
      <w:bookmarkStart w:id="8" w:name="eligibility-criteria"/>
      <w:bookmarkEnd w:id="7"/>
      <w:r>
        <w:t>2.4 Eligibility Criteria</w:t>
      </w:r>
    </w:p>
    <w:p w14:paraId="0805E2DA" w14:textId="77777777" w:rsidR="001A6ECF" w:rsidRDefault="00000000" w:rsidP="00BD4822">
      <w:pPr>
        <w:pStyle w:val="FirstParagraph"/>
        <w:spacing w:before="100" w:beforeAutospacing="1" w:after="100" w:afterAutospacing="1"/>
        <w:jc w:val="both"/>
      </w:pPr>
      <w:r>
        <w:t xml:space="preserve">Publications were eligible when they addressed symptomatic </w:t>
      </w:r>
      <w:proofErr w:type="spellStart"/>
      <w:r>
        <w:t>haemorrhoidal</w:t>
      </w:r>
      <w:proofErr w:type="spellEnd"/>
      <w:r>
        <w:t xml:space="preserve"> disease or the anatomical and physiological substrate from which it arises, and when they reported original empirical data, systematic synthesis, formal consensus, or a conceptual or methodological contribution capable of altering interpretation of the evidence. Eligible designs included </w:t>
      </w:r>
      <w:proofErr w:type="spellStart"/>
      <w:r>
        <w:t>randomised</w:t>
      </w:r>
      <w:proofErr w:type="spellEnd"/>
      <w:r>
        <w:t xml:space="preserve"> controlled trials, non-</w:t>
      </w:r>
      <w:proofErr w:type="spellStart"/>
      <w:r>
        <w:t>randomised</w:t>
      </w:r>
      <w:proofErr w:type="spellEnd"/>
      <w:r>
        <w:t xml:space="preserve"> comparative studies, prospective and retrospective cohorts, cross-sectional and population-based studies, genetic association studies, physiological and anatomical investigations, systematic reviews, meta-analyses, network meta-analyses and guideline or consensus documents developed by </w:t>
      </w:r>
      <w:proofErr w:type="spellStart"/>
      <w:r>
        <w:t>recognised</w:t>
      </w:r>
      <w:proofErr w:type="spellEnd"/>
      <w:r>
        <w:t xml:space="preserve"> professional societies.</w:t>
      </w:r>
    </w:p>
    <w:p w14:paraId="64DC8C13" w14:textId="77777777" w:rsidR="001A6ECF" w:rsidRDefault="00000000" w:rsidP="00BD4822">
      <w:pPr>
        <w:pStyle w:val="BodyText"/>
        <w:spacing w:before="100" w:beforeAutospacing="1" w:after="100" w:afterAutospacing="1"/>
        <w:jc w:val="both"/>
      </w:pPr>
      <w:r>
        <w:t xml:space="preserve">Studies were excluded when </w:t>
      </w:r>
      <w:proofErr w:type="spellStart"/>
      <w:r>
        <w:t>haemorrhoidal</w:t>
      </w:r>
      <w:proofErr w:type="spellEnd"/>
      <w:r>
        <w:t xml:space="preserve"> disease was incidental rather than the object of investigation, when anorectal varices secondary to portal hypertension were the lesion under study, when the population was exclusively </w:t>
      </w:r>
      <w:proofErr w:type="spellStart"/>
      <w:r>
        <w:t>paediatric</w:t>
      </w:r>
      <w:proofErr w:type="spellEnd"/>
      <w:r>
        <w:t>, and when the report was a narrative commentary without either new data or a methodological argument. Publications not available in English were excluded, since translation resources were not available. Preprints, conference abstracts without full publication, trade material and unrefereed web content were excluded. Sources whose bibliographic identity could not be confirmed against at least one authoritative record were excluded regardless of apparent relevance.</w:t>
      </w:r>
    </w:p>
    <w:p w14:paraId="7BF6AEA8" w14:textId="77777777" w:rsidR="001A6ECF" w:rsidRDefault="00000000" w:rsidP="00BD4822">
      <w:pPr>
        <w:pStyle w:val="BodyText"/>
        <w:spacing w:before="100" w:beforeAutospacing="1" w:after="100" w:afterAutospacing="1"/>
        <w:jc w:val="both"/>
      </w:pPr>
      <w:r>
        <w:t>No restriction was placed on geographical origin, and evidence from Asian, African, European, North American, South American and Australasian settings was sought deliberately, since procedural practice and case mix differ markedly between regions.</w:t>
      </w:r>
    </w:p>
    <w:p w14:paraId="4197699A" w14:textId="77777777" w:rsidR="001A6ECF" w:rsidRDefault="00000000" w:rsidP="00BD4822">
      <w:pPr>
        <w:pStyle w:val="Heading3"/>
        <w:spacing w:before="100" w:beforeAutospacing="1" w:after="100" w:afterAutospacing="1"/>
        <w:jc w:val="both"/>
      </w:pPr>
      <w:bookmarkStart w:id="9" w:name="X7d2e9d0ecae87711c8cd031b02724f1a8226a19"/>
      <w:bookmarkEnd w:id="8"/>
      <w:r>
        <w:t>2.5 Screening, Duplicate Handling and Study Selection</w:t>
      </w:r>
    </w:p>
    <w:p w14:paraId="68BB1B79" w14:textId="77777777" w:rsidR="001A6ECF" w:rsidRDefault="00000000" w:rsidP="00BD4822">
      <w:pPr>
        <w:pStyle w:val="FirstParagraph"/>
        <w:spacing w:before="100" w:beforeAutospacing="1" w:after="100" w:afterAutospacing="1"/>
        <w:jc w:val="both"/>
      </w:pPr>
      <w:r>
        <w:t>Records returned by each search were screened at title and abstract level for topical relevance and design eligibility. Records passing this stage were assessed against the full record, including the complete abstract and, where accessible, the full text. Duplicates arising across the three sources were identified by Digital Object Identifier where present and by comparison of title, first author and journal where a Digital Object Identifier was absent, and were reconciled to a single record.</w:t>
      </w:r>
    </w:p>
    <w:p w14:paraId="6D19EBB0" w14:textId="77777777" w:rsidR="001A6ECF" w:rsidRDefault="00000000" w:rsidP="00BD4822">
      <w:pPr>
        <w:pStyle w:val="BodyText"/>
        <w:spacing w:before="100" w:beforeAutospacing="1" w:after="100" w:afterAutospacing="1"/>
        <w:jc w:val="both"/>
      </w:pPr>
      <w:r>
        <w:lastRenderedPageBreak/>
        <w:t>Where metadata conflicted between sources, particularly in relation to publication year for articles appearing online in advance of an assigned issue, the details associated with the version of record were adopted and applied consistently in the reference list. Items whose bibliographic details could not be reconciled were not cited. Records that were topically relevant but inaccessible in full text were used only where the structured abstract contained sufficient detail to support the specific claim made, and such reliance is confined to descriptive statements about study design and headline results.</w:t>
      </w:r>
    </w:p>
    <w:p w14:paraId="1673AD03" w14:textId="77777777" w:rsidR="001A6ECF" w:rsidRDefault="00000000" w:rsidP="00BD4822">
      <w:pPr>
        <w:pStyle w:val="BodyText"/>
        <w:spacing w:before="100" w:beforeAutospacing="1" w:after="100" w:afterAutospacing="1"/>
        <w:jc w:val="both"/>
      </w:pPr>
      <w:r>
        <w:t>Screening was conducted by a single reviewer, and no duplicate independent screening was performed. Record counts at each screening stage were not maintained in a form permitting reliable reporting, and no flow diagram is presented, since a narrative selection process does not generate the auditable counts that such a diagram implies.</w:t>
      </w:r>
    </w:p>
    <w:p w14:paraId="6EC0F91F" w14:textId="77777777" w:rsidR="001A6ECF" w:rsidRDefault="00000000" w:rsidP="00BD4822">
      <w:pPr>
        <w:pStyle w:val="Heading3"/>
        <w:spacing w:before="100" w:beforeAutospacing="1" w:after="100" w:afterAutospacing="1"/>
        <w:jc w:val="both"/>
      </w:pPr>
      <w:bookmarkStart w:id="10" w:name="Xc28834b6ce4066e280aa110dcd5d5fe36acafe5"/>
      <w:bookmarkEnd w:id="9"/>
      <w:r>
        <w:t>2.6 Critical Appraisal and Evidence Synthesis</w:t>
      </w:r>
    </w:p>
    <w:p w14:paraId="7C21FA77" w14:textId="77777777" w:rsidR="001A6ECF" w:rsidRDefault="00000000" w:rsidP="00BD4822">
      <w:pPr>
        <w:pStyle w:val="FirstParagraph"/>
        <w:spacing w:before="100" w:beforeAutospacing="1" w:after="100" w:afterAutospacing="1"/>
        <w:jc w:val="both"/>
      </w:pPr>
      <w:r>
        <w:t>Appraisal was conducted qualitatively and was directed at the features most likely to distort inference in this particular literature. For comparative trials, attention was given to the adequacy of allocation concealment, the impossibility of participant and assessor masking in most procedural comparisons, the definition and ascertainment of recurrence, the duration of follow-up relative to the natural history of prolapse recurrence, the completeness of outcome data, and whether the primary outcome was patient-reported or clinician-assigned. For syntheses, attention was given to the handling of clinical heterogeneity, the treatment of studies at high risk of bias, and whether pooled estimates were presented with appropriate acknowledgement of the underlying variability in outcome definitions. For observational and mechanistic work, attention was given to sample representativeness, the appropriateness of comparison groups and the distinction between statistical association and mechanistic demonstration.</w:t>
      </w:r>
    </w:p>
    <w:p w14:paraId="3E92B020" w14:textId="77777777" w:rsidR="001A6ECF" w:rsidRDefault="00000000" w:rsidP="00BD4822">
      <w:pPr>
        <w:pStyle w:val="BodyText"/>
        <w:spacing w:before="100" w:beforeAutospacing="1" w:after="100" w:afterAutospacing="1"/>
        <w:jc w:val="both"/>
      </w:pPr>
      <w:r>
        <w:t xml:space="preserve">No formal risk-of-bias instrument was applied to individual studies, since the review did not undertake systematic data extraction and the information required for reliable domain-level scoring was not extracted uniformly. Where included syntheses had themselves applied </w:t>
      </w:r>
      <w:proofErr w:type="spellStart"/>
      <w:r>
        <w:t>recognised</w:t>
      </w:r>
      <w:proofErr w:type="spellEnd"/>
      <w:r>
        <w:t xml:space="preserve"> instruments, their judgements are reported and attributed.</w:t>
      </w:r>
    </w:p>
    <w:p w14:paraId="1C7B9012" w14:textId="77777777" w:rsidR="001A6ECF" w:rsidRDefault="00000000" w:rsidP="00BD4822">
      <w:pPr>
        <w:pStyle w:val="BodyText"/>
        <w:spacing w:before="100" w:beforeAutospacing="1" w:after="100" w:afterAutospacing="1"/>
        <w:jc w:val="both"/>
      </w:pPr>
      <w:r>
        <w:t xml:space="preserve">Themes were developed inductively from the appraised literature and then </w:t>
      </w:r>
      <w:proofErr w:type="spellStart"/>
      <w:r>
        <w:t>organised</w:t>
      </w:r>
      <w:proofErr w:type="spellEnd"/>
      <w:r>
        <w:t xml:space="preserve"> around the three-layer structure set out in the objectives. Where studies disagreed, the disagreement was retained and interrogated rather than resolved by preferential citation, and candidate explanations were sought in differences of population, intervention technique, outcome definition, follow-up duration or analytical approach. Confidence in each principal conclusion was calibrated to the consistency of findings across independent groups and settings, the adequacy of the underlying designs, and the presence or absence of results contradicting the dominant interpretation.</w:t>
      </w:r>
    </w:p>
    <w:p w14:paraId="4B52D137" w14:textId="77777777" w:rsidR="001A6ECF" w:rsidRDefault="00000000" w:rsidP="00BD4822">
      <w:pPr>
        <w:pStyle w:val="Heading2"/>
        <w:spacing w:before="100" w:beforeAutospacing="1" w:after="100" w:afterAutospacing="1"/>
        <w:jc w:val="both"/>
      </w:pPr>
      <w:bookmarkStart w:id="11" w:name="X530bf259506d73a4f01ed0bde50b39c7f73f646"/>
      <w:bookmarkEnd w:id="4"/>
      <w:bookmarkEnd w:id="10"/>
      <w:r>
        <w:t>3. Pathophysiological Mechanisms and Their Explanatory Limits</w:t>
      </w:r>
    </w:p>
    <w:p w14:paraId="4330FA2E" w14:textId="77777777" w:rsidR="001A6ECF" w:rsidRDefault="00000000" w:rsidP="00BD4822">
      <w:pPr>
        <w:pStyle w:val="Heading3"/>
        <w:spacing w:before="100" w:beforeAutospacing="1" w:after="100" w:afterAutospacing="1"/>
        <w:jc w:val="both"/>
      </w:pPr>
      <w:bookmarkStart w:id="12" w:name="Xac9253e0c1c3c66ecf6094ff5332261f11d00bf"/>
      <w:r>
        <w:t>3.1 The Anatomical and Physiological Substrate</w:t>
      </w:r>
    </w:p>
    <w:p w14:paraId="48FA9053" w14:textId="77777777" w:rsidR="001A6ECF" w:rsidRDefault="00000000" w:rsidP="00BD4822">
      <w:pPr>
        <w:pStyle w:val="FirstParagraph"/>
        <w:spacing w:before="100" w:beforeAutospacing="1" w:after="100" w:afterAutospacing="1"/>
        <w:jc w:val="both"/>
      </w:pPr>
      <w:r>
        <w:t xml:space="preserve">Any account of </w:t>
      </w:r>
      <w:proofErr w:type="spellStart"/>
      <w:r>
        <w:t>haemorrhoidal</w:t>
      </w:r>
      <w:proofErr w:type="spellEnd"/>
      <w:r>
        <w:t xml:space="preserve"> disease must begin from the recognition that the structures involved are physiological. The anal cushions are discrete submucosal aggregations of arteriovenous communications, smooth muscle </w:t>
      </w:r>
      <w:proofErr w:type="spellStart"/>
      <w:r>
        <w:t>fibres</w:t>
      </w:r>
      <w:proofErr w:type="spellEnd"/>
      <w:r>
        <w:t xml:space="preserve"> derived from the conjoined longitudinal muscle and the muscularis mucosae, and elastic and collagenous supporting tissue, disposed conventionally in left lateral, right anterior and right posterior positions, although this arrangement is a tendency rather than a rule (Pata et al., 2021; Thomson, 1975). Their function is </w:t>
      </w:r>
      <w:r>
        <w:lastRenderedPageBreak/>
        <w:t>to complete the anal seal. Direct measurement of the components of resting anal pressure has attributed a minority contribution, in the region of one sixth, to the vascular cushions, with the remainder generated by the internal and external sphincters (</w:t>
      </w:r>
      <w:proofErr w:type="spellStart"/>
      <w:r>
        <w:t>Lestar</w:t>
      </w:r>
      <w:proofErr w:type="spellEnd"/>
      <w:r>
        <w:t xml:space="preserve"> et al., 1989). This proportion is small but not negligible, and it explains why radical excision of cushion tissue carries a functional cost that band ligation and sclerotherapy largely avoid.</w:t>
      </w:r>
    </w:p>
    <w:p w14:paraId="4F7FA348" w14:textId="77777777" w:rsidR="001A6ECF" w:rsidRDefault="00000000" w:rsidP="00BD4822">
      <w:pPr>
        <w:pStyle w:val="BodyText"/>
        <w:spacing w:before="100" w:beforeAutospacing="1" w:after="100" w:afterAutospacing="1"/>
        <w:jc w:val="both"/>
      </w:pPr>
      <w:r>
        <w:t xml:space="preserve">The vascular architecture is unusual. The cushions are supplied by terminal branches of the superior rectal artery, and anatomical study of these branches has demonstrated substantial interindividual variation in number and distribution, with a majority of specimens showing arrangements that do not correspond to the conventional three-cushion model (Aigner et al., 2004). This variation is not merely descriptive: it constitutes the anatomical rationale for Doppler </w:t>
      </w:r>
      <w:proofErr w:type="spellStart"/>
      <w:r>
        <w:t>localisation</w:t>
      </w:r>
      <w:proofErr w:type="spellEnd"/>
      <w:r>
        <w:t xml:space="preserve"> during arterial ligation, and its extent predicts that a fixed number of blindly placed ligatures will produce inconsistent </w:t>
      </w:r>
      <w:proofErr w:type="spellStart"/>
      <w:r>
        <w:t>haemodynamic</w:t>
      </w:r>
      <w:proofErr w:type="spellEnd"/>
      <w:r>
        <w:t xml:space="preserve"> effect.</w:t>
      </w:r>
    </w:p>
    <w:p w14:paraId="6EA7E6E8" w14:textId="77777777" w:rsidR="001A6ECF" w:rsidRDefault="00000000" w:rsidP="00BD4822">
      <w:pPr>
        <w:pStyle w:val="Heading3"/>
        <w:spacing w:before="100" w:beforeAutospacing="1" w:after="100" w:afterAutospacing="1"/>
        <w:jc w:val="both"/>
      </w:pPr>
      <w:bookmarkStart w:id="13" w:name="Xf460c3f3f00eee990bf8ea39fff801d6535c5f7"/>
      <w:bookmarkEnd w:id="12"/>
      <w:r>
        <w:t>3.2 The Sliding Cushion Model and the Vascular Hypothesis</w:t>
      </w:r>
    </w:p>
    <w:p w14:paraId="3A5245BF" w14:textId="77777777" w:rsidR="001A6ECF" w:rsidRDefault="00000000" w:rsidP="00BD4822">
      <w:pPr>
        <w:pStyle w:val="FirstParagraph"/>
        <w:spacing w:before="100" w:beforeAutospacing="1" w:after="100" w:afterAutospacing="1"/>
        <w:jc w:val="both"/>
      </w:pPr>
      <w:r>
        <w:t xml:space="preserve">Thomson (1975) established that </w:t>
      </w:r>
      <w:proofErr w:type="spellStart"/>
      <w:r>
        <w:t>haemorrhoids</w:t>
      </w:r>
      <w:proofErr w:type="spellEnd"/>
      <w:r>
        <w:t xml:space="preserve"> are not varicosities. Histological and radiological examination showed that the lesion consists of displaced normal cushion tissue with fragmentation of the supporting smooth muscle and connective tissue framework, permitting caudal migration during </w:t>
      </w:r>
      <w:proofErr w:type="spellStart"/>
      <w:r>
        <w:t>defaecation</w:t>
      </w:r>
      <w:proofErr w:type="spellEnd"/>
      <w:r>
        <w:t xml:space="preserve"> and progressive loss of recoil. Loder et al. (1994) extended this into the sliding-cushion account that remains dominant, incorporating observations of raised anal resting pressure, deterioration of the anchoring apparatus and the contribution of straining.</w:t>
      </w:r>
    </w:p>
    <w:p w14:paraId="014A86C8" w14:textId="77777777" w:rsidR="001A6ECF" w:rsidRDefault="00000000" w:rsidP="00BD4822">
      <w:pPr>
        <w:pStyle w:val="BodyText"/>
        <w:spacing w:before="100" w:beforeAutospacing="1" w:after="100" w:afterAutospacing="1"/>
        <w:jc w:val="both"/>
      </w:pPr>
      <w:r>
        <w:t xml:space="preserve">A partially competing account </w:t>
      </w:r>
      <w:proofErr w:type="spellStart"/>
      <w:r>
        <w:t>emphasises</w:t>
      </w:r>
      <w:proofErr w:type="spellEnd"/>
      <w:r>
        <w:t xml:space="preserve"> the vascular component. </w:t>
      </w:r>
      <w:proofErr w:type="spellStart"/>
      <w:r>
        <w:t>Colour</w:t>
      </w:r>
      <w:proofErr w:type="spellEnd"/>
      <w:r>
        <w:t xml:space="preserve"> Doppler examination has demonstrated increased </w:t>
      </w:r>
      <w:proofErr w:type="spellStart"/>
      <w:r>
        <w:t>calibre</w:t>
      </w:r>
      <w:proofErr w:type="spellEnd"/>
      <w:r>
        <w:t xml:space="preserve"> and flow in the terminal arterial branches supplying the cushions in patients with </w:t>
      </w:r>
      <w:proofErr w:type="spellStart"/>
      <w:r>
        <w:t>haemorrhoidal</w:t>
      </w:r>
      <w:proofErr w:type="spellEnd"/>
      <w:r>
        <w:t xml:space="preserve"> disease relative to controls, supporting a hyperdynamic arterial state rather than passive venous congestion (Aigner et al., 2006). The two accounts are not mutually exclusive, and most contemporary formulations treat them as complementary, with connective tissue failure permitting displacement and arterial </w:t>
      </w:r>
      <w:proofErr w:type="spellStart"/>
      <w:r>
        <w:t>hyperperfusion</w:t>
      </w:r>
      <w:proofErr w:type="spellEnd"/>
      <w:r>
        <w:t xml:space="preserve"> driving engorgement and bleeding. The complementarity is, however, asserted more often than it is demonstrated. No study has established the temporal ordering of the two processes, and it remains undetermined whether increased arterial flow is a cause of cushion enlargement, a consequence of it, or a shared response to a third factor such as altered smooth muscle tone.</w:t>
      </w:r>
    </w:p>
    <w:p w14:paraId="23216AB1" w14:textId="77777777" w:rsidR="001A6ECF" w:rsidRDefault="00000000" w:rsidP="00BD4822">
      <w:pPr>
        <w:pStyle w:val="BodyText"/>
        <w:spacing w:before="100" w:beforeAutospacing="1" w:after="100" w:afterAutospacing="1"/>
        <w:jc w:val="both"/>
      </w:pPr>
      <w:r>
        <w:t xml:space="preserve">The clinical significance of this unresolved ordering is considerable. If arterial </w:t>
      </w:r>
      <w:proofErr w:type="spellStart"/>
      <w:r>
        <w:t>hyperperfusion</w:t>
      </w:r>
      <w:proofErr w:type="spellEnd"/>
      <w:r>
        <w:t xml:space="preserve"> is causal, </w:t>
      </w:r>
      <w:proofErr w:type="spellStart"/>
      <w:r>
        <w:t>dearterialisation</w:t>
      </w:r>
      <w:proofErr w:type="spellEnd"/>
      <w:r>
        <w:t xml:space="preserve"> should be curative and its failures should reflect incomplete arterial interruption. If arterial flow is secondary to cushion displacement, </w:t>
      </w:r>
      <w:proofErr w:type="spellStart"/>
      <w:r>
        <w:t>dearterialisation</w:t>
      </w:r>
      <w:proofErr w:type="spellEnd"/>
      <w:r>
        <w:t xml:space="preserve"> should reduce bleeding while leaving prolapse largely unaddressed, and durable benefit should depend on the </w:t>
      </w:r>
      <w:proofErr w:type="spellStart"/>
      <w:r>
        <w:t>mucopexy</w:t>
      </w:r>
      <w:proofErr w:type="spellEnd"/>
      <w:r>
        <w:t xml:space="preserve"> component rather than the ligation component. The trial evidence discussed in Section 6 is more consistent with the second interpretation than the first, which suggests that the vascular hypothesis has been over-extended as a therapeutic rationale.</w:t>
      </w:r>
    </w:p>
    <w:p w14:paraId="5406DF71" w14:textId="77777777" w:rsidR="001A6ECF" w:rsidRDefault="00000000" w:rsidP="00BD4822">
      <w:pPr>
        <w:pStyle w:val="Heading3"/>
        <w:spacing w:before="100" w:beforeAutospacing="1" w:after="100" w:afterAutospacing="1"/>
        <w:jc w:val="both"/>
      </w:pPr>
      <w:bookmarkStart w:id="14" w:name="Xbd107230a56d714c93802dca74ac8d9a4f7cb3c"/>
      <w:bookmarkEnd w:id="13"/>
      <w:r>
        <w:t>3.3 Connective Tissue, Smooth Muscle and Genetic Predisposition</w:t>
      </w:r>
    </w:p>
    <w:p w14:paraId="26B6E0E9" w14:textId="77777777" w:rsidR="001A6ECF" w:rsidRDefault="00000000" w:rsidP="00BD4822">
      <w:pPr>
        <w:pStyle w:val="FirstParagraph"/>
        <w:spacing w:before="100" w:beforeAutospacing="1" w:after="100" w:afterAutospacing="1"/>
        <w:jc w:val="both"/>
      </w:pPr>
      <w:r>
        <w:t xml:space="preserve">The most substantial recent advance is genetic. Meta-analysis of genome-wide association data from 218,920 affected individuals and 725,213 controls demonstrated modest heritability, identified 102 independent risk loci, and showed enrichment of implicated genes in blood vessel and gastrointestinal tissue with pathway signals concentrated in smooth muscle, epithelial and endothelial development and morphogenesis (Zheng et al., 2021). </w:t>
      </w:r>
      <w:proofErr w:type="spellStart"/>
      <w:r>
        <w:t>Coexpression</w:t>
      </w:r>
      <w:proofErr w:type="spellEnd"/>
      <w:r>
        <w:t xml:space="preserve"> network analysis pointed towards musculoskeletal and epidermal integrity and extracellular matrix </w:t>
      </w:r>
      <w:proofErr w:type="spellStart"/>
      <w:r>
        <w:t>organisation</w:t>
      </w:r>
      <w:proofErr w:type="spellEnd"/>
      <w:r>
        <w:t xml:space="preserve">. </w:t>
      </w:r>
      <w:r>
        <w:lastRenderedPageBreak/>
        <w:t>A polygenic risk score validated in 180,435 independent individuals identified those at elevated risk and correlated with earlier age at onset and with recurrent surgery.</w:t>
      </w:r>
    </w:p>
    <w:p w14:paraId="50DF0730" w14:textId="77777777" w:rsidR="001A6ECF" w:rsidRDefault="00000000" w:rsidP="00BD4822">
      <w:pPr>
        <w:pStyle w:val="BodyText"/>
        <w:spacing w:before="100" w:beforeAutospacing="1" w:after="100" w:afterAutospacing="1"/>
        <w:jc w:val="both"/>
      </w:pPr>
      <w:r>
        <w:t xml:space="preserve">This work does three things simultaneously, and the three should be distinguished. It corroborates the connective tissue and smooth muscle emphasis of the sliding-cushion model, which had rested largely on histological description. It reframes </w:t>
      </w:r>
      <w:proofErr w:type="spellStart"/>
      <w:r>
        <w:t>haemorrhoidal</w:t>
      </w:r>
      <w:proofErr w:type="spellEnd"/>
      <w:r>
        <w:t xml:space="preserve"> disease as constitutionally determined in part, which is consistent with the clinical observation that some patients recur repeatedly after technically adequate treatment while others never do. It does not, however, provide a clinically deployable stratification tool. The heritability is modest, the polygenic score has not been evaluated prospectively as a determinant of treatment selection, and the correlation with recurrent surgery, while biologically interesting, is confounded by healthcare access, surgeon preference and the same classification instability that affects the rest of the field. Confidence in the </w:t>
      </w:r>
      <w:proofErr w:type="spellStart"/>
      <w:r>
        <w:t>aetiological</w:t>
      </w:r>
      <w:proofErr w:type="spellEnd"/>
      <w:r>
        <w:t xml:space="preserve"> inference is reasonably high; confidence in any immediate clinical application is low.</w:t>
      </w:r>
    </w:p>
    <w:p w14:paraId="17238D4A" w14:textId="77777777" w:rsidR="001A6ECF" w:rsidRDefault="00000000" w:rsidP="00BD4822">
      <w:pPr>
        <w:pStyle w:val="Heading3"/>
        <w:spacing w:before="100" w:beforeAutospacing="1" w:after="100" w:afterAutospacing="1"/>
        <w:jc w:val="both"/>
      </w:pPr>
      <w:bookmarkStart w:id="15" w:name="X4bb52d0d40972836217e12222ec3cad3d63849b"/>
      <w:bookmarkEnd w:id="14"/>
      <w:r>
        <w:t>3.4 Bowel Habit, Straining and the Persistent Confusion of Association with Cause</w:t>
      </w:r>
    </w:p>
    <w:p w14:paraId="49F002FC" w14:textId="77777777" w:rsidR="001A6ECF" w:rsidRDefault="00000000" w:rsidP="00BD4822">
      <w:pPr>
        <w:pStyle w:val="FirstParagraph"/>
        <w:spacing w:before="100" w:beforeAutospacing="1" w:after="100" w:afterAutospacing="1"/>
        <w:jc w:val="both"/>
      </w:pPr>
      <w:r>
        <w:t xml:space="preserve">The proposition that constipation and straining cause </w:t>
      </w:r>
      <w:proofErr w:type="spellStart"/>
      <w:r>
        <w:t>haemorrhoidal</w:t>
      </w:r>
      <w:proofErr w:type="spellEnd"/>
      <w:r>
        <w:t xml:space="preserve"> disease is among the most widely repeated claims in the field and among the least securely established. An early analysis of national survey and clinical data reported that the demographic distribution of </w:t>
      </w:r>
      <w:proofErr w:type="spellStart"/>
      <w:r>
        <w:t>haemorrhoids</w:t>
      </w:r>
      <w:proofErr w:type="spellEnd"/>
      <w:r>
        <w:t xml:space="preserve"> did not parallel that of chronic constipation, a finding that was interpreted at the time as evidence against a straightforward causal chain (Johanson &amp; Sonnenberg, 1990). Subsequent work has partially rehabilitated the association. Systematic review and meta-analysis of nineteen studies found functional constipation to be significantly more prevalent among patients with </w:t>
      </w:r>
      <w:proofErr w:type="spellStart"/>
      <w:r>
        <w:t>haemorrhoids</w:t>
      </w:r>
      <w:proofErr w:type="spellEnd"/>
      <w:r>
        <w:t xml:space="preserve"> than among controls, with an odds ratio of 2.09 (95% confidence interval 1.27 to 3.44), while the reciprocal comparison, the prevalence of </w:t>
      </w:r>
      <w:proofErr w:type="spellStart"/>
      <w:r>
        <w:t>haemorrhoids</w:t>
      </w:r>
      <w:proofErr w:type="spellEnd"/>
      <w:r>
        <w:t xml:space="preserve"> among patients with constipation, did not reach significance, with an odds ratio of 2.37 and a confidence interval spanning unity (</w:t>
      </w:r>
      <w:proofErr w:type="spellStart"/>
      <w:r>
        <w:t>Kalkdijk</w:t>
      </w:r>
      <w:proofErr w:type="spellEnd"/>
      <w:r>
        <w:t xml:space="preserve"> et al., 2022).</w:t>
      </w:r>
    </w:p>
    <w:p w14:paraId="17AF52BE" w14:textId="77777777" w:rsidR="001A6ECF" w:rsidRDefault="00000000" w:rsidP="00BD4822">
      <w:pPr>
        <w:pStyle w:val="BodyText"/>
        <w:spacing w:before="100" w:beforeAutospacing="1" w:after="100" w:afterAutospacing="1"/>
        <w:jc w:val="both"/>
      </w:pPr>
      <w:r>
        <w:t xml:space="preserve">That asymmetry is instructive. It is compatible with constipation contributing to </w:t>
      </w:r>
      <w:proofErr w:type="spellStart"/>
      <w:r>
        <w:t>haemorrhoidal</w:t>
      </w:r>
      <w:proofErr w:type="spellEnd"/>
      <w:r>
        <w:t xml:space="preserve"> disease, and equally compatible with both conditions arising from a shared disturbance of anorectal coordination. The same synthesis reported that anal pressures were consistently higher in patients with </w:t>
      </w:r>
      <w:proofErr w:type="spellStart"/>
      <w:r>
        <w:t>haemorrhoids</w:t>
      </w:r>
      <w:proofErr w:type="spellEnd"/>
      <w:r>
        <w:t xml:space="preserve"> across all included manometric studies, and that these pressures remained elevated after rubber band ligation. If raised anal pressure were simply a consequence of the prolapsing cushion, successful ligation should </w:t>
      </w:r>
      <w:proofErr w:type="spellStart"/>
      <w:r>
        <w:t>normalise</w:t>
      </w:r>
      <w:proofErr w:type="spellEnd"/>
      <w:r>
        <w:t xml:space="preserve"> it. Its persistence </w:t>
      </w:r>
      <w:proofErr w:type="spellStart"/>
      <w:r>
        <w:t>favours</w:t>
      </w:r>
      <w:proofErr w:type="spellEnd"/>
      <w:r>
        <w:t xml:space="preserve"> the interpretation that elevated tone and </w:t>
      </w:r>
      <w:proofErr w:type="spellStart"/>
      <w:r>
        <w:t>dyssynergic</w:t>
      </w:r>
      <w:proofErr w:type="spellEnd"/>
      <w:r>
        <w:t xml:space="preserve"> </w:t>
      </w:r>
      <w:proofErr w:type="spellStart"/>
      <w:r>
        <w:t>defaecation</w:t>
      </w:r>
      <w:proofErr w:type="spellEnd"/>
      <w:r>
        <w:t xml:space="preserve"> are antecedent rather than consequent, although the observational designs involved cannot exclude residual disease or measurement artefact.</w:t>
      </w:r>
    </w:p>
    <w:p w14:paraId="3C060AA8" w14:textId="77777777" w:rsidR="001A6ECF" w:rsidRDefault="00000000" w:rsidP="00BD4822">
      <w:pPr>
        <w:pStyle w:val="BodyText"/>
        <w:spacing w:before="100" w:beforeAutospacing="1" w:after="100" w:afterAutospacing="1"/>
        <w:jc w:val="both"/>
      </w:pPr>
      <w:r>
        <w:t>Other risk factors are more securely, if less interestingly, established. Body mass index emerged as an independent predictor in multivariable analysis of a screening colonoscopy population, with each unit increase associated with a 3.5% increase in risk (Riss et al., 2012). Pooled prevalence analysis identified associations with older age, obesity, pregnancy, diabetes, family history, constipation and hypertension, although these were derived from unadjusted comparisons and should not be read as independent effects (</w:t>
      </w:r>
      <w:proofErr w:type="spellStart"/>
      <w:r>
        <w:t>Esmaeilnia</w:t>
      </w:r>
      <w:proofErr w:type="spellEnd"/>
      <w:r>
        <w:t xml:space="preserve"> Shirvani et al., 2026). The correlation between family history and disease is consistent with the genetic evidence, and the association with pregnancy has an obvious mechanical and hormonal explanation.</w:t>
      </w:r>
    </w:p>
    <w:p w14:paraId="4ED39B62" w14:textId="77777777" w:rsidR="001A6ECF" w:rsidRDefault="00000000" w:rsidP="00BD4822">
      <w:pPr>
        <w:pStyle w:val="Heading3"/>
        <w:spacing w:before="100" w:beforeAutospacing="1" w:after="100" w:afterAutospacing="1"/>
        <w:jc w:val="both"/>
      </w:pPr>
      <w:bookmarkStart w:id="16" w:name="Xc493682364e320fa433512ed04f32b7f9666851"/>
      <w:bookmarkEnd w:id="15"/>
      <w:r>
        <w:lastRenderedPageBreak/>
        <w:t>3.5 What the Mechanistic Literature Does Not Explain</w:t>
      </w:r>
    </w:p>
    <w:p w14:paraId="26FCDBF7" w14:textId="77777777" w:rsidR="001A6ECF" w:rsidRDefault="00000000" w:rsidP="00BD4822">
      <w:pPr>
        <w:pStyle w:val="FirstParagraph"/>
        <w:spacing w:before="100" w:beforeAutospacing="1" w:after="100" w:afterAutospacing="1"/>
        <w:jc w:val="both"/>
      </w:pPr>
      <w:r>
        <w:t xml:space="preserve">Three questions of direct clinical relevance remain unanswered by the mechanistic literature. The first concerns symptom determination: given that anatomical </w:t>
      </w:r>
      <w:proofErr w:type="spellStart"/>
      <w:r>
        <w:t>haemorrhoids</w:t>
      </w:r>
      <w:proofErr w:type="spellEnd"/>
      <w:r>
        <w:t xml:space="preserve"> are present in a large majority of adults and that more than half of those with identifiable disease report no symptoms (Riss et al., 2012), no model explains why a particular cushion becomes symptomatic. The second concerns phenotype: bleeding-predominant and prolapse-predominant disease are treated as points on a single severity continuum, yet they may reflect different dominant mechanisms, with the former weighted towards arterial </w:t>
      </w:r>
      <w:proofErr w:type="spellStart"/>
      <w:r>
        <w:t>hyperperfusion</w:t>
      </w:r>
      <w:proofErr w:type="spellEnd"/>
      <w:r>
        <w:t xml:space="preserve"> and mucosal fragility and the latter towards connective tissue failure. The third concerns recurrence: no mechanistic marker predicts which patients will relapse after a technically satisfactory procedure, which is the single most consequential unknown in treatment selection.</w:t>
      </w:r>
    </w:p>
    <w:p w14:paraId="4D8F52A5" w14:textId="77777777" w:rsidR="001A6ECF" w:rsidRDefault="00000000" w:rsidP="00BD4822">
      <w:pPr>
        <w:pStyle w:val="BodyText"/>
        <w:spacing w:before="100" w:beforeAutospacing="1" w:after="100" w:afterAutospacing="1"/>
        <w:jc w:val="both"/>
      </w:pPr>
      <w:r>
        <w:t xml:space="preserve">Table 1 </w:t>
      </w:r>
      <w:proofErr w:type="spellStart"/>
      <w:r>
        <w:t>summarises</w:t>
      </w:r>
      <w:proofErr w:type="spellEnd"/>
      <w:r>
        <w:t xml:space="preserve"> the principal mechanistic models, the nature and quality of the evidence supporting each, and the specific limitation that constrains its clinical application. The pattern that emerges is consistent across models: each is supported by evidence adequate to establish plausibility and biological relevance, and none has been tested in a design capable of demonstrating that acting on the proposed mechanism improves patient-relevant outcomes. The genetic evidence is the strongest in terms of sample size and analytical </w:t>
      </w:r>
      <w:proofErr w:type="spellStart"/>
      <w:r>
        <w:t>rigour</w:t>
      </w:r>
      <w:proofErr w:type="spellEnd"/>
      <w:r>
        <w:t>, yet it is the furthest from clinical deployment; the vascular hypothesis is the closest to a therapeutic application, and its clinical predictions are the least well supported by comparative trials.</w:t>
      </w:r>
    </w:p>
    <w:p w14:paraId="0E625B76" w14:textId="77777777" w:rsidR="001A6ECF" w:rsidRDefault="00000000" w:rsidP="00BD4822">
      <w:pPr>
        <w:pStyle w:val="BodyText"/>
        <w:spacing w:before="100" w:beforeAutospacing="1" w:after="100" w:afterAutospacing="1"/>
        <w:jc w:val="both"/>
      </w:pPr>
      <w:r>
        <w:rPr>
          <w:b/>
          <w:bCs/>
        </w:rPr>
        <w:t>Table 1.</w:t>
      </w:r>
      <w:r>
        <w:t xml:space="preserve"> Principal mechanistic models of </w:t>
      </w:r>
      <w:proofErr w:type="spellStart"/>
      <w:r>
        <w:t>haemorrhoidal</w:t>
      </w:r>
      <w:proofErr w:type="spellEnd"/>
      <w:r>
        <w:t xml:space="preserve"> disease: supporting evidence, evidential strength and constraints on clinical application</w:t>
      </w:r>
    </w:p>
    <w:tbl>
      <w:tblPr>
        <w:tblStyle w:val="TableGrid"/>
        <w:tblW w:w="5000" w:type="pct"/>
        <w:tblLook w:val="0020" w:firstRow="1" w:lastRow="0" w:firstColumn="0" w:lastColumn="0" w:noHBand="0" w:noVBand="0"/>
      </w:tblPr>
      <w:tblGrid>
        <w:gridCol w:w="1470"/>
        <w:gridCol w:w="1800"/>
        <w:gridCol w:w="2009"/>
        <w:gridCol w:w="1705"/>
        <w:gridCol w:w="1871"/>
        <w:gridCol w:w="1339"/>
      </w:tblGrid>
      <w:tr w:rsidR="001A6ECF" w14:paraId="454E6BED" w14:textId="77777777" w:rsidTr="00BD4822">
        <w:tc>
          <w:tcPr>
            <w:tcW w:w="0" w:type="auto"/>
          </w:tcPr>
          <w:p w14:paraId="6E5B7756" w14:textId="77777777" w:rsidR="001A6ECF" w:rsidRDefault="00000000" w:rsidP="00BD4822">
            <w:pPr>
              <w:pStyle w:val="Compact"/>
              <w:spacing w:before="100" w:beforeAutospacing="1" w:after="100" w:afterAutospacing="1"/>
              <w:jc w:val="both"/>
            </w:pPr>
            <w:r>
              <w:t>Model</w:t>
            </w:r>
          </w:p>
        </w:tc>
        <w:tc>
          <w:tcPr>
            <w:tcW w:w="0" w:type="auto"/>
          </w:tcPr>
          <w:p w14:paraId="45FE044B" w14:textId="77777777" w:rsidR="001A6ECF" w:rsidRDefault="00000000" w:rsidP="00BD4822">
            <w:pPr>
              <w:pStyle w:val="Compact"/>
              <w:spacing w:before="100" w:beforeAutospacing="1" w:after="100" w:afterAutospacing="1"/>
              <w:jc w:val="both"/>
            </w:pPr>
            <w:r>
              <w:t>Core proposition</w:t>
            </w:r>
          </w:p>
        </w:tc>
        <w:tc>
          <w:tcPr>
            <w:tcW w:w="0" w:type="auto"/>
          </w:tcPr>
          <w:p w14:paraId="3CF79A5F" w14:textId="77777777" w:rsidR="001A6ECF" w:rsidRDefault="00000000" w:rsidP="00BD4822">
            <w:pPr>
              <w:pStyle w:val="Compact"/>
              <w:spacing w:before="100" w:beforeAutospacing="1" w:after="100" w:afterAutospacing="1"/>
              <w:jc w:val="both"/>
            </w:pPr>
            <w:r>
              <w:t>Nature of supporting evidence</w:t>
            </w:r>
          </w:p>
        </w:tc>
        <w:tc>
          <w:tcPr>
            <w:tcW w:w="0" w:type="auto"/>
          </w:tcPr>
          <w:p w14:paraId="01EA0249" w14:textId="77777777" w:rsidR="001A6ECF" w:rsidRDefault="00000000" w:rsidP="00BD4822">
            <w:pPr>
              <w:pStyle w:val="Compact"/>
              <w:spacing w:before="100" w:beforeAutospacing="1" w:after="100" w:afterAutospacing="1"/>
              <w:jc w:val="both"/>
            </w:pPr>
            <w:r>
              <w:t>Evidential strength</w:t>
            </w:r>
          </w:p>
        </w:tc>
        <w:tc>
          <w:tcPr>
            <w:tcW w:w="0" w:type="auto"/>
          </w:tcPr>
          <w:p w14:paraId="096660D9" w14:textId="77777777" w:rsidR="001A6ECF" w:rsidRDefault="00000000" w:rsidP="00BD4822">
            <w:pPr>
              <w:pStyle w:val="Compact"/>
              <w:spacing w:before="100" w:beforeAutospacing="1" w:after="100" w:afterAutospacing="1"/>
              <w:jc w:val="both"/>
            </w:pPr>
            <w:r>
              <w:t>Principal limitation for clinical use</w:t>
            </w:r>
          </w:p>
        </w:tc>
        <w:tc>
          <w:tcPr>
            <w:tcW w:w="0" w:type="auto"/>
          </w:tcPr>
          <w:p w14:paraId="379E0C66" w14:textId="77777777" w:rsidR="001A6ECF" w:rsidRDefault="00000000" w:rsidP="00BD4822">
            <w:pPr>
              <w:pStyle w:val="Compact"/>
              <w:spacing w:before="100" w:beforeAutospacing="1" w:after="100" w:afterAutospacing="1"/>
              <w:jc w:val="both"/>
            </w:pPr>
            <w:r>
              <w:t>Supporting references</w:t>
            </w:r>
          </w:p>
        </w:tc>
      </w:tr>
      <w:tr w:rsidR="001A6ECF" w14:paraId="4C019DF9" w14:textId="77777777" w:rsidTr="00BD4822">
        <w:tc>
          <w:tcPr>
            <w:tcW w:w="0" w:type="auto"/>
          </w:tcPr>
          <w:p w14:paraId="6C8F4D92" w14:textId="77777777" w:rsidR="001A6ECF" w:rsidRDefault="00000000" w:rsidP="00BD4822">
            <w:pPr>
              <w:pStyle w:val="Compact"/>
              <w:spacing w:before="100" w:beforeAutospacing="1" w:after="100" w:afterAutospacing="1"/>
              <w:jc w:val="both"/>
            </w:pPr>
            <w:r>
              <w:t>Sliding anal cushion</w:t>
            </w:r>
          </w:p>
        </w:tc>
        <w:tc>
          <w:tcPr>
            <w:tcW w:w="0" w:type="auto"/>
          </w:tcPr>
          <w:p w14:paraId="509FB826" w14:textId="77777777" w:rsidR="001A6ECF" w:rsidRDefault="00000000" w:rsidP="00BD4822">
            <w:pPr>
              <w:pStyle w:val="Compact"/>
              <w:spacing w:before="100" w:beforeAutospacing="1" w:after="100" w:afterAutospacing="1"/>
              <w:jc w:val="both"/>
            </w:pPr>
            <w:r>
              <w:t>Symptomatic disease results from fragmentation of the smooth muscle and connective tissue anchoring apparatus, permitting caudal displacement of normal cushions</w:t>
            </w:r>
          </w:p>
        </w:tc>
        <w:tc>
          <w:tcPr>
            <w:tcW w:w="0" w:type="auto"/>
          </w:tcPr>
          <w:p w14:paraId="1A68690B" w14:textId="77777777" w:rsidR="001A6ECF" w:rsidRDefault="00000000" w:rsidP="00BD4822">
            <w:pPr>
              <w:pStyle w:val="Compact"/>
              <w:spacing w:before="100" w:beforeAutospacing="1" w:after="100" w:afterAutospacing="1"/>
              <w:jc w:val="both"/>
            </w:pPr>
            <w:r>
              <w:t>Histological and radiological examination of operative and cadaveric specimens; consolidated pathophysiological synthesis</w:t>
            </w:r>
          </w:p>
        </w:tc>
        <w:tc>
          <w:tcPr>
            <w:tcW w:w="0" w:type="auto"/>
          </w:tcPr>
          <w:p w14:paraId="3292794E" w14:textId="77777777" w:rsidR="001A6ECF" w:rsidRDefault="00000000" w:rsidP="00BD4822">
            <w:pPr>
              <w:pStyle w:val="Compact"/>
              <w:spacing w:before="100" w:beforeAutospacing="1" w:after="100" w:afterAutospacing="1"/>
              <w:jc w:val="both"/>
            </w:pPr>
            <w:r>
              <w:t>Moderate; anatomically coherent and widely replicated in descriptive terms, but not tested against a competing model in any prospective design</w:t>
            </w:r>
          </w:p>
        </w:tc>
        <w:tc>
          <w:tcPr>
            <w:tcW w:w="0" w:type="auto"/>
          </w:tcPr>
          <w:p w14:paraId="3844628E" w14:textId="77777777" w:rsidR="001A6ECF" w:rsidRDefault="00000000" w:rsidP="00BD4822">
            <w:pPr>
              <w:pStyle w:val="Compact"/>
              <w:spacing w:before="100" w:beforeAutospacing="1" w:after="100" w:afterAutospacing="1"/>
              <w:jc w:val="both"/>
            </w:pPr>
            <w:r>
              <w:t>Does not distinguish patients who will become symptomatic from the asymptomatic majority; generates no stratification variable</w:t>
            </w:r>
          </w:p>
        </w:tc>
        <w:tc>
          <w:tcPr>
            <w:tcW w:w="0" w:type="auto"/>
          </w:tcPr>
          <w:p w14:paraId="3285A46C" w14:textId="77777777" w:rsidR="001A6ECF" w:rsidRDefault="00000000" w:rsidP="00BD4822">
            <w:pPr>
              <w:pStyle w:val="Compact"/>
              <w:spacing w:before="100" w:beforeAutospacing="1" w:after="100" w:afterAutospacing="1"/>
              <w:jc w:val="both"/>
            </w:pPr>
            <w:r>
              <w:t>Loder et al. (1994); Thomson (1975)</w:t>
            </w:r>
          </w:p>
        </w:tc>
      </w:tr>
      <w:tr w:rsidR="001A6ECF" w14:paraId="38B42F9D" w14:textId="77777777" w:rsidTr="00BD4822">
        <w:tc>
          <w:tcPr>
            <w:tcW w:w="0" w:type="auto"/>
          </w:tcPr>
          <w:p w14:paraId="75163205" w14:textId="77777777" w:rsidR="001A6ECF" w:rsidRDefault="00000000" w:rsidP="00BD4822">
            <w:pPr>
              <w:pStyle w:val="Compact"/>
              <w:spacing w:before="100" w:beforeAutospacing="1" w:after="100" w:afterAutospacing="1"/>
              <w:jc w:val="both"/>
            </w:pPr>
            <w:r>
              <w:t xml:space="preserve">Vascular </w:t>
            </w:r>
            <w:proofErr w:type="spellStart"/>
            <w:r>
              <w:t>hyperperfusion</w:t>
            </w:r>
            <w:proofErr w:type="spellEnd"/>
          </w:p>
        </w:tc>
        <w:tc>
          <w:tcPr>
            <w:tcW w:w="0" w:type="auto"/>
          </w:tcPr>
          <w:p w14:paraId="6F89DE7A" w14:textId="77777777" w:rsidR="001A6ECF" w:rsidRDefault="00000000" w:rsidP="00BD4822">
            <w:pPr>
              <w:pStyle w:val="Compact"/>
              <w:spacing w:before="100" w:beforeAutospacing="1" w:after="100" w:afterAutospacing="1"/>
              <w:jc w:val="both"/>
            </w:pPr>
            <w:r>
              <w:t xml:space="preserve">Increased </w:t>
            </w:r>
            <w:proofErr w:type="spellStart"/>
            <w:r>
              <w:t>calibre</w:t>
            </w:r>
            <w:proofErr w:type="spellEnd"/>
            <w:r>
              <w:t xml:space="preserve"> and flow in terminal superior rectal artery branches </w:t>
            </w:r>
            <w:proofErr w:type="gramStart"/>
            <w:r>
              <w:t>drives</w:t>
            </w:r>
            <w:proofErr w:type="gramEnd"/>
            <w:r>
              <w:t xml:space="preserve"> cushion engorgement and bleeding</w:t>
            </w:r>
          </w:p>
        </w:tc>
        <w:tc>
          <w:tcPr>
            <w:tcW w:w="0" w:type="auto"/>
          </w:tcPr>
          <w:p w14:paraId="1728E77B" w14:textId="77777777" w:rsidR="001A6ECF" w:rsidRDefault="00000000" w:rsidP="00BD4822">
            <w:pPr>
              <w:pStyle w:val="Compact"/>
              <w:spacing w:before="100" w:beforeAutospacing="1" w:after="100" w:afterAutospacing="1"/>
              <w:jc w:val="both"/>
            </w:pPr>
            <w:r>
              <w:t xml:space="preserve">Comparative </w:t>
            </w:r>
            <w:proofErr w:type="spellStart"/>
            <w:r>
              <w:t>colour</w:t>
            </w:r>
            <w:proofErr w:type="spellEnd"/>
            <w:r>
              <w:t xml:space="preserve"> Doppler ultrasonography in patients and controls; anatomical dissection of arterial branching</w:t>
            </w:r>
          </w:p>
        </w:tc>
        <w:tc>
          <w:tcPr>
            <w:tcW w:w="0" w:type="auto"/>
          </w:tcPr>
          <w:p w14:paraId="17452896" w14:textId="77777777" w:rsidR="001A6ECF" w:rsidRDefault="00000000" w:rsidP="00BD4822">
            <w:pPr>
              <w:pStyle w:val="Compact"/>
              <w:spacing w:before="100" w:beforeAutospacing="1" w:after="100" w:afterAutospacing="1"/>
              <w:jc w:val="both"/>
            </w:pPr>
            <w:r>
              <w:t>Moderate for the observation; low for the causal direction</w:t>
            </w:r>
          </w:p>
        </w:tc>
        <w:tc>
          <w:tcPr>
            <w:tcW w:w="0" w:type="auto"/>
          </w:tcPr>
          <w:p w14:paraId="5332C03B" w14:textId="77777777" w:rsidR="001A6ECF" w:rsidRDefault="00000000" w:rsidP="00BD4822">
            <w:pPr>
              <w:pStyle w:val="Compact"/>
              <w:spacing w:before="100" w:beforeAutospacing="1" w:after="100" w:afterAutospacing="1"/>
              <w:jc w:val="both"/>
            </w:pPr>
            <w:r>
              <w:t xml:space="preserve">Temporal ordering relative to cushion displacement is undetermined; therapeutic predictions are only partly supported by </w:t>
            </w:r>
            <w:proofErr w:type="spellStart"/>
            <w:r>
              <w:t>dearterialisation</w:t>
            </w:r>
            <w:proofErr w:type="spellEnd"/>
            <w:r>
              <w:t xml:space="preserve"> trials</w:t>
            </w:r>
          </w:p>
        </w:tc>
        <w:tc>
          <w:tcPr>
            <w:tcW w:w="0" w:type="auto"/>
          </w:tcPr>
          <w:p w14:paraId="5D058B0C" w14:textId="77777777" w:rsidR="001A6ECF" w:rsidRDefault="00000000" w:rsidP="00BD4822">
            <w:pPr>
              <w:pStyle w:val="Compact"/>
              <w:spacing w:before="100" w:beforeAutospacing="1" w:after="100" w:afterAutospacing="1"/>
              <w:jc w:val="both"/>
            </w:pPr>
            <w:r>
              <w:t>Aigner et al. (2004); Aigner et al. (2006)</w:t>
            </w:r>
          </w:p>
        </w:tc>
      </w:tr>
      <w:tr w:rsidR="001A6ECF" w14:paraId="21812C1B" w14:textId="77777777" w:rsidTr="00BD4822">
        <w:tc>
          <w:tcPr>
            <w:tcW w:w="0" w:type="auto"/>
          </w:tcPr>
          <w:p w14:paraId="73937538" w14:textId="77777777" w:rsidR="001A6ECF" w:rsidRDefault="00000000" w:rsidP="00BD4822">
            <w:pPr>
              <w:pStyle w:val="Compact"/>
              <w:spacing w:before="100" w:beforeAutospacing="1" w:after="100" w:afterAutospacing="1"/>
              <w:jc w:val="both"/>
            </w:pPr>
            <w:r>
              <w:t>Constitutional connective tissue and smooth muscle dysfunction</w:t>
            </w:r>
          </w:p>
        </w:tc>
        <w:tc>
          <w:tcPr>
            <w:tcW w:w="0" w:type="auto"/>
          </w:tcPr>
          <w:p w14:paraId="7B04E7B7" w14:textId="77777777" w:rsidR="001A6ECF" w:rsidRDefault="00000000" w:rsidP="00BD4822">
            <w:pPr>
              <w:pStyle w:val="Compact"/>
              <w:spacing w:before="100" w:beforeAutospacing="1" w:after="100" w:afterAutospacing="1"/>
              <w:jc w:val="both"/>
            </w:pPr>
            <w:r>
              <w:t>Inherited variation in smooth muscle, epithelial and extracellular matrix biology predisposes to cushion failure</w:t>
            </w:r>
          </w:p>
        </w:tc>
        <w:tc>
          <w:tcPr>
            <w:tcW w:w="0" w:type="auto"/>
          </w:tcPr>
          <w:p w14:paraId="063A59C9" w14:textId="77777777" w:rsidR="001A6ECF" w:rsidRDefault="00000000" w:rsidP="00BD4822">
            <w:pPr>
              <w:pStyle w:val="Compact"/>
              <w:spacing w:before="100" w:beforeAutospacing="1" w:after="100" w:afterAutospacing="1"/>
              <w:jc w:val="both"/>
            </w:pPr>
            <w:r>
              <w:t>Genome-wide association meta-analysis in 944,133 individuals with functional annotation, tissue expression analysis and polygenic risk scoring</w:t>
            </w:r>
          </w:p>
        </w:tc>
        <w:tc>
          <w:tcPr>
            <w:tcW w:w="0" w:type="auto"/>
          </w:tcPr>
          <w:p w14:paraId="079322B4" w14:textId="77777777" w:rsidR="001A6ECF" w:rsidRDefault="00000000" w:rsidP="00BD4822">
            <w:pPr>
              <w:pStyle w:val="Compact"/>
              <w:spacing w:before="100" w:beforeAutospacing="1" w:after="100" w:afterAutospacing="1"/>
              <w:jc w:val="both"/>
            </w:pPr>
            <w:r>
              <w:t>High for the association; moderate for the biological interpretation</w:t>
            </w:r>
          </w:p>
        </w:tc>
        <w:tc>
          <w:tcPr>
            <w:tcW w:w="0" w:type="auto"/>
          </w:tcPr>
          <w:p w14:paraId="32A70D16" w14:textId="77777777" w:rsidR="001A6ECF" w:rsidRDefault="00000000" w:rsidP="00BD4822">
            <w:pPr>
              <w:pStyle w:val="Compact"/>
              <w:spacing w:before="100" w:beforeAutospacing="1" w:after="100" w:afterAutospacing="1"/>
              <w:jc w:val="both"/>
            </w:pPr>
            <w:r>
              <w:t>Heritability is modest; polygenic score not evaluated prospectively for treatment selection; no actionable marker</w:t>
            </w:r>
          </w:p>
        </w:tc>
        <w:tc>
          <w:tcPr>
            <w:tcW w:w="0" w:type="auto"/>
          </w:tcPr>
          <w:p w14:paraId="4DADD996" w14:textId="77777777" w:rsidR="001A6ECF" w:rsidRDefault="00000000" w:rsidP="00BD4822">
            <w:pPr>
              <w:pStyle w:val="Compact"/>
              <w:spacing w:before="100" w:beforeAutospacing="1" w:after="100" w:afterAutospacing="1"/>
              <w:jc w:val="both"/>
            </w:pPr>
            <w:r>
              <w:t>Zheng et al. (2021)</w:t>
            </w:r>
          </w:p>
        </w:tc>
      </w:tr>
      <w:tr w:rsidR="001A6ECF" w14:paraId="14E2335E" w14:textId="77777777" w:rsidTr="00BD4822">
        <w:tc>
          <w:tcPr>
            <w:tcW w:w="0" w:type="auto"/>
          </w:tcPr>
          <w:p w14:paraId="7385CEC3" w14:textId="77777777" w:rsidR="001A6ECF" w:rsidRDefault="00000000" w:rsidP="00BD4822">
            <w:pPr>
              <w:pStyle w:val="Compact"/>
              <w:spacing w:before="100" w:beforeAutospacing="1" w:after="100" w:afterAutospacing="1"/>
              <w:jc w:val="both"/>
            </w:pPr>
            <w:r>
              <w:t>Anorectal dysfunction and raised anal tone</w:t>
            </w:r>
          </w:p>
        </w:tc>
        <w:tc>
          <w:tcPr>
            <w:tcW w:w="0" w:type="auto"/>
          </w:tcPr>
          <w:p w14:paraId="6F5A0F90" w14:textId="77777777" w:rsidR="001A6ECF" w:rsidRDefault="00000000" w:rsidP="00BD4822">
            <w:pPr>
              <w:pStyle w:val="Compact"/>
              <w:spacing w:before="100" w:beforeAutospacing="1" w:after="100" w:afterAutospacing="1"/>
              <w:jc w:val="both"/>
            </w:pPr>
            <w:r>
              <w:t xml:space="preserve">Elevated resting pressure and </w:t>
            </w:r>
            <w:proofErr w:type="spellStart"/>
            <w:r>
              <w:t>dyssynergic</w:t>
            </w:r>
            <w:proofErr w:type="spellEnd"/>
            <w:r>
              <w:t xml:space="preserve"> </w:t>
            </w:r>
            <w:proofErr w:type="spellStart"/>
            <w:r>
              <w:t>defaecation</w:t>
            </w:r>
            <w:proofErr w:type="spellEnd"/>
            <w:r>
              <w:t xml:space="preserve"> precede and sustain cushion injury</w:t>
            </w:r>
          </w:p>
        </w:tc>
        <w:tc>
          <w:tcPr>
            <w:tcW w:w="0" w:type="auto"/>
          </w:tcPr>
          <w:p w14:paraId="6D1409E9" w14:textId="77777777" w:rsidR="001A6ECF" w:rsidRDefault="00000000" w:rsidP="00BD4822">
            <w:pPr>
              <w:pStyle w:val="Compact"/>
              <w:spacing w:before="100" w:beforeAutospacing="1" w:after="100" w:afterAutospacing="1"/>
              <w:jc w:val="both"/>
            </w:pPr>
            <w:r>
              <w:t>Meta-analysis of observational and manometric studies; persistence of raised pressure after band ligation</w:t>
            </w:r>
          </w:p>
        </w:tc>
        <w:tc>
          <w:tcPr>
            <w:tcW w:w="0" w:type="auto"/>
          </w:tcPr>
          <w:p w14:paraId="34CD2090" w14:textId="77777777" w:rsidR="001A6ECF" w:rsidRDefault="00000000" w:rsidP="00BD4822">
            <w:pPr>
              <w:pStyle w:val="Compact"/>
              <w:spacing w:before="100" w:beforeAutospacing="1" w:after="100" w:afterAutospacing="1"/>
              <w:jc w:val="both"/>
            </w:pPr>
            <w:r>
              <w:t>Moderate; consistent across manometric studies but derived from observational designs</w:t>
            </w:r>
          </w:p>
        </w:tc>
        <w:tc>
          <w:tcPr>
            <w:tcW w:w="0" w:type="auto"/>
          </w:tcPr>
          <w:p w14:paraId="3C6703F6" w14:textId="77777777" w:rsidR="001A6ECF" w:rsidRDefault="00000000" w:rsidP="00BD4822">
            <w:pPr>
              <w:pStyle w:val="Compact"/>
              <w:spacing w:before="100" w:beforeAutospacing="1" w:after="100" w:afterAutospacing="1"/>
              <w:jc w:val="both"/>
            </w:pPr>
            <w:r>
              <w:t xml:space="preserve">Cannot exclude reverse causation or residual disease; no trial has tested whether correcting dyssynergia alters </w:t>
            </w:r>
            <w:proofErr w:type="spellStart"/>
            <w:r>
              <w:t>haemorrhoidal</w:t>
            </w:r>
            <w:proofErr w:type="spellEnd"/>
            <w:r>
              <w:t xml:space="preserve"> outcomes</w:t>
            </w:r>
          </w:p>
        </w:tc>
        <w:tc>
          <w:tcPr>
            <w:tcW w:w="0" w:type="auto"/>
          </w:tcPr>
          <w:p w14:paraId="570FD16D" w14:textId="77777777" w:rsidR="001A6ECF" w:rsidRDefault="00000000" w:rsidP="00BD4822">
            <w:pPr>
              <w:pStyle w:val="Compact"/>
              <w:spacing w:before="100" w:beforeAutospacing="1" w:after="100" w:afterAutospacing="1"/>
              <w:jc w:val="both"/>
            </w:pPr>
            <w:proofErr w:type="spellStart"/>
            <w:r>
              <w:t>Kalkdijk</w:t>
            </w:r>
            <w:proofErr w:type="spellEnd"/>
            <w:r>
              <w:t xml:space="preserve"> et al. (2022); Loder et al. (1994)</w:t>
            </w:r>
          </w:p>
        </w:tc>
      </w:tr>
      <w:tr w:rsidR="001A6ECF" w14:paraId="37FFC510" w14:textId="77777777" w:rsidTr="00BD4822">
        <w:tc>
          <w:tcPr>
            <w:tcW w:w="0" w:type="auto"/>
          </w:tcPr>
          <w:p w14:paraId="44D95EC9" w14:textId="77777777" w:rsidR="001A6ECF" w:rsidRDefault="00000000" w:rsidP="00BD4822">
            <w:pPr>
              <w:pStyle w:val="Compact"/>
              <w:spacing w:before="100" w:beforeAutospacing="1" w:after="100" w:afterAutospacing="1"/>
              <w:jc w:val="both"/>
            </w:pPr>
            <w:r>
              <w:t>Bowel habit and mechanical straining</w:t>
            </w:r>
          </w:p>
        </w:tc>
        <w:tc>
          <w:tcPr>
            <w:tcW w:w="0" w:type="auto"/>
          </w:tcPr>
          <w:p w14:paraId="6216235A" w14:textId="77777777" w:rsidR="001A6ECF" w:rsidRDefault="00000000" w:rsidP="00BD4822">
            <w:pPr>
              <w:pStyle w:val="Compact"/>
              <w:spacing w:before="100" w:beforeAutospacing="1" w:after="100" w:afterAutospacing="1"/>
              <w:jc w:val="both"/>
            </w:pPr>
            <w:r>
              <w:t>Constipation and straining generate the shear forces responsible for cushion displacement</w:t>
            </w:r>
          </w:p>
        </w:tc>
        <w:tc>
          <w:tcPr>
            <w:tcW w:w="0" w:type="auto"/>
          </w:tcPr>
          <w:p w14:paraId="065727D7" w14:textId="77777777" w:rsidR="001A6ECF" w:rsidRDefault="00000000" w:rsidP="00BD4822">
            <w:pPr>
              <w:pStyle w:val="Compact"/>
              <w:spacing w:before="100" w:beforeAutospacing="1" w:after="100" w:afterAutospacing="1"/>
              <w:jc w:val="both"/>
            </w:pPr>
            <w:r>
              <w:t xml:space="preserve">Population surveys, case-control comparisons and meta-analysis of </w:t>
            </w:r>
            <w:proofErr w:type="spellStart"/>
            <w:r>
              <w:t>coprevalence</w:t>
            </w:r>
            <w:proofErr w:type="spellEnd"/>
          </w:p>
        </w:tc>
        <w:tc>
          <w:tcPr>
            <w:tcW w:w="0" w:type="auto"/>
          </w:tcPr>
          <w:p w14:paraId="58A0050C" w14:textId="77777777" w:rsidR="001A6ECF" w:rsidRDefault="00000000" w:rsidP="00BD4822">
            <w:pPr>
              <w:pStyle w:val="Compact"/>
              <w:spacing w:before="100" w:beforeAutospacing="1" w:after="100" w:afterAutospacing="1"/>
              <w:jc w:val="both"/>
            </w:pPr>
            <w:r>
              <w:t>Low to moderate; association demonstrated in one direction only</w:t>
            </w:r>
          </w:p>
        </w:tc>
        <w:tc>
          <w:tcPr>
            <w:tcW w:w="0" w:type="auto"/>
          </w:tcPr>
          <w:p w14:paraId="0DEE8211" w14:textId="77777777" w:rsidR="001A6ECF" w:rsidRDefault="00000000" w:rsidP="00BD4822">
            <w:pPr>
              <w:pStyle w:val="Compact"/>
              <w:spacing w:before="100" w:beforeAutospacing="1" w:after="100" w:afterAutospacing="1"/>
              <w:jc w:val="both"/>
            </w:pPr>
            <w:r>
              <w:t>Asymmetric association is equally compatible with shared upstream causation; effect of correcting constipation on disease course untested</w:t>
            </w:r>
          </w:p>
        </w:tc>
        <w:tc>
          <w:tcPr>
            <w:tcW w:w="0" w:type="auto"/>
          </w:tcPr>
          <w:p w14:paraId="12007E73" w14:textId="77777777" w:rsidR="001A6ECF" w:rsidRDefault="00000000" w:rsidP="00BD4822">
            <w:pPr>
              <w:pStyle w:val="Compact"/>
              <w:spacing w:before="100" w:beforeAutospacing="1" w:after="100" w:afterAutospacing="1"/>
              <w:jc w:val="both"/>
            </w:pPr>
            <w:proofErr w:type="spellStart"/>
            <w:r>
              <w:t>Esmaeilnia</w:t>
            </w:r>
            <w:proofErr w:type="spellEnd"/>
            <w:r>
              <w:t xml:space="preserve"> Shirvani et al. (2026); Johanson &amp; Sonnenberg (1990); </w:t>
            </w:r>
            <w:proofErr w:type="spellStart"/>
            <w:r>
              <w:t>Kalkdijk</w:t>
            </w:r>
            <w:proofErr w:type="spellEnd"/>
            <w:r>
              <w:t xml:space="preserve"> et al. (2022)</w:t>
            </w:r>
          </w:p>
        </w:tc>
      </w:tr>
    </w:tbl>
    <w:p w14:paraId="6A37D4FF" w14:textId="77777777" w:rsidR="001A6ECF" w:rsidRDefault="00000000" w:rsidP="00BD4822">
      <w:pPr>
        <w:pStyle w:val="BodyText"/>
        <w:spacing w:before="100" w:beforeAutospacing="1" w:after="100" w:afterAutospacing="1"/>
        <w:jc w:val="both"/>
      </w:pPr>
      <w:r>
        <w:rPr>
          <w:i/>
          <w:iCs/>
        </w:rPr>
        <w:lastRenderedPageBreak/>
        <w:t>Note.</w:t>
      </w:r>
      <w:r>
        <w:t xml:space="preserve"> Evidential strength reflects the assessment made in this review and integrates study design, sample size, replication and directness of the evidence to the proposition stated. No formal grading instrument was applied.</w:t>
      </w:r>
    </w:p>
    <w:p w14:paraId="7AF320D6" w14:textId="77777777" w:rsidR="001A6ECF" w:rsidRDefault="00000000" w:rsidP="00BD4822">
      <w:pPr>
        <w:pStyle w:val="Heading2"/>
        <w:spacing w:before="100" w:beforeAutospacing="1" w:after="100" w:afterAutospacing="1"/>
        <w:jc w:val="both"/>
      </w:pPr>
      <w:bookmarkStart w:id="17" w:name="Xd9924c9e7200ea498b4e950b328eeedba0d5f80"/>
      <w:bookmarkEnd w:id="11"/>
      <w:bookmarkEnd w:id="16"/>
      <w:r>
        <w:t>4. Classification, Symptom Measurement and the Outcome Problem</w:t>
      </w:r>
    </w:p>
    <w:p w14:paraId="5C3FA8A7" w14:textId="77777777" w:rsidR="001A6ECF" w:rsidRDefault="00000000" w:rsidP="00BD4822">
      <w:pPr>
        <w:pStyle w:val="Heading3"/>
        <w:spacing w:before="100" w:beforeAutospacing="1" w:after="100" w:afterAutospacing="1"/>
        <w:jc w:val="both"/>
      </w:pPr>
      <w:bookmarkStart w:id="18" w:name="Xdd4b73024422d19da1e5ee014abb328de1fc4a5"/>
      <w:r>
        <w:t xml:space="preserve">4.1 The </w:t>
      </w:r>
      <w:proofErr w:type="spellStart"/>
      <w:r>
        <w:t>Goligher</w:t>
      </w:r>
      <w:proofErr w:type="spellEnd"/>
      <w:r>
        <w:t xml:space="preserve"> Classification and Its Documented Weaknesses</w:t>
      </w:r>
    </w:p>
    <w:p w14:paraId="1135F2B3" w14:textId="77777777" w:rsidR="001A6ECF" w:rsidRDefault="00000000" w:rsidP="00BD4822">
      <w:pPr>
        <w:pStyle w:val="FirstParagraph"/>
        <w:spacing w:before="100" w:beforeAutospacing="1" w:after="100" w:afterAutospacing="1"/>
        <w:jc w:val="both"/>
      </w:pPr>
      <w:r>
        <w:t xml:space="preserve">Clinical practice and almost the entire trial literature rest on a four-grade scheme that ranks internal </w:t>
      </w:r>
      <w:proofErr w:type="spellStart"/>
      <w:r>
        <w:t>haemorrhoids</w:t>
      </w:r>
      <w:proofErr w:type="spellEnd"/>
      <w:r>
        <w:t xml:space="preserve"> by the presence and reducibility of prolapse. Its appeal is obvious: it requires no equipment, it maps intuitively onto escalating treatment intensity, and it has been used for long enough to permit informal comparison across decades. Its weaknesses are equally clear and are now documented rather than merely suspected.</w:t>
      </w:r>
    </w:p>
    <w:p w14:paraId="5DAC834F" w14:textId="77777777" w:rsidR="001A6ECF" w:rsidRDefault="00000000" w:rsidP="00BD4822">
      <w:pPr>
        <w:pStyle w:val="BodyText"/>
        <w:spacing w:before="100" w:beforeAutospacing="1" w:after="100" w:afterAutospacing="1"/>
        <w:jc w:val="both"/>
      </w:pPr>
      <w:r>
        <w:t xml:space="preserve">Interobserver reliability is poor. A structured survey of gastrointestinal surgeons, fellows and residents, in which 95 respondents graded 25 </w:t>
      </w:r>
      <w:proofErr w:type="spellStart"/>
      <w:r>
        <w:t>standardised</w:t>
      </w:r>
      <w:proofErr w:type="spellEnd"/>
      <w:r>
        <w:t xml:space="preserve"> photographs, produced an overall Fleiss kappa of 0.376, indicating fair agreement only (Dekker et al., 2022). Agreement was moderate at the extremes of the scale, with kappa values of 0.466 for grade I and 0.522 for grade IV, and deteriorated in the middle, falling to 0.206 for grade II and 0.378 for grade III. The middle grades are precisely where treatment decisions are most contested and where the majority of comparative trials recruit. In the same survey 87% of respondents reported using the classification routinely and 63% reported following grade-based guideline recommendations, which establishes that a poorly reproducible instrument is nonetheless driving treatment allocation in practice.</w:t>
      </w:r>
    </w:p>
    <w:p w14:paraId="3E365613" w14:textId="77777777" w:rsidR="001A6ECF" w:rsidRDefault="00000000" w:rsidP="00BD4822">
      <w:pPr>
        <w:pStyle w:val="BodyText"/>
        <w:spacing w:before="100" w:beforeAutospacing="1" w:after="100" w:afterAutospacing="1"/>
        <w:jc w:val="both"/>
      </w:pPr>
      <w:r>
        <w:t xml:space="preserve">The consequences propagate into the trial literature. A qualitative systematic review of 162 </w:t>
      </w:r>
      <w:proofErr w:type="spellStart"/>
      <w:r>
        <w:t>randomised</w:t>
      </w:r>
      <w:proofErr w:type="spellEnd"/>
      <w:r>
        <w:t xml:space="preserve"> trials found that 86.4% used the </w:t>
      </w:r>
      <w:proofErr w:type="spellStart"/>
      <w:r>
        <w:t>Goligher</w:t>
      </w:r>
      <w:proofErr w:type="spellEnd"/>
      <w:r>
        <w:t xml:space="preserve"> system for enrolment, that the majority did not fully describe or cite the system they were using, and that only 13.6% employed any more recent alternative (van Oostendorp et al., 2025b). Recurrence was reported in 42% of trials, and among those, 70% did not provide adequate inclusion criteria or a reference for the classification applied. Two trials nominally recruiting patients with grade III disease may therefore have enrolled materially different populations, and the effect estimates derived from pooling them carry an unquantified heterogeneity that no statistical adjustment can recover.</w:t>
      </w:r>
    </w:p>
    <w:p w14:paraId="4590F1B7" w14:textId="77777777" w:rsidR="001A6ECF" w:rsidRDefault="00000000" w:rsidP="00BD4822">
      <w:pPr>
        <w:pStyle w:val="BodyText"/>
        <w:spacing w:before="100" w:beforeAutospacing="1" w:after="100" w:afterAutospacing="1"/>
        <w:jc w:val="both"/>
      </w:pPr>
      <w:r>
        <w:t xml:space="preserve">A further limitation is conceptual rather than psychometric. The classification captures prolapse and nothing else. Bleeding, the symptom that most often brings patients to medical attention, does not feature. Pain, soiling, pruritus and the impact of symptoms on daily life are similarly absent. A patient with grade I disease and daily bleeding sufficient to cause </w:t>
      </w:r>
      <w:proofErr w:type="spellStart"/>
      <w:r>
        <w:t>anaemia</w:t>
      </w:r>
      <w:proofErr w:type="spellEnd"/>
      <w:r>
        <w:t xml:space="preserve"> occupies a lower grade than a patient with asymptomatic grade III </w:t>
      </w:r>
      <w:proofErr w:type="gramStart"/>
      <w:r>
        <w:t>prolapse</w:t>
      </w:r>
      <w:proofErr w:type="gramEnd"/>
      <w:r>
        <w:t>, and the treatment algorithms derived from grading will misdirect both.</w:t>
      </w:r>
    </w:p>
    <w:p w14:paraId="6495D903" w14:textId="77777777" w:rsidR="001A6ECF" w:rsidRDefault="00000000" w:rsidP="00BD4822">
      <w:pPr>
        <w:pStyle w:val="Heading3"/>
        <w:spacing w:before="100" w:beforeAutospacing="1" w:after="100" w:afterAutospacing="1"/>
        <w:jc w:val="both"/>
      </w:pPr>
      <w:bookmarkStart w:id="19" w:name="X253d4a1d78f4b26fe9ecc70de9b25a8bc1d1f63"/>
      <w:bookmarkEnd w:id="18"/>
      <w:r>
        <w:t>4.2 Alternative and Multidimensional Classifications</w:t>
      </w:r>
    </w:p>
    <w:p w14:paraId="63B338A1" w14:textId="77777777" w:rsidR="001A6ECF" w:rsidRDefault="00000000" w:rsidP="00BD4822">
      <w:pPr>
        <w:pStyle w:val="FirstParagraph"/>
        <w:spacing w:before="100" w:beforeAutospacing="1" w:after="100" w:afterAutospacing="1"/>
        <w:jc w:val="both"/>
      </w:pPr>
      <w:r>
        <w:t xml:space="preserve">Recognition of these problems has generated proposals for replacement. Analyses of the classification landscape have argued that a serviceable system must incorporate the anatomical extent of disease, the symptom profile and the impact on the patient, and that no existing scheme achieves all three (Romano et al., 2021; </w:t>
      </w:r>
      <w:proofErr w:type="spellStart"/>
      <w:r>
        <w:t>Rubbini</w:t>
      </w:r>
      <w:proofErr w:type="spellEnd"/>
      <w:r>
        <w:t xml:space="preserve"> &amp; </w:t>
      </w:r>
      <w:proofErr w:type="spellStart"/>
      <w:r>
        <w:t>Ascanelli</w:t>
      </w:r>
      <w:proofErr w:type="spellEnd"/>
      <w:r>
        <w:t>, 2019). The BPRST proposal, which codes bleeding, prolapse, reduction, skin tags and thrombosis as separate dimensions and links the resulting profile to a treatment algorithm, represents the most developed attempt at multidimensional description and was evaluated in a single-</w:t>
      </w:r>
      <w:proofErr w:type="spellStart"/>
      <w:r>
        <w:t>centre</w:t>
      </w:r>
      <w:proofErr w:type="spellEnd"/>
      <w:r>
        <w:t xml:space="preserve"> cohort (Sobrado et al., 2021). Its evaluation to date has not included formal interobserver reliability testing in an independent </w:t>
      </w:r>
      <w:r>
        <w:lastRenderedPageBreak/>
        <w:t xml:space="preserve">sample, and it has not been adopted as an eligibility criterion in subsequent </w:t>
      </w:r>
      <w:proofErr w:type="spellStart"/>
      <w:r>
        <w:t>randomised</w:t>
      </w:r>
      <w:proofErr w:type="spellEnd"/>
      <w:r>
        <w:t xml:space="preserve"> trials, which leaves its practical advantage over </w:t>
      </w:r>
      <w:proofErr w:type="spellStart"/>
      <w:r>
        <w:t>Goligher</w:t>
      </w:r>
      <w:proofErr w:type="spellEnd"/>
      <w:r>
        <w:t xml:space="preserve"> grading unproven.</w:t>
      </w:r>
    </w:p>
    <w:p w14:paraId="6D9071F2" w14:textId="77777777" w:rsidR="001A6ECF" w:rsidRDefault="00000000" w:rsidP="00BD4822">
      <w:pPr>
        <w:pStyle w:val="BodyText"/>
        <w:spacing w:before="100" w:beforeAutospacing="1" w:after="100" w:afterAutospacing="1"/>
        <w:jc w:val="both"/>
      </w:pPr>
      <w:r>
        <w:t xml:space="preserve">The pattern here deserves comment because it recurs throughout this field. A deficiency is identified, a technically superior instrument is proposed, the instrument is validated in a single </w:t>
      </w:r>
      <w:proofErr w:type="spellStart"/>
      <w:r>
        <w:t>centre</w:t>
      </w:r>
      <w:proofErr w:type="spellEnd"/>
      <w:r>
        <w:t xml:space="preserve"> by the group that developed it, and adoption does not follow. The obstacle is not the absence of better instruments but the absence of any mechanism compelling their use. Journals accept trials using </w:t>
      </w:r>
      <w:proofErr w:type="spellStart"/>
      <w:r>
        <w:t>Goligher</w:t>
      </w:r>
      <w:proofErr w:type="spellEnd"/>
      <w:r>
        <w:t xml:space="preserve"> grading, guidelines are written in </w:t>
      </w:r>
      <w:proofErr w:type="spellStart"/>
      <w:r>
        <w:t>Goligher</w:t>
      </w:r>
      <w:proofErr w:type="spellEnd"/>
      <w:r>
        <w:t xml:space="preserve"> terms, and reimbursement and referral pathways in many systems are structured around it. A new classification will displace the old only if trial registries, editors and guideline developers require it, and no such requirement currently exists.</w:t>
      </w:r>
    </w:p>
    <w:p w14:paraId="59703B9C" w14:textId="77777777" w:rsidR="001A6ECF" w:rsidRDefault="00000000" w:rsidP="00BD4822">
      <w:pPr>
        <w:pStyle w:val="Heading3"/>
        <w:spacing w:before="100" w:beforeAutospacing="1" w:after="100" w:afterAutospacing="1"/>
        <w:jc w:val="both"/>
      </w:pPr>
      <w:bookmarkStart w:id="20" w:name="Xead05ed19de334aa06aaf47464ca58ed25c0d81"/>
      <w:bookmarkEnd w:id="19"/>
      <w:r>
        <w:t>4.3 Symptom Severity Scores and Patient-Reported Outcome Measures</w:t>
      </w:r>
    </w:p>
    <w:p w14:paraId="41ABC2B0" w14:textId="77777777" w:rsidR="001A6ECF" w:rsidRDefault="00000000" w:rsidP="00BD4822">
      <w:pPr>
        <w:pStyle w:val="FirstParagraph"/>
        <w:spacing w:before="100" w:beforeAutospacing="1" w:after="100" w:afterAutospacing="1"/>
        <w:jc w:val="both"/>
      </w:pPr>
      <w:r>
        <w:t>Instrument development has been more successful on the symptom side, although adoption lags equally. A systematic review conducted according to consensus-based standards for health measurement instruments screened 5,288 records, identified five candidate symptom scores, and concluded that only one demonstrated satisfactory validity, reliability and responsiveness for clinical use (Jin et al., 2020). That conclusion is sobering in a field with several decades of outcome research behind it.</w:t>
      </w:r>
    </w:p>
    <w:p w14:paraId="7558ACCE" w14:textId="77777777" w:rsidR="001A6ECF" w:rsidRDefault="00000000" w:rsidP="00BD4822">
      <w:pPr>
        <w:pStyle w:val="BodyText"/>
        <w:spacing w:before="100" w:beforeAutospacing="1" w:after="100" w:afterAutospacing="1"/>
        <w:jc w:val="both"/>
      </w:pPr>
      <w:r>
        <w:t xml:space="preserve">The </w:t>
      </w:r>
      <w:proofErr w:type="spellStart"/>
      <w:r>
        <w:t>Haemorrhoidal</w:t>
      </w:r>
      <w:proofErr w:type="spellEnd"/>
      <w:r>
        <w:t xml:space="preserve"> Disease Symptom Score, which aggregates patient-reported pain, itching, bleeding, soiling and prolapse, was developed alongside a disease-specific health-related quality of life instrument and evaluated in cohorts of 295 and 128 patients (Rørvik et al., 2019). Discriminative validity against patient-reported symptom load produced an area under the curve of 0.786 (95% confidence interval 0.725 to 0.848), with test-retest reliability expressed as an intraclass correlation of 0.822 and responsiveness after surgery indicated by an area under the curve of 0.843. These are respectable psychometric properties, and the accompanying quality of life measure performed comparably. A separately developed severity score has also been validated with attention to the specific requirement of trial use (Lee et al., 2019).</w:t>
      </w:r>
    </w:p>
    <w:p w14:paraId="65EA56FD" w14:textId="77777777" w:rsidR="001A6ECF" w:rsidRDefault="00000000" w:rsidP="00BD4822">
      <w:pPr>
        <w:pStyle w:val="BodyText"/>
        <w:spacing w:before="100" w:beforeAutospacing="1" w:after="100" w:afterAutospacing="1"/>
        <w:jc w:val="both"/>
      </w:pPr>
      <w:r>
        <w:t xml:space="preserve">The patient-reported outcome measure of </w:t>
      </w:r>
      <w:proofErr w:type="spellStart"/>
      <w:r>
        <w:t>haemorrhoidal</w:t>
      </w:r>
      <w:proofErr w:type="spellEnd"/>
      <w:r>
        <w:t xml:space="preserve"> impact and satisfaction adopts a different structure, with domains covering symptoms, their impact and satisfaction with treatment, and was developed and validated in Dutch before undergoing translation and cross-cultural validation in English (Kuiper et al., 2022; Kuiper et al., 2023). The availability of a cross-culturally validated instrument removes one of the standard justifications for continued reliance on clinician-assigned grading, namely that no comparable measure exists across language settings.</w:t>
      </w:r>
    </w:p>
    <w:p w14:paraId="6A18275C" w14:textId="77777777" w:rsidR="001A6ECF" w:rsidRDefault="00000000" w:rsidP="00BD4822">
      <w:pPr>
        <w:pStyle w:val="Heading3"/>
        <w:spacing w:before="100" w:beforeAutospacing="1" w:after="100" w:afterAutospacing="1"/>
        <w:jc w:val="both"/>
      </w:pPr>
      <w:bookmarkStart w:id="21" w:name="Xa04bfced862320a63af62d3a0d1c1e215da8c11"/>
      <w:bookmarkEnd w:id="20"/>
      <w:r>
        <w:t>4.4 Core Outcomes and the Comparability Problem</w:t>
      </w:r>
    </w:p>
    <w:p w14:paraId="3BAAF380" w14:textId="77777777" w:rsidR="001A6ECF" w:rsidRDefault="00000000" w:rsidP="00BD4822">
      <w:pPr>
        <w:pStyle w:val="FirstParagraph"/>
        <w:spacing w:before="100" w:beforeAutospacing="1" w:after="100" w:afterAutospacing="1"/>
        <w:jc w:val="both"/>
      </w:pPr>
      <w:r>
        <w:t xml:space="preserve">An international Delphi exercise among healthcare professionals established a core outcome set for </w:t>
      </w:r>
      <w:proofErr w:type="spellStart"/>
      <w:r>
        <w:t>haemorrhoidal</w:t>
      </w:r>
      <w:proofErr w:type="spellEnd"/>
      <w:r>
        <w:t xml:space="preserve"> disease, specifying the domains that comparative studies should report (van Tol et al., 2019). Uptake has been limited. The systematic review of trial selection criteria described above found postoperative pain reported in 147 trials and complications in 133, while recurrence appeared in only 42% (van Oostendorp et al., 2025b). Since recurrence is the outcome that distinguishes durable from transient benefit, and since it is the outcome on which the principal treatment controversies turn, its omission from the majority of trials is the single most damaging feature of the evidence base.</w:t>
      </w:r>
    </w:p>
    <w:p w14:paraId="284C51BD" w14:textId="77777777" w:rsidR="001A6ECF" w:rsidRDefault="00000000" w:rsidP="00BD4822">
      <w:pPr>
        <w:pStyle w:val="BodyText"/>
        <w:spacing w:before="100" w:beforeAutospacing="1" w:after="100" w:afterAutospacing="1"/>
        <w:jc w:val="both"/>
      </w:pPr>
      <w:r>
        <w:lastRenderedPageBreak/>
        <w:t xml:space="preserve">Where recurrence is reported, its definition varies. Some trials define it as patient-reported return of any symptom, others as the need for a further procedure, others as clinician-observed prolapse at a scheduled visit. These are not interchangeable. The pragmatic definition used in the </w:t>
      </w:r>
      <w:proofErr w:type="spellStart"/>
      <w:r>
        <w:t>HubBLe</w:t>
      </w:r>
      <w:proofErr w:type="spellEnd"/>
      <w:r>
        <w:t xml:space="preserve"> trial, which combined patient self-report with resource use derived from general practice and hospital records, produced one-year recurrence of 49% after rubber band ligation and 30% after </w:t>
      </w:r>
      <w:proofErr w:type="spellStart"/>
      <w:r>
        <w:t>haemorrhoidal</w:t>
      </w:r>
      <w:proofErr w:type="spellEnd"/>
      <w:r>
        <w:t xml:space="preserve"> artery ligation, with the difference driven principally by the need for additional procedures rather than by failure of the index treatment (Brown et al., 2016). A trial defining recurrence as reoperation alone would have reported markedly lower figures for both arms and a smaller absolute difference.</w:t>
      </w:r>
    </w:p>
    <w:p w14:paraId="12E88A24" w14:textId="77777777" w:rsidR="001A6ECF" w:rsidRDefault="00000000" w:rsidP="00BD4822">
      <w:pPr>
        <w:pStyle w:val="BodyText"/>
        <w:spacing w:before="100" w:beforeAutospacing="1" w:after="100" w:afterAutospacing="1"/>
        <w:jc w:val="both"/>
      </w:pPr>
      <w:r>
        <w:t xml:space="preserve">Table 2 compares the principal instruments available for classifying disease and measuring outcome, together with the evidence supporting each and the barriers to adoption. The comparison shows that the field possesses adequate instruments and does not use them. It also shows that the psychometric evidence supporting the newer measures, while superior to anything supporting </w:t>
      </w:r>
      <w:proofErr w:type="spellStart"/>
      <w:r>
        <w:t>Goligher</w:t>
      </w:r>
      <w:proofErr w:type="spellEnd"/>
      <w:r>
        <w:t xml:space="preserve"> grading, rests largely on single-</w:t>
      </w:r>
      <w:proofErr w:type="spellStart"/>
      <w:r>
        <w:t>centre</w:t>
      </w:r>
      <w:proofErr w:type="spellEnd"/>
      <w:r>
        <w:t xml:space="preserve"> development cohorts, so that the case for replacement is strong on reliability grounds and weaker on the grounds of demonstrated cross-setting performance.</w:t>
      </w:r>
    </w:p>
    <w:p w14:paraId="7E084FAE" w14:textId="77777777" w:rsidR="001A6ECF" w:rsidRDefault="00000000" w:rsidP="00BD4822">
      <w:pPr>
        <w:pStyle w:val="BodyText"/>
        <w:spacing w:before="100" w:beforeAutospacing="1" w:after="100" w:afterAutospacing="1"/>
        <w:jc w:val="both"/>
      </w:pPr>
      <w:r>
        <w:rPr>
          <w:b/>
          <w:bCs/>
        </w:rPr>
        <w:t>Table 2.</w:t>
      </w:r>
      <w:r>
        <w:t xml:space="preserve"> Instruments for classification and outcome measurement in </w:t>
      </w:r>
      <w:proofErr w:type="spellStart"/>
      <w:r>
        <w:t>haemorrhoidal</w:t>
      </w:r>
      <w:proofErr w:type="spellEnd"/>
      <w:r>
        <w:t xml:space="preserve"> disease: properties, evidential basis and adoption</w:t>
      </w:r>
    </w:p>
    <w:tbl>
      <w:tblPr>
        <w:tblStyle w:val="TableGrid"/>
        <w:tblW w:w="5000" w:type="pct"/>
        <w:tblLook w:val="0020" w:firstRow="1" w:lastRow="0" w:firstColumn="0" w:lastColumn="0" w:noHBand="0" w:noVBand="0"/>
      </w:tblPr>
      <w:tblGrid>
        <w:gridCol w:w="1605"/>
        <w:gridCol w:w="1629"/>
        <w:gridCol w:w="2105"/>
        <w:gridCol w:w="1629"/>
        <w:gridCol w:w="1980"/>
        <w:gridCol w:w="1246"/>
      </w:tblGrid>
      <w:tr w:rsidR="001A6ECF" w14:paraId="6EF3495E" w14:textId="77777777" w:rsidTr="00BD4822">
        <w:tc>
          <w:tcPr>
            <w:tcW w:w="0" w:type="auto"/>
          </w:tcPr>
          <w:p w14:paraId="1FE5C6CA" w14:textId="77777777" w:rsidR="001A6ECF" w:rsidRDefault="00000000" w:rsidP="00BD4822">
            <w:pPr>
              <w:pStyle w:val="Compact"/>
              <w:spacing w:before="100" w:beforeAutospacing="1" w:after="100" w:afterAutospacing="1"/>
              <w:jc w:val="both"/>
            </w:pPr>
            <w:r>
              <w:t>Instrument</w:t>
            </w:r>
          </w:p>
        </w:tc>
        <w:tc>
          <w:tcPr>
            <w:tcW w:w="0" w:type="auto"/>
          </w:tcPr>
          <w:p w14:paraId="4D080188" w14:textId="77777777" w:rsidR="001A6ECF" w:rsidRDefault="00000000" w:rsidP="00BD4822">
            <w:pPr>
              <w:pStyle w:val="Compact"/>
              <w:spacing w:before="100" w:beforeAutospacing="1" w:after="100" w:afterAutospacing="1"/>
              <w:jc w:val="both"/>
            </w:pPr>
            <w:r>
              <w:t>What it measures</w:t>
            </w:r>
          </w:p>
        </w:tc>
        <w:tc>
          <w:tcPr>
            <w:tcW w:w="0" w:type="auto"/>
          </w:tcPr>
          <w:p w14:paraId="472FA98E" w14:textId="77777777" w:rsidR="001A6ECF" w:rsidRDefault="00000000" w:rsidP="00BD4822">
            <w:pPr>
              <w:pStyle w:val="Compact"/>
              <w:spacing w:before="100" w:beforeAutospacing="1" w:after="100" w:afterAutospacing="1"/>
              <w:jc w:val="both"/>
            </w:pPr>
            <w:r>
              <w:t>Evidence on measurement properties</w:t>
            </w:r>
          </w:p>
        </w:tc>
        <w:tc>
          <w:tcPr>
            <w:tcW w:w="0" w:type="auto"/>
          </w:tcPr>
          <w:p w14:paraId="0A887CB0" w14:textId="77777777" w:rsidR="001A6ECF" w:rsidRDefault="00000000" w:rsidP="00BD4822">
            <w:pPr>
              <w:pStyle w:val="Compact"/>
              <w:spacing w:before="100" w:beforeAutospacing="1" w:after="100" w:afterAutospacing="1"/>
              <w:jc w:val="both"/>
            </w:pPr>
            <w:r>
              <w:t>Reported use in trials</w:t>
            </w:r>
          </w:p>
        </w:tc>
        <w:tc>
          <w:tcPr>
            <w:tcW w:w="0" w:type="auto"/>
          </w:tcPr>
          <w:p w14:paraId="31242615" w14:textId="77777777" w:rsidR="001A6ECF" w:rsidRDefault="00000000" w:rsidP="00BD4822">
            <w:pPr>
              <w:pStyle w:val="Compact"/>
              <w:spacing w:before="100" w:beforeAutospacing="1" w:after="100" w:afterAutospacing="1"/>
              <w:jc w:val="both"/>
            </w:pPr>
            <w:r>
              <w:t>Principal constraint</w:t>
            </w:r>
          </w:p>
        </w:tc>
        <w:tc>
          <w:tcPr>
            <w:tcW w:w="0" w:type="auto"/>
          </w:tcPr>
          <w:p w14:paraId="52D5CBAB" w14:textId="77777777" w:rsidR="001A6ECF" w:rsidRDefault="00000000" w:rsidP="00BD4822">
            <w:pPr>
              <w:pStyle w:val="Compact"/>
              <w:spacing w:before="100" w:beforeAutospacing="1" w:after="100" w:afterAutospacing="1"/>
              <w:jc w:val="both"/>
            </w:pPr>
            <w:r>
              <w:t>Supporting references</w:t>
            </w:r>
          </w:p>
        </w:tc>
      </w:tr>
      <w:tr w:rsidR="001A6ECF" w14:paraId="6246F4A6" w14:textId="77777777" w:rsidTr="00BD4822">
        <w:tc>
          <w:tcPr>
            <w:tcW w:w="0" w:type="auto"/>
          </w:tcPr>
          <w:p w14:paraId="06528AB8" w14:textId="77777777" w:rsidR="001A6ECF" w:rsidRDefault="00000000" w:rsidP="00BD4822">
            <w:pPr>
              <w:pStyle w:val="Compact"/>
              <w:spacing w:before="100" w:beforeAutospacing="1" w:after="100" w:afterAutospacing="1"/>
              <w:jc w:val="both"/>
            </w:pPr>
            <w:proofErr w:type="spellStart"/>
            <w:r>
              <w:t>Goligher</w:t>
            </w:r>
            <w:proofErr w:type="spellEnd"/>
            <w:r>
              <w:t xml:space="preserve"> classification</w:t>
            </w:r>
          </w:p>
        </w:tc>
        <w:tc>
          <w:tcPr>
            <w:tcW w:w="0" w:type="auto"/>
          </w:tcPr>
          <w:p w14:paraId="27A07A27" w14:textId="77777777" w:rsidR="001A6ECF" w:rsidRDefault="00000000" w:rsidP="00BD4822">
            <w:pPr>
              <w:pStyle w:val="Compact"/>
              <w:spacing w:before="100" w:beforeAutospacing="1" w:after="100" w:afterAutospacing="1"/>
              <w:jc w:val="both"/>
            </w:pPr>
            <w:r>
              <w:t>Presence and reducibility of internal prolapse, in four grades</w:t>
            </w:r>
          </w:p>
        </w:tc>
        <w:tc>
          <w:tcPr>
            <w:tcW w:w="0" w:type="auto"/>
          </w:tcPr>
          <w:p w14:paraId="527B04AE" w14:textId="77777777" w:rsidR="001A6ECF" w:rsidRDefault="00000000" w:rsidP="00BD4822">
            <w:pPr>
              <w:pStyle w:val="Compact"/>
              <w:spacing w:before="100" w:beforeAutospacing="1" w:after="100" w:afterAutospacing="1"/>
              <w:jc w:val="both"/>
            </w:pPr>
            <w:r>
              <w:t xml:space="preserve">Overall Fleiss kappa 0.376 across 95 raters and 25 </w:t>
            </w:r>
            <w:proofErr w:type="spellStart"/>
            <w:r>
              <w:t>standardised</w:t>
            </w:r>
            <w:proofErr w:type="spellEnd"/>
            <w:r>
              <w:t xml:space="preserve"> images; lowest agreement for grade II (0.206)</w:t>
            </w:r>
          </w:p>
        </w:tc>
        <w:tc>
          <w:tcPr>
            <w:tcW w:w="0" w:type="auto"/>
          </w:tcPr>
          <w:p w14:paraId="546F713C" w14:textId="77777777" w:rsidR="001A6ECF" w:rsidRDefault="00000000" w:rsidP="00BD4822">
            <w:pPr>
              <w:pStyle w:val="Compact"/>
              <w:spacing w:before="100" w:beforeAutospacing="1" w:after="100" w:afterAutospacing="1"/>
              <w:jc w:val="both"/>
            </w:pPr>
            <w:r>
              <w:t xml:space="preserve">Used for enrolment in 86.4% of 162 </w:t>
            </w:r>
            <w:proofErr w:type="spellStart"/>
            <w:r>
              <w:t>randomised</w:t>
            </w:r>
            <w:proofErr w:type="spellEnd"/>
            <w:r>
              <w:t xml:space="preserve"> trials reviewed; often uncited and incompletely described</w:t>
            </w:r>
          </w:p>
        </w:tc>
        <w:tc>
          <w:tcPr>
            <w:tcW w:w="0" w:type="auto"/>
          </w:tcPr>
          <w:p w14:paraId="5257E576" w14:textId="77777777" w:rsidR="001A6ECF" w:rsidRDefault="00000000" w:rsidP="00BD4822">
            <w:pPr>
              <w:pStyle w:val="Compact"/>
              <w:spacing w:before="100" w:beforeAutospacing="1" w:after="100" w:afterAutospacing="1"/>
              <w:jc w:val="both"/>
            </w:pPr>
            <w:r>
              <w:t>Fair reliability at the grades where treatment decisions are most contested; captures no symptom other than prolapse</w:t>
            </w:r>
          </w:p>
        </w:tc>
        <w:tc>
          <w:tcPr>
            <w:tcW w:w="0" w:type="auto"/>
          </w:tcPr>
          <w:p w14:paraId="110AB178" w14:textId="77777777" w:rsidR="001A6ECF" w:rsidRDefault="00000000" w:rsidP="00BD4822">
            <w:pPr>
              <w:pStyle w:val="Compact"/>
              <w:spacing w:before="100" w:beforeAutospacing="1" w:after="100" w:afterAutospacing="1"/>
              <w:jc w:val="both"/>
            </w:pPr>
            <w:r>
              <w:t>Dekker et al. (2022); van Oostendorp et al. (2025b)</w:t>
            </w:r>
          </w:p>
        </w:tc>
      </w:tr>
      <w:tr w:rsidR="001A6ECF" w14:paraId="357C897F" w14:textId="77777777" w:rsidTr="00BD4822">
        <w:tc>
          <w:tcPr>
            <w:tcW w:w="0" w:type="auto"/>
          </w:tcPr>
          <w:p w14:paraId="57247D03" w14:textId="77777777" w:rsidR="001A6ECF" w:rsidRDefault="00000000" w:rsidP="00BD4822">
            <w:pPr>
              <w:pStyle w:val="Compact"/>
              <w:spacing w:before="100" w:beforeAutospacing="1" w:after="100" w:afterAutospacing="1"/>
              <w:jc w:val="both"/>
            </w:pPr>
            <w:r>
              <w:t>BPRST classification</w:t>
            </w:r>
          </w:p>
        </w:tc>
        <w:tc>
          <w:tcPr>
            <w:tcW w:w="0" w:type="auto"/>
          </w:tcPr>
          <w:p w14:paraId="2DDCCDD5" w14:textId="77777777" w:rsidR="001A6ECF" w:rsidRDefault="00000000" w:rsidP="00BD4822">
            <w:pPr>
              <w:pStyle w:val="Compact"/>
              <w:spacing w:before="100" w:beforeAutospacing="1" w:after="100" w:afterAutospacing="1"/>
              <w:jc w:val="both"/>
            </w:pPr>
            <w:r>
              <w:t>Bleeding, prolapse, reduction, skin tags and thrombosis as separate dimensions, linked to a treatment algorithm</w:t>
            </w:r>
          </w:p>
        </w:tc>
        <w:tc>
          <w:tcPr>
            <w:tcW w:w="0" w:type="auto"/>
          </w:tcPr>
          <w:p w14:paraId="0AD133E2" w14:textId="77777777" w:rsidR="001A6ECF" w:rsidRDefault="00000000" w:rsidP="00BD4822">
            <w:pPr>
              <w:pStyle w:val="Compact"/>
              <w:spacing w:before="100" w:beforeAutospacing="1" w:after="100" w:afterAutospacing="1"/>
              <w:jc w:val="both"/>
            </w:pPr>
            <w:r>
              <w:t>Single-</w:t>
            </w:r>
            <w:proofErr w:type="spellStart"/>
            <w:r>
              <w:t>centre</w:t>
            </w:r>
            <w:proofErr w:type="spellEnd"/>
            <w:r>
              <w:t xml:space="preserve"> cohort evaluation; independent interobserver reliability not established</w:t>
            </w:r>
          </w:p>
        </w:tc>
        <w:tc>
          <w:tcPr>
            <w:tcW w:w="0" w:type="auto"/>
          </w:tcPr>
          <w:p w14:paraId="16C00DDE" w14:textId="77777777" w:rsidR="001A6ECF" w:rsidRDefault="00000000" w:rsidP="00BD4822">
            <w:pPr>
              <w:pStyle w:val="Compact"/>
              <w:spacing w:before="100" w:beforeAutospacing="1" w:after="100" w:afterAutospacing="1"/>
              <w:jc w:val="both"/>
            </w:pPr>
            <w:r>
              <w:t xml:space="preserve">Not adopted as an eligibility criterion in subsequent </w:t>
            </w:r>
            <w:proofErr w:type="spellStart"/>
            <w:r>
              <w:t>randomised</w:t>
            </w:r>
            <w:proofErr w:type="spellEnd"/>
            <w:r>
              <w:t xml:space="preserve"> trials</w:t>
            </w:r>
          </w:p>
        </w:tc>
        <w:tc>
          <w:tcPr>
            <w:tcW w:w="0" w:type="auto"/>
          </w:tcPr>
          <w:p w14:paraId="60E0A9EE" w14:textId="77777777" w:rsidR="001A6ECF" w:rsidRDefault="00000000" w:rsidP="00BD4822">
            <w:pPr>
              <w:pStyle w:val="Compact"/>
              <w:spacing w:before="100" w:beforeAutospacing="1" w:after="100" w:afterAutospacing="1"/>
              <w:jc w:val="both"/>
            </w:pPr>
            <w:r>
              <w:t xml:space="preserve">Multidimensional design has not been tested against </w:t>
            </w:r>
            <w:proofErr w:type="spellStart"/>
            <w:r>
              <w:t>Goligher</w:t>
            </w:r>
            <w:proofErr w:type="spellEnd"/>
            <w:r>
              <w:t xml:space="preserve"> grading for reliability or treatment-guiding value</w:t>
            </w:r>
          </w:p>
        </w:tc>
        <w:tc>
          <w:tcPr>
            <w:tcW w:w="0" w:type="auto"/>
          </w:tcPr>
          <w:p w14:paraId="25E3F6B7" w14:textId="77777777" w:rsidR="001A6ECF" w:rsidRDefault="00000000" w:rsidP="00BD4822">
            <w:pPr>
              <w:pStyle w:val="Compact"/>
              <w:spacing w:before="100" w:beforeAutospacing="1" w:after="100" w:afterAutospacing="1"/>
              <w:jc w:val="both"/>
            </w:pPr>
            <w:r>
              <w:t>Sobrado et al. (2021)</w:t>
            </w:r>
          </w:p>
        </w:tc>
      </w:tr>
      <w:tr w:rsidR="001A6ECF" w14:paraId="75398D8D" w14:textId="77777777" w:rsidTr="00BD4822">
        <w:tc>
          <w:tcPr>
            <w:tcW w:w="0" w:type="auto"/>
          </w:tcPr>
          <w:p w14:paraId="05B39DC3" w14:textId="77777777" w:rsidR="001A6ECF" w:rsidRDefault="00000000" w:rsidP="00BD4822">
            <w:pPr>
              <w:pStyle w:val="Compact"/>
              <w:spacing w:before="100" w:beforeAutospacing="1" w:after="100" w:afterAutospacing="1"/>
              <w:jc w:val="both"/>
            </w:pPr>
            <w:proofErr w:type="spellStart"/>
            <w:r>
              <w:t>Haemorrhoidal</w:t>
            </w:r>
            <w:proofErr w:type="spellEnd"/>
            <w:r>
              <w:t xml:space="preserve"> Disease Symptom Score</w:t>
            </w:r>
          </w:p>
        </w:tc>
        <w:tc>
          <w:tcPr>
            <w:tcW w:w="0" w:type="auto"/>
          </w:tcPr>
          <w:p w14:paraId="56B80666" w14:textId="77777777" w:rsidR="001A6ECF" w:rsidRDefault="00000000" w:rsidP="00BD4822">
            <w:pPr>
              <w:pStyle w:val="Compact"/>
              <w:spacing w:before="100" w:beforeAutospacing="1" w:after="100" w:afterAutospacing="1"/>
              <w:jc w:val="both"/>
            </w:pPr>
            <w:r>
              <w:t>Patient-reported pain, itching, bleeding, soiling and prolapse</w:t>
            </w:r>
          </w:p>
        </w:tc>
        <w:tc>
          <w:tcPr>
            <w:tcW w:w="0" w:type="auto"/>
          </w:tcPr>
          <w:p w14:paraId="6CDA589C" w14:textId="77777777" w:rsidR="001A6ECF" w:rsidRDefault="00000000" w:rsidP="00BD4822">
            <w:pPr>
              <w:pStyle w:val="Compact"/>
              <w:spacing w:before="100" w:beforeAutospacing="1" w:after="100" w:afterAutospacing="1"/>
              <w:jc w:val="both"/>
            </w:pPr>
            <w:r>
              <w:t>Discriminative validity area under the curve 0.786; test-retest intraclass correlation 0.822; responsiveness area under the curve 0.843</w:t>
            </w:r>
          </w:p>
        </w:tc>
        <w:tc>
          <w:tcPr>
            <w:tcW w:w="0" w:type="auto"/>
          </w:tcPr>
          <w:p w14:paraId="0F86458C" w14:textId="77777777" w:rsidR="001A6ECF" w:rsidRDefault="00000000" w:rsidP="00BD4822">
            <w:pPr>
              <w:pStyle w:val="Compact"/>
              <w:spacing w:before="100" w:beforeAutospacing="1" w:after="100" w:afterAutospacing="1"/>
              <w:jc w:val="both"/>
            </w:pPr>
            <w:r>
              <w:t>Limited; not required by journals or guideline developers</w:t>
            </w:r>
          </w:p>
        </w:tc>
        <w:tc>
          <w:tcPr>
            <w:tcW w:w="0" w:type="auto"/>
          </w:tcPr>
          <w:p w14:paraId="2D26BC7D" w14:textId="77777777" w:rsidR="001A6ECF" w:rsidRDefault="00000000" w:rsidP="00BD4822">
            <w:pPr>
              <w:pStyle w:val="Compact"/>
              <w:spacing w:before="100" w:beforeAutospacing="1" w:after="100" w:afterAutospacing="1"/>
              <w:jc w:val="both"/>
            </w:pPr>
            <w:r>
              <w:t xml:space="preserve">Developed and validated at a single </w:t>
            </w:r>
            <w:proofErr w:type="spellStart"/>
            <w:r>
              <w:t>centre</w:t>
            </w:r>
            <w:proofErr w:type="spellEnd"/>
            <w:r>
              <w:t>; no gold-standard comparator available for validation</w:t>
            </w:r>
          </w:p>
        </w:tc>
        <w:tc>
          <w:tcPr>
            <w:tcW w:w="0" w:type="auto"/>
          </w:tcPr>
          <w:p w14:paraId="4219DCD4" w14:textId="77777777" w:rsidR="001A6ECF" w:rsidRDefault="00000000" w:rsidP="00BD4822">
            <w:pPr>
              <w:pStyle w:val="Compact"/>
              <w:spacing w:before="100" w:beforeAutospacing="1" w:after="100" w:afterAutospacing="1"/>
              <w:jc w:val="both"/>
            </w:pPr>
            <w:r>
              <w:t>Jin et al. (2020); Rørvik et al. (2019)</w:t>
            </w:r>
          </w:p>
        </w:tc>
      </w:tr>
      <w:tr w:rsidR="001A6ECF" w14:paraId="5902FD6A" w14:textId="77777777" w:rsidTr="00BD4822">
        <w:tc>
          <w:tcPr>
            <w:tcW w:w="0" w:type="auto"/>
          </w:tcPr>
          <w:p w14:paraId="3BF84093" w14:textId="77777777" w:rsidR="001A6ECF" w:rsidRDefault="00000000" w:rsidP="00BD4822">
            <w:pPr>
              <w:pStyle w:val="Compact"/>
              <w:spacing w:before="100" w:beforeAutospacing="1" w:after="100" w:afterAutospacing="1"/>
              <w:jc w:val="both"/>
            </w:pPr>
            <w:r>
              <w:t xml:space="preserve">Short Health Scale adapted for </w:t>
            </w:r>
            <w:proofErr w:type="spellStart"/>
            <w:r>
              <w:t>haemorrhoidal</w:t>
            </w:r>
            <w:proofErr w:type="spellEnd"/>
            <w:r>
              <w:t xml:space="preserve"> disease</w:t>
            </w:r>
          </w:p>
        </w:tc>
        <w:tc>
          <w:tcPr>
            <w:tcW w:w="0" w:type="auto"/>
          </w:tcPr>
          <w:p w14:paraId="3DD2260A" w14:textId="77777777" w:rsidR="001A6ECF" w:rsidRDefault="00000000" w:rsidP="00BD4822">
            <w:pPr>
              <w:pStyle w:val="Compact"/>
              <w:spacing w:before="100" w:beforeAutospacing="1" w:after="100" w:afterAutospacing="1"/>
              <w:jc w:val="both"/>
            </w:pPr>
            <w:r>
              <w:t>Symptom load, functional status, disease-specific worry and general well-being</w:t>
            </w:r>
          </w:p>
        </w:tc>
        <w:tc>
          <w:tcPr>
            <w:tcW w:w="0" w:type="auto"/>
          </w:tcPr>
          <w:p w14:paraId="420A10EB" w14:textId="77777777" w:rsidR="001A6ECF" w:rsidRDefault="00000000" w:rsidP="00BD4822">
            <w:pPr>
              <w:pStyle w:val="Compact"/>
              <w:spacing w:before="100" w:beforeAutospacing="1" w:after="100" w:afterAutospacing="1"/>
              <w:jc w:val="both"/>
            </w:pPr>
            <w:r>
              <w:t>Reliability intraclass correlation 0.763; responsiveness area under the curve 0.840</w:t>
            </w:r>
          </w:p>
        </w:tc>
        <w:tc>
          <w:tcPr>
            <w:tcW w:w="0" w:type="auto"/>
          </w:tcPr>
          <w:p w14:paraId="1737E58F" w14:textId="77777777" w:rsidR="001A6ECF" w:rsidRDefault="00000000" w:rsidP="00BD4822">
            <w:pPr>
              <w:pStyle w:val="Compact"/>
              <w:spacing w:before="100" w:beforeAutospacing="1" w:after="100" w:afterAutospacing="1"/>
              <w:jc w:val="both"/>
            </w:pPr>
            <w:r>
              <w:t>Limited</w:t>
            </w:r>
          </w:p>
        </w:tc>
        <w:tc>
          <w:tcPr>
            <w:tcW w:w="0" w:type="auto"/>
          </w:tcPr>
          <w:p w14:paraId="566E5EC9" w14:textId="77777777" w:rsidR="001A6ECF" w:rsidRDefault="00000000" w:rsidP="00BD4822">
            <w:pPr>
              <w:pStyle w:val="Compact"/>
              <w:spacing w:before="100" w:beforeAutospacing="1" w:after="100" w:afterAutospacing="1"/>
              <w:jc w:val="both"/>
            </w:pPr>
            <w:r>
              <w:t>Four single-item dimensions may be insufficiently granular for between-group comparison</w:t>
            </w:r>
          </w:p>
        </w:tc>
        <w:tc>
          <w:tcPr>
            <w:tcW w:w="0" w:type="auto"/>
          </w:tcPr>
          <w:p w14:paraId="63373BEE" w14:textId="77777777" w:rsidR="001A6ECF" w:rsidRDefault="00000000" w:rsidP="00BD4822">
            <w:pPr>
              <w:pStyle w:val="Compact"/>
              <w:spacing w:before="100" w:beforeAutospacing="1" w:after="100" w:afterAutospacing="1"/>
              <w:jc w:val="both"/>
            </w:pPr>
            <w:r>
              <w:t>Rørvik et al. (2019)</w:t>
            </w:r>
          </w:p>
        </w:tc>
      </w:tr>
      <w:tr w:rsidR="001A6ECF" w14:paraId="21071658" w14:textId="77777777" w:rsidTr="00BD4822">
        <w:tc>
          <w:tcPr>
            <w:tcW w:w="0" w:type="auto"/>
          </w:tcPr>
          <w:p w14:paraId="62C0B12F" w14:textId="77777777" w:rsidR="001A6ECF" w:rsidRDefault="00000000" w:rsidP="00BD4822">
            <w:pPr>
              <w:pStyle w:val="Compact"/>
              <w:spacing w:before="100" w:beforeAutospacing="1" w:after="100" w:afterAutospacing="1"/>
              <w:jc w:val="both"/>
            </w:pPr>
            <w:r>
              <w:t xml:space="preserve">Patient-reported outcome measure of </w:t>
            </w:r>
            <w:proofErr w:type="spellStart"/>
            <w:r>
              <w:t>haemorrhoidal</w:t>
            </w:r>
            <w:proofErr w:type="spellEnd"/>
            <w:r>
              <w:t xml:space="preserve"> impact and satisfaction</w:t>
            </w:r>
          </w:p>
        </w:tc>
        <w:tc>
          <w:tcPr>
            <w:tcW w:w="0" w:type="auto"/>
          </w:tcPr>
          <w:p w14:paraId="155A4493" w14:textId="77777777" w:rsidR="001A6ECF" w:rsidRDefault="00000000" w:rsidP="00BD4822">
            <w:pPr>
              <w:pStyle w:val="Compact"/>
              <w:spacing w:before="100" w:beforeAutospacing="1" w:after="100" w:afterAutospacing="1"/>
              <w:jc w:val="both"/>
            </w:pPr>
            <w:r>
              <w:t>Symptoms, impact on daily life and satisfaction with treatment</w:t>
            </w:r>
          </w:p>
        </w:tc>
        <w:tc>
          <w:tcPr>
            <w:tcW w:w="0" w:type="auto"/>
          </w:tcPr>
          <w:p w14:paraId="43056F7A" w14:textId="77777777" w:rsidR="001A6ECF" w:rsidRDefault="00000000" w:rsidP="00BD4822">
            <w:pPr>
              <w:pStyle w:val="Compact"/>
              <w:spacing w:before="100" w:beforeAutospacing="1" w:after="100" w:afterAutospacing="1"/>
              <w:jc w:val="both"/>
            </w:pPr>
            <w:r>
              <w:t>Structural validity by confirmatory factor analysis, test-retest reliability and construct validity in the source language; subsequent cross-cultural validation in English</w:t>
            </w:r>
          </w:p>
        </w:tc>
        <w:tc>
          <w:tcPr>
            <w:tcW w:w="0" w:type="auto"/>
          </w:tcPr>
          <w:p w14:paraId="42927E60" w14:textId="77777777" w:rsidR="001A6ECF" w:rsidRDefault="00000000" w:rsidP="00BD4822">
            <w:pPr>
              <w:pStyle w:val="Compact"/>
              <w:spacing w:before="100" w:beforeAutospacing="1" w:after="100" w:afterAutospacing="1"/>
              <w:jc w:val="both"/>
            </w:pPr>
            <w:r>
              <w:t>Emerging; used in some recent Dutch and United Kingdom studies</w:t>
            </w:r>
          </w:p>
        </w:tc>
        <w:tc>
          <w:tcPr>
            <w:tcW w:w="0" w:type="auto"/>
          </w:tcPr>
          <w:p w14:paraId="090707AA" w14:textId="77777777" w:rsidR="001A6ECF" w:rsidRDefault="00000000" w:rsidP="00BD4822">
            <w:pPr>
              <w:pStyle w:val="Compact"/>
              <w:spacing w:before="100" w:beforeAutospacing="1" w:after="100" w:afterAutospacing="1"/>
              <w:jc w:val="both"/>
            </w:pPr>
            <w:r>
              <w:t>Adoption outside the developing group remains limited</w:t>
            </w:r>
          </w:p>
        </w:tc>
        <w:tc>
          <w:tcPr>
            <w:tcW w:w="0" w:type="auto"/>
          </w:tcPr>
          <w:p w14:paraId="6DBDAF9D" w14:textId="77777777" w:rsidR="001A6ECF" w:rsidRDefault="00000000" w:rsidP="00BD4822">
            <w:pPr>
              <w:pStyle w:val="Compact"/>
              <w:spacing w:before="100" w:beforeAutospacing="1" w:after="100" w:afterAutospacing="1"/>
              <w:jc w:val="both"/>
            </w:pPr>
            <w:r>
              <w:t>Kuiper et al. (2022); Kuiper et al. (2023)</w:t>
            </w:r>
          </w:p>
        </w:tc>
      </w:tr>
      <w:tr w:rsidR="001A6ECF" w14:paraId="6003C790" w14:textId="77777777" w:rsidTr="00BD4822">
        <w:tc>
          <w:tcPr>
            <w:tcW w:w="0" w:type="auto"/>
          </w:tcPr>
          <w:p w14:paraId="27F0EEA2" w14:textId="77777777" w:rsidR="001A6ECF" w:rsidRDefault="00000000" w:rsidP="00BD4822">
            <w:pPr>
              <w:pStyle w:val="Compact"/>
              <w:spacing w:before="100" w:beforeAutospacing="1" w:after="100" w:afterAutospacing="1"/>
              <w:jc w:val="both"/>
            </w:pPr>
            <w:r>
              <w:t xml:space="preserve">Core outcome set for </w:t>
            </w:r>
            <w:proofErr w:type="spellStart"/>
            <w:r>
              <w:t>haemorrhoidal</w:t>
            </w:r>
            <w:proofErr w:type="spellEnd"/>
            <w:r>
              <w:t xml:space="preserve"> disease</w:t>
            </w:r>
          </w:p>
        </w:tc>
        <w:tc>
          <w:tcPr>
            <w:tcW w:w="0" w:type="auto"/>
          </w:tcPr>
          <w:p w14:paraId="60FF8D53" w14:textId="77777777" w:rsidR="001A6ECF" w:rsidRDefault="00000000" w:rsidP="00BD4822">
            <w:pPr>
              <w:pStyle w:val="Compact"/>
              <w:spacing w:before="100" w:beforeAutospacing="1" w:after="100" w:afterAutospacing="1"/>
              <w:jc w:val="both"/>
            </w:pPr>
            <w:r>
              <w:t>Domains that comparative studies should report</w:t>
            </w:r>
          </w:p>
        </w:tc>
        <w:tc>
          <w:tcPr>
            <w:tcW w:w="0" w:type="auto"/>
          </w:tcPr>
          <w:p w14:paraId="46DD8623" w14:textId="77777777" w:rsidR="001A6ECF" w:rsidRDefault="00000000" w:rsidP="00BD4822">
            <w:pPr>
              <w:pStyle w:val="Compact"/>
              <w:spacing w:before="100" w:beforeAutospacing="1" w:after="100" w:afterAutospacing="1"/>
              <w:jc w:val="both"/>
            </w:pPr>
            <w:r>
              <w:t>International Delphi consensus among healthcare professionals</w:t>
            </w:r>
          </w:p>
        </w:tc>
        <w:tc>
          <w:tcPr>
            <w:tcW w:w="0" w:type="auto"/>
          </w:tcPr>
          <w:p w14:paraId="3B6FD684" w14:textId="77777777" w:rsidR="001A6ECF" w:rsidRDefault="00000000" w:rsidP="00BD4822">
            <w:pPr>
              <w:pStyle w:val="Compact"/>
              <w:spacing w:before="100" w:beforeAutospacing="1" w:after="100" w:afterAutospacing="1"/>
              <w:jc w:val="both"/>
            </w:pPr>
            <w:r>
              <w:t xml:space="preserve">Recurrence, a core domain, reported in only 42% of </w:t>
            </w:r>
            <w:proofErr w:type="spellStart"/>
            <w:r>
              <w:t>randomised</w:t>
            </w:r>
            <w:proofErr w:type="spellEnd"/>
            <w:r>
              <w:t xml:space="preserve"> trials</w:t>
            </w:r>
          </w:p>
        </w:tc>
        <w:tc>
          <w:tcPr>
            <w:tcW w:w="0" w:type="auto"/>
          </w:tcPr>
          <w:p w14:paraId="4C854BB6" w14:textId="77777777" w:rsidR="001A6ECF" w:rsidRDefault="00000000" w:rsidP="00BD4822">
            <w:pPr>
              <w:pStyle w:val="Compact"/>
              <w:spacing w:before="100" w:beforeAutospacing="1" w:after="100" w:afterAutospacing="1"/>
              <w:jc w:val="both"/>
            </w:pPr>
            <w:r>
              <w:t>Consensus derived from professionals; no enforcement mechanism through registries or journals</w:t>
            </w:r>
          </w:p>
        </w:tc>
        <w:tc>
          <w:tcPr>
            <w:tcW w:w="0" w:type="auto"/>
          </w:tcPr>
          <w:p w14:paraId="30B66314" w14:textId="77777777" w:rsidR="001A6ECF" w:rsidRDefault="00000000" w:rsidP="00BD4822">
            <w:pPr>
              <w:pStyle w:val="Compact"/>
              <w:spacing w:before="100" w:beforeAutospacing="1" w:after="100" w:afterAutospacing="1"/>
              <w:jc w:val="both"/>
            </w:pPr>
            <w:r>
              <w:t>van Oostendorp et al. (2025b); van Tol et al. (2019)</w:t>
            </w:r>
          </w:p>
        </w:tc>
      </w:tr>
    </w:tbl>
    <w:p w14:paraId="0C0BBC3A" w14:textId="77777777" w:rsidR="001A6ECF" w:rsidRDefault="00000000" w:rsidP="00BD4822">
      <w:pPr>
        <w:pStyle w:val="BodyText"/>
        <w:spacing w:before="100" w:beforeAutospacing="1" w:after="100" w:afterAutospacing="1"/>
        <w:jc w:val="both"/>
      </w:pPr>
      <w:r>
        <w:rPr>
          <w:i/>
          <w:iCs/>
        </w:rPr>
        <w:lastRenderedPageBreak/>
        <w:t>Note.</w:t>
      </w:r>
      <w:r>
        <w:t xml:space="preserve"> Fleiss kappa values of 0.21 to 0.40 denote fair agreement and 0.41 to 0.60 moderate agreement under conventional interpretation. Area under the curve refers to the receiver operating characteristic curve. Intraclass correlation values are reported as published.</w:t>
      </w:r>
    </w:p>
    <w:p w14:paraId="3940B98A" w14:textId="77777777" w:rsidR="001A6ECF" w:rsidRDefault="00000000" w:rsidP="00BD4822">
      <w:pPr>
        <w:pStyle w:val="Heading2"/>
        <w:spacing w:before="100" w:beforeAutospacing="1" w:after="100" w:afterAutospacing="1"/>
        <w:jc w:val="both"/>
      </w:pPr>
      <w:bookmarkStart w:id="22" w:name="X34ea0c248ff45ad37ce5a295bc73b3609f3fc38"/>
      <w:bookmarkEnd w:id="17"/>
      <w:bookmarkEnd w:id="21"/>
      <w:r>
        <w:t>5. Clinical Assessment, Differential Diagnosis and Risk Stratification</w:t>
      </w:r>
    </w:p>
    <w:p w14:paraId="031AAD04" w14:textId="77777777" w:rsidR="001A6ECF" w:rsidRDefault="00000000" w:rsidP="00BD4822">
      <w:pPr>
        <w:pStyle w:val="Heading3"/>
        <w:spacing w:before="100" w:beforeAutospacing="1" w:after="100" w:afterAutospacing="1"/>
        <w:jc w:val="both"/>
      </w:pPr>
      <w:bookmarkStart w:id="23" w:name="X741f0b3249fdbe30b3c0b2c3537a79b05005f68"/>
      <w:r>
        <w:t>5.1 History and Examination as Determinants of Everything Downstream</w:t>
      </w:r>
    </w:p>
    <w:p w14:paraId="316C29AD" w14:textId="77777777" w:rsidR="001A6ECF" w:rsidRDefault="00000000" w:rsidP="00BD4822">
      <w:pPr>
        <w:pStyle w:val="FirstParagraph"/>
        <w:spacing w:before="100" w:beforeAutospacing="1" w:after="100" w:afterAutospacing="1"/>
        <w:jc w:val="both"/>
      </w:pPr>
      <w:r>
        <w:t xml:space="preserve">Assessment of suspected </w:t>
      </w:r>
      <w:proofErr w:type="spellStart"/>
      <w:r>
        <w:t>haemorrhoidal</w:t>
      </w:r>
      <w:proofErr w:type="spellEnd"/>
      <w:r>
        <w:t xml:space="preserve"> disease is clinical, and the accuracy of every subsequent decision depends on it. The history should establish the dominant symptom, since bleeding, prolapse, discomfort, soiling and pruritus respond differently to the available interventions, and should </w:t>
      </w:r>
      <w:proofErr w:type="spellStart"/>
      <w:r>
        <w:t>characterise</w:t>
      </w:r>
      <w:proofErr w:type="spellEnd"/>
      <w:r>
        <w:t xml:space="preserve"> bowel habit, straining and the duration of evacuation, given the association between </w:t>
      </w:r>
      <w:proofErr w:type="spellStart"/>
      <w:r>
        <w:t>haemorrhoidal</w:t>
      </w:r>
      <w:proofErr w:type="spellEnd"/>
      <w:r>
        <w:t xml:space="preserve"> disease and disordered </w:t>
      </w:r>
      <w:proofErr w:type="spellStart"/>
      <w:r>
        <w:t>defaecation</w:t>
      </w:r>
      <w:proofErr w:type="spellEnd"/>
      <w:r>
        <w:t xml:space="preserve"> (</w:t>
      </w:r>
      <w:proofErr w:type="spellStart"/>
      <w:r>
        <w:t>Kalkdijk</w:t>
      </w:r>
      <w:proofErr w:type="spellEnd"/>
      <w:r>
        <w:t xml:space="preserve"> et al., 2022). Examination requires inspection at rest and during straining, digital examination and anoscopy, the last of which is the only means of </w:t>
      </w:r>
      <w:proofErr w:type="spellStart"/>
      <w:r>
        <w:t>visualising</w:t>
      </w:r>
      <w:proofErr w:type="spellEnd"/>
      <w:r>
        <w:t xml:space="preserve"> internal disease directly. Contemporary guidance is consistent on this sequence (Hawkins et al., 2024; Qureshi et al., 2026; van Tol et al., 2020).</w:t>
      </w:r>
    </w:p>
    <w:p w14:paraId="1D87A6AC" w14:textId="77777777" w:rsidR="001A6ECF" w:rsidRDefault="00000000" w:rsidP="00BD4822">
      <w:pPr>
        <w:pStyle w:val="BodyText"/>
        <w:spacing w:before="100" w:beforeAutospacing="1" w:after="100" w:afterAutospacing="1"/>
        <w:jc w:val="both"/>
      </w:pPr>
      <w:r>
        <w:t xml:space="preserve">Two features of examination deserve emphasis because they are frequently underweighted. The first is that prolapse assessed on the examination couch underestimates prolapse experienced during normal </w:t>
      </w:r>
      <w:proofErr w:type="spellStart"/>
      <w:r>
        <w:t>defaecation</w:t>
      </w:r>
      <w:proofErr w:type="spellEnd"/>
      <w:r>
        <w:t xml:space="preserve">, which is one plausible source of the interobserver disagreement documented in grading studies (Dekker et al., 2022). The second is that external and internal components frequently coexist, and treatment directed exclusively at the internal component will leave a proportion of patients dissatisfied even when the internal disease has been adequately addressed. Acute thrombosis of an external </w:t>
      </w:r>
      <w:proofErr w:type="spellStart"/>
      <w:r>
        <w:t>haemorrhoid</w:t>
      </w:r>
      <w:proofErr w:type="spellEnd"/>
      <w:r>
        <w:t xml:space="preserve"> is a distinct clinical entity with its own natural history and management logic, in which early excision within the window of maximal pain offers faster resolution while later presentation is generally managed conservatively with equivalent eventual outcome (</w:t>
      </w:r>
      <w:proofErr w:type="spellStart"/>
      <w:r>
        <w:t>Picciariello</w:t>
      </w:r>
      <w:proofErr w:type="spellEnd"/>
      <w:r>
        <w:t xml:space="preserve"> et al., 2022).</w:t>
      </w:r>
    </w:p>
    <w:p w14:paraId="7811D046" w14:textId="77777777" w:rsidR="001A6ECF" w:rsidRDefault="00000000" w:rsidP="00BD4822">
      <w:pPr>
        <w:pStyle w:val="Heading3"/>
        <w:spacing w:before="100" w:beforeAutospacing="1" w:after="100" w:afterAutospacing="1"/>
        <w:jc w:val="both"/>
      </w:pPr>
      <w:bookmarkStart w:id="24" w:name="X5ec8e55c7a0145db452d94460a07c5830104a32"/>
      <w:bookmarkEnd w:id="23"/>
      <w:r>
        <w:t>5.2 Endoscopic Evaluation and the Anchoring Problem</w:t>
      </w:r>
    </w:p>
    <w:p w14:paraId="5E700BAF" w14:textId="77777777" w:rsidR="001A6ECF" w:rsidRDefault="00000000" w:rsidP="00BD4822">
      <w:pPr>
        <w:pStyle w:val="FirstParagraph"/>
        <w:spacing w:before="100" w:beforeAutospacing="1" w:after="100" w:afterAutospacing="1"/>
        <w:jc w:val="both"/>
      </w:pPr>
      <w:r>
        <w:t xml:space="preserve">The central diagnostic hazard is attribution. Rectal bleeding attributed to visible </w:t>
      </w:r>
      <w:proofErr w:type="spellStart"/>
      <w:r>
        <w:t>haemorrhoids</w:t>
      </w:r>
      <w:proofErr w:type="spellEnd"/>
      <w:r>
        <w:t xml:space="preserve"> in a patient who also </w:t>
      </w:r>
      <w:proofErr w:type="spellStart"/>
      <w:r>
        <w:t>harbours</w:t>
      </w:r>
      <w:proofErr w:type="spellEnd"/>
      <w:r>
        <w:t xml:space="preserve"> a colorectal neoplasm represents a failure mode with severe consequences, and the presence of </w:t>
      </w:r>
      <w:proofErr w:type="spellStart"/>
      <w:r>
        <w:t>haemorrhoids</w:t>
      </w:r>
      <w:proofErr w:type="spellEnd"/>
      <w:r>
        <w:t xml:space="preserve"> provides no protection against coexisting pathology given how common they are in the general adult population (</w:t>
      </w:r>
      <w:proofErr w:type="spellStart"/>
      <w:r>
        <w:t>Esmaeilnia</w:t>
      </w:r>
      <w:proofErr w:type="spellEnd"/>
      <w:r>
        <w:t xml:space="preserve"> Shirvani et al., 2026; Riss et al., 2012). Guidance therefore directs that bleeding should not be ascribed to </w:t>
      </w:r>
      <w:proofErr w:type="spellStart"/>
      <w:r>
        <w:t>haemorrhoidal</w:t>
      </w:r>
      <w:proofErr w:type="spellEnd"/>
      <w:r>
        <w:t xml:space="preserve"> disease without consideration of the patient’s age, family history, associated symptoms and risk profile, and that colonic evaluation should proceed where these features warrant it (Hawkins et al., 2024; Qureshi et al., 2026; Rao et al., 2026).</w:t>
      </w:r>
    </w:p>
    <w:p w14:paraId="0B7D14F7" w14:textId="77777777" w:rsidR="001A6ECF" w:rsidRDefault="00000000" w:rsidP="00BD4822">
      <w:pPr>
        <w:pStyle w:val="BodyText"/>
        <w:spacing w:before="100" w:beforeAutospacing="1" w:after="100" w:afterAutospacing="1"/>
        <w:jc w:val="both"/>
      </w:pPr>
      <w:r>
        <w:t xml:space="preserve">The practical difficulty is that the threshold for colonic investigation is a matter of judgement rather than of evidence specific to this population. No study has established the yield of colonoscopy in patients presenting with bleeding and visible </w:t>
      </w:r>
      <w:proofErr w:type="spellStart"/>
      <w:r>
        <w:t>haemorrhoids</w:t>
      </w:r>
      <w:proofErr w:type="spellEnd"/>
      <w:r>
        <w:t xml:space="preserve"> stratified by age and risk factors, which means the recommendation rests on extrapolation from general rectal bleeding pathways. This is a defensible extrapolation, but it should be </w:t>
      </w:r>
      <w:proofErr w:type="spellStart"/>
      <w:r>
        <w:t>recognised</w:t>
      </w:r>
      <w:proofErr w:type="spellEnd"/>
      <w:r>
        <w:t xml:space="preserve"> as such. </w:t>
      </w:r>
      <w:proofErr w:type="spellStart"/>
      <w:r>
        <w:t>Overinvestigation</w:t>
      </w:r>
      <w:proofErr w:type="spellEnd"/>
      <w:r>
        <w:t xml:space="preserve"> carries its own costs, and the absence of population-specific yield data makes it impossible to specify where the balance lies.</w:t>
      </w:r>
    </w:p>
    <w:p w14:paraId="5899F9C8" w14:textId="77777777" w:rsidR="001A6ECF" w:rsidRDefault="00000000" w:rsidP="00BD4822">
      <w:pPr>
        <w:pStyle w:val="Heading3"/>
        <w:spacing w:before="100" w:beforeAutospacing="1" w:after="100" w:afterAutospacing="1"/>
        <w:jc w:val="both"/>
      </w:pPr>
      <w:bookmarkStart w:id="25" w:name="stratifying-risk-before-intervention"/>
      <w:bookmarkEnd w:id="24"/>
      <w:r>
        <w:t>5.3 Stratifying Risk Before Intervention</w:t>
      </w:r>
    </w:p>
    <w:p w14:paraId="26105463" w14:textId="77777777" w:rsidR="001A6ECF" w:rsidRDefault="00000000" w:rsidP="00BD4822">
      <w:pPr>
        <w:pStyle w:val="FirstParagraph"/>
        <w:spacing w:before="100" w:beforeAutospacing="1" w:after="100" w:afterAutospacing="1"/>
        <w:jc w:val="both"/>
      </w:pPr>
      <w:r>
        <w:t xml:space="preserve">Several patient characteristics alter the risk-benefit calculation sufficiently to warrant explicit assessment. Antithrombotic therapy increases the risk of delayed </w:t>
      </w:r>
      <w:proofErr w:type="spellStart"/>
      <w:r>
        <w:t>haemorrhage</w:t>
      </w:r>
      <w:proofErr w:type="spellEnd"/>
      <w:r>
        <w:t xml:space="preserve"> after band </w:t>
      </w:r>
      <w:r>
        <w:lastRenderedPageBreak/>
        <w:t xml:space="preserve">ligation, which is the most consequential complication of that procedure and can require transfusion or operative </w:t>
      </w:r>
      <w:proofErr w:type="spellStart"/>
      <w:r>
        <w:t>haemostasis</w:t>
      </w:r>
      <w:proofErr w:type="spellEnd"/>
      <w:r>
        <w:t xml:space="preserve"> (Albuquerque, 2016). Practice varies between suspension of antithrombotic agents, deferral of the procedure and selection of a lower-risk alternative, and comparative evidence to guide this choice is sparse; a small pilot study of combined sclerotherapy and banding performed without suspension of antiplatelet or anticoagulant therapy reported acceptable safety, but the sample was insufficient to detect uncommon events (Pata et al., 2023). Chronic liver disease introduces both a coagulopathic risk and the diagnostic requirement to distinguish </w:t>
      </w:r>
      <w:proofErr w:type="spellStart"/>
      <w:r>
        <w:t>haemorrhoids</w:t>
      </w:r>
      <w:proofErr w:type="spellEnd"/>
      <w:r>
        <w:t xml:space="preserve"> from anorectal varices, and systematic review of this population found the evidence base to consist largely of small series with limited capacity to guide technique selection (Ponte et al., 2025). Pregnancy alters both the natural history, since many cases resolve after delivery, and the acceptability of intervention, and the observed dominance of conservative management in a nationwide cohort reflects this reasoning rather than any demonstrated superiority of conservative care in this group (Chen et al., 2023).</w:t>
      </w:r>
    </w:p>
    <w:p w14:paraId="5B820E90" w14:textId="77777777" w:rsidR="001A6ECF" w:rsidRDefault="00000000" w:rsidP="00BD4822">
      <w:pPr>
        <w:pStyle w:val="BodyText"/>
        <w:spacing w:before="100" w:beforeAutospacing="1" w:after="100" w:afterAutospacing="1"/>
        <w:jc w:val="both"/>
      </w:pPr>
      <w:r>
        <w:t xml:space="preserve">Risk stratification of this kind is performed routinely in clinical practice but is almost invisible in the trial literature, since patients with significant comorbidity, antithrombotic therapy or hepatic disease are commonly excluded from </w:t>
      </w:r>
      <w:proofErr w:type="spellStart"/>
      <w:r>
        <w:t>randomised</w:t>
      </w:r>
      <w:proofErr w:type="spellEnd"/>
      <w:r>
        <w:t xml:space="preserve"> comparisons. The result is a systematic mismatch between the populations in which interventions are evaluated and the populations in which they are used, a point returned to in Section 7.</w:t>
      </w:r>
    </w:p>
    <w:p w14:paraId="277597C9" w14:textId="77777777" w:rsidR="001A6ECF" w:rsidRDefault="00000000" w:rsidP="00BD4822">
      <w:pPr>
        <w:pStyle w:val="Heading2"/>
        <w:spacing w:before="100" w:beforeAutospacing="1" w:after="100" w:afterAutospacing="1"/>
        <w:jc w:val="both"/>
      </w:pPr>
      <w:bookmarkStart w:id="26" w:name="X64844c92832468c54bfdd88fa58120798baba1d"/>
      <w:bookmarkEnd w:id="22"/>
      <w:bookmarkEnd w:id="25"/>
      <w:r>
        <w:t>6. Evidence-Based Management Across the Care Continuum</w:t>
      </w:r>
    </w:p>
    <w:p w14:paraId="654CBBF4" w14:textId="77777777" w:rsidR="001A6ECF" w:rsidRDefault="00000000" w:rsidP="00BD4822">
      <w:pPr>
        <w:pStyle w:val="Heading3"/>
        <w:spacing w:before="100" w:beforeAutospacing="1" w:after="100" w:afterAutospacing="1"/>
        <w:jc w:val="both"/>
      </w:pPr>
      <w:bookmarkStart w:id="27" w:name="X1c8a0d90be113c5fc7985657a7aa4095064673f"/>
      <w:r>
        <w:t xml:space="preserve">6.1 Dietary </w:t>
      </w:r>
      <w:proofErr w:type="spellStart"/>
      <w:r>
        <w:t>Fibre</w:t>
      </w:r>
      <w:proofErr w:type="spellEnd"/>
      <w:r>
        <w:t xml:space="preserve"> and </w:t>
      </w:r>
      <w:proofErr w:type="spellStart"/>
      <w:r>
        <w:t>Behavioural</w:t>
      </w:r>
      <w:proofErr w:type="spellEnd"/>
      <w:r>
        <w:t xml:space="preserve"> Modification</w:t>
      </w:r>
    </w:p>
    <w:p w14:paraId="4BD379D9" w14:textId="77777777" w:rsidR="001A6ECF" w:rsidRDefault="00000000" w:rsidP="00BD4822">
      <w:pPr>
        <w:pStyle w:val="FirstParagraph"/>
        <w:spacing w:before="100" w:beforeAutospacing="1" w:after="100" w:afterAutospacing="1"/>
        <w:jc w:val="both"/>
      </w:pPr>
      <w:proofErr w:type="spellStart"/>
      <w:r>
        <w:t>Fibre</w:t>
      </w:r>
      <w:proofErr w:type="spellEnd"/>
      <w:r>
        <w:t xml:space="preserve"> supplementation is the first intervention in every guideline and is among the few recommendations supported by a consistent </w:t>
      </w:r>
      <w:proofErr w:type="spellStart"/>
      <w:r>
        <w:t>randomised</w:t>
      </w:r>
      <w:proofErr w:type="spellEnd"/>
      <w:r>
        <w:t xml:space="preserve"> evidence base. Meta-analysis of seven trials </w:t>
      </w:r>
      <w:proofErr w:type="spellStart"/>
      <w:r>
        <w:t>randomising</w:t>
      </w:r>
      <w:proofErr w:type="spellEnd"/>
      <w:r>
        <w:t xml:space="preserve"> 378 patients found that </w:t>
      </w:r>
      <w:proofErr w:type="spellStart"/>
      <w:r>
        <w:t>fibre</w:t>
      </w:r>
      <w:proofErr w:type="spellEnd"/>
      <w:r>
        <w:t xml:space="preserve"> reduced the risk of persisting or unimproved symptoms by 47% (risk ratio 0.53, 95% confidence interval 0.38 to 0.73) and the risk of bleeding by 50% (risk ratio 0.50, 95% confidence interval 0.28 to 0.89), with effects sustained across follow-up assessments at six weeks and three months (Alonso-Coello et al., 2006). The evidence for prolapse, pain and itching </w:t>
      </w:r>
      <w:proofErr w:type="gramStart"/>
      <w:r>
        <w:t>was</w:t>
      </w:r>
      <w:proofErr w:type="gramEnd"/>
      <w:r>
        <w:t xml:space="preserve"> compatible with large effects but also with no effect, since confidence intervals were wide in every case. A companion Cochrane review reached concordant conclusions regarding laxative therapy while noting the modest quality of the underlying trials (Alonso-Coello et al., 2005).</w:t>
      </w:r>
    </w:p>
    <w:p w14:paraId="0AF65D7D" w14:textId="77777777" w:rsidR="001A6ECF" w:rsidRDefault="00000000" w:rsidP="00BD4822">
      <w:pPr>
        <w:pStyle w:val="BodyText"/>
        <w:spacing w:before="100" w:beforeAutospacing="1" w:after="100" w:afterAutospacing="1"/>
        <w:jc w:val="both"/>
      </w:pPr>
      <w:r>
        <w:t xml:space="preserve">The correct reading of these results is narrower than the recommendation they support. </w:t>
      </w:r>
      <w:proofErr w:type="spellStart"/>
      <w:r>
        <w:t>Fibre</w:t>
      </w:r>
      <w:proofErr w:type="spellEnd"/>
      <w:r>
        <w:t xml:space="preserve"> demonstrably reduces bleeding and overall symptom persistence; it has not been shown to reduce prolapse, and it has not been shown to prevent progression or recurrence, since no trial has followed patients long enough to assess either. The frequent guideline framing of </w:t>
      </w:r>
      <w:proofErr w:type="spellStart"/>
      <w:r>
        <w:t>fibre</w:t>
      </w:r>
      <w:proofErr w:type="spellEnd"/>
      <w:r>
        <w:t xml:space="preserve"> as the foundation of long-term management therefore extends beyond the demonstrated effect. Given the low cost, </w:t>
      </w:r>
      <w:proofErr w:type="spellStart"/>
      <w:r>
        <w:t>favourable</w:t>
      </w:r>
      <w:proofErr w:type="spellEnd"/>
      <w:r>
        <w:t xml:space="preserve"> safety profile and the plausible mechanism, the recommendation remains sensible, but the distinction between symptom relief and disease modification should be preserved.</w:t>
      </w:r>
    </w:p>
    <w:p w14:paraId="286D4E37" w14:textId="77777777" w:rsidR="001A6ECF" w:rsidRDefault="00000000" w:rsidP="00BD4822">
      <w:pPr>
        <w:pStyle w:val="BodyText"/>
        <w:spacing w:before="100" w:beforeAutospacing="1" w:after="100" w:afterAutospacing="1"/>
        <w:jc w:val="both"/>
      </w:pPr>
      <w:proofErr w:type="spellStart"/>
      <w:r>
        <w:t>Behavioural</w:t>
      </w:r>
      <w:proofErr w:type="spellEnd"/>
      <w:r>
        <w:t xml:space="preserve"> advice concerning </w:t>
      </w:r>
      <w:proofErr w:type="spellStart"/>
      <w:r>
        <w:t>defaecatory</w:t>
      </w:r>
      <w:proofErr w:type="spellEnd"/>
      <w:r>
        <w:t xml:space="preserve"> posture, avoidance of prolonged straining and reduction of time spent on the toilet is universally offered and essentially untested. The rationale is coherent given the manometric evidence linking </w:t>
      </w:r>
      <w:proofErr w:type="spellStart"/>
      <w:r>
        <w:t>haemorrhoidal</w:t>
      </w:r>
      <w:proofErr w:type="spellEnd"/>
      <w:r>
        <w:t xml:space="preserve"> disease to raised anal pressure and </w:t>
      </w:r>
      <w:proofErr w:type="spellStart"/>
      <w:r>
        <w:t>dyssynergic</w:t>
      </w:r>
      <w:proofErr w:type="spellEnd"/>
      <w:r>
        <w:t xml:space="preserve"> patterns (</w:t>
      </w:r>
      <w:proofErr w:type="spellStart"/>
      <w:r>
        <w:t>Kalkdijk</w:t>
      </w:r>
      <w:proofErr w:type="spellEnd"/>
      <w:r>
        <w:t xml:space="preserve"> et al., 2022), and the observation that anal pressures remain elevated after band ligation raises the possibility that pelvic floor retraining might reduce recurrence. No trial has evaluated this hypothesis, which represents an unusually tractable gap.</w:t>
      </w:r>
    </w:p>
    <w:p w14:paraId="045E6A9A" w14:textId="77777777" w:rsidR="001A6ECF" w:rsidRDefault="00000000" w:rsidP="00BD4822">
      <w:pPr>
        <w:pStyle w:val="Heading3"/>
        <w:spacing w:before="100" w:beforeAutospacing="1" w:after="100" w:afterAutospacing="1"/>
        <w:jc w:val="both"/>
      </w:pPr>
      <w:bookmarkStart w:id="28" w:name="venoactive-pharmacotherapy"/>
      <w:bookmarkEnd w:id="27"/>
      <w:r>
        <w:lastRenderedPageBreak/>
        <w:t xml:space="preserve">6.2 </w:t>
      </w:r>
      <w:proofErr w:type="spellStart"/>
      <w:r>
        <w:t>Venoactive</w:t>
      </w:r>
      <w:proofErr w:type="spellEnd"/>
      <w:r>
        <w:t xml:space="preserve"> Pharmacotherapy</w:t>
      </w:r>
    </w:p>
    <w:p w14:paraId="352C4886" w14:textId="77777777" w:rsidR="001A6ECF" w:rsidRDefault="00000000" w:rsidP="00BD4822">
      <w:pPr>
        <w:pStyle w:val="FirstParagraph"/>
        <w:spacing w:before="100" w:beforeAutospacing="1" w:after="100" w:afterAutospacing="1"/>
        <w:jc w:val="both"/>
      </w:pPr>
      <w:proofErr w:type="spellStart"/>
      <w:r>
        <w:t>Micronised</w:t>
      </w:r>
      <w:proofErr w:type="spellEnd"/>
      <w:r>
        <w:t xml:space="preserve"> purified flavonoid fraction is the most extensively studied </w:t>
      </w:r>
      <w:proofErr w:type="spellStart"/>
      <w:r>
        <w:t>venoactive</w:t>
      </w:r>
      <w:proofErr w:type="spellEnd"/>
      <w:r>
        <w:t xml:space="preserve"> preparation. Systematic review identifying eleven studies reported in thirteen articles, with quantitative synthesis of four, found substantial benefit for bleeding (odds ratio 0.082, 95% confidence interval 0.027 to 0.250), for discharge or leakage (odds ratio 0.12, 95% confidence interval 0.04 to 0.42) and for overall improvement assessed by patients and by investigators, with odds ratios of 5.25 and 5.51 respectively (Sheikh et al., 2020). The effect on pain did not reach conventional significance. An independent synthesis reached broadly similar conclusions regarding efficacy and tolerability (Aziz et al., 2018), and the wider Cochrane assessment of </w:t>
      </w:r>
      <w:proofErr w:type="spellStart"/>
      <w:r>
        <w:t>phlebotonics</w:t>
      </w:r>
      <w:proofErr w:type="spellEnd"/>
      <w:r>
        <w:t xml:space="preserve"> likewise identified benefit while drawing attention to methodological weaknesses in the constituent trials (Perera et al., 2012).</w:t>
      </w:r>
    </w:p>
    <w:p w14:paraId="7EE70774" w14:textId="77777777" w:rsidR="001A6ECF" w:rsidRDefault="00000000" w:rsidP="00BD4822">
      <w:pPr>
        <w:pStyle w:val="BodyText"/>
        <w:spacing w:before="100" w:beforeAutospacing="1" w:after="100" w:afterAutospacing="1"/>
        <w:jc w:val="both"/>
      </w:pPr>
      <w:r>
        <w:t xml:space="preserve">The magnitude of the reported effect on bleeding invites </w:t>
      </w:r>
      <w:proofErr w:type="spellStart"/>
      <w:r>
        <w:t>scepticism</w:t>
      </w:r>
      <w:proofErr w:type="spellEnd"/>
      <w:r>
        <w:t xml:space="preserve">. An odds ratio of 0.082 implies an effect larger than that achieved by most procedural interventions, derived from four small trials of variable design and with substantial industry involvement in the underlying literature. Publication bias, outcome definition and the subjective nature of the endpoint all plausibly contribute. The appropriate conclusion is that </w:t>
      </w:r>
      <w:proofErr w:type="spellStart"/>
      <w:r>
        <w:t>venoactive</w:t>
      </w:r>
      <w:proofErr w:type="spellEnd"/>
      <w:r>
        <w:t xml:space="preserve"> therapy probably reduces bleeding and improves patient-reported symptoms in the short term, that the size of this effect is uncertain and likely overstated by the available syntheses, and that no evidence addresses whether it alters the need for subsequent procedural intervention.</w:t>
      </w:r>
    </w:p>
    <w:p w14:paraId="0015F7FD" w14:textId="77777777" w:rsidR="001A6ECF" w:rsidRDefault="00000000" w:rsidP="00BD4822">
      <w:pPr>
        <w:pStyle w:val="Heading3"/>
        <w:spacing w:before="100" w:beforeAutospacing="1" w:after="100" w:afterAutospacing="1"/>
        <w:jc w:val="both"/>
      </w:pPr>
      <w:bookmarkStart w:id="29" w:name="office-based-procedures"/>
      <w:bookmarkEnd w:id="28"/>
      <w:r>
        <w:t>6.3 Office-Based Procedures</w:t>
      </w:r>
    </w:p>
    <w:p w14:paraId="65D74859" w14:textId="77777777" w:rsidR="001A6ECF" w:rsidRDefault="00000000" w:rsidP="00BD4822">
      <w:pPr>
        <w:pStyle w:val="FirstParagraph"/>
        <w:spacing w:before="100" w:beforeAutospacing="1" w:after="100" w:afterAutospacing="1"/>
        <w:jc w:val="both"/>
      </w:pPr>
      <w:r>
        <w:t xml:space="preserve">Rubber band ligation remains the reference outpatient intervention for grade I to III disease. Its principal advantages are minimal pain relative to excisional alternatives, absence of </w:t>
      </w:r>
      <w:proofErr w:type="spellStart"/>
      <w:r>
        <w:t>anaesthesia</w:t>
      </w:r>
      <w:proofErr w:type="spellEnd"/>
      <w:r>
        <w:t xml:space="preserve"> and immediate return to activity. Its principal disadvantage is the need for repeated sessions, which is the mechanism by which its apparently inferior recurrence figures are generated. In the </w:t>
      </w:r>
      <w:proofErr w:type="spellStart"/>
      <w:r>
        <w:t>HubBLe</w:t>
      </w:r>
      <w:proofErr w:type="spellEnd"/>
      <w:r>
        <w:t xml:space="preserve"> trial, one-year recurrence was 49% after banding compared with 30% after </w:t>
      </w:r>
      <w:proofErr w:type="spellStart"/>
      <w:r>
        <w:t>haemorrhoidal</w:t>
      </w:r>
      <w:proofErr w:type="spellEnd"/>
      <w:r>
        <w:t xml:space="preserve"> artery ligation, and the authors attributed the difference principally to the additional procedures required in the banding arm, with 32% of banded patients undergoing a further procedure against 14% in the ligation arm (Brown et al., 2016). Pain was greater after arterial ligation at one day and seven days, and serious adverse events requiring admission were concentrated in the ligation arm, with twelve events against two. The trial’s interpretation, that patients and commissioners might reasonably prefer a course of banding to a single more invasive procedure, is defensible and has been influential, although it depends on a definition of recurrence that treats a planned repeat banding as treatment failure.</w:t>
      </w:r>
    </w:p>
    <w:p w14:paraId="0EFF7B51" w14:textId="77777777" w:rsidR="001A6ECF" w:rsidRDefault="00000000" w:rsidP="00BD4822">
      <w:pPr>
        <w:pStyle w:val="BodyText"/>
        <w:spacing w:before="100" w:beforeAutospacing="1" w:after="100" w:afterAutospacing="1"/>
        <w:jc w:val="both"/>
      </w:pPr>
      <w:r>
        <w:t xml:space="preserve">Sclerotherapy has undergone substantial reappraisal following the introduction of polidocanol foam. Systematic review of 44 studies including 9,729 patients, with meta-analysis restricted to 14 </w:t>
      </w:r>
      <w:proofErr w:type="spellStart"/>
      <w:r>
        <w:t>randomised</w:t>
      </w:r>
      <w:proofErr w:type="spellEnd"/>
      <w:r>
        <w:t xml:space="preserve"> trials, found sclerotherapy non-inferior to comparator interventions for success (risk ratio 1.00, 95% confidence interval 0.71 to 1.41) and recurrence (risk ratio 1.11, 95% confidence interval 0.69 to 1.77), while producing fewer complications (risk ratio 0.46, 95% confidence interval 0.23 to 0.92) (Gallo et al., 2024). A </w:t>
      </w:r>
      <w:proofErr w:type="spellStart"/>
      <w:r>
        <w:t>randomised</w:t>
      </w:r>
      <w:proofErr w:type="spellEnd"/>
      <w:r>
        <w:t xml:space="preserve"> comparison against band ligation in grade I to III disease supported this profile of comparable efficacy with a gentler adverse event pattern (Salgueiro et al., 2022). Combined approaches, in which foam sclerotherapy is administered alongside banding under endoscopic control, have been evaluated in a </w:t>
      </w:r>
      <w:proofErr w:type="spellStart"/>
      <w:r>
        <w:t>multicentre</w:t>
      </w:r>
      <w:proofErr w:type="spellEnd"/>
      <w:r>
        <w:t xml:space="preserve"> </w:t>
      </w:r>
      <w:proofErr w:type="spellStart"/>
      <w:r>
        <w:t>randomised</w:t>
      </w:r>
      <w:proofErr w:type="spellEnd"/>
      <w:r>
        <w:t xml:space="preserve"> study with encouraging short-term results (Qu et al., 2024). The comparative literature remains too short in follow-up to establish durability, and the enthusiasm currently attaching to foam sclerotherapy should be tempered by recollection that liquid sclerosants were similarly regarded before recurrence data accumulated.</w:t>
      </w:r>
    </w:p>
    <w:p w14:paraId="7A2A92A3" w14:textId="77777777" w:rsidR="001A6ECF" w:rsidRDefault="00000000" w:rsidP="00BD4822">
      <w:pPr>
        <w:pStyle w:val="BodyText"/>
        <w:spacing w:before="100" w:beforeAutospacing="1" w:after="100" w:afterAutospacing="1"/>
        <w:jc w:val="both"/>
      </w:pPr>
      <w:r>
        <w:lastRenderedPageBreak/>
        <w:t xml:space="preserve">Complications of office-based treatment are uncommon but not trivial. Delayed </w:t>
      </w:r>
      <w:proofErr w:type="spellStart"/>
      <w:r>
        <w:t>haemorrhage</w:t>
      </w:r>
      <w:proofErr w:type="spellEnd"/>
      <w:r>
        <w:t xml:space="preserve">, occurring typically between the fifth and tenth day after banding, is the dominant serious event and may require intervention; pelvic sepsis is rare and potentially fatal (Albuquerque, 2016). The absolute rates are low enough that no single trial is powered to compare them meaningfully between techniques, which is an argument for registry-based surveillance rather than for further underpowered </w:t>
      </w:r>
      <w:proofErr w:type="spellStart"/>
      <w:r>
        <w:t>randomisation</w:t>
      </w:r>
      <w:proofErr w:type="spellEnd"/>
      <w:r>
        <w:t>.</w:t>
      </w:r>
    </w:p>
    <w:p w14:paraId="4E486A9B" w14:textId="77777777" w:rsidR="001A6ECF" w:rsidRDefault="00000000" w:rsidP="00BD4822">
      <w:pPr>
        <w:pStyle w:val="Heading3"/>
        <w:spacing w:before="100" w:beforeAutospacing="1" w:after="100" w:afterAutospacing="1"/>
        <w:jc w:val="both"/>
      </w:pPr>
      <w:bookmarkStart w:id="30" w:name="dearterialisation-and-mucopexy"/>
      <w:bookmarkEnd w:id="29"/>
      <w:r>
        <w:t xml:space="preserve">6.4 </w:t>
      </w:r>
      <w:proofErr w:type="spellStart"/>
      <w:r>
        <w:t>Dearterialisation</w:t>
      </w:r>
      <w:proofErr w:type="spellEnd"/>
      <w:r>
        <w:t xml:space="preserve"> and </w:t>
      </w:r>
      <w:proofErr w:type="spellStart"/>
      <w:r>
        <w:t>Mucopexy</w:t>
      </w:r>
      <w:proofErr w:type="spellEnd"/>
    </w:p>
    <w:p w14:paraId="4B2E8BA8" w14:textId="77777777" w:rsidR="001A6ECF" w:rsidRDefault="00000000" w:rsidP="00BD4822">
      <w:pPr>
        <w:pStyle w:val="FirstParagraph"/>
        <w:spacing w:before="100" w:beforeAutospacing="1" w:after="100" w:afterAutospacing="1"/>
        <w:jc w:val="both"/>
      </w:pPr>
      <w:proofErr w:type="spellStart"/>
      <w:r>
        <w:t>Haemorrhoidal</w:t>
      </w:r>
      <w:proofErr w:type="spellEnd"/>
      <w:r>
        <w:t xml:space="preserve"> artery ligation, with or without Doppler guidance and with or without a </w:t>
      </w:r>
      <w:proofErr w:type="spellStart"/>
      <w:r>
        <w:t>mucopexy</w:t>
      </w:r>
      <w:proofErr w:type="spellEnd"/>
      <w:r>
        <w:t xml:space="preserve"> component, was introduced on the rationale that interrupting arterial inflow addresses the vascular component of the disease. Two independent lines of evidence now indicate that the Doppler component contributes little. A blinded </w:t>
      </w:r>
      <w:proofErr w:type="spellStart"/>
      <w:r>
        <w:t>randomised</w:t>
      </w:r>
      <w:proofErr w:type="spellEnd"/>
      <w:r>
        <w:t xml:space="preserve"> trial comparing ligation with and without Doppler guidance found no advantage attributable to the transducer (Schuurman et al., 2012), and subsequent meta-analysis of seven </w:t>
      </w:r>
      <w:proofErr w:type="spellStart"/>
      <w:r>
        <w:t>randomised</w:t>
      </w:r>
      <w:proofErr w:type="spellEnd"/>
      <w:r>
        <w:t xml:space="preserve"> trials including 514 patients likewise failed to demonstrate superiority of Doppler-guided over non-guided ligation for recurrence or complications, including in the subgroup receiving concomitant recto-anal repair (Tutino et al., 2025).</w:t>
      </w:r>
    </w:p>
    <w:p w14:paraId="53B09395" w14:textId="77777777" w:rsidR="001A6ECF" w:rsidRDefault="00000000" w:rsidP="00BD4822">
      <w:pPr>
        <w:pStyle w:val="BodyText"/>
        <w:spacing w:before="100" w:beforeAutospacing="1" w:after="100" w:afterAutospacing="1"/>
        <w:jc w:val="both"/>
      </w:pPr>
      <w:r>
        <w:t xml:space="preserve">This finding has mechanistic significance beyond its procedural implications. If precise arterial </w:t>
      </w:r>
      <w:proofErr w:type="spellStart"/>
      <w:r>
        <w:t>localisation</w:t>
      </w:r>
      <w:proofErr w:type="spellEnd"/>
      <w:r>
        <w:t xml:space="preserve"> does not improve outcome, the therapeutic effect is unlikely to depend principally on accurate arterial interruption, which weakens the vascular hypothesis as a therapeutic rationale and shifts explanatory weight towards the </w:t>
      </w:r>
      <w:proofErr w:type="spellStart"/>
      <w:r>
        <w:t>mucopexy</w:t>
      </w:r>
      <w:proofErr w:type="spellEnd"/>
      <w:r>
        <w:t xml:space="preserve"> component and towards non-specific effects of suturing within the anal canal. Network meta-analysis is consistent with this reading, since </w:t>
      </w:r>
      <w:proofErr w:type="spellStart"/>
      <w:r>
        <w:t>dearterialisation</w:t>
      </w:r>
      <w:proofErr w:type="spellEnd"/>
      <w:r>
        <w:t xml:space="preserve"> with </w:t>
      </w:r>
      <w:proofErr w:type="spellStart"/>
      <w:r>
        <w:t>mucopexy</w:t>
      </w:r>
      <w:proofErr w:type="spellEnd"/>
      <w:r>
        <w:t xml:space="preserve"> performs well for pain and for postprocedural bleeding while showing higher symptom recurrence than excisional surgery (Jin et al., 2021; </w:t>
      </w:r>
      <w:proofErr w:type="spellStart"/>
      <w:r>
        <w:t>Simillis</w:t>
      </w:r>
      <w:proofErr w:type="spellEnd"/>
      <w:r>
        <w:t xml:space="preserve"> et al., 2015).</w:t>
      </w:r>
    </w:p>
    <w:p w14:paraId="381A9605" w14:textId="77777777" w:rsidR="001A6ECF" w:rsidRDefault="00000000" w:rsidP="00BD4822">
      <w:pPr>
        <w:pStyle w:val="Heading3"/>
        <w:spacing w:before="100" w:beforeAutospacing="1" w:after="100" w:afterAutospacing="1"/>
        <w:jc w:val="both"/>
      </w:pPr>
      <w:bookmarkStart w:id="31" w:name="Xe190e9a8d1716d4fbcd9c83149877c869706a22"/>
      <w:bookmarkEnd w:id="30"/>
      <w:r>
        <w:t xml:space="preserve">6.5 Excisional </w:t>
      </w:r>
      <w:proofErr w:type="spellStart"/>
      <w:r>
        <w:t>Haemorrhoidectomy</w:t>
      </w:r>
      <w:proofErr w:type="spellEnd"/>
      <w:r>
        <w:t xml:space="preserve"> and Energy-Based Modifications</w:t>
      </w:r>
    </w:p>
    <w:p w14:paraId="6EF9FDF4" w14:textId="77777777" w:rsidR="001A6ECF" w:rsidRDefault="00000000" w:rsidP="00BD4822">
      <w:pPr>
        <w:pStyle w:val="FirstParagraph"/>
        <w:spacing w:before="100" w:beforeAutospacing="1" w:after="100" w:afterAutospacing="1"/>
        <w:jc w:val="both"/>
      </w:pPr>
      <w:r>
        <w:t xml:space="preserve">Excision remains the most durable intervention. Bayesian network meta-analysis of 98 </w:t>
      </w:r>
      <w:proofErr w:type="spellStart"/>
      <w:r>
        <w:t>randomised</w:t>
      </w:r>
      <w:proofErr w:type="spellEnd"/>
      <w:r>
        <w:t xml:space="preserve"> trials including 7,827 participants across eleven surgical treatments found that open and closed </w:t>
      </w:r>
      <w:proofErr w:type="spellStart"/>
      <w:r>
        <w:t>haemorrhoidectomy</w:t>
      </w:r>
      <w:proofErr w:type="spellEnd"/>
      <w:r>
        <w:t xml:space="preserve"> produced more postoperative complications and slower recovery than stapled, </w:t>
      </w:r>
      <w:proofErr w:type="spellStart"/>
      <w:r>
        <w:t>dearterialisation</w:t>
      </w:r>
      <w:proofErr w:type="spellEnd"/>
      <w:r>
        <w:t xml:space="preserve"> and energy-device procedures, while generating fewer recurrences, and that stapled </w:t>
      </w:r>
      <w:proofErr w:type="spellStart"/>
      <w:r>
        <w:t>haemorrhoidopexy</w:t>
      </w:r>
      <w:proofErr w:type="spellEnd"/>
      <w:r>
        <w:t xml:space="preserve"> and </w:t>
      </w:r>
      <w:proofErr w:type="spellStart"/>
      <w:r>
        <w:t>transanal</w:t>
      </w:r>
      <w:proofErr w:type="spellEnd"/>
      <w:r>
        <w:t xml:space="preserve"> </w:t>
      </w:r>
      <w:proofErr w:type="spellStart"/>
      <w:r>
        <w:t>dearterialisation</w:t>
      </w:r>
      <w:proofErr w:type="spellEnd"/>
      <w:r>
        <w:t xml:space="preserve"> carried significantly higher recurrence than open, closed and vessel-sealing </w:t>
      </w:r>
      <w:proofErr w:type="spellStart"/>
      <w:r>
        <w:t>haemorrhoidectomy</w:t>
      </w:r>
      <w:proofErr w:type="spellEnd"/>
      <w:r>
        <w:t xml:space="preserve"> (</w:t>
      </w:r>
      <w:proofErr w:type="spellStart"/>
      <w:r>
        <w:t>Simillis</w:t>
      </w:r>
      <w:proofErr w:type="spellEnd"/>
      <w:r>
        <w:t xml:space="preserve"> et al., 2015). A later network meta-analysis restricted to grade II and III disease, incorporating 79 </w:t>
      </w:r>
      <w:proofErr w:type="spellStart"/>
      <w:r>
        <w:t>randomised</w:t>
      </w:r>
      <w:proofErr w:type="spellEnd"/>
      <w:r>
        <w:t xml:space="preserve"> trials and 9,232 patients, identified closed </w:t>
      </w:r>
      <w:proofErr w:type="spellStart"/>
      <w:r>
        <w:t>haemorrhoidectomy</w:t>
      </w:r>
      <w:proofErr w:type="spellEnd"/>
      <w:r>
        <w:t xml:space="preserve"> as having the lowest recurrence risk, followed by open </w:t>
      </w:r>
      <w:proofErr w:type="spellStart"/>
      <w:r>
        <w:t>haemorrhoidectomy</w:t>
      </w:r>
      <w:proofErr w:type="spellEnd"/>
      <w:r>
        <w:t xml:space="preserve">, suture ligation with </w:t>
      </w:r>
      <w:proofErr w:type="spellStart"/>
      <w:r>
        <w:t>mucopexy</w:t>
      </w:r>
      <w:proofErr w:type="spellEnd"/>
      <w:r>
        <w:t xml:space="preserve">, stapled </w:t>
      </w:r>
      <w:proofErr w:type="spellStart"/>
      <w:r>
        <w:t>haemorrhoidopexy</w:t>
      </w:r>
      <w:proofErr w:type="spellEnd"/>
      <w:r>
        <w:t xml:space="preserve"> and Doppler-guided ligation with </w:t>
      </w:r>
      <w:proofErr w:type="spellStart"/>
      <w:r>
        <w:t>mucopexy</w:t>
      </w:r>
      <w:proofErr w:type="spellEnd"/>
      <w:r>
        <w:t xml:space="preserve"> (Jin et al., 2021). The same analysis judged 73% of included trials to be at high risk of bias, with outcome measurement the most compromised domain, which materially qualifies the ranking it produces.</w:t>
      </w:r>
    </w:p>
    <w:p w14:paraId="07906611" w14:textId="77777777" w:rsidR="001A6ECF" w:rsidRDefault="00000000" w:rsidP="00BD4822">
      <w:pPr>
        <w:pStyle w:val="BodyText"/>
        <w:spacing w:before="100" w:beforeAutospacing="1" w:after="100" w:afterAutospacing="1"/>
        <w:jc w:val="both"/>
      </w:pPr>
      <w:r>
        <w:t xml:space="preserve">Comparison of the open and closed techniques has produced no decisive separation, with meta-analysis of </w:t>
      </w:r>
      <w:proofErr w:type="spellStart"/>
      <w:r>
        <w:t>randomised</w:t>
      </w:r>
      <w:proofErr w:type="spellEnd"/>
      <w:r>
        <w:t xml:space="preserve"> trials showing broadly similar outcomes and modest differences in healing and pain (Bhatti et al., 2016). Energy-based vessel sealing reduces operative time and early pain relative to conventional diathermy dissection, a pattern confirmed in a </w:t>
      </w:r>
      <w:proofErr w:type="spellStart"/>
      <w:r>
        <w:t>randomised</w:t>
      </w:r>
      <w:proofErr w:type="spellEnd"/>
      <w:r>
        <w:t xml:space="preserve"> trial conducted in a West African setting, which is a useful counterweight to the concentration of surgical trials in high-income health systems (Mustapha et al., 2025). Network analysis of postoperative pain specifically, incorporating 29 trials and 3,309 patients treated in day-surgery settings, found stapled </w:t>
      </w:r>
      <w:proofErr w:type="spellStart"/>
      <w:r>
        <w:t>haemorrhoidopexy</w:t>
      </w:r>
      <w:proofErr w:type="spellEnd"/>
      <w:r>
        <w:t xml:space="preserve"> least painful and conventional open excision most </w:t>
      </w:r>
      <w:r>
        <w:lastRenderedPageBreak/>
        <w:t>painful, with pain reduced by closed technique and by bipolar or ultrasonic sealing, and increased by transfixion ligation of the pedicle (</w:t>
      </w:r>
      <w:proofErr w:type="spellStart"/>
      <w:r>
        <w:t>Balciscueta</w:t>
      </w:r>
      <w:proofErr w:type="spellEnd"/>
      <w:r>
        <w:t xml:space="preserve"> et al., 2021). These are technique-level refinements with direct clinical utility, and they are among the better-supported findings in the surgical literature.</w:t>
      </w:r>
    </w:p>
    <w:p w14:paraId="49A8475B" w14:textId="77777777" w:rsidR="001A6ECF" w:rsidRDefault="00000000" w:rsidP="00BD4822">
      <w:pPr>
        <w:pStyle w:val="Heading3"/>
        <w:spacing w:before="100" w:beforeAutospacing="1" w:after="100" w:afterAutospacing="1"/>
        <w:jc w:val="both"/>
      </w:pPr>
      <w:bookmarkStart w:id="32" w:name="stapled-haemorrhoidopexy"/>
      <w:bookmarkEnd w:id="31"/>
      <w:r>
        <w:t xml:space="preserve">6.6 Stapled </w:t>
      </w:r>
      <w:proofErr w:type="spellStart"/>
      <w:r>
        <w:t>Haemorrhoidopexy</w:t>
      </w:r>
      <w:proofErr w:type="spellEnd"/>
    </w:p>
    <w:p w14:paraId="57C65C34" w14:textId="77777777" w:rsidR="001A6ECF" w:rsidRDefault="00000000" w:rsidP="00BD4822">
      <w:pPr>
        <w:pStyle w:val="FirstParagraph"/>
        <w:spacing w:before="100" w:beforeAutospacing="1" w:after="100" w:afterAutospacing="1"/>
        <w:jc w:val="both"/>
      </w:pPr>
      <w:r>
        <w:t xml:space="preserve">Stapled </w:t>
      </w:r>
      <w:proofErr w:type="spellStart"/>
      <w:r>
        <w:t>haemorrhoidopexy</w:t>
      </w:r>
      <w:proofErr w:type="spellEnd"/>
      <w:r>
        <w:t xml:space="preserve"> illustrates the characteristic trajectory of innovation in this field with unusual clarity. Early enthusiasm rested on demonstrable reductions in pain and length of stay. Long-term comparison has been less </w:t>
      </w:r>
      <w:proofErr w:type="spellStart"/>
      <w:r>
        <w:t>favourable</w:t>
      </w:r>
      <w:proofErr w:type="spellEnd"/>
      <w:r>
        <w:t xml:space="preserve">. An updated systematic review, meta-analysis and trial sequential analysis of 17 </w:t>
      </w:r>
      <w:proofErr w:type="spellStart"/>
      <w:r>
        <w:t>randomised</w:t>
      </w:r>
      <w:proofErr w:type="spellEnd"/>
      <w:r>
        <w:t xml:space="preserve"> trials comparing 1,041 stapled with 1,031 conventional procedures found stapled </w:t>
      </w:r>
      <w:proofErr w:type="spellStart"/>
      <w:r>
        <w:t>haemorrhoidopexy</w:t>
      </w:r>
      <w:proofErr w:type="spellEnd"/>
      <w:r>
        <w:t xml:space="preserve"> associated with a higher risk of overall recurrence and, specifically, of prolapse-related recurrence, while long-term pain, functional outcomes and quality of life were broadly comparable and reintervention rates did not differ significantly (Lauricella et al., 2026). Critically, trial sequential analysis showed that the accumulated information size of 1,913 patients fell short of the required 2,608, meaning that even this pooled evidence remains underpowered for the primary outcome.</w:t>
      </w:r>
    </w:p>
    <w:p w14:paraId="6FCC112D" w14:textId="77777777" w:rsidR="001A6ECF" w:rsidRDefault="00000000" w:rsidP="00BD4822">
      <w:pPr>
        <w:pStyle w:val="BodyText"/>
        <w:spacing w:before="100" w:beforeAutospacing="1" w:after="100" w:afterAutospacing="1"/>
        <w:jc w:val="both"/>
      </w:pPr>
      <w:r>
        <w:t xml:space="preserve">That finding deserves emphasis because it applies well beyond stapled </w:t>
      </w:r>
      <w:proofErr w:type="spellStart"/>
      <w:r>
        <w:t>haemorrhoidopexy</w:t>
      </w:r>
      <w:proofErr w:type="spellEnd"/>
      <w:r>
        <w:t xml:space="preserve">. Two decades of </w:t>
      </w:r>
      <w:proofErr w:type="spellStart"/>
      <w:r>
        <w:t>randomised</w:t>
      </w:r>
      <w:proofErr w:type="spellEnd"/>
      <w:r>
        <w:t xml:space="preserve"> comparison of a widely adopted procedure have not generated sufficient information to settle its principal outcome. The reasons are structural: individual trials are small, follow-up is short relative to the interval over which prolapse recurs, and outcome definitions are inconsistent enough to inflate heterogeneity when trials are combined.</w:t>
      </w:r>
    </w:p>
    <w:p w14:paraId="02BBE6D5" w14:textId="77777777" w:rsidR="001A6ECF" w:rsidRDefault="00000000" w:rsidP="00BD4822">
      <w:pPr>
        <w:pStyle w:val="Heading3"/>
        <w:spacing w:before="100" w:beforeAutospacing="1" w:after="100" w:afterAutospacing="1"/>
        <w:jc w:val="both"/>
      </w:pPr>
      <w:bookmarkStart w:id="33" w:name="laser-radiofrequency-and-embolisation"/>
      <w:bookmarkEnd w:id="32"/>
      <w:r>
        <w:t xml:space="preserve">6.7 Laser, Radiofrequency and </w:t>
      </w:r>
      <w:proofErr w:type="spellStart"/>
      <w:r>
        <w:t>Embolisation</w:t>
      </w:r>
      <w:proofErr w:type="spellEnd"/>
    </w:p>
    <w:p w14:paraId="7D933A0A" w14:textId="77777777" w:rsidR="001A6ECF" w:rsidRDefault="00000000" w:rsidP="00BD4822">
      <w:pPr>
        <w:pStyle w:val="FirstParagraph"/>
        <w:spacing w:before="100" w:beforeAutospacing="1" w:after="100" w:afterAutospacing="1"/>
        <w:jc w:val="both"/>
      </w:pPr>
      <w:r>
        <w:t xml:space="preserve">Three newer modalities have entered practice with markedly different evidential support. Laser </w:t>
      </w:r>
      <w:proofErr w:type="spellStart"/>
      <w:r>
        <w:t>haemorrhoidoplasty</w:t>
      </w:r>
      <w:proofErr w:type="spellEnd"/>
      <w:r>
        <w:t xml:space="preserve">, which delivers submucosal energy to shrink the cushion without excision, has been evaluated in systematic review with meta-analysis showing </w:t>
      </w:r>
      <w:proofErr w:type="spellStart"/>
      <w:r>
        <w:t>favourable</w:t>
      </w:r>
      <w:proofErr w:type="spellEnd"/>
      <w:r>
        <w:t xml:space="preserve"> short-term symptom control and low pain scores (De Nardi et al., 2023), and it performs acceptably in network comparison (Yuan et al., 2023). </w:t>
      </w:r>
      <w:proofErr w:type="spellStart"/>
      <w:r>
        <w:t>Randomised</w:t>
      </w:r>
      <w:proofErr w:type="spellEnd"/>
      <w:r>
        <w:t xml:space="preserve"> comparison against established office-based treatment with recurrence as a primary outcome and follow-up beyond one year is not available.</w:t>
      </w:r>
    </w:p>
    <w:p w14:paraId="14268879" w14:textId="77777777" w:rsidR="001A6ECF" w:rsidRDefault="00000000" w:rsidP="00BD4822">
      <w:pPr>
        <w:pStyle w:val="BodyText"/>
        <w:spacing w:before="100" w:beforeAutospacing="1" w:after="100" w:afterAutospacing="1"/>
        <w:jc w:val="both"/>
      </w:pPr>
      <w:r>
        <w:t>Radiofrequency ablation has a weaker base. Systematic review and meta-analysis identified six non-</w:t>
      </w:r>
      <w:proofErr w:type="spellStart"/>
      <w:r>
        <w:t>randomised</w:t>
      </w:r>
      <w:proofErr w:type="spellEnd"/>
      <w:r>
        <w:t xml:space="preserve"> studies including 327 patients, reporting an overall complication rate of 17.6% (95% confidence interval 8.8 to 26.3), bleeding in 7.5%, reoperation in 1.8% and recurrence in 4.8%, with patient satisfaction of 95% and an overall certainty of evidence rated very low (Christodoulou et al., 2023). Prospective series from single and multiple </w:t>
      </w:r>
      <w:proofErr w:type="spellStart"/>
      <w:r>
        <w:t>centres</w:t>
      </w:r>
      <w:proofErr w:type="spellEnd"/>
      <w:r>
        <w:t xml:space="preserve"> have reported comparable short-term results (Laurain et al., 2023; Tolksdorf et al., 2022). The recurrence figure of 4.8% is markedly lower than that reported for any established procedure and should not be taken at face value, given the absence of </w:t>
      </w:r>
      <w:proofErr w:type="spellStart"/>
      <w:r>
        <w:t>randomisation</w:t>
      </w:r>
      <w:proofErr w:type="spellEnd"/>
      <w:r>
        <w:t>, the short follow-up and the reliance on investigator-defined outcomes in the source studies.</w:t>
      </w:r>
    </w:p>
    <w:p w14:paraId="254E57A9" w14:textId="77777777" w:rsidR="001A6ECF" w:rsidRDefault="00000000" w:rsidP="00BD4822">
      <w:pPr>
        <w:pStyle w:val="BodyText"/>
        <w:spacing w:before="100" w:beforeAutospacing="1" w:after="100" w:afterAutospacing="1"/>
        <w:jc w:val="both"/>
      </w:pPr>
      <w:r>
        <w:t xml:space="preserve">Superior rectal artery </w:t>
      </w:r>
      <w:proofErr w:type="spellStart"/>
      <w:r>
        <w:t>embolisation</w:t>
      </w:r>
      <w:proofErr w:type="spellEnd"/>
      <w:r>
        <w:t xml:space="preserve"> occupies a distinctive niche. Following the initial description in fourteen patients (Vidal et al., 2015), prospective registry data have demonstrated feasibility and bleeding control in grade I to III disease (De Gregorio et al., 2023), and systematic review of 22 studies encompassing 810 procedures reported technical success of 93% to 100%, clinical success of 63% to 94%, recurrence requiring repeat treatment in 8% to 20%, mild and self-limiting complications, and no </w:t>
      </w:r>
      <w:proofErr w:type="spellStart"/>
      <w:r>
        <w:t>ischaemic</w:t>
      </w:r>
      <w:proofErr w:type="spellEnd"/>
      <w:r>
        <w:t xml:space="preserve"> injury or continence disturbance (Al </w:t>
      </w:r>
      <w:proofErr w:type="spellStart"/>
      <w:r>
        <w:t>Jnainati</w:t>
      </w:r>
      <w:proofErr w:type="spellEnd"/>
      <w:r>
        <w:t xml:space="preserve"> et al., 2025). Only two small comparative studies against banding or sclerotherapy were available, </w:t>
      </w:r>
      <w:r>
        <w:lastRenderedPageBreak/>
        <w:t>precluding pooled comparison. Narrative synthesis of the interventional radiology literature reaches similar conclusions regarding promise and evidential immaturity (</w:t>
      </w:r>
      <w:proofErr w:type="spellStart"/>
      <w:r>
        <w:t>Talaie</w:t>
      </w:r>
      <w:proofErr w:type="spellEnd"/>
      <w:r>
        <w:t xml:space="preserve"> et al., 2022). The technique addresses bleeding rather than prolapse, which places it logically alongside sclerotherapy rather than alongside excision, and its plausible role is in patients who bleed, who are anticoagulated or frail, and in whom anal instrumentation is undesirable.</w:t>
      </w:r>
    </w:p>
    <w:p w14:paraId="4985AFBB" w14:textId="77777777" w:rsidR="001A6ECF" w:rsidRDefault="00000000" w:rsidP="00BD4822">
      <w:pPr>
        <w:pStyle w:val="Heading3"/>
        <w:spacing w:before="100" w:beforeAutospacing="1" w:after="100" w:afterAutospacing="1"/>
        <w:jc w:val="both"/>
      </w:pPr>
      <w:bookmarkStart w:id="34" w:name="Xb93dcda412bb36c73e31e0d0874ccba0f93be8e"/>
      <w:bookmarkEnd w:id="33"/>
      <w:r>
        <w:t>6.8 Sequencing, Cost and the Structure of the Decision</w:t>
      </w:r>
    </w:p>
    <w:p w14:paraId="28B381C3" w14:textId="77777777" w:rsidR="001A6ECF" w:rsidRDefault="00000000" w:rsidP="00BD4822">
      <w:pPr>
        <w:pStyle w:val="FirstParagraph"/>
        <w:spacing w:before="100" w:beforeAutospacing="1" w:after="100" w:afterAutospacing="1"/>
        <w:jc w:val="both"/>
      </w:pPr>
      <w:r>
        <w:t xml:space="preserve">Economic evaluation conducted within a Dutch </w:t>
      </w:r>
      <w:proofErr w:type="spellStart"/>
      <w:r>
        <w:t>randomised</w:t>
      </w:r>
      <w:proofErr w:type="spellEnd"/>
      <w:r>
        <w:t xml:space="preserve"> trial of grade III disease found that excisional </w:t>
      </w:r>
      <w:proofErr w:type="spellStart"/>
      <w:r>
        <w:t>haemorrhoidectomy</w:t>
      </w:r>
      <w:proofErr w:type="spellEnd"/>
      <w:r>
        <w:t xml:space="preserve"> produced better clinical outcomes than banding, with a difference of 0.08 quality-adjusted life years (95% confidence interval 0.04 to 0.13) and an absolute recurrence difference of 33.5% (95% confidence interval 15.3 to 51.7), at an incremental cost-utility ratio of €24,042 per quality-adjusted life year and €5,918 per recurrence avoided (van Oostendorp et al., 2025a). The probability that excision was cost-effective was 45.5% at a threshold of €20,000 per quality-adjusted life year and 83.9% at €50,000. The analysis included 79 patients, which is a serious constraint, and the authors appropriately cautioned against discarding excision as a first-line option on cost grounds alone.</w:t>
      </w:r>
    </w:p>
    <w:p w14:paraId="0985CDBD" w14:textId="77777777" w:rsidR="001A6ECF" w:rsidRDefault="00000000" w:rsidP="00BD4822">
      <w:pPr>
        <w:pStyle w:val="BodyText"/>
        <w:spacing w:before="100" w:beforeAutospacing="1" w:after="100" w:afterAutospacing="1"/>
        <w:jc w:val="both"/>
      </w:pPr>
      <w:r>
        <w:t xml:space="preserve">Systematic review of </w:t>
      </w:r>
      <w:proofErr w:type="spellStart"/>
      <w:r>
        <w:t>randomised</w:t>
      </w:r>
      <w:proofErr w:type="spellEnd"/>
      <w:r>
        <w:t xml:space="preserve"> trials comparing banding with excision in grade II and III disease reached a compatible conclusion in clinical terms, finding better symptom control after excision at the cost of more pain and more complications, with equivalent patient satisfaction, and judged the underlying trials to be of moderate quality with poorly defined outcomes (Dekker et al., 2021). Table 3 </w:t>
      </w:r>
      <w:proofErr w:type="spellStart"/>
      <w:r>
        <w:t>summarises</w:t>
      </w:r>
      <w:proofErr w:type="spellEnd"/>
      <w:r>
        <w:t xml:space="preserve"> the comparative evidence across the intervention classes discussed above.</w:t>
      </w:r>
    </w:p>
    <w:p w14:paraId="6D329277" w14:textId="77777777" w:rsidR="001A6ECF" w:rsidRDefault="00000000" w:rsidP="00BD4822">
      <w:pPr>
        <w:pStyle w:val="BodyText"/>
        <w:spacing w:before="100" w:beforeAutospacing="1" w:after="100" w:afterAutospacing="1"/>
        <w:jc w:val="both"/>
      </w:pPr>
      <w:r>
        <w:t>The pattern across Table 3 is stable enough to support a general statement: efficacy and durability increase with procedural invasiveness, as do pain and complications, and no intervention has escaped this trade-off. The clinical implication is that treatment selection is properly a preference-sensitive decision rather than a technical one, and that the appropriate role of guidelines is to define the acceptable options at each grade and symptom profile rather than to specify a single correct choice. The relevant guidance documents increasingly reflect this position, although they continue to differ in their treatment of the newer modalities (</w:t>
      </w:r>
      <w:proofErr w:type="spellStart"/>
      <w:r>
        <w:t>Brillantino</w:t>
      </w:r>
      <w:proofErr w:type="spellEnd"/>
      <w:r>
        <w:t xml:space="preserve"> et al., 2024; Gallo et al., 2020; Hawkins et al., 2024; Qureshi et al., 2026; van Tol et al., 2020; Yamana, 2017).</w:t>
      </w:r>
    </w:p>
    <w:p w14:paraId="4829D205" w14:textId="77777777" w:rsidR="001A6ECF" w:rsidRDefault="00000000" w:rsidP="00BD4822">
      <w:pPr>
        <w:pStyle w:val="BodyText"/>
        <w:spacing w:before="100" w:beforeAutospacing="1" w:after="100" w:afterAutospacing="1"/>
        <w:jc w:val="both"/>
      </w:pPr>
      <w:r>
        <w:rPr>
          <w:b/>
          <w:bCs/>
        </w:rPr>
        <w:t>Table 3.</w:t>
      </w:r>
      <w:r>
        <w:t xml:space="preserve"> Representative comparative evidence for interventions across the care continuum</w:t>
      </w:r>
    </w:p>
    <w:tbl>
      <w:tblPr>
        <w:tblStyle w:val="TableGrid"/>
        <w:tblW w:w="5000" w:type="pct"/>
        <w:tblLook w:val="0020" w:firstRow="1" w:lastRow="0" w:firstColumn="0" w:lastColumn="0" w:noHBand="0" w:noVBand="0"/>
      </w:tblPr>
      <w:tblGrid>
        <w:gridCol w:w="1880"/>
        <w:gridCol w:w="1517"/>
        <w:gridCol w:w="1716"/>
        <w:gridCol w:w="1997"/>
        <w:gridCol w:w="1383"/>
        <w:gridCol w:w="1701"/>
      </w:tblGrid>
      <w:tr w:rsidR="001A6ECF" w14:paraId="33DCD947" w14:textId="77777777" w:rsidTr="00BD4822">
        <w:tc>
          <w:tcPr>
            <w:tcW w:w="0" w:type="auto"/>
          </w:tcPr>
          <w:p w14:paraId="076AEE26" w14:textId="77777777" w:rsidR="001A6ECF" w:rsidRDefault="00000000" w:rsidP="00BD4822">
            <w:pPr>
              <w:pStyle w:val="Compact"/>
              <w:spacing w:before="100" w:beforeAutospacing="1" w:after="100" w:afterAutospacing="1"/>
              <w:jc w:val="both"/>
            </w:pPr>
            <w:r>
              <w:t>Intervention class</w:t>
            </w:r>
          </w:p>
        </w:tc>
        <w:tc>
          <w:tcPr>
            <w:tcW w:w="0" w:type="auto"/>
          </w:tcPr>
          <w:p w14:paraId="2C3EE399" w14:textId="77777777" w:rsidR="001A6ECF" w:rsidRDefault="00000000" w:rsidP="00BD4822">
            <w:pPr>
              <w:pStyle w:val="Compact"/>
              <w:spacing w:before="100" w:beforeAutospacing="1" w:after="100" w:afterAutospacing="1"/>
              <w:jc w:val="both"/>
            </w:pPr>
            <w:r>
              <w:t>Strongest available evidence</w:t>
            </w:r>
          </w:p>
        </w:tc>
        <w:tc>
          <w:tcPr>
            <w:tcW w:w="0" w:type="auto"/>
          </w:tcPr>
          <w:p w14:paraId="03AE3C7A" w14:textId="77777777" w:rsidR="001A6ECF" w:rsidRDefault="00000000" w:rsidP="00BD4822">
            <w:pPr>
              <w:pStyle w:val="Compact"/>
              <w:spacing w:before="100" w:beforeAutospacing="1" w:after="100" w:afterAutospacing="1"/>
              <w:jc w:val="both"/>
            </w:pPr>
            <w:r>
              <w:t>Principal reported benefits</w:t>
            </w:r>
          </w:p>
        </w:tc>
        <w:tc>
          <w:tcPr>
            <w:tcW w:w="0" w:type="auto"/>
          </w:tcPr>
          <w:p w14:paraId="4E52CA45" w14:textId="77777777" w:rsidR="001A6ECF" w:rsidRDefault="00000000" w:rsidP="00BD4822">
            <w:pPr>
              <w:pStyle w:val="Compact"/>
              <w:spacing w:before="100" w:beforeAutospacing="1" w:after="100" w:afterAutospacing="1"/>
              <w:jc w:val="both"/>
            </w:pPr>
            <w:r>
              <w:t>Principal reported harms and limitations</w:t>
            </w:r>
          </w:p>
        </w:tc>
        <w:tc>
          <w:tcPr>
            <w:tcW w:w="0" w:type="auto"/>
          </w:tcPr>
          <w:p w14:paraId="59268A83" w14:textId="77777777" w:rsidR="001A6ECF" w:rsidRDefault="00000000" w:rsidP="00BD4822">
            <w:pPr>
              <w:pStyle w:val="Compact"/>
              <w:spacing w:before="100" w:beforeAutospacing="1" w:after="100" w:afterAutospacing="1"/>
              <w:jc w:val="both"/>
            </w:pPr>
            <w:r>
              <w:t>Confidence in the estimate</w:t>
            </w:r>
          </w:p>
        </w:tc>
        <w:tc>
          <w:tcPr>
            <w:tcW w:w="0" w:type="auto"/>
          </w:tcPr>
          <w:p w14:paraId="369CAE70" w14:textId="77777777" w:rsidR="001A6ECF" w:rsidRDefault="00000000" w:rsidP="00BD4822">
            <w:pPr>
              <w:pStyle w:val="Compact"/>
              <w:spacing w:before="100" w:beforeAutospacing="1" w:after="100" w:afterAutospacing="1"/>
              <w:jc w:val="both"/>
            </w:pPr>
            <w:r>
              <w:t>Supporting references</w:t>
            </w:r>
          </w:p>
        </w:tc>
      </w:tr>
      <w:tr w:rsidR="001A6ECF" w14:paraId="12FC5AB7" w14:textId="77777777" w:rsidTr="00BD4822">
        <w:tc>
          <w:tcPr>
            <w:tcW w:w="0" w:type="auto"/>
          </w:tcPr>
          <w:p w14:paraId="3A88436C" w14:textId="77777777" w:rsidR="001A6ECF" w:rsidRDefault="00000000" w:rsidP="00BD4822">
            <w:pPr>
              <w:pStyle w:val="Compact"/>
              <w:spacing w:before="100" w:beforeAutospacing="1" w:after="100" w:afterAutospacing="1"/>
              <w:jc w:val="both"/>
            </w:pPr>
            <w:r>
              <w:t xml:space="preserve">Dietary </w:t>
            </w:r>
            <w:proofErr w:type="spellStart"/>
            <w:r>
              <w:t>fibre</w:t>
            </w:r>
            <w:proofErr w:type="spellEnd"/>
            <w:r>
              <w:t xml:space="preserve"> and laxatives</w:t>
            </w:r>
          </w:p>
        </w:tc>
        <w:tc>
          <w:tcPr>
            <w:tcW w:w="0" w:type="auto"/>
          </w:tcPr>
          <w:p w14:paraId="188F5CC7" w14:textId="77777777" w:rsidR="001A6ECF" w:rsidRDefault="00000000" w:rsidP="00BD4822">
            <w:pPr>
              <w:pStyle w:val="Compact"/>
              <w:spacing w:before="100" w:beforeAutospacing="1" w:after="100" w:afterAutospacing="1"/>
              <w:jc w:val="both"/>
            </w:pPr>
            <w:r>
              <w:t xml:space="preserve">Meta-analysis of 7 </w:t>
            </w:r>
            <w:proofErr w:type="spellStart"/>
            <w:r>
              <w:t>randomised</w:t>
            </w:r>
            <w:proofErr w:type="spellEnd"/>
            <w:r>
              <w:t xml:space="preserve"> trials, 378 patients</w:t>
            </w:r>
          </w:p>
        </w:tc>
        <w:tc>
          <w:tcPr>
            <w:tcW w:w="0" w:type="auto"/>
          </w:tcPr>
          <w:p w14:paraId="4EE71044" w14:textId="77777777" w:rsidR="001A6ECF" w:rsidRDefault="00000000" w:rsidP="00BD4822">
            <w:pPr>
              <w:pStyle w:val="Compact"/>
              <w:spacing w:before="100" w:beforeAutospacing="1" w:after="100" w:afterAutospacing="1"/>
              <w:jc w:val="both"/>
            </w:pPr>
            <w:r>
              <w:t>Risk of persisting symptoms reduced 47%; risk of bleeding reduced 50%</w:t>
            </w:r>
          </w:p>
        </w:tc>
        <w:tc>
          <w:tcPr>
            <w:tcW w:w="0" w:type="auto"/>
          </w:tcPr>
          <w:p w14:paraId="1167CF9B" w14:textId="77777777" w:rsidR="001A6ECF" w:rsidRDefault="00000000" w:rsidP="00BD4822">
            <w:pPr>
              <w:pStyle w:val="Compact"/>
              <w:spacing w:before="100" w:beforeAutospacing="1" w:after="100" w:afterAutospacing="1"/>
              <w:jc w:val="both"/>
            </w:pPr>
            <w:r>
              <w:t xml:space="preserve">No demonstrated effect on </w:t>
            </w:r>
            <w:proofErr w:type="gramStart"/>
            <w:r>
              <w:t>prolapse</w:t>
            </w:r>
            <w:proofErr w:type="gramEnd"/>
            <w:r>
              <w:t>; no long-term or recurrence data; mild gastrointestinal effects</w:t>
            </w:r>
          </w:p>
        </w:tc>
        <w:tc>
          <w:tcPr>
            <w:tcW w:w="0" w:type="auto"/>
          </w:tcPr>
          <w:p w14:paraId="56942B0C" w14:textId="77777777" w:rsidR="001A6ECF" w:rsidRDefault="00000000" w:rsidP="00BD4822">
            <w:pPr>
              <w:pStyle w:val="Compact"/>
              <w:spacing w:before="100" w:beforeAutospacing="1" w:after="100" w:afterAutospacing="1"/>
              <w:jc w:val="both"/>
            </w:pPr>
            <w:r>
              <w:t>Moderate for bleeding and symptom persistence; low for other outcomes</w:t>
            </w:r>
          </w:p>
        </w:tc>
        <w:tc>
          <w:tcPr>
            <w:tcW w:w="0" w:type="auto"/>
          </w:tcPr>
          <w:p w14:paraId="0D445EFA" w14:textId="77777777" w:rsidR="001A6ECF" w:rsidRDefault="00000000" w:rsidP="00BD4822">
            <w:pPr>
              <w:pStyle w:val="Compact"/>
              <w:spacing w:before="100" w:beforeAutospacing="1" w:after="100" w:afterAutospacing="1"/>
              <w:jc w:val="both"/>
            </w:pPr>
            <w:r>
              <w:t>Alonso-Coello et al. (2005); Alonso-Coello et al. (2006)</w:t>
            </w:r>
          </w:p>
        </w:tc>
      </w:tr>
      <w:tr w:rsidR="001A6ECF" w14:paraId="58ED1BF3" w14:textId="77777777" w:rsidTr="00BD4822">
        <w:tc>
          <w:tcPr>
            <w:tcW w:w="0" w:type="auto"/>
          </w:tcPr>
          <w:p w14:paraId="7630D34D" w14:textId="77777777" w:rsidR="001A6ECF" w:rsidRDefault="00000000" w:rsidP="00BD4822">
            <w:pPr>
              <w:pStyle w:val="Compact"/>
              <w:spacing w:before="100" w:beforeAutospacing="1" w:after="100" w:afterAutospacing="1"/>
              <w:jc w:val="both"/>
            </w:pPr>
            <w:proofErr w:type="spellStart"/>
            <w:r>
              <w:t>Venoactive</w:t>
            </w:r>
            <w:proofErr w:type="spellEnd"/>
            <w:r>
              <w:t xml:space="preserve"> drugs</w:t>
            </w:r>
          </w:p>
        </w:tc>
        <w:tc>
          <w:tcPr>
            <w:tcW w:w="0" w:type="auto"/>
          </w:tcPr>
          <w:p w14:paraId="4A273359" w14:textId="77777777" w:rsidR="001A6ECF" w:rsidRDefault="00000000" w:rsidP="00BD4822">
            <w:pPr>
              <w:pStyle w:val="Compact"/>
              <w:spacing w:before="100" w:beforeAutospacing="1" w:after="100" w:afterAutospacing="1"/>
              <w:jc w:val="both"/>
            </w:pPr>
            <w:r>
              <w:t>Systematic review of 11 studies with meta-analysis of 4</w:t>
            </w:r>
          </w:p>
        </w:tc>
        <w:tc>
          <w:tcPr>
            <w:tcW w:w="0" w:type="auto"/>
          </w:tcPr>
          <w:p w14:paraId="5CE9B945" w14:textId="77777777" w:rsidR="001A6ECF" w:rsidRDefault="00000000" w:rsidP="00BD4822">
            <w:pPr>
              <w:pStyle w:val="Compact"/>
              <w:spacing w:before="100" w:beforeAutospacing="1" w:after="100" w:afterAutospacing="1"/>
              <w:jc w:val="both"/>
            </w:pPr>
            <w:r>
              <w:t>Reduced bleeding and discharge; improved patient-rated and investigator-rated overall improvement</w:t>
            </w:r>
          </w:p>
        </w:tc>
        <w:tc>
          <w:tcPr>
            <w:tcW w:w="0" w:type="auto"/>
          </w:tcPr>
          <w:p w14:paraId="0D75610A" w14:textId="77777777" w:rsidR="001A6ECF" w:rsidRDefault="00000000" w:rsidP="00BD4822">
            <w:pPr>
              <w:pStyle w:val="Compact"/>
              <w:spacing w:before="100" w:beforeAutospacing="1" w:after="100" w:afterAutospacing="1"/>
              <w:jc w:val="both"/>
            </w:pPr>
            <w:r>
              <w:t>Effect sizes implausibly large for the design; pain benefit not significant; industry involvement in source trials</w:t>
            </w:r>
          </w:p>
        </w:tc>
        <w:tc>
          <w:tcPr>
            <w:tcW w:w="0" w:type="auto"/>
          </w:tcPr>
          <w:p w14:paraId="6B186F5B" w14:textId="77777777" w:rsidR="001A6ECF" w:rsidRDefault="00000000" w:rsidP="00BD4822">
            <w:pPr>
              <w:pStyle w:val="Compact"/>
              <w:spacing w:before="100" w:beforeAutospacing="1" w:after="100" w:afterAutospacing="1"/>
              <w:jc w:val="both"/>
            </w:pPr>
            <w:r>
              <w:t>Low to moderate</w:t>
            </w:r>
          </w:p>
        </w:tc>
        <w:tc>
          <w:tcPr>
            <w:tcW w:w="0" w:type="auto"/>
          </w:tcPr>
          <w:p w14:paraId="2374F524" w14:textId="77777777" w:rsidR="001A6ECF" w:rsidRDefault="00000000" w:rsidP="00BD4822">
            <w:pPr>
              <w:pStyle w:val="Compact"/>
              <w:spacing w:before="100" w:beforeAutospacing="1" w:after="100" w:afterAutospacing="1"/>
              <w:jc w:val="both"/>
            </w:pPr>
            <w:r>
              <w:t>Aziz et al. (2018); Perera et al. (2012); Sheikh et al. (2020)</w:t>
            </w:r>
          </w:p>
        </w:tc>
      </w:tr>
      <w:tr w:rsidR="001A6ECF" w14:paraId="25821F7C" w14:textId="77777777" w:rsidTr="00BD4822">
        <w:tc>
          <w:tcPr>
            <w:tcW w:w="0" w:type="auto"/>
          </w:tcPr>
          <w:p w14:paraId="1B562A1F" w14:textId="77777777" w:rsidR="001A6ECF" w:rsidRDefault="00000000" w:rsidP="00BD4822">
            <w:pPr>
              <w:pStyle w:val="Compact"/>
              <w:spacing w:before="100" w:beforeAutospacing="1" w:after="100" w:afterAutospacing="1"/>
              <w:jc w:val="both"/>
            </w:pPr>
            <w:r>
              <w:t>Rubber band ligation</w:t>
            </w:r>
          </w:p>
        </w:tc>
        <w:tc>
          <w:tcPr>
            <w:tcW w:w="0" w:type="auto"/>
          </w:tcPr>
          <w:p w14:paraId="539AAFDE" w14:textId="77777777" w:rsidR="001A6ECF" w:rsidRDefault="00000000" w:rsidP="00BD4822">
            <w:pPr>
              <w:pStyle w:val="Compact"/>
              <w:spacing w:before="100" w:beforeAutospacing="1" w:after="100" w:afterAutospacing="1"/>
              <w:jc w:val="both"/>
            </w:pPr>
            <w:proofErr w:type="spellStart"/>
            <w:r>
              <w:t>Multicentre</w:t>
            </w:r>
            <w:proofErr w:type="spellEnd"/>
            <w:r>
              <w:t xml:space="preserve"> </w:t>
            </w:r>
            <w:proofErr w:type="spellStart"/>
            <w:r>
              <w:t>randomised</w:t>
            </w:r>
            <w:proofErr w:type="spellEnd"/>
            <w:r>
              <w:t xml:space="preserve"> trial with 1-year follow-up; systematic review against excision</w:t>
            </w:r>
          </w:p>
        </w:tc>
        <w:tc>
          <w:tcPr>
            <w:tcW w:w="0" w:type="auto"/>
          </w:tcPr>
          <w:p w14:paraId="7059B1DC" w14:textId="77777777" w:rsidR="001A6ECF" w:rsidRDefault="00000000" w:rsidP="00BD4822">
            <w:pPr>
              <w:pStyle w:val="Compact"/>
              <w:spacing w:before="100" w:beforeAutospacing="1" w:after="100" w:afterAutospacing="1"/>
              <w:jc w:val="both"/>
            </w:pPr>
            <w:r>
              <w:t xml:space="preserve">Minimal pain; no </w:t>
            </w:r>
            <w:proofErr w:type="spellStart"/>
            <w:r>
              <w:t>anaesthesia</w:t>
            </w:r>
            <w:proofErr w:type="spellEnd"/>
            <w:r>
              <w:t>; low serious adverse event rate; rapid return to activity</w:t>
            </w:r>
          </w:p>
        </w:tc>
        <w:tc>
          <w:tcPr>
            <w:tcW w:w="0" w:type="auto"/>
          </w:tcPr>
          <w:p w14:paraId="3C093970" w14:textId="77777777" w:rsidR="001A6ECF" w:rsidRDefault="00000000" w:rsidP="00BD4822">
            <w:pPr>
              <w:pStyle w:val="Compact"/>
              <w:spacing w:before="100" w:beforeAutospacing="1" w:after="100" w:afterAutospacing="1"/>
              <w:jc w:val="both"/>
            </w:pPr>
            <w:r>
              <w:t xml:space="preserve">Recurrence 49% at 1 year under a pragmatic definition; repeat sessions commonly required; delayed </w:t>
            </w:r>
            <w:proofErr w:type="spellStart"/>
            <w:r>
              <w:t>haemorrhage</w:t>
            </w:r>
            <w:proofErr w:type="spellEnd"/>
            <w:r>
              <w:t xml:space="preserve"> and rare pelvic sepsis</w:t>
            </w:r>
          </w:p>
        </w:tc>
        <w:tc>
          <w:tcPr>
            <w:tcW w:w="0" w:type="auto"/>
          </w:tcPr>
          <w:p w14:paraId="48ED428C" w14:textId="77777777" w:rsidR="001A6ECF" w:rsidRDefault="00000000" w:rsidP="00BD4822">
            <w:pPr>
              <w:pStyle w:val="Compact"/>
              <w:spacing w:before="100" w:beforeAutospacing="1" w:after="100" w:afterAutospacing="1"/>
              <w:jc w:val="both"/>
            </w:pPr>
            <w:r>
              <w:t>Moderate</w:t>
            </w:r>
          </w:p>
        </w:tc>
        <w:tc>
          <w:tcPr>
            <w:tcW w:w="0" w:type="auto"/>
          </w:tcPr>
          <w:p w14:paraId="511ECBED" w14:textId="77777777" w:rsidR="001A6ECF" w:rsidRDefault="00000000" w:rsidP="00BD4822">
            <w:pPr>
              <w:pStyle w:val="Compact"/>
              <w:spacing w:before="100" w:beforeAutospacing="1" w:after="100" w:afterAutospacing="1"/>
              <w:jc w:val="both"/>
            </w:pPr>
            <w:r>
              <w:t>Albuquerque (2016); Brown et al. (2016); Dekker et al. (2021)</w:t>
            </w:r>
          </w:p>
        </w:tc>
      </w:tr>
      <w:tr w:rsidR="001A6ECF" w14:paraId="749F947A" w14:textId="77777777" w:rsidTr="00BD4822">
        <w:tc>
          <w:tcPr>
            <w:tcW w:w="0" w:type="auto"/>
          </w:tcPr>
          <w:p w14:paraId="0BFEB077" w14:textId="77777777" w:rsidR="001A6ECF" w:rsidRDefault="00000000" w:rsidP="00BD4822">
            <w:pPr>
              <w:pStyle w:val="Compact"/>
              <w:spacing w:before="100" w:beforeAutospacing="1" w:after="100" w:afterAutospacing="1"/>
              <w:jc w:val="both"/>
            </w:pPr>
            <w:r>
              <w:lastRenderedPageBreak/>
              <w:t>Sclerotherapy, including polidocanol foam</w:t>
            </w:r>
          </w:p>
        </w:tc>
        <w:tc>
          <w:tcPr>
            <w:tcW w:w="0" w:type="auto"/>
          </w:tcPr>
          <w:p w14:paraId="44C48598" w14:textId="77777777" w:rsidR="001A6ECF" w:rsidRDefault="00000000" w:rsidP="00BD4822">
            <w:pPr>
              <w:pStyle w:val="Compact"/>
              <w:spacing w:before="100" w:beforeAutospacing="1" w:after="100" w:afterAutospacing="1"/>
              <w:jc w:val="both"/>
            </w:pPr>
            <w:r>
              <w:t xml:space="preserve">Systematic review of 44 studies with meta-analysis of 14 </w:t>
            </w:r>
            <w:proofErr w:type="spellStart"/>
            <w:r>
              <w:t>randomised</w:t>
            </w:r>
            <w:proofErr w:type="spellEnd"/>
            <w:r>
              <w:t xml:space="preserve"> trials</w:t>
            </w:r>
          </w:p>
        </w:tc>
        <w:tc>
          <w:tcPr>
            <w:tcW w:w="0" w:type="auto"/>
          </w:tcPr>
          <w:p w14:paraId="4245F32F" w14:textId="77777777" w:rsidR="001A6ECF" w:rsidRDefault="00000000" w:rsidP="00BD4822">
            <w:pPr>
              <w:pStyle w:val="Compact"/>
              <w:spacing w:before="100" w:beforeAutospacing="1" w:after="100" w:afterAutospacing="1"/>
              <w:jc w:val="both"/>
            </w:pPr>
            <w:r>
              <w:t>Non-inferior success and recurrence relative to comparators; fewer complications (risk ratio 0.46)</w:t>
            </w:r>
          </w:p>
        </w:tc>
        <w:tc>
          <w:tcPr>
            <w:tcW w:w="0" w:type="auto"/>
          </w:tcPr>
          <w:p w14:paraId="108F192F" w14:textId="77777777" w:rsidR="001A6ECF" w:rsidRDefault="00000000" w:rsidP="00BD4822">
            <w:pPr>
              <w:pStyle w:val="Compact"/>
              <w:spacing w:before="100" w:beforeAutospacing="1" w:after="100" w:afterAutospacing="1"/>
              <w:jc w:val="both"/>
            </w:pPr>
            <w:r>
              <w:t>Short follow-up across the evidence base; durability unestablished; technique and agent heterogeneity</w:t>
            </w:r>
          </w:p>
        </w:tc>
        <w:tc>
          <w:tcPr>
            <w:tcW w:w="0" w:type="auto"/>
          </w:tcPr>
          <w:p w14:paraId="5CC5E202" w14:textId="77777777" w:rsidR="001A6ECF" w:rsidRDefault="00000000" w:rsidP="00BD4822">
            <w:pPr>
              <w:pStyle w:val="Compact"/>
              <w:spacing w:before="100" w:beforeAutospacing="1" w:after="100" w:afterAutospacing="1"/>
              <w:jc w:val="both"/>
            </w:pPr>
            <w:r>
              <w:t>Moderate for short-term safety; low for durability</w:t>
            </w:r>
          </w:p>
        </w:tc>
        <w:tc>
          <w:tcPr>
            <w:tcW w:w="0" w:type="auto"/>
          </w:tcPr>
          <w:p w14:paraId="2E7C60F0" w14:textId="77777777" w:rsidR="001A6ECF" w:rsidRDefault="00000000" w:rsidP="00BD4822">
            <w:pPr>
              <w:pStyle w:val="Compact"/>
              <w:spacing w:before="100" w:beforeAutospacing="1" w:after="100" w:afterAutospacing="1"/>
              <w:jc w:val="both"/>
            </w:pPr>
            <w:r>
              <w:t>Gallo et al. (2024); Qu et al. (2024); Salgueiro et al. (2022)</w:t>
            </w:r>
          </w:p>
        </w:tc>
      </w:tr>
      <w:tr w:rsidR="001A6ECF" w14:paraId="67428300" w14:textId="77777777" w:rsidTr="00BD4822">
        <w:tc>
          <w:tcPr>
            <w:tcW w:w="0" w:type="auto"/>
          </w:tcPr>
          <w:p w14:paraId="290FFC7D" w14:textId="77777777" w:rsidR="001A6ECF" w:rsidRDefault="00000000" w:rsidP="00BD4822">
            <w:pPr>
              <w:pStyle w:val="Compact"/>
              <w:spacing w:before="100" w:beforeAutospacing="1" w:after="100" w:afterAutospacing="1"/>
              <w:jc w:val="both"/>
            </w:pPr>
            <w:proofErr w:type="spellStart"/>
            <w:r>
              <w:t>Haemorrhoidal</w:t>
            </w:r>
            <w:proofErr w:type="spellEnd"/>
            <w:r>
              <w:t xml:space="preserve"> artery ligation with or without </w:t>
            </w:r>
            <w:proofErr w:type="spellStart"/>
            <w:r>
              <w:t>mucopexy</w:t>
            </w:r>
            <w:proofErr w:type="spellEnd"/>
          </w:p>
        </w:tc>
        <w:tc>
          <w:tcPr>
            <w:tcW w:w="0" w:type="auto"/>
          </w:tcPr>
          <w:p w14:paraId="65561E1A" w14:textId="77777777" w:rsidR="001A6ECF" w:rsidRDefault="00000000" w:rsidP="00BD4822">
            <w:pPr>
              <w:pStyle w:val="Compact"/>
              <w:spacing w:before="100" w:beforeAutospacing="1" w:after="100" w:afterAutospacing="1"/>
              <w:jc w:val="both"/>
            </w:pPr>
            <w:proofErr w:type="spellStart"/>
            <w:r>
              <w:t>Randomised</w:t>
            </w:r>
            <w:proofErr w:type="spellEnd"/>
            <w:r>
              <w:t xml:space="preserve"> trial against banding; meta-analysis of 7 </w:t>
            </w:r>
            <w:proofErr w:type="spellStart"/>
            <w:r>
              <w:t>randomised</w:t>
            </w:r>
            <w:proofErr w:type="spellEnd"/>
            <w:r>
              <w:t xml:space="preserve"> trials on Doppler guidance</w:t>
            </w:r>
          </w:p>
        </w:tc>
        <w:tc>
          <w:tcPr>
            <w:tcW w:w="0" w:type="auto"/>
          </w:tcPr>
          <w:p w14:paraId="33CDAB5B" w14:textId="77777777" w:rsidR="001A6ECF" w:rsidRDefault="00000000" w:rsidP="00BD4822">
            <w:pPr>
              <w:pStyle w:val="Compact"/>
              <w:spacing w:before="100" w:beforeAutospacing="1" w:after="100" w:afterAutospacing="1"/>
              <w:jc w:val="both"/>
            </w:pPr>
            <w:r>
              <w:t xml:space="preserve">Lower 1-year recurrence than a single banding session; </w:t>
            </w:r>
            <w:proofErr w:type="spellStart"/>
            <w:r>
              <w:t>favourable</w:t>
            </w:r>
            <w:proofErr w:type="spellEnd"/>
            <w:r>
              <w:t xml:space="preserve"> bleeding and pain profile relative to excision</w:t>
            </w:r>
          </w:p>
        </w:tc>
        <w:tc>
          <w:tcPr>
            <w:tcW w:w="0" w:type="auto"/>
          </w:tcPr>
          <w:p w14:paraId="743388B7" w14:textId="77777777" w:rsidR="001A6ECF" w:rsidRDefault="00000000" w:rsidP="00BD4822">
            <w:pPr>
              <w:pStyle w:val="Compact"/>
              <w:spacing w:before="100" w:beforeAutospacing="1" w:after="100" w:afterAutospacing="1"/>
              <w:jc w:val="both"/>
            </w:pPr>
            <w:r>
              <w:t>More painful than banding at 1 and 7 days; higher serious adverse events than banding; Doppler guidance confers no demonstrated advantage</w:t>
            </w:r>
          </w:p>
        </w:tc>
        <w:tc>
          <w:tcPr>
            <w:tcW w:w="0" w:type="auto"/>
          </w:tcPr>
          <w:p w14:paraId="7810B955" w14:textId="77777777" w:rsidR="001A6ECF" w:rsidRDefault="00000000" w:rsidP="00BD4822">
            <w:pPr>
              <w:pStyle w:val="Compact"/>
              <w:spacing w:before="100" w:beforeAutospacing="1" w:after="100" w:afterAutospacing="1"/>
              <w:jc w:val="both"/>
            </w:pPr>
            <w:r>
              <w:t>Moderate</w:t>
            </w:r>
          </w:p>
        </w:tc>
        <w:tc>
          <w:tcPr>
            <w:tcW w:w="0" w:type="auto"/>
          </w:tcPr>
          <w:p w14:paraId="34A2DE9A" w14:textId="77777777" w:rsidR="001A6ECF" w:rsidRDefault="00000000" w:rsidP="00BD4822">
            <w:pPr>
              <w:pStyle w:val="Compact"/>
              <w:spacing w:before="100" w:beforeAutospacing="1" w:after="100" w:afterAutospacing="1"/>
              <w:jc w:val="both"/>
            </w:pPr>
            <w:r>
              <w:t>Brown et al. (2016); Schuurman et al. (2012); Tutino et al. (2025)</w:t>
            </w:r>
          </w:p>
        </w:tc>
      </w:tr>
      <w:tr w:rsidR="001A6ECF" w14:paraId="4C6ADCA3" w14:textId="77777777" w:rsidTr="00BD4822">
        <w:tc>
          <w:tcPr>
            <w:tcW w:w="0" w:type="auto"/>
          </w:tcPr>
          <w:p w14:paraId="7DA874A8" w14:textId="77777777" w:rsidR="001A6ECF" w:rsidRDefault="00000000" w:rsidP="00BD4822">
            <w:pPr>
              <w:pStyle w:val="Compact"/>
              <w:spacing w:before="100" w:beforeAutospacing="1" w:after="100" w:afterAutospacing="1"/>
              <w:jc w:val="both"/>
            </w:pPr>
            <w:r>
              <w:t xml:space="preserve">Excisional </w:t>
            </w:r>
            <w:proofErr w:type="spellStart"/>
            <w:r>
              <w:t>haemorrhoidectomy</w:t>
            </w:r>
            <w:proofErr w:type="spellEnd"/>
            <w:r>
              <w:t>, open, closed or vessel-sealing</w:t>
            </w:r>
          </w:p>
        </w:tc>
        <w:tc>
          <w:tcPr>
            <w:tcW w:w="0" w:type="auto"/>
          </w:tcPr>
          <w:p w14:paraId="4290532F" w14:textId="77777777" w:rsidR="001A6ECF" w:rsidRDefault="00000000" w:rsidP="00BD4822">
            <w:pPr>
              <w:pStyle w:val="Compact"/>
              <w:spacing w:before="100" w:beforeAutospacing="1" w:after="100" w:afterAutospacing="1"/>
              <w:jc w:val="both"/>
            </w:pPr>
            <w:r>
              <w:t xml:space="preserve">Network meta-analyses of 98 and 79 </w:t>
            </w:r>
            <w:proofErr w:type="spellStart"/>
            <w:r>
              <w:t>randomised</w:t>
            </w:r>
            <w:proofErr w:type="spellEnd"/>
            <w:r>
              <w:t xml:space="preserve"> trials</w:t>
            </w:r>
          </w:p>
        </w:tc>
        <w:tc>
          <w:tcPr>
            <w:tcW w:w="0" w:type="auto"/>
          </w:tcPr>
          <w:p w14:paraId="35D3F92F" w14:textId="77777777" w:rsidR="001A6ECF" w:rsidRDefault="00000000" w:rsidP="00BD4822">
            <w:pPr>
              <w:pStyle w:val="Compact"/>
              <w:spacing w:before="100" w:beforeAutospacing="1" w:after="100" w:afterAutospacing="1"/>
              <w:jc w:val="both"/>
            </w:pPr>
            <w:r>
              <w:t>Lowest recurrence of all modalities; closed technique ranked best for recurrence</w:t>
            </w:r>
          </w:p>
        </w:tc>
        <w:tc>
          <w:tcPr>
            <w:tcW w:w="0" w:type="auto"/>
          </w:tcPr>
          <w:p w14:paraId="200B4203" w14:textId="77777777" w:rsidR="001A6ECF" w:rsidRDefault="00000000" w:rsidP="00BD4822">
            <w:pPr>
              <w:pStyle w:val="Compact"/>
              <w:spacing w:before="100" w:beforeAutospacing="1" w:after="100" w:afterAutospacing="1"/>
              <w:jc w:val="both"/>
            </w:pPr>
            <w:r>
              <w:t>Greatest early pain; highest rates of postprocedural bleeding and urinary retention; slower recovery</w:t>
            </w:r>
          </w:p>
        </w:tc>
        <w:tc>
          <w:tcPr>
            <w:tcW w:w="0" w:type="auto"/>
          </w:tcPr>
          <w:p w14:paraId="6AF040EF" w14:textId="77777777" w:rsidR="001A6ECF" w:rsidRDefault="00000000" w:rsidP="00BD4822">
            <w:pPr>
              <w:pStyle w:val="Compact"/>
              <w:spacing w:before="100" w:beforeAutospacing="1" w:after="100" w:afterAutospacing="1"/>
              <w:jc w:val="both"/>
            </w:pPr>
            <w:r>
              <w:t>Moderate, qualified by high risk of bias in 73% of pooled trials</w:t>
            </w:r>
          </w:p>
        </w:tc>
        <w:tc>
          <w:tcPr>
            <w:tcW w:w="0" w:type="auto"/>
          </w:tcPr>
          <w:p w14:paraId="1DF7F47B" w14:textId="77777777" w:rsidR="001A6ECF" w:rsidRDefault="00000000" w:rsidP="00BD4822">
            <w:pPr>
              <w:pStyle w:val="Compact"/>
              <w:spacing w:before="100" w:beforeAutospacing="1" w:after="100" w:afterAutospacing="1"/>
              <w:jc w:val="both"/>
            </w:pPr>
            <w:proofErr w:type="spellStart"/>
            <w:r>
              <w:t>Balciscueta</w:t>
            </w:r>
            <w:proofErr w:type="spellEnd"/>
            <w:r>
              <w:t xml:space="preserve"> et al. (2021); Bhatti et al. (2016); Jin et al. (2021); Mustapha et al. (2025); </w:t>
            </w:r>
            <w:proofErr w:type="spellStart"/>
            <w:r>
              <w:t>Simillis</w:t>
            </w:r>
            <w:proofErr w:type="spellEnd"/>
            <w:r>
              <w:t xml:space="preserve"> et al. (2015)</w:t>
            </w:r>
          </w:p>
        </w:tc>
      </w:tr>
      <w:tr w:rsidR="001A6ECF" w14:paraId="2DBD7A85" w14:textId="77777777" w:rsidTr="00BD4822">
        <w:tc>
          <w:tcPr>
            <w:tcW w:w="0" w:type="auto"/>
          </w:tcPr>
          <w:p w14:paraId="3A9F3DC5" w14:textId="77777777" w:rsidR="001A6ECF" w:rsidRDefault="00000000" w:rsidP="00BD4822">
            <w:pPr>
              <w:pStyle w:val="Compact"/>
              <w:spacing w:before="100" w:beforeAutospacing="1" w:after="100" w:afterAutospacing="1"/>
              <w:jc w:val="both"/>
            </w:pPr>
            <w:r>
              <w:t xml:space="preserve">Stapled </w:t>
            </w:r>
            <w:proofErr w:type="spellStart"/>
            <w:r>
              <w:t>haemorrhoidopexy</w:t>
            </w:r>
            <w:proofErr w:type="spellEnd"/>
          </w:p>
        </w:tc>
        <w:tc>
          <w:tcPr>
            <w:tcW w:w="0" w:type="auto"/>
          </w:tcPr>
          <w:p w14:paraId="0A117F45" w14:textId="77777777" w:rsidR="001A6ECF" w:rsidRDefault="00000000" w:rsidP="00BD4822">
            <w:pPr>
              <w:pStyle w:val="Compact"/>
              <w:spacing w:before="100" w:beforeAutospacing="1" w:after="100" w:afterAutospacing="1"/>
              <w:jc w:val="both"/>
            </w:pPr>
            <w:r>
              <w:t xml:space="preserve">Meta-analysis with trial sequential analysis of 17 </w:t>
            </w:r>
            <w:proofErr w:type="spellStart"/>
            <w:r>
              <w:t>randomised</w:t>
            </w:r>
            <w:proofErr w:type="spellEnd"/>
            <w:r>
              <w:t xml:space="preserve"> trials, 2,072 patients</w:t>
            </w:r>
          </w:p>
        </w:tc>
        <w:tc>
          <w:tcPr>
            <w:tcW w:w="0" w:type="auto"/>
          </w:tcPr>
          <w:p w14:paraId="5C4C1F3B" w14:textId="77777777" w:rsidR="001A6ECF" w:rsidRDefault="00000000" w:rsidP="00BD4822">
            <w:pPr>
              <w:pStyle w:val="Compact"/>
              <w:spacing w:before="100" w:beforeAutospacing="1" w:after="100" w:afterAutospacing="1"/>
              <w:jc w:val="both"/>
            </w:pPr>
            <w:r>
              <w:t>Least painful procedure in day-surgery network comparison; faster recovery than excision</w:t>
            </w:r>
          </w:p>
        </w:tc>
        <w:tc>
          <w:tcPr>
            <w:tcW w:w="0" w:type="auto"/>
          </w:tcPr>
          <w:p w14:paraId="6F56F7DE" w14:textId="77777777" w:rsidR="001A6ECF" w:rsidRDefault="00000000" w:rsidP="00BD4822">
            <w:pPr>
              <w:pStyle w:val="Compact"/>
              <w:spacing w:before="100" w:beforeAutospacing="1" w:after="100" w:afterAutospacing="1"/>
              <w:jc w:val="both"/>
            </w:pPr>
            <w:r>
              <w:t>Higher long-term overall and prolapse-related recurrence than excision; pooled evidence underpowered against required information size</w:t>
            </w:r>
          </w:p>
        </w:tc>
        <w:tc>
          <w:tcPr>
            <w:tcW w:w="0" w:type="auto"/>
          </w:tcPr>
          <w:p w14:paraId="766FECE4" w14:textId="77777777" w:rsidR="001A6ECF" w:rsidRDefault="00000000" w:rsidP="00BD4822">
            <w:pPr>
              <w:pStyle w:val="Compact"/>
              <w:spacing w:before="100" w:beforeAutospacing="1" w:after="100" w:afterAutospacing="1"/>
              <w:jc w:val="both"/>
            </w:pPr>
            <w:r>
              <w:t>Low to moderate</w:t>
            </w:r>
          </w:p>
        </w:tc>
        <w:tc>
          <w:tcPr>
            <w:tcW w:w="0" w:type="auto"/>
          </w:tcPr>
          <w:p w14:paraId="3EDFE0BD" w14:textId="77777777" w:rsidR="001A6ECF" w:rsidRDefault="00000000" w:rsidP="00BD4822">
            <w:pPr>
              <w:pStyle w:val="Compact"/>
              <w:spacing w:before="100" w:beforeAutospacing="1" w:after="100" w:afterAutospacing="1"/>
              <w:jc w:val="both"/>
            </w:pPr>
            <w:proofErr w:type="spellStart"/>
            <w:r>
              <w:t>Balciscueta</w:t>
            </w:r>
            <w:proofErr w:type="spellEnd"/>
            <w:r>
              <w:t xml:space="preserve"> et al. (2021); Lauricella et al. (2026); </w:t>
            </w:r>
            <w:proofErr w:type="spellStart"/>
            <w:r>
              <w:t>Simillis</w:t>
            </w:r>
            <w:proofErr w:type="spellEnd"/>
            <w:r>
              <w:t xml:space="preserve"> et al. (2015)</w:t>
            </w:r>
          </w:p>
        </w:tc>
      </w:tr>
      <w:tr w:rsidR="001A6ECF" w14:paraId="7A26165C" w14:textId="77777777" w:rsidTr="00BD4822">
        <w:tc>
          <w:tcPr>
            <w:tcW w:w="0" w:type="auto"/>
          </w:tcPr>
          <w:p w14:paraId="5911FB35" w14:textId="77777777" w:rsidR="001A6ECF" w:rsidRDefault="00000000" w:rsidP="00BD4822">
            <w:pPr>
              <w:pStyle w:val="Compact"/>
              <w:spacing w:before="100" w:beforeAutospacing="1" w:after="100" w:afterAutospacing="1"/>
              <w:jc w:val="both"/>
            </w:pPr>
            <w:r>
              <w:t xml:space="preserve">Laser </w:t>
            </w:r>
            <w:proofErr w:type="spellStart"/>
            <w:r>
              <w:t>haemorrhoidoplasty</w:t>
            </w:r>
            <w:proofErr w:type="spellEnd"/>
          </w:p>
        </w:tc>
        <w:tc>
          <w:tcPr>
            <w:tcW w:w="0" w:type="auto"/>
          </w:tcPr>
          <w:p w14:paraId="21DF179E" w14:textId="77777777" w:rsidR="001A6ECF" w:rsidRDefault="00000000" w:rsidP="00BD4822">
            <w:pPr>
              <w:pStyle w:val="Compact"/>
              <w:spacing w:before="100" w:beforeAutospacing="1" w:after="100" w:afterAutospacing="1"/>
              <w:jc w:val="both"/>
            </w:pPr>
            <w:r>
              <w:t>Systematic review with meta-analysis; network comparison</w:t>
            </w:r>
          </w:p>
        </w:tc>
        <w:tc>
          <w:tcPr>
            <w:tcW w:w="0" w:type="auto"/>
          </w:tcPr>
          <w:p w14:paraId="0699C971" w14:textId="77777777" w:rsidR="001A6ECF" w:rsidRDefault="00000000" w:rsidP="00BD4822">
            <w:pPr>
              <w:pStyle w:val="Compact"/>
              <w:spacing w:before="100" w:beforeAutospacing="1" w:after="100" w:afterAutospacing="1"/>
              <w:jc w:val="both"/>
            </w:pPr>
            <w:r>
              <w:t>Low postoperative pain; short-term symptom control</w:t>
            </w:r>
          </w:p>
        </w:tc>
        <w:tc>
          <w:tcPr>
            <w:tcW w:w="0" w:type="auto"/>
          </w:tcPr>
          <w:p w14:paraId="54D19AA3" w14:textId="77777777" w:rsidR="001A6ECF" w:rsidRDefault="00000000" w:rsidP="00BD4822">
            <w:pPr>
              <w:pStyle w:val="Compact"/>
              <w:spacing w:before="100" w:beforeAutospacing="1" w:after="100" w:afterAutospacing="1"/>
              <w:jc w:val="both"/>
            </w:pPr>
            <w:r>
              <w:t xml:space="preserve">No </w:t>
            </w:r>
            <w:proofErr w:type="spellStart"/>
            <w:r>
              <w:t>randomised</w:t>
            </w:r>
            <w:proofErr w:type="spellEnd"/>
            <w:r>
              <w:t xml:space="preserve"> comparison against office-based treatment with recurrence as primary outcome beyond 1 year</w:t>
            </w:r>
          </w:p>
        </w:tc>
        <w:tc>
          <w:tcPr>
            <w:tcW w:w="0" w:type="auto"/>
          </w:tcPr>
          <w:p w14:paraId="08264DF6" w14:textId="77777777" w:rsidR="001A6ECF" w:rsidRDefault="00000000" w:rsidP="00BD4822">
            <w:pPr>
              <w:pStyle w:val="Compact"/>
              <w:spacing w:before="100" w:beforeAutospacing="1" w:after="100" w:afterAutospacing="1"/>
              <w:jc w:val="both"/>
            </w:pPr>
            <w:r>
              <w:t>Low</w:t>
            </w:r>
          </w:p>
        </w:tc>
        <w:tc>
          <w:tcPr>
            <w:tcW w:w="0" w:type="auto"/>
          </w:tcPr>
          <w:p w14:paraId="40899BAD" w14:textId="77777777" w:rsidR="001A6ECF" w:rsidRDefault="00000000" w:rsidP="00BD4822">
            <w:pPr>
              <w:pStyle w:val="Compact"/>
              <w:spacing w:before="100" w:beforeAutospacing="1" w:after="100" w:afterAutospacing="1"/>
              <w:jc w:val="both"/>
            </w:pPr>
            <w:r>
              <w:t>De Nardi et al. (2023); Yuan et al. (2023)</w:t>
            </w:r>
          </w:p>
        </w:tc>
      </w:tr>
      <w:tr w:rsidR="001A6ECF" w14:paraId="13B49C10" w14:textId="77777777" w:rsidTr="00BD4822">
        <w:tc>
          <w:tcPr>
            <w:tcW w:w="0" w:type="auto"/>
          </w:tcPr>
          <w:p w14:paraId="2234B173" w14:textId="77777777" w:rsidR="001A6ECF" w:rsidRDefault="00000000" w:rsidP="00BD4822">
            <w:pPr>
              <w:pStyle w:val="Compact"/>
              <w:spacing w:before="100" w:beforeAutospacing="1" w:after="100" w:afterAutospacing="1"/>
              <w:jc w:val="both"/>
            </w:pPr>
            <w:r>
              <w:t>Radiofrequency ablation</w:t>
            </w:r>
          </w:p>
        </w:tc>
        <w:tc>
          <w:tcPr>
            <w:tcW w:w="0" w:type="auto"/>
          </w:tcPr>
          <w:p w14:paraId="5A883D27" w14:textId="77777777" w:rsidR="001A6ECF" w:rsidRDefault="00000000" w:rsidP="00BD4822">
            <w:pPr>
              <w:pStyle w:val="Compact"/>
              <w:spacing w:before="100" w:beforeAutospacing="1" w:after="100" w:afterAutospacing="1"/>
              <w:jc w:val="both"/>
            </w:pPr>
            <w:r>
              <w:t>Systematic review of 6 non-</w:t>
            </w:r>
            <w:proofErr w:type="spellStart"/>
            <w:r>
              <w:t>randomised</w:t>
            </w:r>
            <w:proofErr w:type="spellEnd"/>
            <w:r>
              <w:t xml:space="preserve"> studies, 327 patients</w:t>
            </w:r>
          </w:p>
        </w:tc>
        <w:tc>
          <w:tcPr>
            <w:tcW w:w="0" w:type="auto"/>
          </w:tcPr>
          <w:p w14:paraId="379ED9BC" w14:textId="77777777" w:rsidR="001A6ECF" w:rsidRDefault="00000000" w:rsidP="00BD4822">
            <w:pPr>
              <w:pStyle w:val="Compact"/>
              <w:spacing w:before="100" w:beforeAutospacing="1" w:after="100" w:afterAutospacing="1"/>
              <w:jc w:val="both"/>
            </w:pPr>
            <w:r>
              <w:t>Overall complication rate 17.6%; reported recurrence 4.8%; satisfaction 95%</w:t>
            </w:r>
          </w:p>
        </w:tc>
        <w:tc>
          <w:tcPr>
            <w:tcW w:w="0" w:type="auto"/>
          </w:tcPr>
          <w:p w14:paraId="6413CF98" w14:textId="77777777" w:rsidR="001A6ECF" w:rsidRDefault="00000000" w:rsidP="00BD4822">
            <w:pPr>
              <w:pStyle w:val="Compact"/>
              <w:spacing w:before="100" w:beforeAutospacing="1" w:after="100" w:afterAutospacing="1"/>
              <w:jc w:val="both"/>
            </w:pPr>
            <w:r>
              <w:t xml:space="preserve">No </w:t>
            </w:r>
            <w:proofErr w:type="spellStart"/>
            <w:r>
              <w:t>randomised</w:t>
            </w:r>
            <w:proofErr w:type="spellEnd"/>
            <w:r>
              <w:t xml:space="preserve"> evidence; certainty of evidence rated very low; recurrence figure implausibly </w:t>
            </w:r>
            <w:proofErr w:type="spellStart"/>
            <w:r>
              <w:t>favourable</w:t>
            </w:r>
            <w:proofErr w:type="spellEnd"/>
            <w:r>
              <w:t xml:space="preserve"> given follow-up</w:t>
            </w:r>
          </w:p>
        </w:tc>
        <w:tc>
          <w:tcPr>
            <w:tcW w:w="0" w:type="auto"/>
          </w:tcPr>
          <w:p w14:paraId="670FF34D" w14:textId="77777777" w:rsidR="001A6ECF" w:rsidRDefault="00000000" w:rsidP="00BD4822">
            <w:pPr>
              <w:pStyle w:val="Compact"/>
              <w:spacing w:before="100" w:beforeAutospacing="1" w:after="100" w:afterAutospacing="1"/>
              <w:jc w:val="both"/>
            </w:pPr>
            <w:r>
              <w:t>Very low</w:t>
            </w:r>
          </w:p>
        </w:tc>
        <w:tc>
          <w:tcPr>
            <w:tcW w:w="0" w:type="auto"/>
          </w:tcPr>
          <w:p w14:paraId="69F5BF31" w14:textId="77777777" w:rsidR="001A6ECF" w:rsidRDefault="00000000" w:rsidP="00BD4822">
            <w:pPr>
              <w:pStyle w:val="Compact"/>
              <w:spacing w:before="100" w:beforeAutospacing="1" w:after="100" w:afterAutospacing="1"/>
              <w:jc w:val="both"/>
            </w:pPr>
            <w:r>
              <w:t>Christodoulou et al. (2023); Laurain et al. (2023); Tolksdorf et al. (2022)</w:t>
            </w:r>
          </w:p>
        </w:tc>
      </w:tr>
      <w:tr w:rsidR="001A6ECF" w14:paraId="4EAEDA3F" w14:textId="77777777" w:rsidTr="00BD4822">
        <w:tc>
          <w:tcPr>
            <w:tcW w:w="0" w:type="auto"/>
          </w:tcPr>
          <w:p w14:paraId="12D3BC73" w14:textId="77777777" w:rsidR="001A6ECF" w:rsidRDefault="00000000" w:rsidP="00BD4822">
            <w:pPr>
              <w:pStyle w:val="Compact"/>
              <w:spacing w:before="100" w:beforeAutospacing="1" w:after="100" w:afterAutospacing="1"/>
              <w:jc w:val="both"/>
            </w:pPr>
            <w:r>
              <w:t xml:space="preserve">Superior rectal artery </w:t>
            </w:r>
            <w:proofErr w:type="spellStart"/>
            <w:r>
              <w:t>embolisation</w:t>
            </w:r>
            <w:proofErr w:type="spellEnd"/>
          </w:p>
        </w:tc>
        <w:tc>
          <w:tcPr>
            <w:tcW w:w="0" w:type="auto"/>
          </w:tcPr>
          <w:p w14:paraId="5FF148D0" w14:textId="77777777" w:rsidR="001A6ECF" w:rsidRDefault="00000000" w:rsidP="00BD4822">
            <w:pPr>
              <w:pStyle w:val="Compact"/>
              <w:spacing w:before="100" w:beforeAutospacing="1" w:after="100" w:afterAutospacing="1"/>
              <w:jc w:val="both"/>
            </w:pPr>
            <w:r>
              <w:t>Systematic review of 22 studies, 810 procedures; prospective registry</w:t>
            </w:r>
          </w:p>
        </w:tc>
        <w:tc>
          <w:tcPr>
            <w:tcW w:w="0" w:type="auto"/>
          </w:tcPr>
          <w:p w14:paraId="468346E1" w14:textId="77777777" w:rsidR="001A6ECF" w:rsidRDefault="00000000" w:rsidP="00BD4822">
            <w:pPr>
              <w:pStyle w:val="Compact"/>
              <w:spacing w:before="100" w:beforeAutospacing="1" w:after="100" w:afterAutospacing="1"/>
              <w:jc w:val="both"/>
            </w:pPr>
            <w:r>
              <w:t xml:space="preserve">Technical success 93–100%; clinical success 63–94%; no </w:t>
            </w:r>
            <w:proofErr w:type="spellStart"/>
            <w:r>
              <w:t>ischaemic</w:t>
            </w:r>
            <w:proofErr w:type="spellEnd"/>
            <w:r>
              <w:t xml:space="preserve"> injury or continence disturbance reported</w:t>
            </w:r>
          </w:p>
        </w:tc>
        <w:tc>
          <w:tcPr>
            <w:tcW w:w="0" w:type="auto"/>
          </w:tcPr>
          <w:p w14:paraId="3542EE1F" w14:textId="77777777" w:rsidR="001A6ECF" w:rsidRDefault="00000000" w:rsidP="00BD4822">
            <w:pPr>
              <w:pStyle w:val="Compact"/>
              <w:spacing w:before="100" w:beforeAutospacing="1" w:after="100" w:afterAutospacing="1"/>
              <w:jc w:val="both"/>
            </w:pPr>
            <w:r>
              <w:t>Recurrence 8–20%; addresses bleeding rather than prolapse; only 2 small comparative studies available</w:t>
            </w:r>
          </w:p>
        </w:tc>
        <w:tc>
          <w:tcPr>
            <w:tcW w:w="0" w:type="auto"/>
          </w:tcPr>
          <w:p w14:paraId="63B5E092" w14:textId="77777777" w:rsidR="001A6ECF" w:rsidRDefault="00000000" w:rsidP="00BD4822">
            <w:pPr>
              <w:pStyle w:val="Compact"/>
              <w:spacing w:before="100" w:beforeAutospacing="1" w:after="100" w:afterAutospacing="1"/>
              <w:jc w:val="both"/>
            </w:pPr>
            <w:r>
              <w:t>Low</w:t>
            </w:r>
          </w:p>
        </w:tc>
        <w:tc>
          <w:tcPr>
            <w:tcW w:w="0" w:type="auto"/>
          </w:tcPr>
          <w:p w14:paraId="53751B8D" w14:textId="77777777" w:rsidR="001A6ECF" w:rsidRDefault="00000000" w:rsidP="00BD4822">
            <w:pPr>
              <w:pStyle w:val="Compact"/>
              <w:spacing w:before="100" w:beforeAutospacing="1" w:after="100" w:afterAutospacing="1"/>
              <w:jc w:val="both"/>
            </w:pPr>
            <w:r>
              <w:t xml:space="preserve">Al </w:t>
            </w:r>
            <w:proofErr w:type="spellStart"/>
            <w:r>
              <w:t>Jnainati</w:t>
            </w:r>
            <w:proofErr w:type="spellEnd"/>
            <w:r>
              <w:t xml:space="preserve"> et al. (2025); De Gregorio et al. (2023); </w:t>
            </w:r>
            <w:proofErr w:type="spellStart"/>
            <w:r>
              <w:t>Talaie</w:t>
            </w:r>
            <w:proofErr w:type="spellEnd"/>
            <w:r>
              <w:t xml:space="preserve"> et al. (2022); Vidal et al. (2015)</w:t>
            </w:r>
          </w:p>
        </w:tc>
      </w:tr>
    </w:tbl>
    <w:p w14:paraId="24F77D8D" w14:textId="77777777" w:rsidR="001A6ECF" w:rsidRDefault="00000000" w:rsidP="00BD4822">
      <w:pPr>
        <w:pStyle w:val="BodyText"/>
        <w:spacing w:before="100" w:beforeAutospacing="1" w:after="100" w:afterAutospacing="1"/>
        <w:jc w:val="both"/>
      </w:pPr>
      <w:r>
        <w:rPr>
          <w:i/>
          <w:iCs/>
        </w:rPr>
        <w:t>Note.</w:t>
      </w:r>
      <w:r>
        <w:t xml:space="preserve"> Confidence reflects the assessment made in this review, integrating design, risk of bias, consistency, directness and precision. Recurrence figures are not comparable across rows because the constituent studies define and ascertain recurrence differently and follow patients for different periods.</w:t>
      </w:r>
    </w:p>
    <w:p w14:paraId="45985BD2" w14:textId="77777777" w:rsidR="001A6ECF" w:rsidRDefault="00000000" w:rsidP="00BD4822">
      <w:pPr>
        <w:pStyle w:val="Heading2"/>
        <w:spacing w:before="100" w:beforeAutospacing="1" w:after="100" w:afterAutospacing="1"/>
        <w:jc w:val="both"/>
      </w:pPr>
      <w:bookmarkStart w:id="35" w:name="X69eb3bcd1a93fcfb089d145d194f56c5128a3e6"/>
      <w:bookmarkEnd w:id="26"/>
      <w:bookmarkEnd w:id="34"/>
      <w:r>
        <w:t>7. Methodological Quality of the Evidence Base</w:t>
      </w:r>
    </w:p>
    <w:p w14:paraId="010759B7" w14:textId="77777777" w:rsidR="001A6ECF" w:rsidRDefault="00000000" w:rsidP="00BD4822">
      <w:pPr>
        <w:pStyle w:val="Heading3"/>
        <w:spacing w:before="100" w:beforeAutospacing="1" w:after="100" w:afterAutospacing="1"/>
        <w:jc w:val="both"/>
      </w:pPr>
      <w:bookmarkStart w:id="36" w:name="recurring-structural-weaknesses"/>
      <w:r>
        <w:t>7.1 Recurring Structural Weaknesses</w:t>
      </w:r>
    </w:p>
    <w:p w14:paraId="12096D77" w14:textId="77777777" w:rsidR="001A6ECF" w:rsidRDefault="00000000" w:rsidP="00BD4822">
      <w:pPr>
        <w:pStyle w:val="FirstParagraph"/>
        <w:spacing w:before="100" w:beforeAutospacing="1" w:after="100" w:afterAutospacing="1"/>
        <w:jc w:val="both"/>
      </w:pPr>
      <w:r>
        <w:t xml:space="preserve">The </w:t>
      </w:r>
      <w:proofErr w:type="spellStart"/>
      <w:r>
        <w:t>haemorrhoid</w:t>
      </w:r>
      <w:proofErr w:type="spellEnd"/>
      <w:r>
        <w:t xml:space="preserve"> literature is voluminous, and its volume disguises a small number of structural weaknesses that recur with sufficient regularity to constitute a systemic problem. The first is inadequate power. Individual </w:t>
      </w:r>
      <w:proofErr w:type="spellStart"/>
      <w:r>
        <w:t>randomised</w:t>
      </w:r>
      <w:proofErr w:type="spellEnd"/>
      <w:r>
        <w:t xml:space="preserve"> trials are typically small, and even pooled evidence may not reach the information size required for reliable inference, as demonstrated formally by trial sequential analysis of the stapled versus conventional comparison, where 1,913 accumulated patients fell short of a required 2,608 (Lauricella et al., 2026). Trials of the newer modalities are smaller still, and several influential series comprise fewer than a hundred patients.</w:t>
      </w:r>
    </w:p>
    <w:p w14:paraId="0EB9399D" w14:textId="77777777" w:rsidR="001A6ECF" w:rsidRDefault="00000000" w:rsidP="00BD4822">
      <w:pPr>
        <w:pStyle w:val="BodyText"/>
        <w:spacing w:before="100" w:beforeAutospacing="1" w:after="100" w:afterAutospacing="1"/>
        <w:jc w:val="both"/>
      </w:pPr>
      <w:r>
        <w:t xml:space="preserve">The second is risk of bias concentrated in outcome measurement. Network meta-analysis judged 73% of 79 included </w:t>
      </w:r>
      <w:proofErr w:type="spellStart"/>
      <w:r>
        <w:t>randomised</w:t>
      </w:r>
      <w:proofErr w:type="spellEnd"/>
      <w:r>
        <w:t xml:space="preserve"> trials to be at high risk of bias, with the measurement of outcome the most compromised domain (Jin et al., 2021). This is partly unavoidable, since masking of patients and operating surgeons is impossible in most procedural comparisons, but it is </w:t>
      </w:r>
      <w:r>
        <w:lastRenderedPageBreak/>
        <w:t>compounded by the widespread use of clinician-assigned rather than patient-reported outcomes, which permits expectation to influence assessment in the direction of the operator’s preferred technique.</w:t>
      </w:r>
    </w:p>
    <w:p w14:paraId="72E3F0AB" w14:textId="77777777" w:rsidR="001A6ECF" w:rsidRDefault="00000000" w:rsidP="00BD4822">
      <w:pPr>
        <w:pStyle w:val="BodyText"/>
        <w:spacing w:before="100" w:beforeAutospacing="1" w:after="100" w:afterAutospacing="1"/>
        <w:jc w:val="both"/>
      </w:pPr>
      <w:r>
        <w:t>The third is heterogeneity in outcome definition, discussed in Section 4 and worth restating here in its methodological form. When recurrence is variously defined as symptom return, prolapse on examination or reintervention, pooling produces an estimate whose interpretation is undetermined. This heterogeneity is not statistical noise amenable to random-effects modelling; it is a mismatch of constructs.</w:t>
      </w:r>
    </w:p>
    <w:p w14:paraId="2D94D442" w14:textId="77777777" w:rsidR="001A6ECF" w:rsidRDefault="00000000" w:rsidP="00BD4822">
      <w:pPr>
        <w:pStyle w:val="BodyText"/>
        <w:spacing w:before="100" w:beforeAutospacing="1" w:after="100" w:afterAutospacing="1"/>
        <w:jc w:val="both"/>
      </w:pPr>
      <w:r>
        <w:t xml:space="preserve">The fourth is truncated follow-up. Prolapse-related recurrence accrues over years, yet the modal follow-up in the trial literature is twelve months or less. The consequence is systematic </w:t>
      </w:r>
      <w:proofErr w:type="spellStart"/>
      <w:r>
        <w:t>favourable</w:t>
      </w:r>
      <w:proofErr w:type="spellEnd"/>
      <w:r>
        <w:t xml:space="preserve"> bias towards procedures whose advantage lies in early recovery and whose disadvantage lies in late failure, a pattern visible in the trajectory of the evidence on stapled </w:t>
      </w:r>
      <w:proofErr w:type="spellStart"/>
      <w:r>
        <w:t>haemorrhoidopexy</w:t>
      </w:r>
      <w:proofErr w:type="spellEnd"/>
      <w:r>
        <w:t xml:space="preserve">, which appeared </w:t>
      </w:r>
      <w:proofErr w:type="spellStart"/>
      <w:r>
        <w:t>favourable</w:t>
      </w:r>
      <w:proofErr w:type="spellEnd"/>
      <w:r>
        <w:t xml:space="preserve"> in short-term comparisons and less so as long-term data accumulated (Lauricella et al., 2026; </w:t>
      </w:r>
      <w:proofErr w:type="spellStart"/>
      <w:r>
        <w:t>Simillis</w:t>
      </w:r>
      <w:proofErr w:type="spellEnd"/>
      <w:r>
        <w:t xml:space="preserve"> et al., 2015).</w:t>
      </w:r>
    </w:p>
    <w:p w14:paraId="419FBB13" w14:textId="77777777" w:rsidR="001A6ECF" w:rsidRDefault="00000000" w:rsidP="00BD4822">
      <w:pPr>
        <w:pStyle w:val="Heading3"/>
        <w:spacing w:before="100" w:beforeAutospacing="1" w:after="100" w:afterAutospacing="1"/>
        <w:jc w:val="both"/>
      </w:pPr>
      <w:bookmarkStart w:id="37" w:name="X76a8814638acfc8c2078db35a129273b6ab5384"/>
      <w:bookmarkEnd w:id="36"/>
      <w:r>
        <w:t>7.2 Population Selection and External Validity</w:t>
      </w:r>
    </w:p>
    <w:p w14:paraId="27D88C3D" w14:textId="77777777" w:rsidR="001A6ECF" w:rsidRDefault="00000000" w:rsidP="00BD4822">
      <w:pPr>
        <w:pStyle w:val="FirstParagraph"/>
        <w:spacing w:before="100" w:beforeAutospacing="1" w:after="100" w:afterAutospacing="1"/>
        <w:jc w:val="both"/>
      </w:pPr>
      <w:r>
        <w:t xml:space="preserve">The populations in which interventions are evaluated differ systematically from those in which they are used. Patients on antithrombotic therapy, those with cirrhosis and those with significant comorbidity are routinely excluded from </w:t>
      </w:r>
      <w:proofErr w:type="spellStart"/>
      <w:r>
        <w:t>randomised</w:t>
      </w:r>
      <w:proofErr w:type="spellEnd"/>
      <w:r>
        <w:t xml:space="preserve"> comparisons, yet these are precisely the groups for whom the choice between modalities is most consequential and for whom lower-risk techniques such as sclerotherapy or </w:t>
      </w:r>
      <w:proofErr w:type="spellStart"/>
      <w:r>
        <w:t>embolisation</w:t>
      </w:r>
      <w:proofErr w:type="spellEnd"/>
      <w:r>
        <w:t xml:space="preserve"> are most often selected (Al </w:t>
      </w:r>
      <w:proofErr w:type="spellStart"/>
      <w:r>
        <w:t>Jnainati</w:t>
      </w:r>
      <w:proofErr w:type="spellEnd"/>
      <w:r>
        <w:t xml:space="preserve"> et al., 2025; Pata et al., 2023; Ponte et al., 2025). Pregnancy is similarly under-represented, with practice guided principally by observational cohorts and by the expectation of postpartum resolution (Chen et al., 2023).</w:t>
      </w:r>
    </w:p>
    <w:p w14:paraId="3988CCD0" w14:textId="77777777" w:rsidR="001A6ECF" w:rsidRDefault="00000000" w:rsidP="00BD4822">
      <w:pPr>
        <w:pStyle w:val="BodyText"/>
        <w:spacing w:before="100" w:beforeAutospacing="1" w:after="100" w:afterAutospacing="1"/>
        <w:jc w:val="both"/>
      </w:pPr>
      <w:r>
        <w:t xml:space="preserve">Geographical concentration compounds this. The surgical trial literature is dominated by European and East Asian </w:t>
      </w:r>
      <w:proofErr w:type="spellStart"/>
      <w:r>
        <w:t>centres</w:t>
      </w:r>
      <w:proofErr w:type="spellEnd"/>
      <w:r>
        <w:t xml:space="preserve">, and evidence from African, South Asian and Latin American settings is comparatively sparse, notwithstanding valuable exceptions (Mustapha et al., 2025). Since case mix, presentation stage and resource availability differ substantially across these settings, the </w:t>
      </w:r>
      <w:proofErr w:type="spellStart"/>
      <w:r>
        <w:t>generalisability</w:t>
      </w:r>
      <w:proofErr w:type="spellEnd"/>
      <w:r>
        <w:t xml:space="preserve"> of technique-level recommendations derived from high-resource </w:t>
      </w:r>
      <w:proofErr w:type="spellStart"/>
      <w:r>
        <w:t>centres</w:t>
      </w:r>
      <w:proofErr w:type="spellEnd"/>
      <w:r>
        <w:t xml:space="preserve"> is uncertain.</w:t>
      </w:r>
    </w:p>
    <w:p w14:paraId="50261A6F" w14:textId="77777777" w:rsidR="001A6ECF" w:rsidRDefault="00000000" w:rsidP="00BD4822">
      <w:pPr>
        <w:pStyle w:val="Heading3"/>
        <w:spacing w:before="100" w:beforeAutospacing="1" w:after="100" w:afterAutospacing="1"/>
        <w:jc w:val="both"/>
      </w:pPr>
      <w:bookmarkStart w:id="38" w:name="publication-and-reporting-considerations"/>
      <w:bookmarkEnd w:id="37"/>
      <w:r>
        <w:t>7.3 Publication and Reporting Considerations</w:t>
      </w:r>
    </w:p>
    <w:p w14:paraId="60D0EA1E" w14:textId="77777777" w:rsidR="001A6ECF" w:rsidRDefault="00000000" w:rsidP="00BD4822">
      <w:pPr>
        <w:pStyle w:val="FirstParagraph"/>
        <w:spacing w:before="100" w:beforeAutospacing="1" w:after="100" w:afterAutospacing="1"/>
        <w:jc w:val="both"/>
      </w:pPr>
      <w:r>
        <w:t xml:space="preserve">Two features of the field increase susceptibility to reporting bias. Device and pharmaceutical involvement </w:t>
      </w:r>
      <w:proofErr w:type="gramStart"/>
      <w:r>
        <w:t>is</w:t>
      </w:r>
      <w:proofErr w:type="gramEnd"/>
      <w:r>
        <w:t xml:space="preserve"> substantial in the literature on </w:t>
      </w:r>
      <w:proofErr w:type="spellStart"/>
      <w:r>
        <w:t>venoactive</w:t>
      </w:r>
      <w:proofErr w:type="spellEnd"/>
      <w:r>
        <w:t xml:space="preserve"> drugs and on energy-based devices, and the pattern of uniformly </w:t>
      </w:r>
      <w:proofErr w:type="spellStart"/>
      <w:r>
        <w:t>favourable</w:t>
      </w:r>
      <w:proofErr w:type="spellEnd"/>
      <w:r>
        <w:t xml:space="preserve"> early series followed by more equivocal </w:t>
      </w:r>
      <w:proofErr w:type="spellStart"/>
      <w:r>
        <w:t>randomised</w:t>
      </w:r>
      <w:proofErr w:type="spellEnd"/>
      <w:r>
        <w:t xml:space="preserve"> evidence is consistent with selective reporting even where it does not demonstrate it. The reported recurrence figure of 4.8% for radiofrequency ablation, derived from six non-</w:t>
      </w:r>
      <w:proofErr w:type="spellStart"/>
      <w:r>
        <w:t>randomised</w:t>
      </w:r>
      <w:proofErr w:type="spellEnd"/>
      <w:r>
        <w:t xml:space="preserve"> studies with an overall certainty of evidence rated very low, is difficult to reconcile with recurrence rates for any established procedure and is more plausibly explained by short follow-up and investigator-defined outcomes than by genuine superiority (Christodoulou et al., 2023).</w:t>
      </w:r>
    </w:p>
    <w:p w14:paraId="49B259EA" w14:textId="77777777" w:rsidR="001A6ECF" w:rsidRDefault="00000000" w:rsidP="00BD4822">
      <w:pPr>
        <w:pStyle w:val="BodyText"/>
        <w:spacing w:before="100" w:beforeAutospacing="1" w:after="100" w:afterAutospacing="1"/>
        <w:jc w:val="both"/>
      </w:pPr>
      <w:r>
        <w:t xml:space="preserve">Table 4 catalogues the principal methodological limitations, their observable manifestations and their consequences for interpretation. The dominant message is that these weaknesses are not independent. Small trials with short follow-up and inconsistent outcome definitions cannot be rescued by meta-analysis, because pooling amplifies rather than resolves construct </w:t>
      </w:r>
      <w:r>
        <w:lastRenderedPageBreak/>
        <w:t>heterogeneity, and it is this interaction rather than any single deficiency that accounts for the persistence of unresolved questions in a field with several thousand published comparisons.</w:t>
      </w:r>
    </w:p>
    <w:p w14:paraId="5A3037C1" w14:textId="77777777" w:rsidR="001A6ECF" w:rsidRDefault="00000000" w:rsidP="00BD4822">
      <w:pPr>
        <w:pStyle w:val="BodyText"/>
        <w:spacing w:before="100" w:beforeAutospacing="1" w:after="100" w:afterAutospacing="1"/>
        <w:jc w:val="both"/>
      </w:pPr>
      <w:r>
        <w:rPr>
          <w:b/>
          <w:bCs/>
        </w:rPr>
        <w:t>Table 4.</w:t>
      </w:r>
      <w:r>
        <w:t xml:space="preserve"> Recurring methodological limitations in the </w:t>
      </w:r>
      <w:proofErr w:type="spellStart"/>
      <w:r>
        <w:t>haemorrhoidal</w:t>
      </w:r>
      <w:proofErr w:type="spellEnd"/>
      <w:r>
        <w:t xml:space="preserve"> disease literature and their consequences</w:t>
      </w:r>
    </w:p>
    <w:tbl>
      <w:tblPr>
        <w:tblStyle w:val="TableGrid"/>
        <w:tblW w:w="5000" w:type="pct"/>
        <w:tblLook w:val="0020" w:firstRow="1" w:lastRow="0" w:firstColumn="0" w:lastColumn="0" w:noHBand="0" w:noVBand="0"/>
      </w:tblPr>
      <w:tblGrid>
        <w:gridCol w:w="1526"/>
        <w:gridCol w:w="2282"/>
        <w:gridCol w:w="2263"/>
        <w:gridCol w:w="2361"/>
        <w:gridCol w:w="1762"/>
      </w:tblGrid>
      <w:tr w:rsidR="001A6ECF" w14:paraId="596583C1" w14:textId="77777777" w:rsidTr="00BD4822">
        <w:tc>
          <w:tcPr>
            <w:tcW w:w="0" w:type="auto"/>
          </w:tcPr>
          <w:p w14:paraId="06D7C77A" w14:textId="77777777" w:rsidR="001A6ECF" w:rsidRDefault="00000000" w:rsidP="00BD4822">
            <w:pPr>
              <w:pStyle w:val="Compact"/>
              <w:spacing w:before="100" w:beforeAutospacing="1" w:after="100" w:afterAutospacing="1"/>
              <w:jc w:val="both"/>
            </w:pPr>
            <w:r>
              <w:t>Limitation</w:t>
            </w:r>
          </w:p>
        </w:tc>
        <w:tc>
          <w:tcPr>
            <w:tcW w:w="0" w:type="auto"/>
          </w:tcPr>
          <w:p w14:paraId="1F0C3710" w14:textId="77777777" w:rsidR="001A6ECF" w:rsidRDefault="00000000" w:rsidP="00BD4822">
            <w:pPr>
              <w:pStyle w:val="Compact"/>
              <w:spacing w:before="100" w:beforeAutospacing="1" w:after="100" w:afterAutospacing="1"/>
              <w:jc w:val="both"/>
            </w:pPr>
            <w:r>
              <w:t>Observable manifestation</w:t>
            </w:r>
          </w:p>
        </w:tc>
        <w:tc>
          <w:tcPr>
            <w:tcW w:w="0" w:type="auto"/>
          </w:tcPr>
          <w:p w14:paraId="32A92CF1" w14:textId="77777777" w:rsidR="001A6ECF" w:rsidRDefault="00000000" w:rsidP="00BD4822">
            <w:pPr>
              <w:pStyle w:val="Compact"/>
              <w:spacing w:before="100" w:beforeAutospacing="1" w:after="100" w:afterAutospacing="1"/>
              <w:jc w:val="both"/>
            </w:pPr>
            <w:r>
              <w:t>Consequence for interpretation</w:t>
            </w:r>
          </w:p>
        </w:tc>
        <w:tc>
          <w:tcPr>
            <w:tcW w:w="0" w:type="auto"/>
          </w:tcPr>
          <w:p w14:paraId="1F2DE202" w14:textId="77777777" w:rsidR="001A6ECF" w:rsidRDefault="00000000" w:rsidP="00BD4822">
            <w:pPr>
              <w:pStyle w:val="Compact"/>
              <w:spacing w:before="100" w:beforeAutospacing="1" w:after="100" w:afterAutospacing="1"/>
              <w:jc w:val="both"/>
            </w:pPr>
            <w:r>
              <w:t>Affected evidence</w:t>
            </w:r>
          </w:p>
        </w:tc>
        <w:tc>
          <w:tcPr>
            <w:tcW w:w="0" w:type="auto"/>
          </w:tcPr>
          <w:p w14:paraId="3E443301" w14:textId="77777777" w:rsidR="001A6ECF" w:rsidRDefault="00000000" w:rsidP="00BD4822">
            <w:pPr>
              <w:pStyle w:val="Compact"/>
              <w:spacing w:before="100" w:beforeAutospacing="1" w:after="100" w:afterAutospacing="1"/>
              <w:jc w:val="both"/>
            </w:pPr>
            <w:r>
              <w:t>Supporting references</w:t>
            </w:r>
          </w:p>
        </w:tc>
      </w:tr>
      <w:tr w:rsidR="001A6ECF" w14:paraId="74E0F537" w14:textId="77777777" w:rsidTr="00BD4822">
        <w:tc>
          <w:tcPr>
            <w:tcW w:w="0" w:type="auto"/>
          </w:tcPr>
          <w:p w14:paraId="267C6D83" w14:textId="77777777" w:rsidR="001A6ECF" w:rsidRDefault="00000000" w:rsidP="00BD4822">
            <w:pPr>
              <w:pStyle w:val="Compact"/>
              <w:spacing w:before="100" w:beforeAutospacing="1" w:after="100" w:afterAutospacing="1"/>
              <w:jc w:val="both"/>
            </w:pPr>
            <w:r>
              <w:t>Inadequate information size</w:t>
            </w:r>
          </w:p>
        </w:tc>
        <w:tc>
          <w:tcPr>
            <w:tcW w:w="0" w:type="auto"/>
          </w:tcPr>
          <w:p w14:paraId="0E8211BC" w14:textId="77777777" w:rsidR="001A6ECF" w:rsidRDefault="00000000" w:rsidP="00BD4822">
            <w:pPr>
              <w:pStyle w:val="Compact"/>
              <w:spacing w:before="100" w:beforeAutospacing="1" w:after="100" w:afterAutospacing="1"/>
              <w:jc w:val="both"/>
            </w:pPr>
            <w:r>
              <w:t>Trial sequential analysis showing accumulated 1,913 patients against a required 2,608 for the principal comparison</w:t>
            </w:r>
          </w:p>
        </w:tc>
        <w:tc>
          <w:tcPr>
            <w:tcW w:w="0" w:type="auto"/>
          </w:tcPr>
          <w:p w14:paraId="2EEF164A" w14:textId="77777777" w:rsidR="001A6ECF" w:rsidRDefault="00000000" w:rsidP="00BD4822">
            <w:pPr>
              <w:pStyle w:val="Compact"/>
              <w:spacing w:before="100" w:beforeAutospacing="1" w:after="100" w:afterAutospacing="1"/>
              <w:jc w:val="both"/>
            </w:pPr>
            <w:r>
              <w:t>Pooled estimates may reverse with further data; apparent differences may be chance findings</w:t>
            </w:r>
          </w:p>
        </w:tc>
        <w:tc>
          <w:tcPr>
            <w:tcW w:w="0" w:type="auto"/>
          </w:tcPr>
          <w:p w14:paraId="2536E92E" w14:textId="77777777" w:rsidR="001A6ECF" w:rsidRDefault="00000000" w:rsidP="00BD4822">
            <w:pPr>
              <w:pStyle w:val="Compact"/>
              <w:spacing w:before="100" w:beforeAutospacing="1" w:after="100" w:afterAutospacing="1"/>
              <w:jc w:val="both"/>
            </w:pPr>
            <w:r>
              <w:t>Comparisons of stapled and conventional excision; all comparisons involving newer modalities</w:t>
            </w:r>
          </w:p>
        </w:tc>
        <w:tc>
          <w:tcPr>
            <w:tcW w:w="0" w:type="auto"/>
          </w:tcPr>
          <w:p w14:paraId="469C4A73" w14:textId="77777777" w:rsidR="001A6ECF" w:rsidRDefault="00000000" w:rsidP="00BD4822">
            <w:pPr>
              <w:pStyle w:val="Compact"/>
              <w:spacing w:before="100" w:beforeAutospacing="1" w:after="100" w:afterAutospacing="1"/>
              <w:jc w:val="both"/>
            </w:pPr>
            <w:r>
              <w:t>Lauricella et al. (2026)</w:t>
            </w:r>
          </w:p>
        </w:tc>
      </w:tr>
      <w:tr w:rsidR="001A6ECF" w14:paraId="1A0D506B" w14:textId="77777777" w:rsidTr="00BD4822">
        <w:tc>
          <w:tcPr>
            <w:tcW w:w="0" w:type="auto"/>
          </w:tcPr>
          <w:p w14:paraId="752C3E35" w14:textId="77777777" w:rsidR="001A6ECF" w:rsidRDefault="00000000" w:rsidP="00BD4822">
            <w:pPr>
              <w:pStyle w:val="Compact"/>
              <w:spacing w:before="100" w:beforeAutospacing="1" w:after="100" w:afterAutospacing="1"/>
              <w:jc w:val="both"/>
            </w:pPr>
            <w:r>
              <w:t>High risk of bias in outcome measurement</w:t>
            </w:r>
          </w:p>
        </w:tc>
        <w:tc>
          <w:tcPr>
            <w:tcW w:w="0" w:type="auto"/>
          </w:tcPr>
          <w:p w14:paraId="3D5B6194" w14:textId="77777777" w:rsidR="001A6ECF" w:rsidRDefault="00000000" w:rsidP="00BD4822">
            <w:pPr>
              <w:pStyle w:val="Compact"/>
              <w:spacing w:before="100" w:beforeAutospacing="1" w:after="100" w:afterAutospacing="1"/>
              <w:jc w:val="both"/>
            </w:pPr>
            <w:r>
              <w:t xml:space="preserve">73% of 79 </w:t>
            </w:r>
            <w:proofErr w:type="spellStart"/>
            <w:r>
              <w:t>randomised</w:t>
            </w:r>
            <w:proofErr w:type="spellEnd"/>
            <w:r>
              <w:t xml:space="preserve"> trials judged high risk, measurement domain most compromised</w:t>
            </w:r>
          </w:p>
        </w:tc>
        <w:tc>
          <w:tcPr>
            <w:tcW w:w="0" w:type="auto"/>
          </w:tcPr>
          <w:p w14:paraId="75BB3B03" w14:textId="77777777" w:rsidR="001A6ECF" w:rsidRDefault="00000000" w:rsidP="00BD4822">
            <w:pPr>
              <w:pStyle w:val="Compact"/>
              <w:spacing w:before="100" w:beforeAutospacing="1" w:after="100" w:afterAutospacing="1"/>
              <w:jc w:val="both"/>
            </w:pPr>
            <w:r>
              <w:t xml:space="preserve">Effect estimates </w:t>
            </w:r>
            <w:proofErr w:type="spellStart"/>
            <w:r>
              <w:t>favouring</w:t>
            </w:r>
            <w:proofErr w:type="spellEnd"/>
            <w:r>
              <w:t xml:space="preserve"> the operator’s preferred technique cannot be excluded</w:t>
            </w:r>
          </w:p>
        </w:tc>
        <w:tc>
          <w:tcPr>
            <w:tcW w:w="0" w:type="auto"/>
          </w:tcPr>
          <w:p w14:paraId="2AD3D089" w14:textId="77777777" w:rsidR="001A6ECF" w:rsidRDefault="00000000" w:rsidP="00BD4822">
            <w:pPr>
              <w:pStyle w:val="Compact"/>
              <w:spacing w:before="100" w:beforeAutospacing="1" w:after="100" w:afterAutospacing="1"/>
              <w:jc w:val="both"/>
            </w:pPr>
            <w:r>
              <w:t>Network meta-analyses of interventional treatments</w:t>
            </w:r>
          </w:p>
        </w:tc>
        <w:tc>
          <w:tcPr>
            <w:tcW w:w="0" w:type="auto"/>
          </w:tcPr>
          <w:p w14:paraId="1AF3E7B8" w14:textId="77777777" w:rsidR="001A6ECF" w:rsidRDefault="00000000" w:rsidP="00BD4822">
            <w:pPr>
              <w:pStyle w:val="Compact"/>
              <w:spacing w:before="100" w:beforeAutospacing="1" w:after="100" w:afterAutospacing="1"/>
              <w:jc w:val="both"/>
            </w:pPr>
            <w:r>
              <w:t>Jin et al. (2021)</w:t>
            </w:r>
          </w:p>
        </w:tc>
      </w:tr>
      <w:tr w:rsidR="001A6ECF" w14:paraId="6D72B92B" w14:textId="77777777" w:rsidTr="00BD4822">
        <w:tc>
          <w:tcPr>
            <w:tcW w:w="0" w:type="auto"/>
          </w:tcPr>
          <w:p w14:paraId="0BD2D2CB" w14:textId="77777777" w:rsidR="001A6ECF" w:rsidRDefault="00000000" w:rsidP="00BD4822">
            <w:pPr>
              <w:pStyle w:val="Compact"/>
              <w:spacing w:before="100" w:beforeAutospacing="1" w:after="100" w:afterAutospacing="1"/>
              <w:jc w:val="both"/>
            </w:pPr>
            <w:r>
              <w:t>Inconsistent recurrence definition</w:t>
            </w:r>
          </w:p>
        </w:tc>
        <w:tc>
          <w:tcPr>
            <w:tcW w:w="0" w:type="auto"/>
          </w:tcPr>
          <w:p w14:paraId="31ED78E2" w14:textId="77777777" w:rsidR="001A6ECF" w:rsidRDefault="00000000" w:rsidP="00BD4822">
            <w:pPr>
              <w:pStyle w:val="Compact"/>
              <w:spacing w:before="100" w:beforeAutospacing="1" w:after="100" w:afterAutospacing="1"/>
              <w:jc w:val="both"/>
            </w:pPr>
            <w:r>
              <w:t>Recurrence variously defined as symptom return, examination finding or reintervention; reported in only 42% of trials</w:t>
            </w:r>
          </w:p>
        </w:tc>
        <w:tc>
          <w:tcPr>
            <w:tcW w:w="0" w:type="auto"/>
          </w:tcPr>
          <w:p w14:paraId="7E434659" w14:textId="77777777" w:rsidR="001A6ECF" w:rsidRDefault="00000000" w:rsidP="00BD4822">
            <w:pPr>
              <w:pStyle w:val="Compact"/>
              <w:spacing w:before="100" w:beforeAutospacing="1" w:after="100" w:afterAutospacing="1"/>
              <w:jc w:val="both"/>
            </w:pPr>
            <w:r>
              <w:t>Pooling combines distinct constructs; between-trial differences may be definitional rather than clinical</w:t>
            </w:r>
          </w:p>
        </w:tc>
        <w:tc>
          <w:tcPr>
            <w:tcW w:w="0" w:type="auto"/>
          </w:tcPr>
          <w:p w14:paraId="75EEB2C6" w14:textId="77777777" w:rsidR="001A6ECF" w:rsidRDefault="00000000" w:rsidP="00BD4822">
            <w:pPr>
              <w:pStyle w:val="Compact"/>
              <w:spacing w:before="100" w:beforeAutospacing="1" w:after="100" w:afterAutospacing="1"/>
              <w:jc w:val="both"/>
            </w:pPr>
            <w:r>
              <w:t>Almost all comparative evidence</w:t>
            </w:r>
          </w:p>
        </w:tc>
        <w:tc>
          <w:tcPr>
            <w:tcW w:w="0" w:type="auto"/>
          </w:tcPr>
          <w:p w14:paraId="614D4C3D" w14:textId="77777777" w:rsidR="001A6ECF" w:rsidRDefault="00000000" w:rsidP="00BD4822">
            <w:pPr>
              <w:pStyle w:val="Compact"/>
              <w:spacing w:before="100" w:beforeAutospacing="1" w:after="100" w:afterAutospacing="1"/>
              <w:jc w:val="both"/>
            </w:pPr>
            <w:r>
              <w:t>Brown et al. (2016); van Oostendorp et al. (2025b)</w:t>
            </w:r>
          </w:p>
        </w:tc>
      </w:tr>
      <w:tr w:rsidR="001A6ECF" w14:paraId="66AAD52B" w14:textId="77777777" w:rsidTr="00BD4822">
        <w:tc>
          <w:tcPr>
            <w:tcW w:w="0" w:type="auto"/>
          </w:tcPr>
          <w:p w14:paraId="65368DDF" w14:textId="77777777" w:rsidR="001A6ECF" w:rsidRDefault="00000000" w:rsidP="00BD4822">
            <w:pPr>
              <w:pStyle w:val="Compact"/>
              <w:spacing w:before="100" w:beforeAutospacing="1" w:after="100" w:afterAutospacing="1"/>
              <w:jc w:val="both"/>
            </w:pPr>
            <w:r>
              <w:t>Truncated follow-up</w:t>
            </w:r>
          </w:p>
        </w:tc>
        <w:tc>
          <w:tcPr>
            <w:tcW w:w="0" w:type="auto"/>
          </w:tcPr>
          <w:p w14:paraId="78ED8989" w14:textId="77777777" w:rsidR="001A6ECF" w:rsidRDefault="00000000" w:rsidP="00BD4822">
            <w:pPr>
              <w:pStyle w:val="Compact"/>
              <w:spacing w:before="100" w:beforeAutospacing="1" w:after="100" w:afterAutospacing="1"/>
              <w:jc w:val="both"/>
            </w:pPr>
            <w:r>
              <w:t>Modal follow-up of 12 months against a recurrence process accruing over years</w:t>
            </w:r>
          </w:p>
        </w:tc>
        <w:tc>
          <w:tcPr>
            <w:tcW w:w="0" w:type="auto"/>
          </w:tcPr>
          <w:p w14:paraId="4BC251B1" w14:textId="77777777" w:rsidR="001A6ECF" w:rsidRDefault="00000000" w:rsidP="00BD4822">
            <w:pPr>
              <w:pStyle w:val="Compact"/>
              <w:spacing w:before="100" w:beforeAutospacing="1" w:after="100" w:afterAutospacing="1"/>
              <w:jc w:val="both"/>
            </w:pPr>
            <w:r>
              <w:t xml:space="preserve">Systematic bias </w:t>
            </w:r>
            <w:proofErr w:type="spellStart"/>
            <w:r>
              <w:t>favouring</w:t>
            </w:r>
            <w:proofErr w:type="spellEnd"/>
            <w:r>
              <w:t xml:space="preserve"> procedures with early recovery and late failure</w:t>
            </w:r>
          </w:p>
        </w:tc>
        <w:tc>
          <w:tcPr>
            <w:tcW w:w="0" w:type="auto"/>
          </w:tcPr>
          <w:p w14:paraId="78C4D621" w14:textId="77777777" w:rsidR="001A6ECF" w:rsidRDefault="00000000" w:rsidP="00BD4822">
            <w:pPr>
              <w:pStyle w:val="Compact"/>
              <w:spacing w:before="100" w:beforeAutospacing="1" w:after="100" w:afterAutospacing="1"/>
              <w:jc w:val="both"/>
            </w:pPr>
            <w:r>
              <w:t xml:space="preserve">Stapled </w:t>
            </w:r>
            <w:proofErr w:type="spellStart"/>
            <w:r>
              <w:t>haemorrhoidopexy</w:t>
            </w:r>
            <w:proofErr w:type="spellEnd"/>
            <w:r>
              <w:t xml:space="preserve">; </w:t>
            </w:r>
            <w:proofErr w:type="spellStart"/>
            <w:r>
              <w:t>dearterialisation</w:t>
            </w:r>
            <w:proofErr w:type="spellEnd"/>
            <w:r>
              <w:t>; all newer modalities</w:t>
            </w:r>
          </w:p>
        </w:tc>
        <w:tc>
          <w:tcPr>
            <w:tcW w:w="0" w:type="auto"/>
          </w:tcPr>
          <w:p w14:paraId="3257A03B" w14:textId="77777777" w:rsidR="001A6ECF" w:rsidRDefault="00000000" w:rsidP="00BD4822">
            <w:pPr>
              <w:pStyle w:val="Compact"/>
              <w:spacing w:before="100" w:beforeAutospacing="1" w:after="100" w:afterAutospacing="1"/>
              <w:jc w:val="both"/>
            </w:pPr>
            <w:r>
              <w:t xml:space="preserve">Lauricella et al. (2026); </w:t>
            </w:r>
            <w:proofErr w:type="spellStart"/>
            <w:r>
              <w:t>Simillis</w:t>
            </w:r>
            <w:proofErr w:type="spellEnd"/>
            <w:r>
              <w:t xml:space="preserve"> et al. (2015)</w:t>
            </w:r>
          </w:p>
        </w:tc>
      </w:tr>
      <w:tr w:rsidR="001A6ECF" w14:paraId="7E1F601C" w14:textId="77777777" w:rsidTr="00BD4822">
        <w:tc>
          <w:tcPr>
            <w:tcW w:w="0" w:type="auto"/>
          </w:tcPr>
          <w:p w14:paraId="42C0B560" w14:textId="77777777" w:rsidR="001A6ECF" w:rsidRDefault="00000000" w:rsidP="00BD4822">
            <w:pPr>
              <w:pStyle w:val="Compact"/>
              <w:spacing w:before="100" w:beforeAutospacing="1" w:after="100" w:afterAutospacing="1"/>
              <w:jc w:val="both"/>
            </w:pPr>
            <w:r>
              <w:t>Unreliable eligibility criterion</w:t>
            </w:r>
          </w:p>
        </w:tc>
        <w:tc>
          <w:tcPr>
            <w:tcW w:w="0" w:type="auto"/>
          </w:tcPr>
          <w:p w14:paraId="75FB0D25" w14:textId="77777777" w:rsidR="001A6ECF" w:rsidRDefault="00000000" w:rsidP="00BD4822">
            <w:pPr>
              <w:pStyle w:val="Compact"/>
              <w:spacing w:before="100" w:beforeAutospacing="1" w:after="100" w:afterAutospacing="1"/>
              <w:jc w:val="both"/>
            </w:pPr>
            <w:r>
              <w:t xml:space="preserve">86.4% of trials </w:t>
            </w:r>
            <w:proofErr w:type="spellStart"/>
            <w:r>
              <w:t>enrol</w:t>
            </w:r>
            <w:proofErr w:type="spellEnd"/>
            <w:r>
              <w:t xml:space="preserve"> by </w:t>
            </w:r>
            <w:proofErr w:type="spellStart"/>
            <w:r>
              <w:t>Goligher</w:t>
            </w:r>
            <w:proofErr w:type="spellEnd"/>
            <w:r>
              <w:t xml:space="preserve"> grade, an instrument with fair interobserver agreement</w:t>
            </w:r>
          </w:p>
        </w:tc>
        <w:tc>
          <w:tcPr>
            <w:tcW w:w="0" w:type="auto"/>
          </w:tcPr>
          <w:p w14:paraId="3B344C83" w14:textId="77777777" w:rsidR="001A6ECF" w:rsidRDefault="00000000" w:rsidP="00BD4822">
            <w:pPr>
              <w:pStyle w:val="Compact"/>
              <w:spacing w:before="100" w:beforeAutospacing="1" w:after="100" w:afterAutospacing="1"/>
              <w:jc w:val="both"/>
            </w:pPr>
            <w:r>
              <w:t>Nominally identical populations may differ materially between trials</w:t>
            </w:r>
          </w:p>
        </w:tc>
        <w:tc>
          <w:tcPr>
            <w:tcW w:w="0" w:type="auto"/>
          </w:tcPr>
          <w:p w14:paraId="60681208" w14:textId="77777777" w:rsidR="001A6ECF" w:rsidRDefault="00000000" w:rsidP="00BD4822">
            <w:pPr>
              <w:pStyle w:val="Compact"/>
              <w:spacing w:before="100" w:beforeAutospacing="1" w:after="100" w:afterAutospacing="1"/>
              <w:jc w:val="both"/>
            </w:pPr>
            <w:r>
              <w:t xml:space="preserve">The entire </w:t>
            </w:r>
            <w:proofErr w:type="spellStart"/>
            <w:r>
              <w:t>randomised</w:t>
            </w:r>
            <w:proofErr w:type="spellEnd"/>
            <w:r>
              <w:t xml:space="preserve"> evidence base</w:t>
            </w:r>
          </w:p>
        </w:tc>
        <w:tc>
          <w:tcPr>
            <w:tcW w:w="0" w:type="auto"/>
          </w:tcPr>
          <w:p w14:paraId="1388B1F3" w14:textId="77777777" w:rsidR="001A6ECF" w:rsidRDefault="00000000" w:rsidP="00BD4822">
            <w:pPr>
              <w:pStyle w:val="Compact"/>
              <w:spacing w:before="100" w:beforeAutospacing="1" w:after="100" w:afterAutospacing="1"/>
              <w:jc w:val="both"/>
            </w:pPr>
            <w:r>
              <w:t>Dekker et al. (2022); van Oostendorp et al. (2025b)</w:t>
            </w:r>
          </w:p>
        </w:tc>
      </w:tr>
      <w:tr w:rsidR="001A6ECF" w14:paraId="0063AF2A" w14:textId="77777777" w:rsidTr="00BD4822">
        <w:tc>
          <w:tcPr>
            <w:tcW w:w="0" w:type="auto"/>
          </w:tcPr>
          <w:p w14:paraId="14B71227" w14:textId="77777777" w:rsidR="001A6ECF" w:rsidRDefault="00000000" w:rsidP="00BD4822">
            <w:pPr>
              <w:pStyle w:val="Compact"/>
              <w:spacing w:before="100" w:beforeAutospacing="1" w:after="100" w:afterAutospacing="1"/>
              <w:jc w:val="both"/>
            </w:pPr>
            <w:r>
              <w:t>Exclusion of high-risk populations</w:t>
            </w:r>
          </w:p>
        </w:tc>
        <w:tc>
          <w:tcPr>
            <w:tcW w:w="0" w:type="auto"/>
          </w:tcPr>
          <w:p w14:paraId="4E401EEF" w14:textId="77777777" w:rsidR="001A6ECF" w:rsidRDefault="00000000" w:rsidP="00BD4822">
            <w:pPr>
              <w:pStyle w:val="Compact"/>
              <w:spacing w:before="100" w:beforeAutospacing="1" w:after="100" w:afterAutospacing="1"/>
              <w:jc w:val="both"/>
            </w:pPr>
            <w:r>
              <w:t>Antithrombotic therapy, cirrhosis, pregnancy and significant comorbidity commonly excluded</w:t>
            </w:r>
          </w:p>
        </w:tc>
        <w:tc>
          <w:tcPr>
            <w:tcW w:w="0" w:type="auto"/>
          </w:tcPr>
          <w:p w14:paraId="0CEF9C95" w14:textId="77777777" w:rsidR="001A6ECF" w:rsidRDefault="00000000" w:rsidP="00BD4822">
            <w:pPr>
              <w:pStyle w:val="Compact"/>
              <w:spacing w:before="100" w:beforeAutospacing="1" w:after="100" w:afterAutospacing="1"/>
              <w:jc w:val="both"/>
            </w:pPr>
            <w:r>
              <w:t>Evidence is least available where the decision is most difficult</w:t>
            </w:r>
          </w:p>
        </w:tc>
        <w:tc>
          <w:tcPr>
            <w:tcW w:w="0" w:type="auto"/>
          </w:tcPr>
          <w:p w14:paraId="5F56A6DE" w14:textId="77777777" w:rsidR="001A6ECF" w:rsidRDefault="00000000" w:rsidP="00BD4822">
            <w:pPr>
              <w:pStyle w:val="Compact"/>
              <w:spacing w:before="100" w:beforeAutospacing="1" w:after="100" w:afterAutospacing="1"/>
              <w:jc w:val="both"/>
            </w:pPr>
            <w:r>
              <w:t>Comparative trials of all procedural modalities</w:t>
            </w:r>
          </w:p>
        </w:tc>
        <w:tc>
          <w:tcPr>
            <w:tcW w:w="0" w:type="auto"/>
          </w:tcPr>
          <w:p w14:paraId="1A4C68F8" w14:textId="77777777" w:rsidR="001A6ECF" w:rsidRDefault="00000000" w:rsidP="00BD4822">
            <w:pPr>
              <w:pStyle w:val="Compact"/>
              <w:spacing w:before="100" w:beforeAutospacing="1" w:after="100" w:afterAutospacing="1"/>
              <w:jc w:val="both"/>
            </w:pPr>
            <w:r>
              <w:t>Chen et al. (2023); Pata et al. (2023); Ponte et al. (2025)</w:t>
            </w:r>
          </w:p>
        </w:tc>
      </w:tr>
      <w:tr w:rsidR="001A6ECF" w14:paraId="12C71C79" w14:textId="77777777" w:rsidTr="00BD4822">
        <w:tc>
          <w:tcPr>
            <w:tcW w:w="0" w:type="auto"/>
          </w:tcPr>
          <w:p w14:paraId="0B439329" w14:textId="77777777" w:rsidR="001A6ECF" w:rsidRDefault="00000000" w:rsidP="00BD4822">
            <w:pPr>
              <w:pStyle w:val="Compact"/>
              <w:spacing w:before="100" w:beforeAutospacing="1" w:after="100" w:afterAutospacing="1"/>
              <w:jc w:val="both"/>
            </w:pPr>
            <w:r>
              <w:t>Geographical concentration</w:t>
            </w:r>
          </w:p>
        </w:tc>
        <w:tc>
          <w:tcPr>
            <w:tcW w:w="0" w:type="auto"/>
          </w:tcPr>
          <w:p w14:paraId="3A714883" w14:textId="77777777" w:rsidR="001A6ECF" w:rsidRDefault="00000000" w:rsidP="00BD4822">
            <w:pPr>
              <w:pStyle w:val="Compact"/>
              <w:spacing w:before="100" w:beforeAutospacing="1" w:after="100" w:afterAutospacing="1"/>
              <w:jc w:val="both"/>
            </w:pPr>
            <w:r>
              <w:t xml:space="preserve">Trial literature dominated by European and East Asian </w:t>
            </w:r>
            <w:proofErr w:type="spellStart"/>
            <w:r>
              <w:t>centres</w:t>
            </w:r>
            <w:proofErr w:type="spellEnd"/>
          </w:p>
        </w:tc>
        <w:tc>
          <w:tcPr>
            <w:tcW w:w="0" w:type="auto"/>
          </w:tcPr>
          <w:p w14:paraId="26F7AFC9" w14:textId="77777777" w:rsidR="001A6ECF" w:rsidRDefault="00000000" w:rsidP="00BD4822">
            <w:pPr>
              <w:pStyle w:val="Compact"/>
              <w:spacing w:before="100" w:beforeAutospacing="1" w:after="100" w:afterAutospacing="1"/>
              <w:jc w:val="both"/>
            </w:pPr>
            <w:r>
              <w:t>Technique-level recommendations may not transfer to different case mix and resource settings</w:t>
            </w:r>
          </w:p>
        </w:tc>
        <w:tc>
          <w:tcPr>
            <w:tcW w:w="0" w:type="auto"/>
          </w:tcPr>
          <w:p w14:paraId="071F7349" w14:textId="77777777" w:rsidR="001A6ECF" w:rsidRDefault="00000000" w:rsidP="00BD4822">
            <w:pPr>
              <w:pStyle w:val="Compact"/>
              <w:spacing w:before="100" w:beforeAutospacing="1" w:after="100" w:afterAutospacing="1"/>
              <w:jc w:val="both"/>
            </w:pPr>
            <w:r>
              <w:t>Surgical and office-based comparative evidence</w:t>
            </w:r>
          </w:p>
        </w:tc>
        <w:tc>
          <w:tcPr>
            <w:tcW w:w="0" w:type="auto"/>
          </w:tcPr>
          <w:p w14:paraId="5C967303" w14:textId="77777777" w:rsidR="001A6ECF" w:rsidRDefault="00000000" w:rsidP="00BD4822">
            <w:pPr>
              <w:pStyle w:val="Compact"/>
              <w:spacing w:before="100" w:beforeAutospacing="1" w:after="100" w:afterAutospacing="1"/>
              <w:jc w:val="both"/>
            </w:pPr>
            <w:r>
              <w:t>Mustapha et al. (2025); Xia et al. (2021)</w:t>
            </w:r>
          </w:p>
        </w:tc>
      </w:tr>
      <w:tr w:rsidR="001A6ECF" w14:paraId="16A53C4D" w14:textId="77777777" w:rsidTr="00BD4822">
        <w:tc>
          <w:tcPr>
            <w:tcW w:w="0" w:type="auto"/>
          </w:tcPr>
          <w:p w14:paraId="7B9C1463" w14:textId="77777777" w:rsidR="001A6ECF" w:rsidRDefault="00000000" w:rsidP="00BD4822">
            <w:pPr>
              <w:pStyle w:val="Compact"/>
              <w:spacing w:before="100" w:beforeAutospacing="1" w:after="100" w:afterAutospacing="1"/>
              <w:jc w:val="both"/>
            </w:pPr>
            <w:r>
              <w:t>Reliance on uncontrolled series for new technology</w:t>
            </w:r>
          </w:p>
        </w:tc>
        <w:tc>
          <w:tcPr>
            <w:tcW w:w="0" w:type="auto"/>
          </w:tcPr>
          <w:p w14:paraId="2DC71047" w14:textId="77777777" w:rsidR="001A6ECF" w:rsidRDefault="00000000" w:rsidP="00BD4822">
            <w:pPr>
              <w:pStyle w:val="Compact"/>
              <w:spacing w:before="100" w:beforeAutospacing="1" w:after="100" w:afterAutospacing="1"/>
              <w:jc w:val="both"/>
            </w:pPr>
            <w:r>
              <w:t>Radiofrequency ablation evidence comprising six non-</w:t>
            </w:r>
            <w:proofErr w:type="spellStart"/>
            <w:r>
              <w:t>randomised</w:t>
            </w:r>
            <w:proofErr w:type="spellEnd"/>
            <w:r>
              <w:t xml:space="preserve"> studies, certainty rated very low</w:t>
            </w:r>
          </w:p>
        </w:tc>
        <w:tc>
          <w:tcPr>
            <w:tcW w:w="0" w:type="auto"/>
          </w:tcPr>
          <w:p w14:paraId="48C84670" w14:textId="77777777" w:rsidR="001A6ECF" w:rsidRDefault="00000000" w:rsidP="00BD4822">
            <w:pPr>
              <w:pStyle w:val="Compact"/>
              <w:spacing w:before="100" w:beforeAutospacing="1" w:after="100" w:afterAutospacing="1"/>
              <w:jc w:val="both"/>
            </w:pPr>
            <w:proofErr w:type="spellStart"/>
            <w:r>
              <w:t>Favourable</w:t>
            </w:r>
            <w:proofErr w:type="spellEnd"/>
            <w:r>
              <w:t xml:space="preserve"> early estimates enter practice and guidelines before </w:t>
            </w:r>
            <w:proofErr w:type="spellStart"/>
            <w:r>
              <w:t>randomised</w:t>
            </w:r>
            <w:proofErr w:type="spellEnd"/>
            <w:r>
              <w:t xml:space="preserve"> correction</w:t>
            </w:r>
          </w:p>
        </w:tc>
        <w:tc>
          <w:tcPr>
            <w:tcW w:w="0" w:type="auto"/>
          </w:tcPr>
          <w:p w14:paraId="46431DF0" w14:textId="77777777" w:rsidR="001A6ECF" w:rsidRDefault="00000000" w:rsidP="00BD4822">
            <w:pPr>
              <w:pStyle w:val="Compact"/>
              <w:spacing w:before="100" w:beforeAutospacing="1" w:after="100" w:afterAutospacing="1"/>
              <w:jc w:val="both"/>
            </w:pPr>
            <w:r>
              <w:t xml:space="preserve">Radiofrequency ablation; laser </w:t>
            </w:r>
            <w:proofErr w:type="spellStart"/>
            <w:r>
              <w:t>haemorrhoidoplasty</w:t>
            </w:r>
            <w:proofErr w:type="spellEnd"/>
            <w:r>
              <w:t xml:space="preserve">; </w:t>
            </w:r>
            <w:proofErr w:type="spellStart"/>
            <w:r>
              <w:t>embolisation</w:t>
            </w:r>
            <w:proofErr w:type="spellEnd"/>
          </w:p>
        </w:tc>
        <w:tc>
          <w:tcPr>
            <w:tcW w:w="0" w:type="auto"/>
          </w:tcPr>
          <w:p w14:paraId="17E06591" w14:textId="77777777" w:rsidR="001A6ECF" w:rsidRDefault="00000000" w:rsidP="00BD4822">
            <w:pPr>
              <w:pStyle w:val="Compact"/>
              <w:spacing w:before="100" w:beforeAutospacing="1" w:after="100" w:afterAutospacing="1"/>
              <w:jc w:val="both"/>
            </w:pPr>
            <w:r>
              <w:t xml:space="preserve">Al </w:t>
            </w:r>
            <w:proofErr w:type="spellStart"/>
            <w:r>
              <w:t>Jnainati</w:t>
            </w:r>
            <w:proofErr w:type="spellEnd"/>
            <w:r>
              <w:t xml:space="preserve"> et al. (2025); Christodoulou et al. (2023); De Nardi et al. (2023)</w:t>
            </w:r>
          </w:p>
        </w:tc>
      </w:tr>
    </w:tbl>
    <w:p w14:paraId="5C071A88" w14:textId="77777777" w:rsidR="001A6ECF" w:rsidRDefault="00000000" w:rsidP="00BD4822">
      <w:pPr>
        <w:pStyle w:val="BodyText"/>
        <w:spacing w:before="100" w:beforeAutospacing="1" w:after="100" w:afterAutospacing="1"/>
        <w:jc w:val="both"/>
      </w:pPr>
      <w:r>
        <w:rPr>
          <w:i/>
          <w:iCs/>
        </w:rPr>
        <w:t>Note.</w:t>
      </w:r>
      <w:r>
        <w:t xml:space="preserve"> Information size denotes the number of participants required for a meta-analysis to reach a prespecified level of confidence in the estimated effect, as calculated within trial sequential analysis.</w:t>
      </w:r>
    </w:p>
    <w:p w14:paraId="1791B4F7" w14:textId="77777777" w:rsidR="001A6ECF" w:rsidRDefault="00000000" w:rsidP="00BD4822">
      <w:pPr>
        <w:pStyle w:val="Heading2"/>
        <w:spacing w:before="100" w:beforeAutospacing="1" w:after="100" w:afterAutospacing="1"/>
        <w:jc w:val="both"/>
      </w:pPr>
      <w:bookmarkStart w:id="39" w:name="Xf4a4f854d333153967ff85e14010fbb20c44d92"/>
      <w:bookmarkEnd w:id="35"/>
      <w:bookmarkEnd w:id="38"/>
      <w:r>
        <w:t>8. From Evidence to Practice: Guideline Divergence and Decision Structure</w:t>
      </w:r>
    </w:p>
    <w:p w14:paraId="4BD82E3D" w14:textId="77777777" w:rsidR="001A6ECF" w:rsidRDefault="00000000" w:rsidP="00BD4822">
      <w:pPr>
        <w:pStyle w:val="Heading3"/>
        <w:spacing w:before="100" w:beforeAutospacing="1" w:after="100" w:afterAutospacing="1"/>
        <w:jc w:val="both"/>
      </w:pPr>
      <w:bookmarkStart w:id="40" w:name="Xa70adbca5905d7bd32b97ae4af32a04051ebf6b"/>
      <w:r>
        <w:t>8.1 Where Guidance Converges and Where It Does Not</w:t>
      </w:r>
    </w:p>
    <w:p w14:paraId="3F72B114" w14:textId="77777777" w:rsidR="001A6ECF" w:rsidRDefault="00000000" w:rsidP="00BD4822">
      <w:pPr>
        <w:pStyle w:val="FirstParagraph"/>
        <w:spacing w:before="100" w:beforeAutospacing="1" w:after="100" w:afterAutospacing="1"/>
        <w:jc w:val="both"/>
      </w:pPr>
      <w:r>
        <w:t xml:space="preserve">Contemporary guidance documents agree on the fundamentals. All recommend dietary and </w:t>
      </w:r>
      <w:proofErr w:type="spellStart"/>
      <w:r>
        <w:t>behavioural</w:t>
      </w:r>
      <w:proofErr w:type="spellEnd"/>
      <w:r>
        <w:t xml:space="preserve"> measures as initial management, all endorse office-based procedures for low-grade disease that has failed conservative treatment, and all reserve excisional surgery for advanced prolapse or for failure of less invasive treatment (</w:t>
      </w:r>
      <w:proofErr w:type="spellStart"/>
      <w:r>
        <w:t>Brillantino</w:t>
      </w:r>
      <w:proofErr w:type="spellEnd"/>
      <w:r>
        <w:t xml:space="preserve"> et al., 2024; Gallo et al., 2020; Hawkins et al., 2024; Qureshi et al., 2026; van Tol et al., 2020; Yamana, 2017). Convergence at this level is unsurprising, since it reflects the parts of the evidence base that are least contested.</w:t>
      </w:r>
    </w:p>
    <w:p w14:paraId="2E001AB8" w14:textId="77777777" w:rsidR="001A6ECF" w:rsidRDefault="00000000" w:rsidP="00BD4822">
      <w:pPr>
        <w:pStyle w:val="BodyText"/>
        <w:spacing w:before="100" w:beforeAutospacing="1" w:after="100" w:afterAutospacing="1"/>
        <w:jc w:val="both"/>
      </w:pPr>
      <w:r>
        <w:t xml:space="preserve">Divergence appears in three areas. The first concerns the newer energy-based and endovascular techniques, which some documents treat as acceptable alternatives in selected patients and others as investigational, a difference attributable principally to the date of drafting relative to the accumulation of evidence. The second concerns sclerotherapy, whose position has strengthened considerably following the polidocanol foam literature and which is weighted </w:t>
      </w:r>
      <w:r>
        <w:lastRenderedPageBreak/>
        <w:t>differently depending on whether the guidance predates that reappraisal (Gallo et al., 2024). The third concerns the sequencing of banding and excision in grade III disease, where the choice depends on how a given panel resolves the recurrence-versus-morbidity trade-off and on the health-economic assumptions applied (Dekker et al., 2021; van Oostendorp et al., 2025a).</w:t>
      </w:r>
    </w:p>
    <w:p w14:paraId="550DBF23" w14:textId="77777777" w:rsidR="001A6ECF" w:rsidRDefault="00000000" w:rsidP="00BD4822">
      <w:pPr>
        <w:pStyle w:val="BodyText"/>
        <w:spacing w:before="100" w:beforeAutospacing="1" w:after="100" w:afterAutospacing="1"/>
        <w:jc w:val="both"/>
      </w:pPr>
      <w:r>
        <w:t>These divergences are not failures of guideline methodology. They arise because the underlying evidence supports a range of defensible positions, and because the trade-off between early morbidity and long-term durability has no evidence-determined solution. The appropriate response is to make the trade-off explicit to patients rather than to seek further consensus.</w:t>
      </w:r>
    </w:p>
    <w:p w14:paraId="0B6A87B2" w14:textId="77777777" w:rsidR="001A6ECF" w:rsidRDefault="00000000" w:rsidP="00BD4822">
      <w:pPr>
        <w:pStyle w:val="Heading3"/>
        <w:spacing w:before="100" w:beforeAutospacing="1" w:after="100" w:afterAutospacing="1"/>
        <w:jc w:val="both"/>
      </w:pPr>
      <w:bookmarkStart w:id="41" w:name="implications-for-decision-making"/>
      <w:bookmarkEnd w:id="40"/>
      <w:r>
        <w:t>8.2 Implications for Decision-Making</w:t>
      </w:r>
    </w:p>
    <w:p w14:paraId="10E4734F" w14:textId="77777777" w:rsidR="001A6ECF" w:rsidRDefault="00000000" w:rsidP="00BD4822">
      <w:pPr>
        <w:pStyle w:val="FirstParagraph"/>
        <w:spacing w:before="100" w:beforeAutospacing="1" w:after="100" w:afterAutospacing="1"/>
        <w:jc w:val="both"/>
      </w:pPr>
      <w:r>
        <w:t xml:space="preserve">Three practical propositions follow from the synthesis presented above. First, treatment selection should be </w:t>
      </w:r>
      <w:proofErr w:type="spellStart"/>
      <w:r>
        <w:t>organised</w:t>
      </w:r>
      <w:proofErr w:type="spellEnd"/>
      <w:r>
        <w:t xml:space="preserve"> around the dominant symptom rather than around the anatomical grade alone, since bleeding-predominant disease responds to interventions that do not address prolapse, and prolapse-predominant disease is poorly served by treatments directed at vascular inflow. This proposition is consistent with the evidence but has not been tested prospectively as a management strategy.</w:t>
      </w:r>
    </w:p>
    <w:p w14:paraId="272867A8" w14:textId="77777777" w:rsidR="001A6ECF" w:rsidRDefault="00000000" w:rsidP="00BD4822">
      <w:pPr>
        <w:pStyle w:val="BodyText"/>
        <w:spacing w:before="100" w:beforeAutospacing="1" w:after="100" w:afterAutospacing="1"/>
        <w:jc w:val="both"/>
      </w:pPr>
      <w:r>
        <w:t>Second, the expectation of repeated office-based treatment should be discussed before the first procedure rather than framed as failure afterwards. The recurrence differential between banding and arterial ligation was driven principally by additional procedures in the banding arm, a course that many patients would accept in preference to a single more invasive intervention (Brown et al., 2016).</w:t>
      </w:r>
    </w:p>
    <w:p w14:paraId="541D5639" w14:textId="77777777" w:rsidR="001A6ECF" w:rsidRDefault="00000000" w:rsidP="00BD4822">
      <w:pPr>
        <w:pStyle w:val="BodyText"/>
        <w:spacing w:before="100" w:beforeAutospacing="1" w:after="100" w:afterAutospacing="1"/>
        <w:jc w:val="both"/>
      </w:pPr>
      <w:r>
        <w:t>Third, patients considering excisional surgery should be informed that it offers the lowest recurrence of any available option and imposes the greatest early morbidity, and that closed technique with vessel sealing and avoidance of transfixion ligation of the pedicle is associated with less postoperative pain than conventional open excision with pedicle ligation (</w:t>
      </w:r>
      <w:proofErr w:type="spellStart"/>
      <w:r>
        <w:t>Balciscueta</w:t>
      </w:r>
      <w:proofErr w:type="spellEnd"/>
      <w:r>
        <w:t xml:space="preserve"> et al., 2021; Bhatti et al., 2016; Jin et al., 2021).</w:t>
      </w:r>
    </w:p>
    <w:p w14:paraId="04819969" w14:textId="77777777" w:rsidR="001A6ECF" w:rsidRDefault="00000000" w:rsidP="00BD4822">
      <w:pPr>
        <w:pStyle w:val="Heading2"/>
        <w:spacing w:before="100" w:beforeAutospacing="1" w:after="100" w:afterAutospacing="1"/>
        <w:jc w:val="both"/>
      </w:pPr>
      <w:bookmarkStart w:id="42" w:name="future-directions"/>
      <w:bookmarkEnd w:id="39"/>
      <w:bookmarkEnd w:id="41"/>
      <w:r>
        <w:t>9. Future Directions</w:t>
      </w:r>
    </w:p>
    <w:p w14:paraId="7AE6F64E" w14:textId="77777777" w:rsidR="001A6ECF" w:rsidRDefault="00000000" w:rsidP="00BD4822">
      <w:pPr>
        <w:pStyle w:val="Heading3"/>
        <w:spacing w:before="100" w:beforeAutospacing="1" w:after="100" w:afterAutospacing="1"/>
        <w:jc w:val="both"/>
      </w:pPr>
      <w:bookmarkStart w:id="43" w:name="immediate-priorities"/>
      <w:r>
        <w:t>9.1 Immediate Priorities</w:t>
      </w:r>
    </w:p>
    <w:p w14:paraId="09841223" w14:textId="77777777" w:rsidR="001A6ECF" w:rsidRDefault="00000000" w:rsidP="00BD4822">
      <w:pPr>
        <w:pStyle w:val="FirstParagraph"/>
        <w:spacing w:before="100" w:beforeAutospacing="1" w:after="100" w:afterAutospacing="1"/>
        <w:jc w:val="both"/>
      </w:pPr>
      <w:r>
        <w:t xml:space="preserve">The most tractable and highest-yield priority is outcome </w:t>
      </w:r>
      <w:proofErr w:type="spellStart"/>
      <w:r>
        <w:t>standardisation</w:t>
      </w:r>
      <w:proofErr w:type="spellEnd"/>
      <w:r>
        <w:t>. A core outcome set already exists (van Tol et al., 2019), and validated symptom and impact measures are available in more than one language (Kuiper et al., 2022; Kuiper et al., 2023; Rørvik et al., 2019). What is absent is any mechanism obliging their use. The unresolved problem is that trials remain non-comparable; the current evidence is inadequate because pooling combines distinct constructs under a single label; and the appropriate remedy is not a new instrument but a coordinated requirement, applied through trial registries, ethics review and journal policy, that comparative studies report the core domains using a named validated measure with a prespecified recurrence definition and a minimum follow-up of two years. Such a change would materially advance the field by making the next decade of trials cumulative rather than merely additive, and it requires no new technology or funding.</w:t>
      </w:r>
    </w:p>
    <w:p w14:paraId="2AB88FAC" w14:textId="77777777" w:rsidR="001A6ECF" w:rsidRDefault="00000000" w:rsidP="00BD4822">
      <w:pPr>
        <w:pStyle w:val="BodyText"/>
        <w:spacing w:before="100" w:beforeAutospacing="1" w:after="100" w:afterAutospacing="1"/>
        <w:jc w:val="both"/>
      </w:pPr>
      <w:r>
        <w:t xml:space="preserve">The second immediate priority is a reliable classification. Interobserver agreement of 0.376 in a scheme that determines eligibility for 86% of </w:t>
      </w:r>
      <w:proofErr w:type="spellStart"/>
      <w:r>
        <w:t>randomised</w:t>
      </w:r>
      <w:proofErr w:type="spellEnd"/>
      <w:r>
        <w:t xml:space="preserve"> trials is an unacceptable foundation (Dekker et al., 2022; van Oostendorp et al., 2025b). The requirement is a multidimensional instrument capturing prolapse, bleeding and impact, developed through international consensus </w:t>
      </w:r>
      <w:r>
        <w:lastRenderedPageBreak/>
        <w:t xml:space="preserve">involving patients as well as clinicians, and then tested for interobserver reliability in a </w:t>
      </w:r>
      <w:proofErr w:type="spellStart"/>
      <w:r>
        <w:t>multicentre</w:t>
      </w:r>
      <w:proofErr w:type="spellEnd"/>
      <w:r>
        <w:t xml:space="preserve"> sample using </w:t>
      </w:r>
      <w:proofErr w:type="spellStart"/>
      <w:r>
        <w:t>standardised</w:t>
      </w:r>
      <w:proofErr w:type="spellEnd"/>
      <w:r>
        <w:t xml:space="preserve"> examination conditions rather than photographs, since photographic assessment removes the dynamic component that clinicians actually use. The relevant outcome measures are the kappa statistic across grades and, critically, the incremental value of the new instrument over </w:t>
      </w:r>
      <w:proofErr w:type="spellStart"/>
      <w:r>
        <w:t>Goligher</w:t>
      </w:r>
      <w:proofErr w:type="spellEnd"/>
      <w:r>
        <w:t xml:space="preserve"> grading in predicting treatment response.</w:t>
      </w:r>
    </w:p>
    <w:p w14:paraId="056C93DA" w14:textId="77777777" w:rsidR="001A6ECF" w:rsidRDefault="00000000" w:rsidP="00BD4822">
      <w:pPr>
        <w:pStyle w:val="BodyText"/>
        <w:spacing w:before="100" w:beforeAutospacing="1" w:after="100" w:afterAutospacing="1"/>
        <w:jc w:val="both"/>
      </w:pPr>
      <w:r>
        <w:t xml:space="preserve">The third immediate priority is adequately powered </w:t>
      </w:r>
      <w:proofErr w:type="spellStart"/>
      <w:r>
        <w:t>randomised</w:t>
      </w:r>
      <w:proofErr w:type="spellEnd"/>
      <w:r>
        <w:t xml:space="preserve"> comparison of the newer minimally invasive modalities against established office-based treatment. Laser </w:t>
      </w:r>
      <w:proofErr w:type="spellStart"/>
      <w:r>
        <w:t>haemorrhoidoplasty</w:t>
      </w:r>
      <w:proofErr w:type="spellEnd"/>
      <w:r>
        <w:t xml:space="preserve"> and radiofrequency ablation have entered practice on the strength of uncontrolled series (Christodoulou et al., 2023; De Nardi et al., 2023), and superior rectal artery </w:t>
      </w:r>
      <w:proofErr w:type="spellStart"/>
      <w:r>
        <w:t>embolisation</w:t>
      </w:r>
      <w:proofErr w:type="spellEnd"/>
      <w:r>
        <w:t xml:space="preserve"> has been evaluated in only two small comparative studies (Al </w:t>
      </w:r>
      <w:proofErr w:type="spellStart"/>
      <w:r>
        <w:t>Jnainati</w:t>
      </w:r>
      <w:proofErr w:type="spellEnd"/>
      <w:r>
        <w:t xml:space="preserve"> et al., 2025). The appropriate design is a </w:t>
      </w:r>
      <w:proofErr w:type="spellStart"/>
      <w:r>
        <w:t>multicentre</w:t>
      </w:r>
      <w:proofErr w:type="spellEnd"/>
      <w:r>
        <w:t xml:space="preserve"> </w:t>
      </w:r>
      <w:proofErr w:type="spellStart"/>
      <w:r>
        <w:t>randomised</w:t>
      </w:r>
      <w:proofErr w:type="spellEnd"/>
      <w:r>
        <w:t xml:space="preserve"> trial with banding or foam sclerotherapy as comparator, recurrence at two years as the primary outcome under a prespecified definition, patient-reported symptom and impact scores as co-primary or key secondary outcomes, and embedded economic evaluation. Trial sequential analysis at the design stage should be used to specify the required information size, given the demonstrated tendency of this literature to accumulate underpowered comparisons (Lauricella et al., 2026).</w:t>
      </w:r>
    </w:p>
    <w:p w14:paraId="3170C7EC" w14:textId="77777777" w:rsidR="001A6ECF" w:rsidRDefault="00000000" w:rsidP="00BD4822">
      <w:pPr>
        <w:pStyle w:val="Heading3"/>
        <w:spacing w:before="100" w:beforeAutospacing="1" w:after="100" w:afterAutospacing="1"/>
        <w:jc w:val="both"/>
      </w:pPr>
      <w:bookmarkStart w:id="44" w:name="longer-term-research-needs"/>
      <w:bookmarkEnd w:id="43"/>
      <w:r>
        <w:t>9.2 Longer-Term Research Needs</w:t>
      </w:r>
    </w:p>
    <w:p w14:paraId="4EB26547" w14:textId="77777777" w:rsidR="001A6ECF" w:rsidRDefault="00000000" w:rsidP="00BD4822">
      <w:pPr>
        <w:pStyle w:val="FirstParagraph"/>
        <w:spacing w:before="100" w:beforeAutospacing="1" w:after="100" w:afterAutospacing="1"/>
        <w:jc w:val="both"/>
      </w:pPr>
      <w:r>
        <w:t xml:space="preserve">Mechanistic stratification is the principal longer-term objective. The genetic evidence establishes a constitutional contribution and provides a polygenic risk score that correlates with earlier onset and with recurrent surgery, yet it has never been evaluated prospectively as a predictor of treatment failure (Zheng et al., 2021). The unresolved question is whether patients with high constitutional risk require different initial treatment. The appropriate design is a prospective cohort embedded within a </w:t>
      </w:r>
      <w:proofErr w:type="spellStart"/>
      <w:r>
        <w:t>randomised</w:t>
      </w:r>
      <w:proofErr w:type="spellEnd"/>
      <w:r>
        <w:t xml:space="preserve"> trial, with genotyping at baseline and recurrence as the outcome, and with sufficient duration to capture late failure. The scale required is substantial, which argues for embedding within an existing </w:t>
      </w:r>
      <w:proofErr w:type="spellStart"/>
      <w:r>
        <w:t>multicentre</w:t>
      </w:r>
      <w:proofErr w:type="spellEnd"/>
      <w:r>
        <w:t xml:space="preserve"> platform rather than for a standalone study.</w:t>
      </w:r>
    </w:p>
    <w:p w14:paraId="2CE425A4" w14:textId="77777777" w:rsidR="001A6ECF" w:rsidRDefault="00000000" w:rsidP="00BD4822">
      <w:pPr>
        <w:pStyle w:val="BodyText"/>
        <w:spacing w:before="100" w:beforeAutospacing="1" w:after="100" w:afterAutospacing="1"/>
        <w:jc w:val="both"/>
      </w:pPr>
      <w:r>
        <w:t xml:space="preserve">A second longer-term need concerns the relationship between anorectal function and </w:t>
      </w:r>
      <w:proofErr w:type="spellStart"/>
      <w:r>
        <w:t>haemorrhoidal</w:t>
      </w:r>
      <w:proofErr w:type="spellEnd"/>
      <w:r>
        <w:t xml:space="preserve"> recurrence. Anal pressures are higher in patients with </w:t>
      </w:r>
      <w:proofErr w:type="spellStart"/>
      <w:r>
        <w:t>haemorrhoids</w:t>
      </w:r>
      <w:proofErr w:type="spellEnd"/>
      <w:r>
        <w:t xml:space="preserve"> and remain elevated after band ligation (</w:t>
      </w:r>
      <w:proofErr w:type="spellStart"/>
      <w:r>
        <w:t>Kalkdijk</w:t>
      </w:r>
      <w:proofErr w:type="spellEnd"/>
      <w:r>
        <w:t xml:space="preserve"> et al., 2022). Whether correcting </w:t>
      </w:r>
      <w:proofErr w:type="spellStart"/>
      <w:r>
        <w:t>dyssynergic</w:t>
      </w:r>
      <w:proofErr w:type="spellEnd"/>
      <w:r>
        <w:t xml:space="preserve"> </w:t>
      </w:r>
      <w:proofErr w:type="spellStart"/>
      <w:r>
        <w:t>defaecation</w:t>
      </w:r>
      <w:proofErr w:type="spellEnd"/>
      <w:r>
        <w:t xml:space="preserve"> through biofeedback reduces recurrence has never been tested, and the question is answerable with a conventional </w:t>
      </w:r>
      <w:proofErr w:type="spellStart"/>
      <w:r>
        <w:t>randomised</w:t>
      </w:r>
      <w:proofErr w:type="spellEnd"/>
      <w:r>
        <w:t xml:space="preserve"> design comparing standard treatment with standard treatment plus structured pelvic floor retraining, using recurrence at two years as the primary outcome. A positive result would shift a proportion of management from the procedural to the </w:t>
      </w:r>
      <w:proofErr w:type="spellStart"/>
      <w:r>
        <w:t>behavioural</w:t>
      </w:r>
      <w:proofErr w:type="spellEnd"/>
      <w:r>
        <w:t xml:space="preserve"> domain, with obvious implications for cost and for capacity.</w:t>
      </w:r>
    </w:p>
    <w:p w14:paraId="4784DE0B" w14:textId="77777777" w:rsidR="001A6ECF" w:rsidRDefault="00000000" w:rsidP="00BD4822">
      <w:pPr>
        <w:pStyle w:val="BodyText"/>
        <w:spacing w:before="100" w:beforeAutospacing="1" w:after="100" w:afterAutospacing="1"/>
        <w:jc w:val="both"/>
      </w:pPr>
      <w:r>
        <w:t xml:space="preserve">A third need concerns populations excluded from current evidence. Patients on antithrombotic therapy, those with cirrhosis, those with inflammatory bowel disease and pregnant women require evidence generated within their own populations rather than extrapolated (Chen et al., 2023; Pata et al., 2023; Ponte et al., 2025). Prospective registry designs with </w:t>
      </w:r>
      <w:proofErr w:type="spellStart"/>
      <w:r>
        <w:t>harmonised</w:t>
      </w:r>
      <w:proofErr w:type="spellEnd"/>
      <w:r>
        <w:t xml:space="preserve"> data elements are more feasible than </w:t>
      </w:r>
      <w:proofErr w:type="spellStart"/>
      <w:r>
        <w:t>randomisation</w:t>
      </w:r>
      <w:proofErr w:type="spellEnd"/>
      <w:r>
        <w:t xml:space="preserve"> in several of these groups and would permit assessment of uncommon but serious complications that no single trial can address, including delayed </w:t>
      </w:r>
      <w:proofErr w:type="spellStart"/>
      <w:r>
        <w:t>haemorrhage</w:t>
      </w:r>
      <w:proofErr w:type="spellEnd"/>
      <w:r>
        <w:t xml:space="preserve"> after banding and pelvic sepsis.</w:t>
      </w:r>
    </w:p>
    <w:p w14:paraId="4F472130" w14:textId="77777777" w:rsidR="001A6ECF" w:rsidRDefault="00000000" w:rsidP="00BD4822">
      <w:pPr>
        <w:pStyle w:val="BodyText"/>
        <w:spacing w:before="100" w:beforeAutospacing="1" w:after="100" w:afterAutospacing="1"/>
        <w:jc w:val="both"/>
      </w:pPr>
      <w:r>
        <w:t xml:space="preserve">A fourth need concerns the natural history of untreated disease. The high proportion of asymptomatic anatomical </w:t>
      </w:r>
      <w:proofErr w:type="spellStart"/>
      <w:r>
        <w:t>haemorrhoids</w:t>
      </w:r>
      <w:proofErr w:type="spellEnd"/>
      <w:r>
        <w:t xml:space="preserve"> in screening populations indicates that progression is not inevitable (Riss et al., 2012), yet no prospective cohort has </w:t>
      </w:r>
      <w:proofErr w:type="spellStart"/>
      <w:r>
        <w:t>characterised</w:t>
      </w:r>
      <w:proofErr w:type="spellEnd"/>
      <w:r>
        <w:t xml:space="preserve"> the trajectory of untreated symptomatic disease over several years. Without this, the counterfactual against which </w:t>
      </w:r>
      <w:r>
        <w:lastRenderedPageBreak/>
        <w:t>all interventions are implicitly judged remains unspecified, and it is impossible to determine what proportion of apparent treatment success reflects the natural fluctuation of a relapsing and remitting condition.</w:t>
      </w:r>
    </w:p>
    <w:p w14:paraId="76D11C6E" w14:textId="77777777" w:rsidR="001A6ECF" w:rsidRDefault="00000000" w:rsidP="00BD4822">
      <w:pPr>
        <w:pStyle w:val="BodyText"/>
        <w:spacing w:before="100" w:beforeAutospacing="1" w:after="100" w:afterAutospacing="1"/>
        <w:jc w:val="both"/>
      </w:pPr>
      <w:r>
        <w:t>Table 5 sets out these priorities with the corresponding evidence deficits and proposed designs.</w:t>
      </w:r>
    </w:p>
    <w:p w14:paraId="4F3C9AAD" w14:textId="77777777" w:rsidR="001A6ECF" w:rsidRDefault="00000000" w:rsidP="00BD4822">
      <w:pPr>
        <w:pStyle w:val="BodyText"/>
        <w:spacing w:before="100" w:beforeAutospacing="1" w:after="100" w:afterAutospacing="1"/>
        <w:jc w:val="both"/>
      </w:pPr>
      <w:r>
        <w:rPr>
          <w:b/>
          <w:bCs/>
        </w:rPr>
        <w:t>Table 5.</w:t>
      </w:r>
      <w:r>
        <w:t xml:space="preserve"> Research priorities in </w:t>
      </w:r>
      <w:proofErr w:type="spellStart"/>
      <w:r>
        <w:t>haemorrhoidal</w:t>
      </w:r>
      <w:proofErr w:type="spellEnd"/>
      <w:r>
        <w:t xml:space="preserve"> disease with corresponding evidence deficits and proposed designs</w:t>
      </w:r>
    </w:p>
    <w:tbl>
      <w:tblPr>
        <w:tblStyle w:val="TableGrid"/>
        <w:tblW w:w="5000" w:type="pct"/>
        <w:tblLook w:val="0020" w:firstRow="1" w:lastRow="0" w:firstColumn="0" w:lastColumn="0" w:noHBand="0" w:noVBand="0"/>
      </w:tblPr>
      <w:tblGrid>
        <w:gridCol w:w="1585"/>
        <w:gridCol w:w="1833"/>
        <w:gridCol w:w="1927"/>
        <w:gridCol w:w="2309"/>
        <w:gridCol w:w="1019"/>
        <w:gridCol w:w="1521"/>
      </w:tblGrid>
      <w:tr w:rsidR="001A6ECF" w14:paraId="14DE18DA" w14:textId="77777777" w:rsidTr="00BD4822">
        <w:tc>
          <w:tcPr>
            <w:tcW w:w="0" w:type="auto"/>
          </w:tcPr>
          <w:p w14:paraId="6306BC48" w14:textId="77777777" w:rsidR="001A6ECF" w:rsidRDefault="00000000" w:rsidP="00BD4822">
            <w:pPr>
              <w:pStyle w:val="Compact"/>
              <w:spacing w:before="100" w:beforeAutospacing="1" w:after="100" w:afterAutospacing="1"/>
              <w:jc w:val="both"/>
            </w:pPr>
            <w:r>
              <w:t>Priority</w:t>
            </w:r>
          </w:p>
        </w:tc>
        <w:tc>
          <w:tcPr>
            <w:tcW w:w="0" w:type="auto"/>
          </w:tcPr>
          <w:p w14:paraId="14720368" w14:textId="77777777" w:rsidR="001A6ECF" w:rsidRDefault="00000000" w:rsidP="00BD4822">
            <w:pPr>
              <w:pStyle w:val="Compact"/>
              <w:spacing w:before="100" w:beforeAutospacing="1" w:after="100" w:afterAutospacing="1"/>
              <w:jc w:val="both"/>
            </w:pPr>
            <w:r>
              <w:t>Unresolved problem</w:t>
            </w:r>
          </w:p>
        </w:tc>
        <w:tc>
          <w:tcPr>
            <w:tcW w:w="0" w:type="auto"/>
          </w:tcPr>
          <w:p w14:paraId="74F959CF" w14:textId="77777777" w:rsidR="001A6ECF" w:rsidRDefault="00000000" w:rsidP="00BD4822">
            <w:pPr>
              <w:pStyle w:val="Compact"/>
              <w:spacing w:before="100" w:beforeAutospacing="1" w:after="100" w:afterAutospacing="1"/>
              <w:jc w:val="both"/>
            </w:pPr>
            <w:r>
              <w:t>Why current evidence is inadequate</w:t>
            </w:r>
          </w:p>
        </w:tc>
        <w:tc>
          <w:tcPr>
            <w:tcW w:w="0" w:type="auto"/>
          </w:tcPr>
          <w:p w14:paraId="1CF760C6" w14:textId="77777777" w:rsidR="001A6ECF" w:rsidRDefault="00000000" w:rsidP="00BD4822">
            <w:pPr>
              <w:pStyle w:val="Compact"/>
              <w:spacing w:before="100" w:beforeAutospacing="1" w:after="100" w:afterAutospacing="1"/>
              <w:jc w:val="both"/>
            </w:pPr>
            <w:r>
              <w:t>Proposed design and key outcome</w:t>
            </w:r>
          </w:p>
        </w:tc>
        <w:tc>
          <w:tcPr>
            <w:tcW w:w="0" w:type="auto"/>
          </w:tcPr>
          <w:p w14:paraId="59484819" w14:textId="77777777" w:rsidR="001A6ECF" w:rsidRDefault="00000000" w:rsidP="00BD4822">
            <w:pPr>
              <w:pStyle w:val="Compact"/>
              <w:spacing w:before="100" w:beforeAutospacing="1" w:after="100" w:afterAutospacing="1"/>
              <w:jc w:val="both"/>
            </w:pPr>
            <w:r>
              <w:t>Timescale</w:t>
            </w:r>
          </w:p>
        </w:tc>
        <w:tc>
          <w:tcPr>
            <w:tcW w:w="0" w:type="auto"/>
          </w:tcPr>
          <w:p w14:paraId="4502BB74" w14:textId="77777777" w:rsidR="001A6ECF" w:rsidRDefault="00000000" w:rsidP="00BD4822">
            <w:pPr>
              <w:pStyle w:val="Compact"/>
              <w:spacing w:before="100" w:beforeAutospacing="1" w:after="100" w:afterAutospacing="1"/>
              <w:jc w:val="both"/>
            </w:pPr>
            <w:r>
              <w:t>Supporting references</w:t>
            </w:r>
          </w:p>
        </w:tc>
      </w:tr>
      <w:tr w:rsidR="001A6ECF" w14:paraId="61B45202" w14:textId="77777777" w:rsidTr="00BD4822">
        <w:tc>
          <w:tcPr>
            <w:tcW w:w="0" w:type="auto"/>
          </w:tcPr>
          <w:p w14:paraId="276C1027" w14:textId="77777777" w:rsidR="001A6ECF" w:rsidRDefault="00000000" w:rsidP="00BD4822">
            <w:pPr>
              <w:pStyle w:val="Compact"/>
              <w:spacing w:before="100" w:beforeAutospacing="1" w:after="100" w:afterAutospacing="1"/>
              <w:jc w:val="both"/>
            </w:pPr>
            <w:r>
              <w:t xml:space="preserve">Outcome </w:t>
            </w:r>
            <w:proofErr w:type="spellStart"/>
            <w:r>
              <w:t>standardisation</w:t>
            </w:r>
            <w:proofErr w:type="spellEnd"/>
          </w:p>
        </w:tc>
        <w:tc>
          <w:tcPr>
            <w:tcW w:w="0" w:type="auto"/>
          </w:tcPr>
          <w:p w14:paraId="77B48168" w14:textId="77777777" w:rsidR="001A6ECF" w:rsidRDefault="00000000" w:rsidP="00BD4822">
            <w:pPr>
              <w:pStyle w:val="Compact"/>
              <w:spacing w:before="100" w:beforeAutospacing="1" w:after="100" w:afterAutospacing="1"/>
              <w:jc w:val="both"/>
            </w:pPr>
            <w:r>
              <w:t>Trials are not comparable because recurrence and symptom outcomes are defined inconsistently</w:t>
            </w:r>
          </w:p>
        </w:tc>
        <w:tc>
          <w:tcPr>
            <w:tcW w:w="0" w:type="auto"/>
          </w:tcPr>
          <w:p w14:paraId="62D5596E" w14:textId="77777777" w:rsidR="001A6ECF" w:rsidRDefault="00000000" w:rsidP="00BD4822">
            <w:pPr>
              <w:pStyle w:val="Compact"/>
              <w:spacing w:before="100" w:beforeAutospacing="1" w:after="100" w:afterAutospacing="1"/>
              <w:jc w:val="both"/>
            </w:pPr>
            <w:r>
              <w:t>Core outcome set exists but recurrence is reported in only 42% of trials and definitions vary</w:t>
            </w:r>
          </w:p>
        </w:tc>
        <w:tc>
          <w:tcPr>
            <w:tcW w:w="0" w:type="auto"/>
          </w:tcPr>
          <w:p w14:paraId="2DD4CB78" w14:textId="77777777" w:rsidR="001A6ECF" w:rsidRDefault="00000000" w:rsidP="00BD4822">
            <w:pPr>
              <w:pStyle w:val="Compact"/>
              <w:spacing w:before="100" w:beforeAutospacing="1" w:after="100" w:afterAutospacing="1"/>
              <w:jc w:val="both"/>
            </w:pPr>
            <w:r>
              <w:t>Coordinated requirement through registries, ethics review and journals for named validated measures, prespecified recurrence definition and minimum 2-year follow-up</w:t>
            </w:r>
          </w:p>
        </w:tc>
        <w:tc>
          <w:tcPr>
            <w:tcW w:w="0" w:type="auto"/>
          </w:tcPr>
          <w:p w14:paraId="578E93C2" w14:textId="77777777" w:rsidR="001A6ECF" w:rsidRDefault="00000000" w:rsidP="00BD4822">
            <w:pPr>
              <w:pStyle w:val="Compact"/>
              <w:spacing w:before="100" w:beforeAutospacing="1" w:after="100" w:afterAutospacing="1"/>
              <w:jc w:val="both"/>
            </w:pPr>
            <w:r>
              <w:t>Immediate</w:t>
            </w:r>
          </w:p>
        </w:tc>
        <w:tc>
          <w:tcPr>
            <w:tcW w:w="0" w:type="auto"/>
          </w:tcPr>
          <w:p w14:paraId="13C7592A" w14:textId="77777777" w:rsidR="001A6ECF" w:rsidRDefault="00000000" w:rsidP="00BD4822">
            <w:pPr>
              <w:pStyle w:val="Compact"/>
              <w:spacing w:before="100" w:beforeAutospacing="1" w:after="100" w:afterAutospacing="1"/>
              <w:jc w:val="both"/>
            </w:pPr>
            <w:r>
              <w:t>van Oostendorp et al. (2025b); van Tol et al. (2019)</w:t>
            </w:r>
          </w:p>
        </w:tc>
      </w:tr>
      <w:tr w:rsidR="001A6ECF" w14:paraId="4275D6CD" w14:textId="77777777" w:rsidTr="00BD4822">
        <w:tc>
          <w:tcPr>
            <w:tcW w:w="0" w:type="auto"/>
          </w:tcPr>
          <w:p w14:paraId="5DBB07F1" w14:textId="77777777" w:rsidR="001A6ECF" w:rsidRDefault="00000000" w:rsidP="00BD4822">
            <w:pPr>
              <w:pStyle w:val="Compact"/>
              <w:spacing w:before="100" w:beforeAutospacing="1" w:after="100" w:afterAutospacing="1"/>
              <w:jc w:val="both"/>
            </w:pPr>
            <w:r>
              <w:t>Reliable multidimensional classification</w:t>
            </w:r>
          </w:p>
        </w:tc>
        <w:tc>
          <w:tcPr>
            <w:tcW w:w="0" w:type="auto"/>
          </w:tcPr>
          <w:p w14:paraId="6B2C93FF" w14:textId="77777777" w:rsidR="001A6ECF" w:rsidRDefault="00000000" w:rsidP="00BD4822">
            <w:pPr>
              <w:pStyle w:val="Compact"/>
              <w:spacing w:before="100" w:beforeAutospacing="1" w:after="100" w:afterAutospacing="1"/>
              <w:jc w:val="both"/>
            </w:pPr>
            <w:r>
              <w:t>Eligibility and treatment allocation rest on an instrument with fair interobserver agreement</w:t>
            </w:r>
          </w:p>
        </w:tc>
        <w:tc>
          <w:tcPr>
            <w:tcW w:w="0" w:type="auto"/>
          </w:tcPr>
          <w:p w14:paraId="2836899C" w14:textId="77777777" w:rsidR="001A6ECF" w:rsidRDefault="00000000" w:rsidP="00BD4822">
            <w:pPr>
              <w:pStyle w:val="Compact"/>
              <w:spacing w:before="100" w:beforeAutospacing="1" w:after="100" w:afterAutospacing="1"/>
              <w:jc w:val="both"/>
            </w:pPr>
            <w:r>
              <w:t>Overall kappa 0.376, lowest at the grades where decisions are most contested; alternatives untested independently</w:t>
            </w:r>
          </w:p>
        </w:tc>
        <w:tc>
          <w:tcPr>
            <w:tcW w:w="0" w:type="auto"/>
          </w:tcPr>
          <w:p w14:paraId="4F49F5C5" w14:textId="77777777" w:rsidR="001A6ECF" w:rsidRDefault="00000000" w:rsidP="00BD4822">
            <w:pPr>
              <w:pStyle w:val="Compact"/>
              <w:spacing w:before="100" w:beforeAutospacing="1" w:after="100" w:afterAutospacing="1"/>
              <w:jc w:val="both"/>
            </w:pPr>
            <w:r>
              <w:t xml:space="preserve">International consensus development including patients, followed by </w:t>
            </w:r>
            <w:proofErr w:type="spellStart"/>
            <w:r>
              <w:t>multicentre</w:t>
            </w:r>
            <w:proofErr w:type="spellEnd"/>
            <w:r>
              <w:t xml:space="preserve"> interobserver testing under </w:t>
            </w:r>
            <w:proofErr w:type="spellStart"/>
            <w:r>
              <w:t>standardised</w:t>
            </w:r>
            <w:proofErr w:type="spellEnd"/>
            <w:r>
              <w:t xml:space="preserve"> live examination; outcome is kappa and incremental predictive value over </w:t>
            </w:r>
            <w:proofErr w:type="spellStart"/>
            <w:r>
              <w:t>Goligher</w:t>
            </w:r>
            <w:proofErr w:type="spellEnd"/>
            <w:r>
              <w:t xml:space="preserve"> grading</w:t>
            </w:r>
          </w:p>
        </w:tc>
        <w:tc>
          <w:tcPr>
            <w:tcW w:w="0" w:type="auto"/>
          </w:tcPr>
          <w:p w14:paraId="63666712" w14:textId="77777777" w:rsidR="001A6ECF" w:rsidRDefault="00000000" w:rsidP="00BD4822">
            <w:pPr>
              <w:pStyle w:val="Compact"/>
              <w:spacing w:before="100" w:beforeAutospacing="1" w:after="100" w:afterAutospacing="1"/>
              <w:jc w:val="both"/>
            </w:pPr>
            <w:r>
              <w:t>Immediate to medium</w:t>
            </w:r>
          </w:p>
        </w:tc>
        <w:tc>
          <w:tcPr>
            <w:tcW w:w="0" w:type="auto"/>
          </w:tcPr>
          <w:p w14:paraId="6A8D1BF1" w14:textId="77777777" w:rsidR="001A6ECF" w:rsidRDefault="00000000" w:rsidP="00BD4822">
            <w:pPr>
              <w:pStyle w:val="Compact"/>
              <w:spacing w:before="100" w:beforeAutospacing="1" w:after="100" w:afterAutospacing="1"/>
              <w:jc w:val="both"/>
            </w:pPr>
            <w:r>
              <w:t>Dekker et al. (2022); Sobrado et al. (2021); van Oostendorp et al. (2025b)</w:t>
            </w:r>
          </w:p>
        </w:tc>
      </w:tr>
      <w:tr w:rsidR="001A6ECF" w14:paraId="123B3DC6" w14:textId="77777777" w:rsidTr="00BD4822">
        <w:tc>
          <w:tcPr>
            <w:tcW w:w="0" w:type="auto"/>
          </w:tcPr>
          <w:p w14:paraId="3DBE3FAE" w14:textId="77777777" w:rsidR="001A6ECF" w:rsidRDefault="00000000" w:rsidP="00BD4822">
            <w:pPr>
              <w:pStyle w:val="Compact"/>
              <w:spacing w:before="100" w:beforeAutospacing="1" w:after="100" w:afterAutospacing="1"/>
              <w:jc w:val="both"/>
            </w:pPr>
            <w:proofErr w:type="spellStart"/>
            <w:r>
              <w:t>Randomised</w:t>
            </w:r>
            <w:proofErr w:type="spellEnd"/>
            <w:r>
              <w:t xml:space="preserve"> evaluation of newer modalities</w:t>
            </w:r>
          </w:p>
        </w:tc>
        <w:tc>
          <w:tcPr>
            <w:tcW w:w="0" w:type="auto"/>
          </w:tcPr>
          <w:p w14:paraId="469DBB72" w14:textId="77777777" w:rsidR="001A6ECF" w:rsidRDefault="00000000" w:rsidP="00BD4822">
            <w:pPr>
              <w:pStyle w:val="Compact"/>
              <w:spacing w:before="100" w:beforeAutospacing="1" w:after="100" w:afterAutospacing="1"/>
              <w:jc w:val="both"/>
            </w:pPr>
            <w:r>
              <w:t xml:space="preserve">Laser, radiofrequency and </w:t>
            </w:r>
            <w:proofErr w:type="spellStart"/>
            <w:r>
              <w:t>embolisation</w:t>
            </w:r>
            <w:proofErr w:type="spellEnd"/>
            <w:r>
              <w:t xml:space="preserve"> are in practice without controlled comparison against office-based treatment</w:t>
            </w:r>
          </w:p>
        </w:tc>
        <w:tc>
          <w:tcPr>
            <w:tcW w:w="0" w:type="auto"/>
          </w:tcPr>
          <w:p w14:paraId="2C2CD7F6" w14:textId="77777777" w:rsidR="001A6ECF" w:rsidRDefault="00000000" w:rsidP="00BD4822">
            <w:pPr>
              <w:pStyle w:val="Compact"/>
              <w:spacing w:before="100" w:beforeAutospacing="1" w:after="100" w:afterAutospacing="1"/>
              <w:jc w:val="both"/>
            </w:pPr>
            <w:r>
              <w:t>Evidence comprises non-</w:t>
            </w:r>
            <w:proofErr w:type="spellStart"/>
            <w:r>
              <w:t>randomised</w:t>
            </w:r>
            <w:proofErr w:type="spellEnd"/>
            <w:r>
              <w:t xml:space="preserve"> series with very low certainty and follow-up under 2 years</w:t>
            </w:r>
          </w:p>
        </w:tc>
        <w:tc>
          <w:tcPr>
            <w:tcW w:w="0" w:type="auto"/>
          </w:tcPr>
          <w:p w14:paraId="4F65C026" w14:textId="77777777" w:rsidR="001A6ECF" w:rsidRDefault="00000000" w:rsidP="00BD4822">
            <w:pPr>
              <w:pStyle w:val="Compact"/>
              <w:spacing w:before="100" w:beforeAutospacing="1" w:after="100" w:afterAutospacing="1"/>
              <w:jc w:val="both"/>
            </w:pPr>
            <w:proofErr w:type="spellStart"/>
            <w:r>
              <w:t>Multicentre</w:t>
            </w:r>
            <w:proofErr w:type="spellEnd"/>
            <w:r>
              <w:t xml:space="preserve"> </w:t>
            </w:r>
            <w:proofErr w:type="spellStart"/>
            <w:r>
              <w:t>randomised</w:t>
            </w:r>
            <w:proofErr w:type="spellEnd"/>
            <w:r>
              <w:t xml:space="preserve"> trial against banding or foam sclerotherapy; primary outcome recurrence at 2 years; embedded economic evaluation; information size set by trial sequential analysis</w:t>
            </w:r>
          </w:p>
        </w:tc>
        <w:tc>
          <w:tcPr>
            <w:tcW w:w="0" w:type="auto"/>
          </w:tcPr>
          <w:p w14:paraId="0D894C19" w14:textId="77777777" w:rsidR="001A6ECF" w:rsidRDefault="00000000" w:rsidP="00BD4822">
            <w:pPr>
              <w:pStyle w:val="Compact"/>
              <w:spacing w:before="100" w:beforeAutospacing="1" w:after="100" w:afterAutospacing="1"/>
              <w:jc w:val="both"/>
            </w:pPr>
            <w:r>
              <w:t>Immediate to medium</w:t>
            </w:r>
          </w:p>
        </w:tc>
        <w:tc>
          <w:tcPr>
            <w:tcW w:w="0" w:type="auto"/>
          </w:tcPr>
          <w:p w14:paraId="673909D6" w14:textId="77777777" w:rsidR="001A6ECF" w:rsidRDefault="00000000" w:rsidP="00BD4822">
            <w:pPr>
              <w:pStyle w:val="Compact"/>
              <w:spacing w:before="100" w:beforeAutospacing="1" w:after="100" w:afterAutospacing="1"/>
              <w:jc w:val="both"/>
            </w:pPr>
            <w:r>
              <w:t xml:space="preserve">Al </w:t>
            </w:r>
            <w:proofErr w:type="spellStart"/>
            <w:r>
              <w:t>Jnainati</w:t>
            </w:r>
            <w:proofErr w:type="spellEnd"/>
            <w:r>
              <w:t xml:space="preserve"> et al. (2025); Christodoulou et al. (2023); De Nardi et al. (2023)</w:t>
            </w:r>
          </w:p>
        </w:tc>
      </w:tr>
      <w:tr w:rsidR="001A6ECF" w14:paraId="5F100718" w14:textId="77777777" w:rsidTr="00BD4822">
        <w:tc>
          <w:tcPr>
            <w:tcW w:w="0" w:type="auto"/>
          </w:tcPr>
          <w:p w14:paraId="05BD7F0B" w14:textId="77777777" w:rsidR="001A6ECF" w:rsidRDefault="00000000" w:rsidP="00BD4822">
            <w:pPr>
              <w:pStyle w:val="Compact"/>
              <w:spacing w:before="100" w:beforeAutospacing="1" w:after="100" w:afterAutospacing="1"/>
              <w:jc w:val="both"/>
            </w:pPr>
            <w:r>
              <w:t>Mechanistic stratification of recurrence risk</w:t>
            </w:r>
          </w:p>
        </w:tc>
        <w:tc>
          <w:tcPr>
            <w:tcW w:w="0" w:type="auto"/>
          </w:tcPr>
          <w:p w14:paraId="51BF7F9E" w14:textId="77777777" w:rsidR="001A6ECF" w:rsidRDefault="00000000" w:rsidP="00BD4822">
            <w:pPr>
              <w:pStyle w:val="Compact"/>
              <w:spacing w:before="100" w:beforeAutospacing="1" w:after="100" w:afterAutospacing="1"/>
              <w:jc w:val="both"/>
            </w:pPr>
            <w:r>
              <w:t>No marker predicts which patients relapse after technically adequate treatment</w:t>
            </w:r>
          </w:p>
        </w:tc>
        <w:tc>
          <w:tcPr>
            <w:tcW w:w="0" w:type="auto"/>
          </w:tcPr>
          <w:p w14:paraId="3A8FBA33" w14:textId="77777777" w:rsidR="001A6ECF" w:rsidRDefault="00000000" w:rsidP="00BD4822">
            <w:pPr>
              <w:pStyle w:val="Compact"/>
              <w:spacing w:before="100" w:beforeAutospacing="1" w:after="100" w:afterAutospacing="1"/>
              <w:jc w:val="both"/>
            </w:pPr>
            <w:r>
              <w:t>Polygenic risk score correlates with recurrent surgery retrospectively but has never been evaluated prospectively for treatment selection</w:t>
            </w:r>
          </w:p>
        </w:tc>
        <w:tc>
          <w:tcPr>
            <w:tcW w:w="0" w:type="auto"/>
          </w:tcPr>
          <w:p w14:paraId="36E6FC49" w14:textId="77777777" w:rsidR="001A6ECF" w:rsidRDefault="00000000" w:rsidP="00BD4822">
            <w:pPr>
              <w:pStyle w:val="Compact"/>
              <w:spacing w:before="100" w:beforeAutospacing="1" w:after="100" w:afterAutospacing="1"/>
              <w:jc w:val="both"/>
            </w:pPr>
            <w:r>
              <w:t xml:space="preserve">Genotyped prospective cohort embedded within a </w:t>
            </w:r>
            <w:proofErr w:type="spellStart"/>
            <w:r>
              <w:t>multicentre</w:t>
            </w:r>
            <w:proofErr w:type="spellEnd"/>
            <w:r>
              <w:t xml:space="preserve"> </w:t>
            </w:r>
            <w:proofErr w:type="spellStart"/>
            <w:r>
              <w:t>randomised</w:t>
            </w:r>
            <w:proofErr w:type="spellEnd"/>
            <w:r>
              <w:t xml:space="preserve"> platform; outcome is recurrence stratified by polygenic risk</w:t>
            </w:r>
          </w:p>
        </w:tc>
        <w:tc>
          <w:tcPr>
            <w:tcW w:w="0" w:type="auto"/>
          </w:tcPr>
          <w:p w14:paraId="56695A7B" w14:textId="77777777" w:rsidR="001A6ECF" w:rsidRDefault="00000000" w:rsidP="00BD4822">
            <w:pPr>
              <w:pStyle w:val="Compact"/>
              <w:spacing w:before="100" w:beforeAutospacing="1" w:after="100" w:afterAutospacing="1"/>
              <w:jc w:val="both"/>
            </w:pPr>
            <w:r>
              <w:t>Long</w:t>
            </w:r>
          </w:p>
        </w:tc>
        <w:tc>
          <w:tcPr>
            <w:tcW w:w="0" w:type="auto"/>
          </w:tcPr>
          <w:p w14:paraId="22C0F1FC" w14:textId="77777777" w:rsidR="001A6ECF" w:rsidRDefault="00000000" w:rsidP="00BD4822">
            <w:pPr>
              <w:pStyle w:val="Compact"/>
              <w:spacing w:before="100" w:beforeAutospacing="1" w:after="100" w:afterAutospacing="1"/>
              <w:jc w:val="both"/>
            </w:pPr>
            <w:r>
              <w:t>Zheng et al. (2021)</w:t>
            </w:r>
          </w:p>
        </w:tc>
      </w:tr>
      <w:tr w:rsidR="001A6ECF" w14:paraId="16010DE6" w14:textId="77777777" w:rsidTr="00BD4822">
        <w:tc>
          <w:tcPr>
            <w:tcW w:w="0" w:type="auto"/>
          </w:tcPr>
          <w:p w14:paraId="04ED068E" w14:textId="77777777" w:rsidR="001A6ECF" w:rsidRDefault="00000000" w:rsidP="00BD4822">
            <w:pPr>
              <w:pStyle w:val="Compact"/>
              <w:spacing w:before="100" w:beforeAutospacing="1" w:after="100" w:afterAutospacing="1"/>
              <w:jc w:val="both"/>
            </w:pPr>
            <w:r>
              <w:t>Anorectal function as a modifiable determinant</w:t>
            </w:r>
          </w:p>
        </w:tc>
        <w:tc>
          <w:tcPr>
            <w:tcW w:w="0" w:type="auto"/>
          </w:tcPr>
          <w:p w14:paraId="1421191B" w14:textId="77777777" w:rsidR="001A6ECF" w:rsidRDefault="00000000" w:rsidP="00BD4822">
            <w:pPr>
              <w:pStyle w:val="Compact"/>
              <w:spacing w:before="100" w:beforeAutospacing="1" w:after="100" w:afterAutospacing="1"/>
              <w:jc w:val="both"/>
            </w:pPr>
            <w:r>
              <w:t xml:space="preserve">Whether correcting </w:t>
            </w:r>
            <w:proofErr w:type="spellStart"/>
            <w:r>
              <w:t>dyssynergic</w:t>
            </w:r>
            <w:proofErr w:type="spellEnd"/>
            <w:r>
              <w:t xml:space="preserve"> </w:t>
            </w:r>
            <w:proofErr w:type="spellStart"/>
            <w:r>
              <w:t>defaecation</w:t>
            </w:r>
            <w:proofErr w:type="spellEnd"/>
            <w:r>
              <w:t xml:space="preserve"> reduces recurrence is unknown</w:t>
            </w:r>
          </w:p>
        </w:tc>
        <w:tc>
          <w:tcPr>
            <w:tcW w:w="0" w:type="auto"/>
          </w:tcPr>
          <w:p w14:paraId="54CCD808" w14:textId="77777777" w:rsidR="001A6ECF" w:rsidRDefault="00000000" w:rsidP="00BD4822">
            <w:pPr>
              <w:pStyle w:val="Compact"/>
              <w:spacing w:before="100" w:beforeAutospacing="1" w:after="100" w:afterAutospacing="1"/>
              <w:jc w:val="both"/>
            </w:pPr>
            <w:r>
              <w:t xml:space="preserve">Association between raised anal pressure and </w:t>
            </w:r>
            <w:proofErr w:type="spellStart"/>
            <w:r>
              <w:t>haemorrhoidal</w:t>
            </w:r>
            <w:proofErr w:type="spellEnd"/>
            <w:r>
              <w:t xml:space="preserve"> disease is observational; pressures remain elevated after banding</w:t>
            </w:r>
          </w:p>
        </w:tc>
        <w:tc>
          <w:tcPr>
            <w:tcW w:w="0" w:type="auto"/>
          </w:tcPr>
          <w:p w14:paraId="51887FB9" w14:textId="77777777" w:rsidR="001A6ECF" w:rsidRDefault="00000000" w:rsidP="00BD4822">
            <w:pPr>
              <w:pStyle w:val="Compact"/>
              <w:spacing w:before="100" w:beforeAutospacing="1" w:after="100" w:afterAutospacing="1"/>
              <w:jc w:val="both"/>
            </w:pPr>
            <w:proofErr w:type="spellStart"/>
            <w:r>
              <w:t>Randomised</w:t>
            </w:r>
            <w:proofErr w:type="spellEnd"/>
            <w:r>
              <w:t xml:space="preserve"> comparison of standard treatment with and without structured pelvic floor retraining; outcome is recurrence at 2 years</w:t>
            </w:r>
          </w:p>
        </w:tc>
        <w:tc>
          <w:tcPr>
            <w:tcW w:w="0" w:type="auto"/>
          </w:tcPr>
          <w:p w14:paraId="7C98CDB8" w14:textId="77777777" w:rsidR="001A6ECF" w:rsidRDefault="00000000" w:rsidP="00BD4822">
            <w:pPr>
              <w:pStyle w:val="Compact"/>
              <w:spacing w:before="100" w:beforeAutospacing="1" w:after="100" w:afterAutospacing="1"/>
              <w:jc w:val="both"/>
            </w:pPr>
            <w:r>
              <w:t>Medium</w:t>
            </w:r>
          </w:p>
        </w:tc>
        <w:tc>
          <w:tcPr>
            <w:tcW w:w="0" w:type="auto"/>
          </w:tcPr>
          <w:p w14:paraId="0D19132B" w14:textId="77777777" w:rsidR="001A6ECF" w:rsidRDefault="00000000" w:rsidP="00BD4822">
            <w:pPr>
              <w:pStyle w:val="Compact"/>
              <w:spacing w:before="100" w:beforeAutospacing="1" w:after="100" w:afterAutospacing="1"/>
              <w:jc w:val="both"/>
            </w:pPr>
            <w:proofErr w:type="spellStart"/>
            <w:r>
              <w:t>Kalkdijk</w:t>
            </w:r>
            <w:proofErr w:type="spellEnd"/>
            <w:r>
              <w:t xml:space="preserve"> et al. (2022)</w:t>
            </w:r>
          </w:p>
        </w:tc>
      </w:tr>
      <w:tr w:rsidR="001A6ECF" w14:paraId="11BA189D" w14:textId="77777777" w:rsidTr="00BD4822">
        <w:tc>
          <w:tcPr>
            <w:tcW w:w="0" w:type="auto"/>
          </w:tcPr>
          <w:p w14:paraId="417EE9A6" w14:textId="77777777" w:rsidR="001A6ECF" w:rsidRDefault="00000000" w:rsidP="00BD4822">
            <w:pPr>
              <w:pStyle w:val="Compact"/>
              <w:spacing w:before="100" w:beforeAutospacing="1" w:after="100" w:afterAutospacing="1"/>
              <w:jc w:val="both"/>
            </w:pPr>
            <w:r>
              <w:t>Evidence for excluded populations</w:t>
            </w:r>
          </w:p>
        </w:tc>
        <w:tc>
          <w:tcPr>
            <w:tcW w:w="0" w:type="auto"/>
          </w:tcPr>
          <w:p w14:paraId="3CD66EE1" w14:textId="77777777" w:rsidR="001A6ECF" w:rsidRDefault="00000000" w:rsidP="00BD4822">
            <w:pPr>
              <w:pStyle w:val="Compact"/>
              <w:spacing w:before="100" w:beforeAutospacing="1" w:after="100" w:afterAutospacing="1"/>
              <w:jc w:val="both"/>
            </w:pPr>
            <w:r>
              <w:t>Antithrombotic therapy, cirrhosis, inflammatory bowel disease and pregnancy are under-represented in trials</w:t>
            </w:r>
          </w:p>
        </w:tc>
        <w:tc>
          <w:tcPr>
            <w:tcW w:w="0" w:type="auto"/>
          </w:tcPr>
          <w:p w14:paraId="096884F5" w14:textId="77777777" w:rsidR="001A6ECF" w:rsidRDefault="00000000" w:rsidP="00BD4822">
            <w:pPr>
              <w:pStyle w:val="Compact"/>
              <w:spacing w:before="100" w:beforeAutospacing="1" w:after="100" w:afterAutospacing="1"/>
              <w:jc w:val="both"/>
            </w:pPr>
            <w:r>
              <w:t>Existing evidence comprises small series and extrapolation from unselected populations</w:t>
            </w:r>
          </w:p>
        </w:tc>
        <w:tc>
          <w:tcPr>
            <w:tcW w:w="0" w:type="auto"/>
          </w:tcPr>
          <w:p w14:paraId="09C16EF8" w14:textId="77777777" w:rsidR="001A6ECF" w:rsidRDefault="00000000" w:rsidP="00BD4822">
            <w:pPr>
              <w:pStyle w:val="Compact"/>
              <w:spacing w:before="100" w:beforeAutospacing="1" w:after="100" w:afterAutospacing="1"/>
              <w:jc w:val="both"/>
            </w:pPr>
            <w:r>
              <w:t xml:space="preserve">Prospective </w:t>
            </w:r>
            <w:proofErr w:type="spellStart"/>
            <w:r>
              <w:t>multicentre</w:t>
            </w:r>
            <w:proofErr w:type="spellEnd"/>
            <w:r>
              <w:t xml:space="preserve"> registries with </w:t>
            </w:r>
            <w:proofErr w:type="spellStart"/>
            <w:r>
              <w:t>harmonised</w:t>
            </w:r>
            <w:proofErr w:type="spellEnd"/>
            <w:r>
              <w:t xml:space="preserve"> data elements capable of capturing uncommon serious complications</w:t>
            </w:r>
          </w:p>
        </w:tc>
        <w:tc>
          <w:tcPr>
            <w:tcW w:w="0" w:type="auto"/>
          </w:tcPr>
          <w:p w14:paraId="5CCAC9E7" w14:textId="77777777" w:rsidR="001A6ECF" w:rsidRDefault="00000000" w:rsidP="00BD4822">
            <w:pPr>
              <w:pStyle w:val="Compact"/>
              <w:spacing w:before="100" w:beforeAutospacing="1" w:after="100" w:afterAutospacing="1"/>
              <w:jc w:val="both"/>
            </w:pPr>
            <w:r>
              <w:t>Medium to long</w:t>
            </w:r>
          </w:p>
        </w:tc>
        <w:tc>
          <w:tcPr>
            <w:tcW w:w="0" w:type="auto"/>
          </w:tcPr>
          <w:p w14:paraId="6AB08A64" w14:textId="77777777" w:rsidR="001A6ECF" w:rsidRDefault="00000000" w:rsidP="00BD4822">
            <w:pPr>
              <w:pStyle w:val="Compact"/>
              <w:spacing w:before="100" w:beforeAutospacing="1" w:after="100" w:afterAutospacing="1"/>
              <w:jc w:val="both"/>
            </w:pPr>
            <w:r>
              <w:t>Chen et al. (2023); Pata et al. (2023); Ponte et al. (2025)</w:t>
            </w:r>
          </w:p>
        </w:tc>
      </w:tr>
      <w:tr w:rsidR="001A6ECF" w14:paraId="1FCA49A4" w14:textId="77777777" w:rsidTr="00BD4822">
        <w:tc>
          <w:tcPr>
            <w:tcW w:w="0" w:type="auto"/>
          </w:tcPr>
          <w:p w14:paraId="2B4F034C" w14:textId="77777777" w:rsidR="001A6ECF" w:rsidRDefault="00000000" w:rsidP="00BD4822">
            <w:pPr>
              <w:pStyle w:val="Compact"/>
              <w:spacing w:before="100" w:beforeAutospacing="1" w:after="100" w:afterAutospacing="1"/>
              <w:jc w:val="both"/>
            </w:pPr>
            <w:r>
              <w:t>Natural history of untreated disease</w:t>
            </w:r>
          </w:p>
        </w:tc>
        <w:tc>
          <w:tcPr>
            <w:tcW w:w="0" w:type="auto"/>
          </w:tcPr>
          <w:p w14:paraId="113E404C" w14:textId="77777777" w:rsidR="001A6ECF" w:rsidRDefault="00000000" w:rsidP="00BD4822">
            <w:pPr>
              <w:pStyle w:val="Compact"/>
              <w:spacing w:before="100" w:beforeAutospacing="1" w:after="100" w:afterAutospacing="1"/>
              <w:jc w:val="both"/>
            </w:pPr>
            <w:r>
              <w:t>The counterfactual against which interventions are judged is unspecified</w:t>
            </w:r>
          </w:p>
        </w:tc>
        <w:tc>
          <w:tcPr>
            <w:tcW w:w="0" w:type="auto"/>
          </w:tcPr>
          <w:p w14:paraId="1C35543E" w14:textId="77777777" w:rsidR="001A6ECF" w:rsidRDefault="00000000" w:rsidP="00BD4822">
            <w:pPr>
              <w:pStyle w:val="Compact"/>
              <w:spacing w:before="100" w:beforeAutospacing="1" w:after="100" w:afterAutospacing="1"/>
              <w:jc w:val="both"/>
            </w:pPr>
            <w:r>
              <w:t>High prevalence of asymptomatic anatomical disease indicates progression is not inevitable, yet no prospective untreated cohort exists</w:t>
            </w:r>
          </w:p>
        </w:tc>
        <w:tc>
          <w:tcPr>
            <w:tcW w:w="0" w:type="auto"/>
          </w:tcPr>
          <w:p w14:paraId="44ED7D94" w14:textId="77777777" w:rsidR="001A6ECF" w:rsidRDefault="00000000" w:rsidP="00BD4822">
            <w:pPr>
              <w:pStyle w:val="Compact"/>
              <w:spacing w:before="100" w:beforeAutospacing="1" w:after="100" w:afterAutospacing="1"/>
              <w:jc w:val="both"/>
            </w:pPr>
            <w:r>
              <w:t>Prospective observational cohort of symptomatic patients declining or deferring intervention, with symptom scores at fixed intervals over 3 to 5 years</w:t>
            </w:r>
          </w:p>
        </w:tc>
        <w:tc>
          <w:tcPr>
            <w:tcW w:w="0" w:type="auto"/>
          </w:tcPr>
          <w:p w14:paraId="65F7734D" w14:textId="77777777" w:rsidR="001A6ECF" w:rsidRDefault="00000000" w:rsidP="00BD4822">
            <w:pPr>
              <w:pStyle w:val="Compact"/>
              <w:spacing w:before="100" w:beforeAutospacing="1" w:after="100" w:afterAutospacing="1"/>
              <w:jc w:val="both"/>
            </w:pPr>
            <w:r>
              <w:t>Long</w:t>
            </w:r>
          </w:p>
        </w:tc>
        <w:tc>
          <w:tcPr>
            <w:tcW w:w="0" w:type="auto"/>
          </w:tcPr>
          <w:p w14:paraId="610F3753" w14:textId="77777777" w:rsidR="001A6ECF" w:rsidRDefault="00000000" w:rsidP="00BD4822">
            <w:pPr>
              <w:pStyle w:val="Compact"/>
              <w:spacing w:before="100" w:beforeAutospacing="1" w:after="100" w:afterAutospacing="1"/>
              <w:jc w:val="both"/>
            </w:pPr>
            <w:proofErr w:type="spellStart"/>
            <w:r>
              <w:t>Esmaeilnia</w:t>
            </w:r>
            <w:proofErr w:type="spellEnd"/>
            <w:r>
              <w:t xml:space="preserve"> Shirvani et al. (2026); Riss et al. (2012)</w:t>
            </w:r>
          </w:p>
        </w:tc>
      </w:tr>
    </w:tbl>
    <w:p w14:paraId="2E77CDEE" w14:textId="77777777" w:rsidR="001A6ECF" w:rsidRDefault="00000000" w:rsidP="00BD4822">
      <w:pPr>
        <w:pStyle w:val="BodyText"/>
        <w:spacing w:before="100" w:beforeAutospacing="1" w:after="100" w:afterAutospacing="1"/>
        <w:jc w:val="both"/>
      </w:pPr>
      <w:r>
        <w:rPr>
          <w:i/>
          <w:iCs/>
        </w:rPr>
        <w:t>Note.</w:t>
      </w:r>
      <w:r>
        <w:t xml:space="preserve"> Timescale refers to the interval within which meaningful results could realistically be delivered, given the design proposed and existing research infrastructure.</w:t>
      </w:r>
    </w:p>
    <w:p w14:paraId="4523E386" w14:textId="77777777" w:rsidR="001A6ECF" w:rsidRDefault="00000000" w:rsidP="00BD4822">
      <w:pPr>
        <w:pStyle w:val="Heading2"/>
        <w:spacing w:before="100" w:beforeAutospacing="1" w:after="100" w:afterAutospacing="1"/>
        <w:jc w:val="both"/>
      </w:pPr>
      <w:bookmarkStart w:id="45" w:name="conclusions"/>
      <w:bookmarkEnd w:id="42"/>
      <w:bookmarkEnd w:id="44"/>
      <w:r>
        <w:t>10. Conclusions</w:t>
      </w:r>
    </w:p>
    <w:p w14:paraId="0CDC7123" w14:textId="77777777" w:rsidR="001A6ECF" w:rsidRDefault="00000000" w:rsidP="00BD4822">
      <w:pPr>
        <w:pStyle w:val="FirstParagraph"/>
        <w:spacing w:before="100" w:beforeAutospacing="1" w:after="100" w:afterAutospacing="1"/>
        <w:jc w:val="both"/>
      </w:pPr>
      <w:proofErr w:type="spellStart"/>
      <w:r>
        <w:t>Haemorrhoidal</w:t>
      </w:r>
      <w:proofErr w:type="spellEnd"/>
      <w:r>
        <w:t xml:space="preserve"> disease is common, materially burdensome and, on the evidence reviewed here, less well understood than the volume of published research suggests. The dominant mechanistic </w:t>
      </w:r>
      <w:r>
        <w:lastRenderedPageBreak/>
        <w:t xml:space="preserve">account, in which symptomatic disease arises from failure of the connective tissue and smooth muscle apparatus anchoring normal anal cushions, is anatomically coherent and now receives substantial support from genetic analysis implicating smooth muscle, epithelial and extracellular matrix biology. That account remains descriptive rather than predictive. It does not explain why the majority of individuals with anatomical </w:t>
      </w:r>
      <w:proofErr w:type="spellStart"/>
      <w:r>
        <w:t>haemorrhoids</w:t>
      </w:r>
      <w:proofErr w:type="spellEnd"/>
      <w:r>
        <w:t xml:space="preserve"> never develop symptoms, it does not distinguish bleeding-predominant from prolapse-predominant phenotypes, and it yields no marker capable of identifying the patients who will relapse after technically adequate treatment. The complementary vascular hypothesis is weakened rather than strengthened by the therapeutic evidence, since precise arterial </w:t>
      </w:r>
      <w:proofErr w:type="spellStart"/>
      <w:r>
        <w:t>localisation</w:t>
      </w:r>
      <w:proofErr w:type="spellEnd"/>
      <w:r>
        <w:t xml:space="preserve"> confers no demonstrable advantage over ligation performed without it.</w:t>
      </w:r>
    </w:p>
    <w:p w14:paraId="7FECFCF0" w14:textId="77777777" w:rsidR="001A6ECF" w:rsidRDefault="00000000" w:rsidP="00BD4822">
      <w:pPr>
        <w:pStyle w:val="BodyText"/>
        <w:spacing w:before="100" w:beforeAutospacing="1" w:after="100" w:afterAutospacing="1"/>
        <w:jc w:val="both"/>
      </w:pPr>
      <w:r>
        <w:t xml:space="preserve">The measurement layer is the field’s most consequential weakness. A classification with fair interobserver agreement, capturing prolapse alone and omitting bleeding and patient impact, continues to determine eligibility for the great majority of </w:t>
      </w:r>
      <w:proofErr w:type="spellStart"/>
      <w:r>
        <w:t>randomised</w:t>
      </w:r>
      <w:proofErr w:type="spellEnd"/>
      <w:r>
        <w:t xml:space="preserve"> trials and to structure guideline recommendations. Validated symptom scores and patient-reported outcome instruments with superior psychometric properties exist and are not used. A core outcome set exists and is not applied. The direct consequence is that comparative trials in this field are frequently non-cumulative, and that meta-analysis, rather than resolving disagreement, propagates construct heterogeneity into the pooled estimate.</w:t>
      </w:r>
    </w:p>
    <w:p w14:paraId="41B0905A" w14:textId="77777777" w:rsidR="001A6ECF" w:rsidRDefault="00000000" w:rsidP="00BD4822">
      <w:pPr>
        <w:pStyle w:val="BodyText"/>
        <w:spacing w:before="100" w:beforeAutospacing="1" w:after="100" w:afterAutospacing="1"/>
        <w:jc w:val="both"/>
      </w:pPr>
      <w:r>
        <w:t xml:space="preserve">Within these constraints, several conclusions are defensible with reasonable confidence. </w:t>
      </w:r>
      <w:proofErr w:type="spellStart"/>
      <w:r>
        <w:t>Fibre</w:t>
      </w:r>
      <w:proofErr w:type="spellEnd"/>
      <w:r>
        <w:t xml:space="preserve"> supplementation reduces bleeding and symptom persistence, although its effect on </w:t>
      </w:r>
      <w:proofErr w:type="gramStart"/>
      <w:r>
        <w:t>prolapse</w:t>
      </w:r>
      <w:proofErr w:type="gramEnd"/>
      <w:r>
        <w:t xml:space="preserve"> and on long-term progression is unestablished. Office-based procedures achieve satisfactory symptom control at low morbidity, at the cost of repeat treatment that should be anticipated rather than construed as failure. Sclerotherapy using foam preparations achieves outcomes comparable to band ligation with fewer complications in short-term comparison. Excisional </w:t>
      </w:r>
      <w:proofErr w:type="spellStart"/>
      <w:r>
        <w:t>haemorrhoidectomy</w:t>
      </w:r>
      <w:proofErr w:type="spellEnd"/>
      <w:r>
        <w:t xml:space="preserve"> remains the most durable option and imposes the greatest early morbidity, and technique-level refinements including closed repair, vessel sealing and avoidance of transfixion ligation measurably reduce postoperative pain. Stapled </w:t>
      </w:r>
      <w:proofErr w:type="spellStart"/>
      <w:r>
        <w:t>haemorrhoidopexy</w:t>
      </w:r>
      <w:proofErr w:type="spellEnd"/>
      <w:r>
        <w:t xml:space="preserve"> offers superior early recovery and inferior long-term durability, particularly for prolapse-related recurrence, on evidence that remains underpowered by formal criteria.</w:t>
      </w:r>
    </w:p>
    <w:p w14:paraId="2D9EAEA1" w14:textId="77777777" w:rsidR="001A6ECF" w:rsidRDefault="00000000" w:rsidP="00BD4822">
      <w:pPr>
        <w:pStyle w:val="BodyText"/>
        <w:spacing w:before="100" w:beforeAutospacing="1" w:after="100" w:afterAutospacing="1"/>
        <w:jc w:val="both"/>
      </w:pPr>
      <w:r>
        <w:t xml:space="preserve">Conclusions regarding the newer modalities must be more tentative. Laser </w:t>
      </w:r>
      <w:proofErr w:type="spellStart"/>
      <w:r>
        <w:t>haemorrhoidoplasty</w:t>
      </w:r>
      <w:proofErr w:type="spellEnd"/>
      <w:r>
        <w:t xml:space="preserve">, radiofrequency ablation and superior rectal artery </w:t>
      </w:r>
      <w:proofErr w:type="spellStart"/>
      <w:r>
        <w:t>embolisation</w:t>
      </w:r>
      <w:proofErr w:type="spellEnd"/>
      <w:r>
        <w:t xml:space="preserve"> have entered practice supported principally by uncontrolled series with short follow-up and investigator-defined outcomes. The reported results are encouraging and are not yet trustworthy. </w:t>
      </w:r>
      <w:proofErr w:type="spellStart"/>
      <w:r>
        <w:t>Embolisation</w:t>
      </w:r>
      <w:proofErr w:type="spellEnd"/>
      <w:r>
        <w:t xml:space="preserve"> occupies a coherent niche for bleeding-predominant disease in frail or anticoagulated patients, where the avoidance of anal instrumentation is a genuine advantage, but its position relative to sclerotherapy has not been established by comparison.</w:t>
      </w:r>
    </w:p>
    <w:p w14:paraId="3B9E197A" w14:textId="77777777" w:rsidR="001A6ECF" w:rsidRDefault="00000000" w:rsidP="00BD4822">
      <w:pPr>
        <w:pStyle w:val="BodyText"/>
        <w:spacing w:before="100" w:beforeAutospacing="1" w:after="100" w:afterAutospacing="1"/>
        <w:jc w:val="both"/>
      </w:pPr>
      <w:r>
        <w:t xml:space="preserve">The broader significance of this synthesis extends beyond a single benign condition. </w:t>
      </w:r>
      <w:proofErr w:type="spellStart"/>
      <w:r>
        <w:t>Haemorrhoidal</w:t>
      </w:r>
      <w:proofErr w:type="spellEnd"/>
      <w:r>
        <w:t xml:space="preserve"> disease demonstrates how weakness in the measurement layer of a clinical field limits what any volume of therapeutic research can establish. Several thousand </w:t>
      </w:r>
      <w:proofErr w:type="spellStart"/>
      <w:r>
        <w:t>randomised</w:t>
      </w:r>
      <w:proofErr w:type="spellEnd"/>
      <w:r>
        <w:t xml:space="preserve"> comparisons have not settled whether banding or excision should be preferred in grade III disease, not because the question is intrinsically intractable, but because the trials addressing it enrolled patients defined by an unreliable instrument, measured outcomes defined inconsistently, and followed them for periods shorter than the process under study. Remedying this requires coordination rather than discovery, which makes it both achievable and, so far, unachieved.</w:t>
      </w:r>
    </w:p>
    <w:p w14:paraId="3B441FA2" w14:textId="77777777" w:rsidR="001A6ECF" w:rsidRDefault="00000000" w:rsidP="00BD4822">
      <w:pPr>
        <w:pStyle w:val="Heading2"/>
        <w:spacing w:before="100" w:beforeAutospacing="1" w:after="100" w:afterAutospacing="1"/>
        <w:jc w:val="both"/>
      </w:pPr>
      <w:bookmarkStart w:id="46" w:name="limitations"/>
      <w:bookmarkEnd w:id="45"/>
      <w:r>
        <w:lastRenderedPageBreak/>
        <w:t>11. Limitations</w:t>
      </w:r>
    </w:p>
    <w:p w14:paraId="3F7E5A2D" w14:textId="77777777" w:rsidR="001A6ECF" w:rsidRDefault="00000000" w:rsidP="00BD4822">
      <w:pPr>
        <w:pStyle w:val="FirstParagraph"/>
        <w:spacing w:before="100" w:beforeAutospacing="1" w:after="100" w:afterAutospacing="1"/>
        <w:jc w:val="both"/>
      </w:pPr>
      <w:r>
        <w:t xml:space="preserve">This review carries the limitations intrinsic to narrative synthesis. Study identification, selection and interpretation were performed without the duplicate independent screening and formal data extraction that </w:t>
      </w:r>
      <w:proofErr w:type="spellStart"/>
      <w:r>
        <w:t>characterise</w:t>
      </w:r>
      <w:proofErr w:type="spellEnd"/>
      <w:r>
        <w:t xml:space="preserve"> systematic review, and the possibility of selection bias in the studies included and of interpretive bias in the weight assigned to them cannot be excluded, notwithstanding the transparent description of search concepts, sources and eligibility criteria. Judgements of evidential strength recorded in the tables represent the assessment made in this review and were not derived from any formal grading instrument, and readers may reasonably reach different conclusions from the same body of evidence.</w:t>
      </w:r>
    </w:p>
    <w:p w14:paraId="6D563F65" w14:textId="77777777" w:rsidR="001A6ECF" w:rsidRDefault="00000000" w:rsidP="00BD4822">
      <w:pPr>
        <w:pStyle w:val="BodyText"/>
        <w:spacing w:before="100" w:beforeAutospacing="1" w:after="100" w:afterAutospacing="1"/>
        <w:jc w:val="both"/>
      </w:pPr>
      <w:r>
        <w:t xml:space="preserve">Access to bibliographic sources was incomplete. Searching was confined to indexes accessible during preparation, and subscription databases including Web of Science Core Collection, Scopus and Embase were not available. Since these indexes cover journals and regions incompletely represented elsewhere, particularly in Eastern European, Latin American and Asian literatures, relevant studies may have been missed. Restriction to publications in English compounds this, and the resulting synthesis probably underrepresents evidence from settings where </w:t>
      </w:r>
      <w:proofErr w:type="spellStart"/>
      <w:r>
        <w:t>haemorrhoidal</w:t>
      </w:r>
      <w:proofErr w:type="spellEnd"/>
      <w:r>
        <w:t xml:space="preserve"> disease is managed differently.</w:t>
      </w:r>
    </w:p>
    <w:p w14:paraId="20CAF7BC" w14:textId="77777777" w:rsidR="001A6ECF" w:rsidRDefault="00000000" w:rsidP="00BD4822">
      <w:pPr>
        <w:pStyle w:val="BodyText"/>
        <w:spacing w:before="100" w:beforeAutospacing="1" w:after="100" w:afterAutospacing="1"/>
        <w:jc w:val="both"/>
      </w:pPr>
      <w:r>
        <w:t xml:space="preserve">The evidence base itself imposes further constraints. Study designs and outcome definitions were sufficiently heterogeneous to preclude quantitative synthesis, and the inconsistent definition of recurrence in particular limited the comparisons that could reasonably be drawn between intervention classes. Geographical representation is uneven, with the surgical trial literature concentrated in European and East Asian </w:t>
      </w:r>
      <w:proofErr w:type="spellStart"/>
      <w:r>
        <w:t>centres</w:t>
      </w:r>
      <w:proofErr w:type="spellEnd"/>
      <w:r>
        <w:t xml:space="preserve">. Publication bias is plausible in the literature on </w:t>
      </w:r>
      <w:proofErr w:type="spellStart"/>
      <w:r>
        <w:t>venoactive</w:t>
      </w:r>
      <w:proofErr w:type="spellEnd"/>
      <w:r>
        <w:t xml:space="preserve"> medication and energy-based devices, where commercial involvement is substantial and early uncontrolled series are uniformly </w:t>
      </w:r>
      <w:proofErr w:type="spellStart"/>
      <w:r>
        <w:t>favourable</w:t>
      </w:r>
      <w:proofErr w:type="spellEnd"/>
      <w:r>
        <w:t>, and its magnitude could not be estimated. Long-term evidence is scarce across all modalities, and the newer techniques are supported principally by observational designs.</w:t>
      </w:r>
    </w:p>
    <w:p w14:paraId="258EAC75" w14:textId="77777777" w:rsidR="001A6ECF" w:rsidRDefault="00000000" w:rsidP="00BD4822">
      <w:pPr>
        <w:pStyle w:val="BodyText"/>
        <w:spacing w:before="100" w:beforeAutospacing="1" w:after="100" w:afterAutospacing="1"/>
        <w:jc w:val="both"/>
      </w:pPr>
      <w:r>
        <w:t xml:space="preserve">The field is also developing rapidly, and several of the technologies assessed here are likely to accumulate </w:t>
      </w:r>
      <w:proofErr w:type="spellStart"/>
      <w:r>
        <w:t>randomised</w:t>
      </w:r>
      <w:proofErr w:type="spellEnd"/>
      <w:r>
        <w:t xml:space="preserve"> evidence within a short period, which may alter the conclusions reached about them. Assessments recorded in this review reflect the evidence available up to the stated final search date and should be revisited as that evidence matures. Finally, the mechanistic sections rely on evidence generated in populations and specimens that may not represent the full clinical spectrum, and inferences about disease initiation drawn from cross-sectional anatomical, physiological and genetic data cannot establish temporal sequence.</w:t>
      </w:r>
    </w:p>
    <w:p w14:paraId="4F190E17" w14:textId="77777777" w:rsidR="000419F2" w:rsidRPr="000839CE" w:rsidRDefault="000419F2" w:rsidP="000419F2">
      <w:pPr>
        <w:spacing w:after="0"/>
        <w:rPr>
          <w:rFonts w:ascii="Times New Roman" w:hAnsi="Times New Roman" w:cs="Times New Roman"/>
          <w:b/>
        </w:rPr>
      </w:pPr>
      <w:r w:rsidRPr="000839CE">
        <w:rPr>
          <w:rFonts w:ascii="Times New Roman" w:hAnsi="Times New Roman" w:cs="Times New Roman"/>
          <w:b/>
        </w:rPr>
        <w:t>Declaration of AI Use</w:t>
      </w:r>
    </w:p>
    <w:p w14:paraId="0F3E7169" w14:textId="77777777" w:rsidR="000419F2" w:rsidRPr="000839CE" w:rsidRDefault="000419F2" w:rsidP="000419F2">
      <w:pPr>
        <w:spacing w:after="0"/>
        <w:rPr>
          <w:rFonts w:ascii="Times New Roman" w:hAnsi="Times New Roman" w:cs="Times New Roman"/>
        </w:rPr>
      </w:pPr>
    </w:p>
    <w:p w14:paraId="69916F95" w14:textId="77777777" w:rsidR="000419F2" w:rsidRPr="000839CE" w:rsidRDefault="000419F2" w:rsidP="000419F2">
      <w:pPr>
        <w:spacing w:after="0"/>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0EAD255" w14:textId="77777777" w:rsidR="000419F2" w:rsidRDefault="000419F2" w:rsidP="00BD4822">
      <w:pPr>
        <w:pStyle w:val="BodyText"/>
        <w:spacing w:before="100" w:beforeAutospacing="1" w:after="100" w:afterAutospacing="1"/>
        <w:jc w:val="both"/>
      </w:pPr>
    </w:p>
    <w:p w14:paraId="6D7AD114" w14:textId="77777777" w:rsidR="001A6ECF" w:rsidRDefault="00000000" w:rsidP="00BD4822">
      <w:pPr>
        <w:pStyle w:val="Heading2"/>
        <w:spacing w:before="100" w:beforeAutospacing="1" w:after="100" w:afterAutospacing="1"/>
        <w:jc w:val="both"/>
      </w:pPr>
      <w:bookmarkStart w:id="47" w:name="references"/>
      <w:bookmarkEnd w:id="46"/>
      <w:r>
        <w:lastRenderedPageBreak/>
        <w:t>References</w:t>
      </w:r>
    </w:p>
    <w:p w14:paraId="1BB3DE89" w14:textId="77777777" w:rsidR="001A6ECF" w:rsidRDefault="00000000" w:rsidP="00BD4822">
      <w:pPr>
        <w:pStyle w:val="FirstParagraph"/>
        <w:spacing w:before="100" w:beforeAutospacing="1" w:after="100" w:afterAutospacing="1"/>
        <w:jc w:val="both"/>
      </w:pPr>
      <w:r>
        <w:t xml:space="preserve">Aigner, F., Bodner, G., Conrad, F., Mbaka, G., Kreczy, A., &amp; Fritsch, H. (2004). The superior rectal artery and its branching pattern with regard to its clinical influence on ligation techniques for internal hemorrhoids. </w:t>
      </w:r>
      <w:r>
        <w:rPr>
          <w:i/>
          <w:iCs/>
        </w:rPr>
        <w:t>The American Journal of Surgery, 187</w:t>
      </w:r>
      <w:r>
        <w:t>(1), 102–108. https://doi.org/10.1016/j.amjsurg.2002.11.003</w:t>
      </w:r>
    </w:p>
    <w:p w14:paraId="5E6CE165" w14:textId="77777777" w:rsidR="001A6ECF" w:rsidRDefault="00000000" w:rsidP="00BD4822">
      <w:pPr>
        <w:pStyle w:val="BodyText"/>
        <w:spacing w:before="100" w:beforeAutospacing="1" w:after="100" w:afterAutospacing="1"/>
        <w:jc w:val="both"/>
      </w:pPr>
      <w:r>
        <w:t xml:space="preserve">Aigner, F., Bodner, G., Gruber, H., Conrad, F., Fritsch, H., Margreiter, R., &amp; Bonatti, H. (2006). The vascular nature of hemorrhoids. </w:t>
      </w:r>
      <w:r>
        <w:rPr>
          <w:i/>
          <w:iCs/>
        </w:rPr>
        <w:t>Journal of Gastrointestinal Surgery, 10</w:t>
      </w:r>
      <w:r>
        <w:t>(7), 1044–1050. https://doi.org/10.1016/j.gassur.2005.12.004</w:t>
      </w:r>
    </w:p>
    <w:p w14:paraId="120FBF4E" w14:textId="77777777" w:rsidR="001A6ECF" w:rsidRDefault="00000000" w:rsidP="00BD4822">
      <w:pPr>
        <w:pStyle w:val="BodyText"/>
        <w:spacing w:before="100" w:beforeAutospacing="1" w:after="100" w:afterAutospacing="1"/>
        <w:jc w:val="both"/>
      </w:pPr>
      <w:r>
        <w:t xml:space="preserve">Al Jnainati, M., Ikkurthy, N., Ayoub, M., Shahid, A., Baig, M. T., </w:t>
      </w:r>
      <w:proofErr w:type="spellStart"/>
      <w:r>
        <w:t>Iltaf</w:t>
      </w:r>
      <w:proofErr w:type="spellEnd"/>
      <w:r>
        <w:t xml:space="preserve">, M., &amp; Al </w:t>
      </w:r>
      <w:proofErr w:type="spellStart"/>
      <w:r>
        <w:t>Jnainati</w:t>
      </w:r>
      <w:proofErr w:type="spellEnd"/>
      <w:r>
        <w:t xml:space="preserve">, J. (2025). Outcomes of embolization therapy of superior rectal arteries for the management of grade 1 to 3 internal hemorrhoids: A systematic review of clinical studies. </w:t>
      </w:r>
      <w:r>
        <w:rPr>
          <w:i/>
          <w:iCs/>
        </w:rPr>
        <w:t>International Journal of Colorectal Disease, 40</w:t>
      </w:r>
      <w:r>
        <w:t>(1), Article 190. https://doi.org/10.1007/s00384-025-04944-4</w:t>
      </w:r>
    </w:p>
    <w:p w14:paraId="012ABE20" w14:textId="77777777" w:rsidR="001A6ECF" w:rsidRDefault="00000000" w:rsidP="00BD4822">
      <w:pPr>
        <w:pStyle w:val="BodyText"/>
        <w:spacing w:before="100" w:beforeAutospacing="1" w:after="100" w:afterAutospacing="1"/>
        <w:jc w:val="both"/>
      </w:pPr>
      <w:r>
        <w:t xml:space="preserve">Albuquerque, A. (2016). Rubber band ligation of hemorrhoids: A guide for complications. </w:t>
      </w:r>
      <w:r>
        <w:rPr>
          <w:i/>
          <w:iCs/>
        </w:rPr>
        <w:t>World Journal of Gastrointestinal Surgery, 8</w:t>
      </w:r>
      <w:r>
        <w:t>(9), 614–620. https://doi.org/10.4240/wjgs.v8.i9.614</w:t>
      </w:r>
    </w:p>
    <w:p w14:paraId="5FCC7A3C" w14:textId="77777777" w:rsidR="001A6ECF" w:rsidRDefault="00000000" w:rsidP="00BD4822">
      <w:pPr>
        <w:pStyle w:val="BodyText"/>
        <w:spacing w:before="100" w:beforeAutospacing="1" w:after="100" w:afterAutospacing="1"/>
        <w:jc w:val="both"/>
      </w:pPr>
      <w:r>
        <w:t>Alonso-Coello, P., Guyatt, G. H., Heels-Ansdell, D., Johanson, J. F., Lopez-</w:t>
      </w:r>
      <w:proofErr w:type="spellStart"/>
      <w:r>
        <w:t>Yarto</w:t>
      </w:r>
      <w:proofErr w:type="spellEnd"/>
      <w:r>
        <w:t xml:space="preserve">, M., Mills, E., &amp; Zhuo, Q. (2005). Laxatives for the treatment of hemorrhoids. </w:t>
      </w:r>
      <w:r>
        <w:rPr>
          <w:i/>
          <w:iCs/>
        </w:rPr>
        <w:t>Cochrane Database of Systematic Reviews, 2005</w:t>
      </w:r>
      <w:r>
        <w:t>(4), Article CD004649. https://doi.org/10.1002/14651858.CD004649.pub2</w:t>
      </w:r>
    </w:p>
    <w:p w14:paraId="427A3ADF" w14:textId="77777777" w:rsidR="001A6ECF" w:rsidRDefault="00000000" w:rsidP="00BD4822">
      <w:pPr>
        <w:pStyle w:val="BodyText"/>
        <w:spacing w:before="100" w:beforeAutospacing="1" w:after="100" w:afterAutospacing="1"/>
        <w:jc w:val="both"/>
      </w:pPr>
      <w:r>
        <w:t xml:space="preserve">Alonso-Coello, P., Mills, E., Heels-Ansdell, D., López-Yarto, M., Zhou, Q., Johanson, J. F., &amp; Guyatt, G. (2006). Fiber for the treatment of hemorrhoids complications: A systematic review and meta-analysis. </w:t>
      </w:r>
      <w:r>
        <w:rPr>
          <w:i/>
          <w:iCs/>
        </w:rPr>
        <w:t>The American Journal of Gastroenterology, 101</w:t>
      </w:r>
      <w:r>
        <w:t>(1), 181–188. https://doi.org/10.1111/j.1572-0241.2005.00359.x</w:t>
      </w:r>
    </w:p>
    <w:p w14:paraId="6631519B" w14:textId="77777777" w:rsidR="001A6ECF" w:rsidRDefault="00000000" w:rsidP="00BD4822">
      <w:pPr>
        <w:pStyle w:val="BodyText"/>
        <w:spacing w:before="100" w:beforeAutospacing="1" w:after="100" w:afterAutospacing="1"/>
        <w:jc w:val="both"/>
      </w:pPr>
      <w:r>
        <w:t xml:space="preserve">Aziz, Z., Huin, W. K., Badrul Hisham, M. D., Tang, W. L., &amp; Yaacob, S. (2018). Efficacy and tolerability of micronized purified flavonoid fractions (MPFF) for </w:t>
      </w:r>
      <w:proofErr w:type="spellStart"/>
      <w:r>
        <w:t>haemorrhoids</w:t>
      </w:r>
      <w:proofErr w:type="spellEnd"/>
      <w:r>
        <w:t xml:space="preserve">: A systematic review and meta-analysis. </w:t>
      </w:r>
      <w:r>
        <w:rPr>
          <w:i/>
          <w:iCs/>
        </w:rPr>
        <w:t>Complementary Therapies in Medicine, 39</w:t>
      </w:r>
      <w:r>
        <w:t>, 49–55. https://doi.org/10.1016/j.ctim.2018.05.011</w:t>
      </w:r>
    </w:p>
    <w:p w14:paraId="0D1483EC" w14:textId="77777777" w:rsidR="001A6ECF" w:rsidRDefault="00000000" w:rsidP="00BD4822">
      <w:pPr>
        <w:pStyle w:val="BodyText"/>
        <w:spacing w:before="100" w:beforeAutospacing="1" w:after="100" w:afterAutospacing="1"/>
        <w:jc w:val="both"/>
      </w:pPr>
      <w:proofErr w:type="spellStart"/>
      <w:r>
        <w:t>Baethge</w:t>
      </w:r>
      <w:proofErr w:type="spellEnd"/>
      <w:r>
        <w:t xml:space="preserve">, C., Goldbeck-Wood, S., &amp; Mertens, S. (2019). SANRA—A scale for the quality assessment of narrative review articles. </w:t>
      </w:r>
      <w:r>
        <w:rPr>
          <w:i/>
          <w:iCs/>
        </w:rPr>
        <w:t>Research Integrity and Peer Review, 4</w:t>
      </w:r>
      <w:r>
        <w:t>(1), Article 5. https://doi.org/10.1186/s41073-019-0064-8</w:t>
      </w:r>
    </w:p>
    <w:p w14:paraId="6715BBB0" w14:textId="77777777" w:rsidR="001A6ECF" w:rsidRDefault="00000000" w:rsidP="00BD4822">
      <w:pPr>
        <w:pStyle w:val="BodyText"/>
        <w:spacing w:before="100" w:beforeAutospacing="1" w:after="100" w:afterAutospacing="1"/>
        <w:jc w:val="both"/>
      </w:pPr>
      <w:proofErr w:type="spellStart"/>
      <w:r>
        <w:t>Balciscueta</w:t>
      </w:r>
      <w:proofErr w:type="spellEnd"/>
      <w:r>
        <w:t xml:space="preserve">, Z., </w:t>
      </w:r>
      <w:proofErr w:type="spellStart"/>
      <w:r>
        <w:t>Balciscueta</w:t>
      </w:r>
      <w:proofErr w:type="spellEnd"/>
      <w:r>
        <w:t xml:space="preserve">, I., &amp; Uribe, N. (2021). Post-hemorrhoidectomy pain: Can surgeons reduce it? A systematic review and network meta-analysis of randomized trials. </w:t>
      </w:r>
      <w:r>
        <w:rPr>
          <w:i/>
          <w:iCs/>
        </w:rPr>
        <w:t>International Journal of Colorectal Disease, 36</w:t>
      </w:r>
      <w:r>
        <w:t>(12), 2553–2566. https://doi.org/10.1007/s00384-021-04013-6</w:t>
      </w:r>
    </w:p>
    <w:p w14:paraId="47CE4FAA" w14:textId="77777777" w:rsidR="001A6ECF" w:rsidRDefault="00000000" w:rsidP="00BD4822">
      <w:pPr>
        <w:pStyle w:val="BodyText"/>
        <w:spacing w:before="100" w:beforeAutospacing="1" w:after="100" w:afterAutospacing="1"/>
        <w:jc w:val="both"/>
      </w:pPr>
      <w:r>
        <w:t xml:space="preserve">Bhatti, M. I., Sajid, M. S., &amp; Baig, M. K. (2016). Milligan–Morgan (open) versus Ferguson </w:t>
      </w:r>
      <w:proofErr w:type="spellStart"/>
      <w:r>
        <w:t>haemorrhoidectomy</w:t>
      </w:r>
      <w:proofErr w:type="spellEnd"/>
      <w:r>
        <w:t xml:space="preserve"> (closed): A systematic review and meta-analysis of published randomized, controlled trials. </w:t>
      </w:r>
      <w:r>
        <w:rPr>
          <w:i/>
          <w:iCs/>
        </w:rPr>
        <w:t>World Journal of Surgery, 40</w:t>
      </w:r>
      <w:r>
        <w:t>(6), 1509–1519. https://doi.org/10.1007/s00268-016-3419-z</w:t>
      </w:r>
    </w:p>
    <w:p w14:paraId="50D308D8" w14:textId="77777777" w:rsidR="001A6ECF" w:rsidRDefault="00000000" w:rsidP="00BD4822">
      <w:pPr>
        <w:pStyle w:val="BodyText"/>
        <w:spacing w:before="100" w:beforeAutospacing="1" w:after="100" w:afterAutospacing="1"/>
        <w:jc w:val="both"/>
      </w:pPr>
      <w:proofErr w:type="spellStart"/>
      <w:r>
        <w:t>Brillantino</w:t>
      </w:r>
      <w:proofErr w:type="spellEnd"/>
      <w:r>
        <w:t xml:space="preserve">, A., Renzi, A., Talento, P., Brusciano, L., Marano, L., Grillo, M., Maglio, M. N., </w:t>
      </w:r>
      <w:proofErr w:type="spellStart"/>
      <w:r>
        <w:t>Foroni</w:t>
      </w:r>
      <w:proofErr w:type="spellEnd"/>
      <w:r>
        <w:t xml:space="preserve">, F., Palumbo, A., Sotelo, M. L. S., Vicenzo, L., Lanza, M., Frezza, G., </w:t>
      </w:r>
      <w:proofErr w:type="spellStart"/>
      <w:r>
        <w:t>Antropoli</w:t>
      </w:r>
      <w:proofErr w:type="spellEnd"/>
      <w:r>
        <w:t xml:space="preserve">, M., Gambardella, C., Monaco, L., Ferrante, I., Izzo, D., Giordano, A., . . . Docimo, L. (2024). The Italian Unitary Society of Colon-Proctology (Società </w:t>
      </w:r>
      <w:proofErr w:type="spellStart"/>
      <w:r>
        <w:t>Italiana</w:t>
      </w:r>
      <w:proofErr w:type="spellEnd"/>
      <w:r>
        <w:t xml:space="preserve"> </w:t>
      </w:r>
      <w:proofErr w:type="spellStart"/>
      <w:r>
        <w:t>Unitaria</w:t>
      </w:r>
      <w:proofErr w:type="spellEnd"/>
      <w:r>
        <w:t xml:space="preserve"> di </w:t>
      </w:r>
      <w:proofErr w:type="spellStart"/>
      <w:r>
        <w:t>Colonproctologia</w:t>
      </w:r>
      <w:proofErr w:type="spellEnd"/>
      <w:r>
        <w:t xml:space="preserve">) guidelines for the management </w:t>
      </w:r>
      <w:r>
        <w:lastRenderedPageBreak/>
        <w:t xml:space="preserve">of acute and chronic hemorrhoidal disease. </w:t>
      </w:r>
      <w:r>
        <w:rPr>
          <w:i/>
          <w:iCs/>
        </w:rPr>
        <w:t>Annals of Coloproctology, 40</w:t>
      </w:r>
      <w:r>
        <w:t>(4), 287–320. https://doi.org/10.3393/ac.2023.00871.0124</w:t>
      </w:r>
    </w:p>
    <w:p w14:paraId="4B072960" w14:textId="77777777" w:rsidR="001A6ECF" w:rsidRDefault="00000000" w:rsidP="00BD4822">
      <w:pPr>
        <w:pStyle w:val="BodyText"/>
        <w:spacing w:before="100" w:beforeAutospacing="1" w:after="100" w:afterAutospacing="1"/>
        <w:jc w:val="both"/>
      </w:pPr>
      <w:r>
        <w:t xml:space="preserve">Brown, S. R., Tiernan, J. P., Watson, A. J. M., Biggs, K., Shephard, N., </w:t>
      </w:r>
      <w:proofErr w:type="spellStart"/>
      <w:r>
        <w:t>Wailoo</w:t>
      </w:r>
      <w:proofErr w:type="spellEnd"/>
      <w:r>
        <w:t xml:space="preserve">, A. J., Bradburn, M., </w:t>
      </w:r>
      <w:proofErr w:type="spellStart"/>
      <w:r>
        <w:t>Alshreef</w:t>
      </w:r>
      <w:proofErr w:type="spellEnd"/>
      <w:r>
        <w:t xml:space="preserve">, A., &amp; Hind, D. (2016). </w:t>
      </w:r>
      <w:proofErr w:type="spellStart"/>
      <w:r>
        <w:t>Haemorrhoidal</w:t>
      </w:r>
      <w:proofErr w:type="spellEnd"/>
      <w:r>
        <w:t xml:space="preserve"> artery ligation versus rubber band ligation for the management of symptomatic second-degree and third-degree </w:t>
      </w:r>
      <w:proofErr w:type="spellStart"/>
      <w:r>
        <w:t>haemorrhoids</w:t>
      </w:r>
      <w:proofErr w:type="spellEnd"/>
      <w:r>
        <w:t xml:space="preserve"> (</w:t>
      </w:r>
      <w:proofErr w:type="spellStart"/>
      <w:r>
        <w:t>HubBLe</w:t>
      </w:r>
      <w:proofErr w:type="spellEnd"/>
      <w:r>
        <w:t xml:space="preserve">): A </w:t>
      </w:r>
      <w:proofErr w:type="spellStart"/>
      <w:r>
        <w:t>multicentre</w:t>
      </w:r>
      <w:proofErr w:type="spellEnd"/>
      <w:r>
        <w:t xml:space="preserve">, open-label, </w:t>
      </w:r>
      <w:proofErr w:type="spellStart"/>
      <w:r>
        <w:t>randomised</w:t>
      </w:r>
      <w:proofErr w:type="spellEnd"/>
      <w:r>
        <w:t xml:space="preserve"> controlled trial. </w:t>
      </w:r>
      <w:r>
        <w:rPr>
          <w:i/>
          <w:iCs/>
        </w:rPr>
        <w:t>The Lancet, 388</w:t>
      </w:r>
      <w:r>
        <w:t>(10042), 356–364. https://doi.org/10.1016/S0140-6736(16)30584-0</w:t>
      </w:r>
    </w:p>
    <w:p w14:paraId="6CCB18B8" w14:textId="77777777" w:rsidR="001A6ECF" w:rsidRDefault="00000000" w:rsidP="00BD4822">
      <w:pPr>
        <w:pStyle w:val="BodyText"/>
        <w:spacing w:before="100" w:beforeAutospacing="1" w:after="100" w:afterAutospacing="1"/>
        <w:jc w:val="both"/>
      </w:pPr>
      <w:r>
        <w:t xml:space="preserve">Chen, Y. Y., Chang, C. Y., Lin, C. H., Cheng, L. Y., Shih, W. T., Chen, K. J., &amp; Yang, Y. H. (2023). Prevalence, characteristics, and treatment of hemorrhoids during pregnancy: A nationwide population-based cohort study in Taiwan. </w:t>
      </w:r>
      <w:r>
        <w:rPr>
          <w:i/>
          <w:iCs/>
        </w:rPr>
        <w:t>Journal of Women’s Health, 32</w:t>
      </w:r>
      <w:r>
        <w:t>(12), 1394–1401. https://doi.org/10.1089/jwh.2023.0124</w:t>
      </w:r>
    </w:p>
    <w:p w14:paraId="46804AAC" w14:textId="77777777" w:rsidR="001A6ECF" w:rsidRDefault="00000000" w:rsidP="00BD4822">
      <w:pPr>
        <w:pStyle w:val="BodyText"/>
        <w:spacing w:before="100" w:beforeAutospacing="1" w:after="100" w:afterAutospacing="1"/>
        <w:jc w:val="both"/>
      </w:pPr>
      <w:r>
        <w:t xml:space="preserve">Christodoulou, P., </w:t>
      </w:r>
      <w:proofErr w:type="spellStart"/>
      <w:r>
        <w:t>Baloyiannis</w:t>
      </w:r>
      <w:proofErr w:type="spellEnd"/>
      <w:r>
        <w:t xml:space="preserve">, I., </w:t>
      </w:r>
      <w:proofErr w:type="spellStart"/>
      <w:r>
        <w:t>Perivoliotis</w:t>
      </w:r>
      <w:proofErr w:type="spellEnd"/>
      <w:r>
        <w:t xml:space="preserve">, K., Symeonidis, D., &amp; </w:t>
      </w:r>
      <w:proofErr w:type="spellStart"/>
      <w:r>
        <w:t>Tzovaras</w:t>
      </w:r>
      <w:proofErr w:type="spellEnd"/>
      <w:r>
        <w:t xml:space="preserve">, G. (2023). The role of the Rafaelo procedure in the management of hemorrhoidal disease: A systematic review and meta-analysis. </w:t>
      </w:r>
      <w:r>
        <w:rPr>
          <w:i/>
          <w:iCs/>
        </w:rPr>
        <w:t>Techniques in Coloproctology, 27</w:t>
      </w:r>
      <w:r>
        <w:t>(2), 103–115. https://doi.org/10.1007/s10151-022-02730-w</w:t>
      </w:r>
    </w:p>
    <w:p w14:paraId="42BD7DD4" w14:textId="77777777" w:rsidR="001A6ECF" w:rsidRDefault="00000000" w:rsidP="00BD4822">
      <w:pPr>
        <w:pStyle w:val="BodyText"/>
        <w:spacing w:before="100" w:beforeAutospacing="1" w:after="100" w:afterAutospacing="1"/>
        <w:jc w:val="both"/>
      </w:pPr>
      <w:r>
        <w:t>De Gregorio, M. A., Guirola, J. A., Serrano-</w:t>
      </w:r>
      <w:proofErr w:type="spellStart"/>
      <w:r>
        <w:t>Casorran</w:t>
      </w:r>
      <w:proofErr w:type="spellEnd"/>
      <w:r>
        <w:t xml:space="preserve">, C., Urbano, J., Gutiérrez, C., Gregorio, A., Sierre, S., Ciampi-Dopazo, J. J., Bernal, R., Gil, I., De Blas, I., Sánchez-Ballestín, M., &amp; </w:t>
      </w:r>
      <w:proofErr w:type="spellStart"/>
      <w:r>
        <w:t>Millera</w:t>
      </w:r>
      <w:proofErr w:type="spellEnd"/>
      <w:r>
        <w:t>, A. (2023). Catheter-directed hemorrhoidal embolization for rectal bleeding due to hemorrhoids (</w:t>
      </w:r>
      <w:proofErr w:type="spellStart"/>
      <w:r>
        <w:t>Goligher</w:t>
      </w:r>
      <w:proofErr w:type="spellEnd"/>
      <w:r>
        <w:t xml:space="preserve"> grade I–III): Prospective outcomes from a Spanish </w:t>
      </w:r>
      <w:proofErr w:type="spellStart"/>
      <w:r>
        <w:t>emborrhoid</w:t>
      </w:r>
      <w:proofErr w:type="spellEnd"/>
      <w:r>
        <w:t xml:space="preserve"> registry. </w:t>
      </w:r>
      <w:r>
        <w:rPr>
          <w:i/>
          <w:iCs/>
        </w:rPr>
        <w:t>European Radiology, 33</w:t>
      </w:r>
      <w:r>
        <w:t>(12), 8754–8763. https://doi.org/10.1007/s00330-023-09923-3</w:t>
      </w:r>
    </w:p>
    <w:p w14:paraId="7A910395" w14:textId="77777777" w:rsidR="001A6ECF" w:rsidRDefault="00000000" w:rsidP="00BD4822">
      <w:pPr>
        <w:pStyle w:val="BodyText"/>
        <w:spacing w:before="100" w:beforeAutospacing="1" w:after="100" w:afterAutospacing="1"/>
        <w:jc w:val="both"/>
      </w:pPr>
      <w:r>
        <w:t xml:space="preserve">De Nardi, P., Maggi, G., Pagnanelli, M., Vlasakov, I., &amp; </w:t>
      </w:r>
      <w:proofErr w:type="spellStart"/>
      <w:r>
        <w:t>Corbetta</w:t>
      </w:r>
      <w:proofErr w:type="spellEnd"/>
      <w:r>
        <w:t xml:space="preserve">, D. (2023). Hemorrhoid laser dearterialization: Systematic review and meta-analysis. </w:t>
      </w:r>
      <w:r>
        <w:rPr>
          <w:i/>
          <w:iCs/>
        </w:rPr>
        <w:t>Lasers in Medical Science, 38</w:t>
      </w:r>
      <w:r>
        <w:t>(1), Article 54. https://doi.org/10.1007/s10103-022-03703-z</w:t>
      </w:r>
    </w:p>
    <w:p w14:paraId="2843559B" w14:textId="77777777" w:rsidR="001A6ECF" w:rsidRDefault="00000000" w:rsidP="00BD4822">
      <w:pPr>
        <w:pStyle w:val="BodyText"/>
        <w:spacing w:before="100" w:beforeAutospacing="1" w:after="100" w:afterAutospacing="1"/>
        <w:jc w:val="both"/>
      </w:pPr>
      <w:r>
        <w:t xml:space="preserve">Dekker, L., Han-Geurts, I. J. M., Rørvik, H. D., van </w:t>
      </w:r>
      <w:proofErr w:type="spellStart"/>
      <w:r>
        <w:t>Dieren</w:t>
      </w:r>
      <w:proofErr w:type="spellEnd"/>
      <w:r>
        <w:t xml:space="preserve">, S., &amp; </w:t>
      </w:r>
      <w:proofErr w:type="spellStart"/>
      <w:r>
        <w:t>Bemelman</w:t>
      </w:r>
      <w:proofErr w:type="spellEnd"/>
      <w:r>
        <w:t xml:space="preserve">, W. A. (2021). Rubber band ligation versus </w:t>
      </w:r>
      <w:proofErr w:type="spellStart"/>
      <w:r>
        <w:t>haemorrhoidectomy</w:t>
      </w:r>
      <w:proofErr w:type="spellEnd"/>
      <w:r>
        <w:t xml:space="preserve"> for the treatment of grade II–III </w:t>
      </w:r>
      <w:proofErr w:type="spellStart"/>
      <w:r>
        <w:t>haemorrhoids</w:t>
      </w:r>
      <w:proofErr w:type="spellEnd"/>
      <w:r>
        <w:t xml:space="preserve">: A systematic review and meta-analysis of </w:t>
      </w:r>
      <w:proofErr w:type="spellStart"/>
      <w:r>
        <w:t>randomised</w:t>
      </w:r>
      <w:proofErr w:type="spellEnd"/>
      <w:r>
        <w:t xml:space="preserve"> controlled trials. </w:t>
      </w:r>
      <w:r>
        <w:rPr>
          <w:i/>
          <w:iCs/>
        </w:rPr>
        <w:t>Techniques in Coloproctology, 25</w:t>
      </w:r>
      <w:r>
        <w:t>(6), 663–674. https://doi.org/10.1007/s10151-021-02430-x</w:t>
      </w:r>
    </w:p>
    <w:p w14:paraId="3A37D321" w14:textId="77777777" w:rsidR="001A6ECF" w:rsidRDefault="00000000" w:rsidP="00BD4822">
      <w:pPr>
        <w:pStyle w:val="BodyText"/>
        <w:spacing w:before="100" w:beforeAutospacing="1" w:after="100" w:afterAutospacing="1"/>
        <w:jc w:val="both"/>
      </w:pPr>
      <w:r>
        <w:t xml:space="preserve">Dekker, L., Han-Geurts, I. J. M., Grossi, U., Gallo, G., &amp; Veldkamp, R. (2022). Is the </w:t>
      </w:r>
      <w:proofErr w:type="spellStart"/>
      <w:r>
        <w:t>Goligher</w:t>
      </w:r>
      <w:proofErr w:type="spellEnd"/>
      <w:r>
        <w:t xml:space="preserve"> classification a valid tool in clinical practice and research for hemorrhoidal disease? </w:t>
      </w:r>
      <w:r>
        <w:rPr>
          <w:i/>
          <w:iCs/>
        </w:rPr>
        <w:t>Techniques in Coloproctology, 26</w:t>
      </w:r>
      <w:r>
        <w:t>(5), 387–392. https://doi.org/10.1007/s10151-022-02591-3</w:t>
      </w:r>
    </w:p>
    <w:p w14:paraId="0AAB7F32" w14:textId="77777777" w:rsidR="001A6ECF" w:rsidRDefault="00000000" w:rsidP="00BD4822">
      <w:pPr>
        <w:pStyle w:val="BodyText"/>
        <w:spacing w:before="100" w:beforeAutospacing="1" w:after="100" w:afterAutospacing="1"/>
        <w:jc w:val="both"/>
      </w:pPr>
      <w:proofErr w:type="spellStart"/>
      <w:r>
        <w:t>Esmaeilnia</w:t>
      </w:r>
      <w:proofErr w:type="spellEnd"/>
      <w:r>
        <w:t xml:space="preserve"> Shirvani, A., </w:t>
      </w:r>
      <w:proofErr w:type="spellStart"/>
      <w:r>
        <w:t>Pakdaman</w:t>
      </w:r>
      <w:proofErr w:type="spellEnd"/>
      <w:r>
        <w:t xml:space="preserve">, K., Maleki, Z., </w:t>
      </w:r>
      <w:proofErr w:type="spellStart"/>
      <w:r>
        <w:t>Soraneh</w:t>
      </w:r>
      <w:proofErr w:type="spellEnd"/>
      <w:r>
        <w:t xml:space="preserve">, S., Rezaei Chegini, F., </w:t>
      </w:r>
      <w:proofErr w:type="spellStart"/>
      <w:r>
        <w:t>Pakdaman</w:t>
      </w:r>
      <w:proofErr w:type="spellEnd"/>
      <w:r>
        <w:t xml:space="preserve">, K., Vali, M., Nikbakht, H. A., </w:t>
      </w:r>
      <w:proofErr w:type="spellStart"/>
      <w:r>
        <w:t>Shojaie</w:t>
      </w:r>
      <w:proofErr w:type="spellEnd"/>
      <w:r>
        <w:t xml:space="preserve">, L., &amp; Ebrahimi, P. (2026). Worldwide prevalence of </w:t>
      </w:r>
      <w:proofErr w:type="spellStart"/>
      <w:r>
        <w:t>haemorrhoids</w:t>
      </w:r>
      <w:proofErr w:type="spellEnd"/>
      <w:r>
        <w:t xml:space="preserve">: A systematic review and meta-analysis. </w:t>
      </w:r>
      <w:r>
        <w:rPr>
          <w:i/>
          <w:iCs/>
        </w:rPr>
        <w:t>Annals of Medicine, 58</w:t>
      </w:r>
      <w:r>
        <w:t>(1), Article 2606433. https://doi.org/10.1080/07853890.2025.2606433</w:t>
      </w:r>
    </w:p>
    <w:p w14:paraId="703B4B59" w14:textId="77777777" w:rsidR="001A6ECF" w:rsidRDefault="00000000" w:rsidP="00BD4822">
      <w:pPr>
        <w:pStyle w:val="BodyText"/>
        <w:spacing w:before="100" w:beforeAutospacing="1" w:after="100" w:afterAutospacing="1"/>
        <w:jc w:val="both"/>
      </w:pPr>
      <w:r>
        <w:t xml:space="preserve">Gallo, G., Martellucci, J., Sturiale, A., Clerico, G., Milito, G., Marino, F., Cocorullo, G., Giordano, P., </w:t>
      </w:r>
      <w:proofErr w:type="spellStart"/>
      <w:r>
        <w:t>Mistrangelo</w:t>
      </w:r>
      <w:proofErr w:type="spellEnd"/>
      <w:r>
        <w:t xml:space="preserve">, M., &amp; </w:t>
      </w:r>
      <w:proofErr w:type="spellStart"/>
      <w:r>
        <w:t>Trompetto</w:t>
      </w:r>
      <w:proofErr w:type="spellEnd"/>
      <w:r>
        <w:t xml:space="preserve">, M. (2020). Consensus statement of the Italian Society of Colorectal Surgery (SICCR): Management and treatment of hemorrhoidal disease. </w:t>
      </w:r>
      <w:r>
        <w:rPr>
          <w:i/>
          <w:iCs/>
        </w:rPr>
        <w:t>Techniques in Coloproctology, 24</w:t>
      </w:r>
      <w:r>
        <w:t>(2), 145–164. https://doi.org/10.1007/s10151-020-02149-1</w:t>
      </w:r>
    </w:p>
    <w:p w14:paraId="2DC6794A" w14:textId="77777777" w:rsidR="001A6ECF" w:rsidRDefault="00000000" w:rsidP="00BD4822">
      <w:pPr>
        <w:pStyle w:val="BodyText"/>
        <w:spacing w:before="100" w:beforeAutospacing="1" w:after="100" w:afterAutospacing="1"/>
        <w:jc w:val="both"/>
      </w:pPr>
      <w:r>
        <w:t xml:space="preserve">Gallo, G., </w:t>
      </w:r>
      <w:proofErr w:type="spellStart"/>
      <w:r>
        <w:t>Picciariello</w:t>
      </w:r>
      <w:proofErr w:type="spellEnd"/>
      <w:r>
        <w:t xml:space="preserve">, A., Armellin, C., Lori, E., </w:t>
      </w:r>
      <w:proofErr w:type="spellStart"/>
      <w:r>
        <w:t>Tomasicchio</w:t>
      </w:r>
      <w:proofErr w:type="spellEnd"/>
      <w:r>
        <w:t xml:space="preserve">, G., Di Tanna, G. L., Santoro, G. A., Alharbi, M., Sorrenti, S., &amp; Grossi, U. (2024). Sclerotherapy for hemorrhoidal disease: Systematic </w:t>
      </w:r>
      <w:r>
        <w:lastRenderedPageBreak/>
        <w:t xml:space="preserve">review and meta-analysis. </w:t>
      </w:r>
      <w:r>
        <w:rPr>
          <w:i/>
          <w:iCs/>
        </w:rPr>
        <w:t>Techniques in Coloproctology, 28</w:t>
      </w:r>
      <w:r>
        <w:t>(1), Article 28. https://doi.org/10.1007/s10151-023-02908-w</w:t>
      </w:r>
    </w:p>
    <w:p w14:paraId="3227CB59" w14:textId="77777777" w:rsidR="001A6ECF" w:rsidRDefault="00000000" w:rsidP="00BD4822">
      <w:pPr>
        <w:pStyle w:val="BodyText"/>
        <w:spacing w:before="100" w:beforeAutospacing="1" w:after="100" w:afterAutospacing="1"/>
        <w:jc w:val="both"/>
      </w:pPr>
      <w:r>
        <w:t xml:space="preserve">Greenhalgh, T., Thorne, S., &amp; </w:t>
      </w:r>
      <w:proofErr w:type="spellStart"/>
      <w:r>
        <w:t>Malterud</w:t>
      </w:r>
      <w:proofErr w:type="spellEnd"/>
      <w:r>
        <w:t xml:space="preserve">, K. (2018). Time to challenge the spurious hierarchy of systematic over narrative reviews? </w:t>
      </w:r>
      <w:r>
        <w:rPr>
          <w:i/>
          <w:iCs/>
        </w:rPr>
        <w:t>European Journal of Clinical Investigation, 48</w:t>
      </w:r>
      <w:r>
        <w:t>(6), Article e12931. https://doi.org/10.1111/eci.12931</w:t>
      </w:r>
    </w:p>
    <w:p w14:paraId="3BB0E967" w14:textId="77777777" w:rsidR="001A6ECF" w:rsidRDefault="00000000" w:rsidP="00BD4822">
      <w:pPr>
        <w:pStyle w:val="BodyText"/>
        <w:spacing w:before="100" w:beforeAutospacing="1" w:after="100" w:afterAutospacing="1"/>
        <w:jc w:val="both"/>
      </w:pPr>
      <w:r>
        <w:t xml:space="preserve">Hawkins, A. T., Davis, B. R., Bhama, A. R., Fang, S. H., Dawes, A. J., Feingold, D. L., Lightner, A. L., &amp; Paquette, I. M. (2024). The American Society of Colon and Rectal Surgeons clinical practice guidelines for the management of hemorrhoids. </w:t>
      </w:r>
      <w:r>
        <w:rPr>
          <w:i/>
          <w:iCs/>
        </w:rPr>
        <w:t>Diseases of the Colon &amp; Rectum, 67</w:t>
      </w:r>
      <w:r>
        <w:t>(5), 614–623. https://doi.org/10.1097/DCR.0000000000003276</w:t>
      </w:r>
    </w:p>
    <w:p w14:paraId="0CF6E69E" w14:textId="77777777" w:rsidR="001A6ECF" w:rsidRDefault="00000000" w:rsidP="00BD4822">
      <w:pPr>
        <w:pStyle w:val="BodyText"/>
        <w:spacing w:before="100" w:beforeAutospacing="1" w:after="100" w:afterAutospacing="1"/>
        <w:jc w:val="both"/>
      </w:pPr>
      <w:r>
        <w:t xml:space="preserve">Jin, J., Xia, W., Connolly, A., &amp; Hill, A. G. (2020). Symptom-based scoring for </w:t>
      </w:r>
      <w:proofErr w:type="spellStart"/>
      <w:r>
        <w:t>haemorrhoidal</w:t>
      </w:r>
      <w:proofErr w:type="spellEnd"/>
      <w:r>
        <w:t xml:space="preserve"> disease: A systematic review. </w:t>
      </w:r>
      <w:r>
        <w:rPr>
          <w:i/>
          <w:iCs/>
        </w:rPr>
        <w:t>Colorectal Disease, 22</w:t>
      </w:r>
      <w:r>
        <w:t>(11), 1518–1527. https://doi.org/10.1111/codi.15253</w:t>
      </w:r>
    </w:p>
    <w:p w14:paraId="76F9F8D6" w14:textId="77777777" w:rsidR="001A6ECF" w:rsidRDefault="00000000" w:rsidP="00BD4822">
      <w:pPr>
        <w:pStyle w:val="BodyText"/>
        <w:spacing w:before="100" w:beforeAutospacing="1" w:after="100" w:afterAutospacing="1"/>
        <w:jc w:val="both"/>
      </w:pPr>
      <w:r>
        <w:t xml:space="preserve">Jin, J. Z., Bhat, S., Lee, K. T., Xia, W., &amp; Hill, A. G. (2021). Interventional treatments for prolapsing </w:t>
      </w:r>
      <w:proofErr w:type="spellStart"/>
      <w:r>
        <w:t>haemorrhoids</w:t>
      </w:r>
      <w:proofErr w:type="spellEnd"/>
      <w:r>
        <w:t xml:space="preserve">: Network meta-analysis. </w:t>
      </w:r>
      <w:r>
        <w:rPr>
          <w:i/>
          <w:iCs/>
        </w:rPr>
        <w:t>BJS Open, 5</w:t>
      </w:r>
      <w:r>
        <w:t>(5), Article zrab091. https://doi.org/10.1093/bjsopen/zrab091</w:t>
      </w:r>
    </w:p>
    <w:p w14:paraId="6ECC27D8" w14:textId="77777777" w:rsidR="001A6ECF" w:rsidRDefault="00000000" w:rsidP="00BD4822">
      <w:pPr>
        <w:pStyle w:val="BodyText"/>
        <w:spacing w:before="100" w:beforeAutospacing="1" w:after="100" w:afterAutospacing="1"/>
        <w:jc w:val="both"/>
      </w:pPr>
      <w:r>
        <w:t xml:space="preserve">Johanson, J. F., &amp; Sonnenberg, A. (1990). The prevalence of hemorrhoids and chronic constipation: An epidemiologic study. </w:t>
      </w:r>
      <w:r>
        <w:rPr>
          <w:i/>
          <w:iCs/>
        </w:rPr>
        <w:t>Gastroenterology, 98</w:t>
      </w:r>
      <w:r>
        <w:t>(2), 380–386. https://doi.org/10.1016/0016-5085(90)90828-O</w:t>
      </w:r>
    </w:p>
    <w:p w14:paraId="29217E49" w14:textId="77777777" w:rsidR="001A6ECF" w:rsidRDefault="00000000" w:rsidP="00BD4822">
      <w:pPr>
        <w:pStyle w:val="BodyText"/>
        <w:spacing w:before="100" w:beforeAutospacing="1" w:after="100" w:afterAutospacing="1"/>
        <w:jc w:val="both"/>
      </w:pPr>
      <w:proofErr w:type="spellStart"/>
      <w:r>
        <w:t>Kalkdijk</w:t>
      </w:r>
      <w:proofErr w:type="spellEnd"/>
      <w:r>
        <w:t xml:space="preserve">, J., </w:t>
      </w:r>
      <w:proofErr w:type="spellStart"/>
      <w:r>
        <w:t>Broens</w:t>
      </w:r>
      <w:proofErr w:type="spellEnd"/>
      <w:r>
        <w:t xml:space="preserve">, P., ten Broek, R., van der Heijden, J., </w:t>
      </w:r>
      <w:proofErr w:type="spellStart"/>
      <w:r>
        <w:t>Trzpis</w:t>
      </w:r>
      <w:proofErr w:type="spellEnd"/>
      <w:r>
        <w:t xml:space="preserve">, M., Pierie, J. P., &amp; Klarenbeek, B. (2022). Functional constipation in patients with hemorrhoids: A systematic review and meta-analysis. </w:t>
      </w:r>
      <w:r>
        <w:rPr>
          <w:i/>
          <w:iCs/>
        </w:rPr>
        <w:t>European Journal of Gastroenterology &amp; Hepatology, 34</w:t>
      </w:r>
      <w:r>
        <w:t>(8), 813–822. https://doi.org/10.1097/MEG.0000000000002361</w:t>
      </w:r>
    </w:p>
    <w:p w14:paraId="04F670E5" w14:textId="77777777" w:rsidR="001A6ECF" w:rsidRDefault="00000000" w:rsidP="00BD4822">
      <w:pPr>
        <w:pStyle w:val="BodyText"/>
        <w:spacing w:before="100" w:beforeAutospacing="1" w:after="100" w:afterAutospacing="1"/>
        <w:jc w:val="both"/>
      </w:pPr>
      <w:r>
        <w:t xml:space="preserve">Kuiper, S. Z., Kimman, M. L., Van Tol, R. R., Waardenburg, S. F., Van Kuijk, S. M. J., Dirksen, C. D., &amp; </w:t>
      </w:r>
      <w:proofErr w:type="spellStart"/>
      <w:r>
        <w:t>Breukink</w:t>
      </w:r>
      <w:proofErr w:type="spellEnd"/>
      <w:r>
        <w:t>, S. O. (2022). Patient reported outcome measure-</w:t>
      </w:r>
      <w:proofErr w:type="spellStart"/>
      <w:r>
        <w:t>haemorrhoidal</w:t>
      </w:r>
      <w:proofErr w:type="spellEnd"/>
      <w:r>
        <w:t xml:space="preserve"> impact and satisfaction score (PROM-HISS): Development, reliability and construct validity. </w:t>
      </w:r>
      <w:r>
        <w:rPr>
          <w:i/>
          <w:iCs/>
        </w:rPr>
        <w:t>Colorectal Disease, 24</w:t>
      </w:r>
      <w:r>
        <w:t>(8), 992–999. https://doi.org/10.1111/codi.16079</w:t>
      </w:r>
    </w:p>
    <w:p w14:paraId="7D55A168" w14:textId="77777777" w:rsidR="001A6ECF" w:rsidRDefault="00000000" w:rsidP="00BD4822">
      <w:pPr>
        <w:pStyle w:val="BodyText"/>
        <w:spacing w:before="100" w:beforeAutospacing="1" w:after="100" w:afterAutospacing="1"/>
        <w:jc w:val="both"/>
      </w:pPr>
      <w:r>
        <w:t xml:space="preserve">Kuiper, S. Z., Kimman, M. L., Cooper, R., O’Neill, H., Watson, A. J. M., </w:t>
      </w:r>
      <w:proofErr w:type="spellStart"/>
      <w:r>
        <w:t>Melenhorst</w:t>
      </w:r>
      <w:proofErr w:type="spellEnd"/>
      <w:r>
        <w:t xml:space="preserve">, J., </w:t>
      </w:r>
      <w:proofErr w:type="spellStart"/>
      <w:r>
        <w:t>Breukink</w:t>
      </w:r>
      <w:proofErr w:type="spellEnd"/>
      <w:r>
        <w:t>, S. O., &amp; Dirksen, C. D. (2023). English translation and cross-cultural validation of the patient-reported outcome measurement-</w:t>
      </w:r>
      <w:proofErr w:type="spellStart"/>
      <w:r>
        <w:t>haemorrhoidal</w:t>
      </w:r>
      <w:proofErr w:type="spellEnd"/>
      <w:r>
        <w:t xml:space="preserve"> impact and satisfaction score (PROM-HISS). </w:t>
      </w:r>
      <w:r>
        <w:rPr>
          <w:i/>
          <w:iCs/>
        </w:rPr>
        <w:t>Colorectal Disease, 25</w:t>
      </w:r>
      <w:r>
        <w:t>(8), 1671–1678. https://doi.org/10.1111/codi.16650</w:t>
      </w:r>
    </w:p>
    <w:p w14:paraId="591E1707" w14:textId="77777777" w:rsidR="001A6ECF" w:rsidRDefault="00000000" w:rsidP="00BD4822">
      <w:pPr>
        <w:pStyle w:val="BodyText"/>
        <w:spacing w:before="100" w:beforeAutospacing="1" w:after="100" w:afterAutospacing="1"/>
        <w:jc w:val="both"/>
      </w:pPr>
      <w:r>
        <w:t xml:space="preserve">Laurain, A., Bouchard, D., </w:t>
      </w:r>
      <w:proofErr w:type="spellStart"/>
      <w:r>
        <w:t>Rouillon</w:t>
      </w:r>
      <w:proofErr w:type="spellEnd"/>
      <w:r>
        <w:t xml:space="preserve">, J. M., Petit, P., </w:t>
      </w:r>
      <w:proofErr w:type="spellStart"/>
      <w:r>
        <w:t>Liddo</w:t>
      </w:r>
      <w:proofErr w:type="spellEnd"/>
      <w:r>
        <w:t xml:space="preserve">, A., Vinson Bonnet, B., </w:t>
      </w:r>
      <w:proofErr w:type="spellStart"/>
      <w:r>
        <w:t>Venara</w:t>
      </w:r>
      <w:proofErr w:type="spellEnd"/>
      <w:r>
        <w:t xml:space="preserve">, A., Didelot, J., Bonnaud, G., </w:t>
      </w:r>
      <w:proofErr w:type="spellStart"/>
      <w:r>
        <w:t>Senéjoux</w:t>
      </w:r>
      <w:proofErr w:type="spellEnd"/>
      <w:r>
        <w:t xml:space="preserve">, A., </w:t>
      </w:r>
      <w:proofErr w:type="spellStart"/>
      <w:r>
        <w:t>Higuero</w:t>
      </w:r>
      <w:proofErr w:type="spellEnd"/>
      <w:r>
        <w:t xml:space="preserve">, T., </w:t>
      </w:r>
      <w:proofErr w:type="spellStart"/>
      <w:r>
        <w:t>Delasalle</w:t>
      </w:r>
      <w:proofErr w:type="spellEnd"/>
      <w:r>
        <w:t xml:space="preserve">, P., </w:t>
      </w:r>
      <w:proofErr w:type="spellStart"/>
      <w:r>
        <w:t>Tarrerias</w:t>
      </w:r>
      <w:proofErr w:type="spellEnd"/>
      <w:r>
        <w:t xml:space="preserve">, A., </w:t>
      </w:r>
      <w:proofErr w:type="spellStart"/>
      <w:r>
        <w:t>Devulder</w:t>
      </w:r>
      <w:proofErr w:type="spellEnd"/>
      <w:r>
        <w:t xml:space="preserve">, F., </w:t>
      </w:r>
      <w:proofErr w:type="spellStart"/>
      <w:r>
        <w:t>Castinel</w:t>
      </w:r>
      <w:proofErr w:type="spellEnd"/>
      <w:r>
        <w:t xml:space="preserve">, A., Thomas, C., </w:t>
      </w:r>
      <w:proofErr w:type="spellStart"/>
      <w:r>
        <w:t>Pillant</w:t>
      </w:r>
      <w:proofErr w:type="spellEnd"/>
      <w:r>
        <w:t xml:space="preserve"> Le </w:t>
      </w:r>
      <w:proofErr w:type="spellStart"/>
      <w:r>
        <w:t>Moult</w:t>
      </w:r>
      <w:proofErr w:type="spellEnd"/>
      <w:r>
        <w:t xml:space="preserve">, H., Favreau-Weltzer, C., &amp; Abramowitz, L. (2023). French </w:t>
      </w:r>
      <w:proofErr w:type="spellStart"/>
      <w:r>
        <w:t>multicentre</w:t>
      </w:r>
      <w:proofErr w:type="spellEnd"/>
      <w:r>
        <w:t xml:space="preserve"> prospective evaluation of radiofrequency ablation in the management of </w:t>
      </w:r>
      <w:proofErr w:type="spellStart"/>
      <w:r>
        <w:t>haemorrhoidal</w:t>
      </w:r>
      <w:proofErr w:type="spellEnd"/>
      <w:r>
        <w:t xml:space="preserve"> disease. </w:t>
      </w:r>
      <w:r>
        <w:rPr>
          <w:i/>
          <w:iCs/>
        </w:rPr>
        <w:t>Techniques in Coloproctology, 27</w:t>
      </w:r>
      <w:r>
        <w:t>(10), 873–883. https://doi.org/10.1007/s10151-023-02787-1</w:t>
      </w:r>
    </w:p>
    <w:p w14:paraId="7266584F" w14:textId="77777777" w:rsidR="001A6ECF" w:rsidRDefault="00000000" w:rsidP="00BD4822">
      <w:pPr>
        <w:pStyle w:val="BodyText"/>
        <w:spacing w:before="100" w:beforeAutospacing="1" w:after="100" w:afterAutospacing="1"/>
        <w:jc w:val="both"/>
      </w:pPr>
      <w:r>
        <w:t xml:space="preserve">Lauricella, S., </w:t>
      </w:r>
      <w:proofErr w:type="spellStart"/>
      <w:r>
        <w:t>Brucchi</w:t>
      </w:r>
      <w:proofErr w:type="spellEnd"/>
      <w:r>
        <w:t xml:space="preserve">, F., </w:t>
      </w:r>
      <w:proofErr w:type="spellStart"/>
      <w:r>
        <w:t>Mascianà</w:t>
      </w:r>
      <w:proofErr w:type="spellEnd"/>
      <w:r>
        <w:t xml:space="preserve">, G., Sandri, G. B. L., </w:t>
      </w:r>
      <w:proofErr w:type="spellStart"/>
      <w:r>
        <w:t>Banchini</w:t>
      </w:r>
      <w:proofErr w:type="spellEnd"/>
      <w:r>
        <w:t xml:space="preserve">, F., Dionigi, G., Cassini, D., Casati, M., &amp; </w:t>
      </w:r>
      <w:proofErr w:type="spellStart"/>
      <w:r>
        <w:t>Cirocchi</w:t>
      </w:r>
      <w:proofErr w:type="spellEnd"/>
      <w:r>
        <w:t xml:space="preserve">, R. (2026). Long-term outcomes of stapled </w:t>
      </w:r>
      <w:proofErr w:type="spellStart"/>
      <w:r>
        <w:t>haemorrhoidopexy</w:t>
      </w:r>
      <w:proofErr w:type="spellEnd"/>
      <w:r>
        <w:t xml:space="preserve"> versus conventional </w:t>
      </w:r>
      <w:proofErr w:type="spellStart"/>
      <w:r>
        <w:t>haemorrhoidectomy</w:t>
      </w:r>
      <w:proofErr w:type="spellEnd"/>
      <w:r>
        <w:t xml:space="preserve">: An updated systematic review, meta-analysis and trial-sequential analysis of randomized controlled trials. </w:t>
      </w:r>
      <w:r>
        <w:rPr>
          <w:i/>
          <w:iCs/>
        </w:rPr>
        <w:t>International Journal of Colorectal Disease, 41</w:t>
      </w:r>
      <w:r>
        <w:t>(1), Article 34. https://doi.org/10.1007/s00384-026-05080-3</w:t>
      </w:r>
    </w:p>
    <w:p w14:paraId="5B56B6B3" w14:textId="77777777" w:rsidR="001A6ECF" w:rsidRDefault="00000000" w:rsidP="00BD4822">
      <w:pPr>
        <w:pStyle w:val="BodyText"/>
        <w:spacing w:before="100" w:beforeAutospacing="1" w:after="100" w:afterAutospacing="1"/>
        <w:jc w:val="both"/>
      </w:pPr>
      <w:r>
        <w:lastRenderedPageBreak/>
        <w:t xml:space="preserve">Lee, M. J., Morgan, J., Watson, A. J. M., Jones, G. L., &amp; Brown, S. R. (2019). A validated severity score for </w:t>
      </w:r>
      <w:proofErr w:type="spellStart"/>
      <w:r>
        <w:t>haemorrhoids</w:t>
      </w:r>
      <w:proofErr w:type="spellEnd"/>
      <w:r>
        <w:t xml:space="preserve"> as an essential prerequisite for future </w:t>
      </w:r>
      <w:proofErr w:type="spellStart"/>
      <w:r>
        <w:t>haemorrhoid</w:t>
      </w:r>
      <w:proofErr w:type="spellEnd"/>
      <w:r>
        <w:t xml:space="preserve"> trials. </w:t>
      </w:r>
      <w:r>
        <w:rPr>
          <w:i/>
          <w:iCs/>
        </w:rPr>
        <w:t>Techniques in Coloproctology, 23</w:t>
      </w:r>
      <w:r>
        <w:t>(1), 33–41. https://doi.org/10.1007/s10151-019-01936-9</w:t>
      </w:r>
    </w:p>
    <w:p w14:paraId="28ABCF5D" w14:textId="77777777" w:rsidR="001A6ECF" w:rsidRDefault="00000000" w:rsidP="00BD4822">
      <w:pPr>
        <w:pStyle w:val="BodyText"/>
        <w:spacing w:before="100" w:beforeAutospacing="1" w:after="100" w:afterAutospacing="1"/>
        <w:jc w:val="both"/>
      </w:pPr>
      <w:proofErr w:type="spellStart"/>
      <w:r>
        <w:t>Lestar</w:t>
      </w:r>
      <w:proofErr w:type="spellEnd"/>
      <w:r>
        <w:t xml:space="preserve">, B., </w:t>
      </w:r>
      <w:proofErr w:type="spellStart"/>
      <w:r>
        <w:t>Penninckx</w:t>
      </w:r>
      <w:proofErr w:type="spellEnd"/>
      <w:r>
        <w:t xml:space="preserve">, F., &amp; </w:t>
      </w:r>
      <w:proofErr w:type="spellStart"/>
      <w:r>
        <w:t>Kerremans</w:t>
      </w:r>
      <w:proofErr w:type="spellEnd"/>
      <w:r>
        <w:t xml:space="preserve">, R. (1989). The composition of anal basal pressure: An in vivo and in vitro study in man. </w:t>
      </w:r>
      <w:r>
        <w:rPr>
          <w:i/>
          <w:iCs/>
        </w:rPr>
        <w:t>International Journal of Colorectal Disease, 4</w:t>
      </w:r>
      <w:r>
        <w:t>(2), 118–122. https://doi.org/10.1007/BF01646870</w:t>
      </w:r>
    </w:p>
    <w:p w14:paraId="623EF08F" w14:textId="77777777" w:rsidR="001A6ECF" w:rsidRDefault="00000000" w:rsidP="00BD4822">
      <w:pPr>
        <w:pStyle w:val="BodyText"/>
        <w:spacing w:before="100" w:beforeAutospacing="1" w:after="100" w:afterAutospacing="1"/>
        <w:jc w:val="both"/>
      </w:pPr>
      <w:r>
        <w:t xml:space="preserve">Loder, P. B., Kamm, M. A., Nicholls, R. J., &amp; Phillips, R. K. S. (1994). </w:t>
      </w:r>
      <w:proofErr w:type="spellStart"/>
      <w:r>
        <w:t>Haemorrhoids</w:t>
      </w:r>
      <w:proofErr w:type="spellEnd"/>
      <w:r>
        <w:t xml:space="preserve">: Pathology, pathophysiology and </w:t>
      </w:r>
      <w:proofErr w:type="spellStart"/>
      <w:r>
        <w:t>aetiology</w:t>
      </w:r>
      <w:proofErr w:type="spellEnd"/>
      <w:r>
        <w:t xml:space="preserve">. </w:t>
      </w:r>
      <w:r>
        <w:rPr>
          <w:i/>
          <w:iCs/>
        </w:rPr>
        <w:t>British Journal of Surgery, 81</w:t>
      </w:r>
      <w:r>
        <w:t>(7), 946–954. https://doi.org/10.1002/bjs.1800810707</w:t>
      </w:r>
    </w:p>
    <w:p w14:paraId="239F8C9F" w14:textId="77777777" w:rsidR="001A6ECF" w:rsidRDefault="00000000" w:rsidP="00BD4822">
      <w:pPr>
        <w:pStyle w:val="BodyText"/>
        <w:spacing w:before="100" w:beforeAutospacing="1" w:after="100" w:afterAutospacing="1"/>
        <w:jc w:val="both"/>
      </w:pPr>
      <w:r>
        <w:t xml:space="preserve">Mustapha, B., </w:t>
      </w:r>
      <w:proofErr w:type="spellStart"/>
      <w:r>
        <w:t>Alatise</w:t>
      </w:r>
      <w:proofErr w:type="spellEnd"/>
      <w:r>
        <w:t xml:space="preserve">, O. I., </w:t>
      </w:r>
      <w:proofErr w:type="spellStart"/>
      <w:r>
        <w:t>Olasehinde</w:t>
      </w:r>
      <w:proofErr w:type="spellEnd"/>
      <w:r>
        <w:t xml:space="preserve">, O., Adisa, A., Wuraola, F. O., Mohammed, T. O., Aderounmu, A., Henry, A. O., </w:t>
      </w:r>
      <w:proofErr w:type="spellStart"/>
      <w:r>
        <w:t>Adesunkanmi</w:t>
      </w:r>
      <w:proofErr w:type="spellEnd"/>
      <w:r>
        <w:t xml:space="preserve">, A. O., Adeyeye, A., Qozeem, A. O., &amp; Mohammed, M. (2025). </w:t>
      </w:r>
      <w:proofErr w:type="spellStart"/>
      <w:r>
        <w:t>LigaSure</w:t>
      </w:r>
      <w:proofErr w:type="spellEnd"/>
      <w:r>
        <w:t xml:space="preserve"> versus conventional Milligan Morgan hemorrhoidectomy in Nigerian patients with symptomatic hemorrhoids. </w:t>
      </w:r>
      <w:r>
        <w:rPr>
          <w:i/>
          <w:iCs/>
        </w:rPr>
        <w:t>World Journal of Surgery, 49</w:t>
      </w:r>
      <w:r>
        <w:t>(2), 334–342. https://doi.org/10.1002/wjs.12416</w:t>
      </w:r>
    </w:p>
    <w:p w14:paraId="3AE26E1A" w14:textId="77777777" w:rsidR="001A6ECF" w:rsidRDefault="00000000" w:rsidP="00BD4822">
      <w:pPr>
        <w:pStyle w:val="BodyText"/>
        <w:spacing w:before="100" w:beforeAutospacing="1" w:after="100" w:afterAutospacing="1"/>
        <w:jc w:val="both"/>
      </w:pPr>
      <w:r>
        <w:t xml:space="preserve">Pata, F., Sgró, A., Ferrara, F., Vigorita, V., Gallo, G., &amp; Pellino, G. (2021). Anatomy, physiology and pathophysiology of </w:t>
      </w:r>
      <w:proofErr w:type="spellStart"/>
      <w:r>
        <w:t>haemorrhoids</w:t>
      </w:r>
      <w:proofErr w:type="spellEnd"/>
      <w:r>
        <w:t xml:space="preserve">. </w:t>
      </w:r>
      <w:r>
        <w:rPr>
          <w:i/>
          <w:iCs/>
        </w:rPr>
        <w:t>Reviews on Recent Clinical Trials, 16</w:t>
      </w:r>
      <w:r>
        <w:t>(1), 75–80. https://doi.org/10.2174/1574887115666200406115150</w:t>
      </w:r>
    </w:p>
    <w:p w14:paraId="1BA6BA15" w14:textId="77777777" w:rsidR="001A6ECF" w:rsidRDefault="00000000" w:rsidP="00BD4822">
      <w:pPr>
        <w:pStyle w:val="BodyText"/>
        <w:spacing w:before="100" w:beforeAutospacing="1" w:after="100" w:afterAutospacing="1"/>
        <w:jc w:val="both"/>
      </w:pPr>
      <w:r>
        <w:t xml:space="preserve">Pata, F., </w:t>
      </w:r>
      <w:proofErr w:type="spellStart"/>
      <w:r>
        <w:t>Bracchitta</w:t>
      </w:r>
      <w:proofErr w:type="spellEnd"/>
      <w:r>
        <w:t xml:space="preserve">, L. M., Nardo, B., Gallo, G., D’Ambrosio, G., &amp; </w:t>
      </w:r>
      <w:proofErr w:type="spellStart"/>
      <w:r>
        <w:t>Bracchitta</w:t>
      </w:r>
      <w:proofErr w:type="spellEnd"/>
      <w:r>
        <w:t xml:space="preserve">, S. (2023). </w:t>
      </w:r>
      <w:proofErr w:type="spellStart"/>
      <w:r>
        <w:t>Sclerobanding</w:t>
      </w:r>
      <w:proofErr w:type="spellEnd"/>
      <w:r>
        <w:t xml:space="preserve"> in the treatment of second and third degree hemorrhoidal disease in </w:t>
      </w:r>
      <w:proofErr w:type="gramStart"/>
      <w:r>
        <w:t>high risk</w:t>
      </w:r>
      <w:proofErr w:type="gramEnd"/>
      <w:r>
        <w:t xml:space="preserve"> patients on antiplatelet/anticoagulant therapy without suspension: A pilot study. </w:t>
      </w:r>
      <w:r>
        <w:rPr>
          <w:i/>
          <w:iCs/>
        </w:rPr>
        <w:t>Frontiers in Surgery, 10</w:t>
      </w:r>
      <w:r>
        <w:t>, Article 1290706. https://doi.org/10.3389/fsurg.2023.1290706</w:t>
      </w:r>
    </w:p>
    <w:p w14:paraId="663D7AEA" w14:textId="77777777" w:rsidR="001A6ECF" w:rsidRDefault="00000000" w:rsidP="00BD4822">
      <w:pPr>
        <w:pStyle w:val="BodyText"/>
        <w:spacing w:before="100" w:beforeAutospacing="1" w:after="100" w:afterAutospacing="1"/>
        <w:jc w:val="both"/>
      </w:pPr>
      <w:r>
        <w:t xml:space="preserve">Perera, N., </w:t>
      </w:r>
      <w:proofErr w:type="spellStart"/>
      <w:r>
        <w:t>Liolitsa</w:t>
      </w:r>
      <w:proofErr w:type="spellEnd"/>
      <w:r>
        <w:t xml:space="preserve">, D., </w:t>
      </w:r>
      <w:proofErr w:type="spellStart"/>
      <w:r>
        <w:t>Iype</w:t>
      </w:r>
      <w:proofErr w:type="spellEnd"/>
      <w:r>
        <w:t xml:space="preserve">, S., Croxford, A., Yassin, M., Lang, P., Ukaegbu, O., &amp; van Issum, C. (2012). </w:t>
      </w:r>
      <w:proofErr w:type="spellStart"/>
      <w:r>
        <w:t>Phlebotonics</w:t>
      </w:r>
      <w:proofErr w:type="spellEnd"/>
      <w:r>
        <w:t xml:space="preserve"> for </w:t>
      </w:r>
      <w:proofErr w:type="spellStart"/>
      <w:r>
        <w:t>haemorrhoids</w:t>
      </w:r>
      <w:proofErr w:type="spellEnd"/>
      <w:r>
        <w:t xml:space="preserve">. </w:t>
      </w:r>
      <w:r>
        <w:rPr>
          <w:i/>
          <w:iCs/>
        </w:rPr>
        <w:t>Cochrane Database of Systematic Reviews, 2012</w:t>
      </w:r>
      <w:r>
        <w:t>(8), Article CD004322. https://doi.org/10.1002/14651858.CD004322.pub3</w:t>
      </w:r>
    </w:p>
    <w:p w14:paraId="5FA14131" w14:textId="77777777" w:rsidR="001A6ECF" w:rsidRDefault="00000000" w:rsidP="00BD4822">
      <w:pPr>
        <w:pStyle w:val="BodyText"/>
        <w:spacing w:before="100" w:beforeAutospacing="1" w:after="100" w:afterAutospacing="1"/>
        <w:jc w:val="both"/>
      </w:pPr>
      <w:proofErr w:type="spellStart"/>
      <w:r>
        <w:t>Picciariello</w:t>
      </w:r>
      <w:proofErr w:type="spellEnd"/>
      <w:r>
        <w:t xml:space="preserve">, A., Rinaldi, M., Grossi, U., Verre, L., De Fazio, M., Dezi, A., </w:t>
      </w:r>
      <w:proofErr w:type="spellStart"/>
      <w:r>
        <w:t>Tomasicchio</w:t>
      </w:r>
      <w:proofErr w:type="spellEnd"/>
      <w:r>
        <w:t xml:space="preserve">, G., Altomare, D. F., &amp; Gallo, G. (2022). Management and treatment of external hemorrhoidal thrombosis. </w:t>
      </w:r>
      <w:r>
        <w:rPr>
          <w:i/>
          <w:iCs/>
        </w:rPr>
        <w:t>Frontiers in Surgery, 9</w:t>
      </w:r>
      <w:r>
        <w:t>, Article 898850. https://doi.org/10.3389/fsurg.2022.898850</w:t>
      </w:r>
    </w:p>
    <w:p w14:paraId="484EDB01" w14:textId="77777777" w:rsidR="001A6ECF" w:rsidRDefault="00000000" w:rsidP="00BD4822">
      <w:pPr>
        <w:pStyle w:val="BodyText"/>
        <w:spacing w:before="100" w:beforeAutospacing="1" w:after="100" w:afterAutospacing="1"/>
        <w:jc w:val="both"/>
      </w:pPr>
      <w:r>
        <w:t xml:space="preserve">Ponte, S. B., Oliveira, J., Rei, A., &amp; Salgueiro, P. (2025). Treatment of hemorrhoidal disease in patients with liver cirrhosis: A systematic review. </w:t>
      </w:r>
      <w:r>
        <w:rPr>
          <w:i/>
          <w:iCs/>
        </w:rPr>
        <w:t>GE – Portuguese Journal of Gastroenterology, 32</w:t>
      </w:r>
      <w:r>
        <w:t>(2), 95–108. https://doi.org/10.1159/000540702</w:t>
      </w:r>
    </w:p>
    <w:p w14:paraId="143485EA" w14:textId="77777777" w:rsidR="001A6ECF" w:rsidRDefault="00000000" w:rsidP="00BD4822">
      <w:pPr>
        <w:pStyle w:val="BodyText"/>
        <w:spacing w:before="100" w:beforeAutospacing="1" w:after="100" w:afterAutospacing="1"/>
        <w:jc w:val="both"/>
      </w:pPr>
      <w:r>
        <w:t xml:space="preserve">Qu, C. Y., Zhang, F. Y., Wang, W., Gao, F. Y., Lin, W. L., Zhang, H., Chen, G., Zhang, Y., Li, M., Li, Z., Cai, M., Xu, L., &amp; Shen, F. (2024). Endoscopic polidocanol foam </w:t>
      </w:r>
      <w:proofErr w:type="spellStart"/>
      <w:r>
        <w:t>sclerobanding</w:t>
      </w:r>
      <w:proofErr w:type="spellEnd"/>
      <w:r>
        <w:t xml:space="preserve"> for the treatment of grade II-III internal hemorrhoids: A prospective, multi-center, randomized study. </w:t>
      </w:r>
      <w:r>
        <w:rPr>
          <w:i/>
          <w:iCs/>
        </w:rPr>
        <w:t>World Journal of Gastroenterology, 30</w:t>
      </w:r>
      <w:r>
        <w:t>(27), 3326–3335. https://doi.org/10.3748/wjg.v30.i27.3326</w:t>
      </w:r>
    </w:p>
    <w:p w14:paraId="3E021F99" w14:textId="77777777" w:rsidR="001A6ECF" w:rsidRDefault="00000000" w:rsidP="00BD4822">
      <w:pPr>
        <w:pStyle w:val="BodyText"/>
        <w:spacing w:before="100" w:beforeAutospacing="1" w:after="100" w:afterAutospacing="1"/>
        <w:jc w:val="both"/>
      </w:pPr>
      <w:r>
        <w:t xml:space="preserve">Qureshi, W., Hoang, S., Frye, J., &amp; Rao, S. S. (2026). AGA clinical practice update on diagnosis and treatment of hemorrhoids: Expert review. </w:t>
      </w:r>
      <w:r>
        <w:rPr>
          <w:i/>
          <w:iCs/>
        </w:rPr>
        <w:t>Clinical Gastroenterology and Hepatology, 24</w:t>
      </w:r>
      <w:r>
        <w:t>(7), 1773–1781. https://doi.org/10.1016/j.cgh.2026.04.008</w:t>
      </w:r>
    </w:p>
    <w:p w14:paraId="72831642" w14:textId="77777777" w:rsidR="001A6ECF" w:rsidRDefault="00000000" w:rsidP="00BD4822">
      <w:pPr>
        <w:pStyle w:val="BodyText"/>
        <w:spacing w:before="100" w:beforeAutospacing="1" w:after="100" w:afterAutospacing="1"/>
        <w:jc w:val="both"/>
      </w:pPr>
      <w:r>
        <w:t xml:space="preserve">Rao, S. S. C., Bharucha, A. E., Carrington, E. V., Grossi, U., Malcolm, A., </w:t>
      </w:r>
      <w:proofErr w:type="spellStart"/>
      <w:r>
        <w:t>Neshatian</w:t>
      </w:r>
      <w:proofErr w:type="spellEnd"/>
      <w:r>
        <w:t xml:space="preserve">, L., &amp; Remes-Troche, J. M. (2026). Anorectal disorders. </w:t>
      </w:r>
      <w:r>
        <w:rPr>
          <w:i/>
          <w:iCs/>
        </w:rPr>
        <w:t>Gastroenterology, 170</w:t>
      </w:r>
      <w:r>
        <w:t>(6), 1318–1346. https://doi.org/10.1053/j.gastro.2026.01.037</w:t>
      </w:r>
    </w:p>
    <w:p w14:paraId="29F9CE79" w14:textId="77777777" w:rsidR="001A6ECF" w:rsidRDefault="00000000" w:rsidP="00BD4822">
      <w:pPr>
        <w:pStyle w:val="BodyText"/>
        <w:spacing w:before="100" w:beforeAutospacing="1" w:after="100" w:afterAutospacing="1"/>
        <w:jc w:val="both"/>
      </w:pPr>
      <w:r>
        <w:lastRenderedPageBreak/>
        <w:t xml:space="preserve">Riss, S., Weiser, F. A., Riss, T., </w:t>
      </w:r>
      <w:proofErr w:type="spellStart"/>
      <w:r>
        <w:t>Schwameis</w:t>
      </w:r>
      <w:proofErr w:type="spellEnd"/>
      <w:r>
        <w:t xml:space="preserve">, K., </w:t>
      </w:r>
      <w:proofErr w:type="spellStart"/>
      <w:r>
        <w:t>Mittlböck</w:t>
      </w:r>
      <w:proofErr w:type="spellEnd"/>
      <w:r>
        <w:t xml:space="preserve">, M., &amp; Stift, A. (2011). </w:t>
      </w:r>
      <w:proofErr w:type="spellStart"/>
      <w:r>
        <w:t>Haemorrhoids</w:t>
      </w:r>
      <w:proofErr w:type="spellEnd"/>
      <w:r>
        <w:t xml:space="preserve"> and quality of life. </w:t>
      </w:r>
      <w:r>
        <w:rPr>
          <w:i/>
          <w:iCs/>
        </w:rPr>
        <w:t>Colorectal Disease, 13</w:t>
      </w:r>
      <w:r>
        <w:t>(4), e48–e52. https://doi.org/10.1111/j.1463-1318.2010.02480.x</w:t>
      </w:r>
    </w:p>
    <w:p w14:paraId="6F72D265" w14:textId="77777777" w:rsidR="001A6ECF" w:rsidRDefault="00000000" w:rsidP="00BD4822">
      <w:pPr>
        <w:pStyle w:val="BodyText"/>
        <w:spacing w:before="100" w:beforeAutospacing="1" w:after="100" w:afterAutospacing="1"/>
        <w:jc w:val="both"/>
      </w:pPr>
      <w:r>
        <w:t xml:space="preserve">Riss, S., Weiser, F. A., </w:t>
      </w:r>
      <w:proofErr w:type="spellStart"/>
      <w:r>
        <w:t>Schwameis</w:t>
      </w:r>
      <w:proofErr w:type="spellEnd"/>
      <w:r>
        <w:t xml:space="preserve">, K., Riss, T., </w:t>
      </w:r>
      <w:proofErr w:type="spellStart"/>
      <w:r>
        <w:t>Mittlböck</w:t>
      </w:r>
      <w:proofErr w:type="spellEnd"/>
      <w:r>
        <w:t xml:space="preserve">, M., Steiner, G., &amp; Stift, A. (2012). The prevalence of hemorrhoids in adults. </w:t>
      </w:r>
      <w:r>
        <w:rPr>
          <w:i/>
          <w:iCs/>
        </w:rPr>
        <w:t>International Journal of Colorectal Disease, 27</w:t>
      </w:r>
      <w:r>
        <w:t>(2), 215–220. https://doi.org/10.1007/s00384-011-1316-3</w:t>
      </w:r>
    </w:p>
    <w:p w14:paraId="22FE4FC0" w14:textId="77777777" w:rsidR="001A6ECF" w:rsidRDefault="00000000" w:rsidP="00BD4822">
      <w:pPr>
        <w:pStyle w:val="BodyText"/>
        <w:spacing w:before="100" w:beforeAutospacing="1" w:after="100" w:afterAutospacing="1"/>
        <w:jc w:val="both"/>
      </w:pPr>
      <w:r>
        <w:t xml:space="preserve">Romano, F. M., </w:t>
      </w:r>
      <w:proofErr w:type="spellStart"/>
      <w:r>
        <w:t>Sciaudone</w:t>
      </w:r>
      <w:proofErr w:type="spellEnd"/>
      <w:r>
        <w:t xml:space="preserve">, G., Canonico, S., Selvaggi, F., &amp; Pellino, G. (2021). Scoring system for </w:t>
      </w:r>
      <w:proofErr w:type="spellStart"/>
      <w:r>
        <w:t>haemorrhoidal</w:t>
      </w:r>
      <w:proofErr w:type="spellEnd"/>
      <w:r>
        <w:t xml:space="preserve"> disease. </w:t>
      </w:r>
      <w:r>
        <w:rPr>
          <w:i/>
          <w:iCs/>
        </w:rPr>
        <w:t>Reviews on Recent Clinical Trials, 16</w:t>
      </w:r>
      <w:r>
        <w:t>(1), 96–100. https://doi.org/10.2174/1574887115666200319162033</w:t>
      </w:r>
    </w:p>
    <w:p w14:paraId="11463153" w14:textId="77777777" w:rsidR="001A6ECF" w:rsidRDefault="00000000" w:rsidP="00BD4822">
      <w:pPr>
        <w:pStyle w:val="BodyText"/>
        <w:spacing w:before="100" w:beforeAutospacing="1" w:after="100" w:afterAutospacing="1"/>
        <w:jc w:val="both"/>
      </w:pPr>
      <w:r>
        <w:t xml:space="preserve">Rørvik, H. D., Styr, K., Ilum, L., McKinstry, G. L., </w:t>
      </w:r>
      <w:proofErr w:type="spellStart"/>
      <w:r>
        <w:t>Dragesund</w:t>
      </w:r>
      <w:proofErr w:type="spellEnd"/>
      <w:r>
        <w:t xml:space="preserve">, T., Campos, A. H., Brandstrup, B., &amp; Olaison, G. (2019). Hemorrhoidal disease symptom score and short health scale HD: New tools to evaluate symptoms and health-related quality of life in hemorrhoidal disease. </w:t>
      </w:r>
      <w:r>
        <w:rPr>
          <w:i/>
          <w:iCs/>
        </w:rPr>
        <w:t>Diseases of the Colon &amp; Rectum, 62</w:t>
      </w:r>
      <w:r>
        <w:t>(3), 333–342. https://doi.org/10.1097/DCR.0000000000001234</w:t>
      </w:r>
    </w:p>
    <w:p w14:paraId="4CDEF5F3" w14:textId="77777777" w:rsidR="001A6ECF" w:rsidRDefault="00000000" w:rsidP="00BD4822">
      <w:pPr>
        <w:pStyle w:val="BodyText"/>
        <w:spacing w:before="100" w:beforeAutospacing="1" w:after="100" w:afterAutospacing="1"/>
        <w:jc w:val="both"/>
      </w:pPr>
      <w:r>
        <w:t xml:space="preserve">Rubbini, M., &amp; </w:t>
      </w:r>
      <w:proofErr w:type="spellStart"/>
      <w:r>
        <w:t>Ascanelli</w:t>
      </w:r>
      <w:proofErr w:type="spellEnd"/>
      <w:r>
        <w:t xml:space="preserve">, S. (2019). Classification and guidelines of hemorrhoidal disease: Present and future. </w:t>
      </w:r>
      <w:r>
        <w:rPr>
          <w:i/>
          <w:iCs/>
        </w:rPr>
        <w:t>World Journal of Gastrointestinal Surgery, 11</w:t>
      </w:r>
      <w:r>
        <w:t>(3), 117–121. https://doi.org/10.4240/wjgs.v11.i3.117</w:t>
      </w:r>
    </w:p>
    <w:p w14:paraId="208E38FB" w14:textId="77777777" w:rsidR="001A6ECF" w:rsidRDefault="00000000" w:rsidP="00BD4822">
      <w:pPr>
        <w:pStyle w:val="BodyText"/>
        <w:spacing w:before="100" w:beforeAutospacing="1" w:after="100" w:afterAutospacing="1"/>
        <w:jc w:val="both"/>
      </w:pPr>
      <w:r>
        <w:t xml:space="preserve">Salgueiro, P., Garrido, M., Santos, R. G., Pedroto, I., &amp; Castro-Poças, F. M. (2022). Polidocanol foam sclerotherapy versus rubber band ligation in hemorrhoidal disease grades I/II/III: Randomized trial. </w:t>
      </w:r>
      <w:r>
        <w:rPr>
          <w:i/>
          <w:iCs/>
        </w:rPr>
        <w:t>Diseases of the Colon &amp; Rectum, 65</w:t>
      </w:r>
      <w:r>
        <w:t>(7), e718–e727. https://doi.org/10.1097/DCR.0000000000002117</w:t>
      </w:r>
    </w:p>
    <w:p w14:paraId="0B2CB686" w14:textId="77777777" w:rsidR="001A6ECF" w:rsidRDefault="00000000" w:rsidP="00BD4822">
      <w:pPr>
        <w:pStyle w:val="BodyText"/>
        <w:spacing w:before="100" w:beforeAutospacing="1" w:after="100" w:afterAutospacing="1"/>
        <w:jc w:val="both"/>
      </w:pPr>
      <w:r>
        <w:t xml:space="preserve">Schuurman, J. P., Borel Rinkes, I. H. M., &amp; Go, P. M. N. Y. H. (2012). Hemorrhoidal artery ligation procedure with or without Doppler transducer in grade II and III hemorrhoidal disease: A blinded randomized clinical trial. </w:t>
      </w:r>
      <w:r>
        <w:rPr>
          <w:i/>
          <w:iCs/>
        </w:rPr>
        <w:t>Annals of Surgery, 255</w:t>
      </w:r>
      <w:r>
        <w:t>(5), 840–845. https://doi.org/10.1097/SLA.0b013e31824e2bb5</w:t>
      </w:r>
    </w:p>
    <w:p w14:paraId="4D62F524" w14:textId="77777777" w:rsidR="001A6ECF" w:rsidRDefault="00000000" w:rsidP="00BD4822">
      <w:pPr>
        <w:pStyle w:val="BodyText"/>
        <w:spacing w:before="100" w:beforeAutospacing="1" w:after="100" w:afterAutospacing="1"/>
        <w:jc w:val="both"/>
      </w:pPr>
      <w:r>
        <w:t xml:space="preserve">Sheikh, P., </w:t>
      </w:r>
      <w:proofErr w:type="spellStart"/>
      <w:r>
        <w:t>Lohsiriwat</w:t>
      </w:r>
      <w:proofErr w:type="spellEnd"/>
      <w:r>
        <w:t xml:space="preserve">, V., &amp; </w:t>
      </w:r>
      <w:proofErr w:type="spellStart"/>
      <w:r>
        <w:t>Shelygin</w:t>
      </w:r>
      <w:proofErr w:type="spellEnd"/>
      <w:r>
        <w:t xml:space="preserve">, Y. (2020). Micronized purified flavonoid fraction in hemorrhoid disease: A systematic review and meta-analysis. </w:t>
      </w:r>
      <w:r>
        <w:rPr>
          <w:i/>
          <w:iCs/>
        </w:rPr>
        <w:t>Advances in Therapy, 37</w:t>
      </w:r>
      <w:r>
        <w:t>(6), 2792–2812. https://doi.org/10.1007/s12325-020-01353-7</w:t>
      </w:r>
    </w:p>
    <w:p w14:paraId="68634456" w14:textId="77777777" w:rsidR="001A6ECF" w:rsidRDefault="00000000" w:rsidP="00BD4822">
      <w:pPr>
        <w:pStyle w:val="BodyText"/>
        <w:spacing w:before="100" w:beforeAutospacing="1" w:after="100" w:afterAutospacing="1"/>
        <w:jc w:val="both"/>
      </w:pPr>
      <w:proofErr w:type="spellStart"/>
      <w:r>
        <w:t>Simillis</w:t>
      </w:r>
      <w:proofErr w:type="spellEnd"/>
      <w:r>
        <w:t xml:space="preserve">, C., </w:t>
      </w:r>
      <w:proofErr w:type="spellStart"/>
      <w:r>
        <w:t>Thoukididou</w:t>
      </w:r>
      <w:proofErr w:type="spellEnd"/>
      <w:r>
        <w:t xml:space="preserve">, S. N., Slesser, A. A. P., Rasheed, S., Tan, E., &amp; </w:t>
      </w:r>
      <w:proofErr w:type="spellStart"/>
      <w:r>
        <w:t>Tekkis</w:t>
      </w:r>
      <w:proofErr w:type="spellEnd"/>
      <w:r>
        <w:t xml:space="preserve">, P. P. (2015). Systematic review and network meta-analysis comparing clinical outcomes and effectiveness of surgical treatments for </w:t>
      </w:r>
      <w:proofErr w:type="spellStart"/>
      <w:r>
        <w:t>haemorrhoids</w:t>
      </w:r>
      <w:proofErr w:type="spellEnd"/>
      <w:r>
        <w:t xml:space="preserve">. </w:t>
      </w:r>
      <w:r>
        <w:rPr>
          <w:i/>
          <w:iCs/>
        </w:rPr>
        <w:t>British Journal of Surgery, 102</w:t>
      </w:r>
      <w:r>
        <w:t>(13), 1603–1618. https://doi.org/10.1002/bjs.9913</w:t>
      </w:r>
    </w:p>
    <w:p w14:paraId="4341846A" w14:textId="77777777" w:rsidR="001A6ECF" w:rsidRDefault="00000000" w:rsidP="00BD4822">
      <w:pPr>
        <w:pStyle w:val="BodyText"/>
        <w:spacing w:before="100" w:beforeAutospacing="1" w:after="100" w:afterAutospacing="1"/>
        <w:jc w:val="both"/>
      </w:pPr>
      <w:r>
        <w:t xml:space="preserve">Sobrado, C. W., de Almeida Obregon, C., Sobrado, L. F., Bassi, L. M., Bacchi Hora, J. A., Silva e Sousa Júnior, A. H., Nahas, S. C., &amp; </w:t>
      </w:r>
      <w:proofErr w:type="spellStart"/>
      <w:r>
        <w:t>Cecconello</w:t>
      </w:r>
      <w:proofErr w:type="spellEnd"/>
      <w:r>
        <w:t xml:space="preserve">, I. (2021). The novel BPRST classification for hemorrhoidal disease: A cohort study and an algorithm for treatment. </w:t>
      </w:r>
      <w:r>
        <w:rPr>
          <w:i/>
          <w:iCs/>
        </w:rPr>
        <w:t>Annals of Medicine and Surgery, 61</w:t>
      </w:r>
      <w:r>
        <w:t>, 97–100. https://doi.org/10.1016/j.amsu.2020.12.019</w:t>
      </w:r>
    </w:p>
    <w:p w14:paraId="4381A2EF" w14:textId="77777777" w:rsidR="001A6ECF" w:rsidRDefault="00000000" w:rsidP="00BD4822">
      <w:pPr>
        <w:pStyle w:val="BodyText"/>
        <w:spacing w:before="100" w:beforeAutospacing="1" w:after="100" w:afterAutospacing="1"/>
        <w:jc w:val="both"/>
      </w:pPr>
      <w:proofErr w:type="spellStart"/>
      <w:r>
        <w:t>Talaie</w:t>
      </w:r>
      <w:proofErr w:type="spellEnd"/>
      <w:r>
        <w:t xml:space="preserve">, R., Torkian, P., Moghadam, A. D., </w:t>
      </w:r>
      <w:proofErr w:type="spellStart"/>
      <w:r>
        <w:t>Tradi</w:t>
      </w:r>
      <w:proofErr w:type="spellEnd"/>
      <w:r>
        <w:t xml:space="preserve">, F., Vidal, V., Sapoval, M., &amp; </w:t>
      </w:r>
      <w:proofErr w:type="spellStart"/>
      <w:r>
        <w:t>Golzarian</w:t>
      </w:r>
      <w:proofErr w:type="spellEnd"/>
      <w:r>
        <w:t xml:space="preserve">, J. (2022). Hemorrhoid embolization: A review of current evidences. </w:t>
      </w:r>
      <w:r>
        <w:rPr>
          <w:i/>
          <w:iCs/>
        </w:rPr>
        <w:t>Diagnostic and Interventional Imaging, 103</w:t>
      </w:r>
      <w:r>
        <w:t>(1), 3–11. https://doi.org/10.1016/j.diii.2021.07.001</w:t>
      </w:r>
    </w:p>
    <w:p w14:paraId="5F548F27" w14:textId="77777777" w:rsidR="001A6ECF" w:rsidRDefault="00000000" w:rsidP="00BD4822">
      <w:pPr>
        <w:pStyle w:val="BodyText"/>
        <w:spacing w:before="100" w:beforeAutospacing="1" w:after="100" w:afterAutospacing="1"/>
        <w:jc w:val="both"/>
      </w:pPr>
      <w:r>
        <w:t xml:space="preserve">Thomson, W. H. F. (1975). The nature of </w:t>
      </w:r>
      <w:proofErr w:type="spellStart"/>
      <w:r>
        <w:t>haemorrhoids</w:t>
      </w:r>
      <w:proofErr w:type="spellEnd"/>
      <w:r>
        <w:t xml:space="preserve">. </w:t>
      </w:r>
      <w:r>
        <w:rPr>
          <w:i/>
          <w:iCs/>
        </w:rPr>
        <w:t>British Journal of Surgery, 62</w:t>
      </w:r>
      <w:r>
        <w:t>(7), 542–552. https://doi.org/10.1002/bjs.1800620710</w:t>
      </w:r>
    </w:p>
    <w:p w14:paraId="4A04AD53" w14:textId="77777777" w:rsidR="001A6ECF" w:rsidRDefault="00000000" w:rsidP="00BD4822">
      <w:pPr>
        <w:pStyle w:val="BodyText"/>
        <w:spacing w:before="100" w:beforeAutospacing="1" w:after="100" w:afterAutospacing="1"/>
        <w:jc w:val="both"/>
      </w:pPr>
      <w:r>
        <w:lastRenderedPageBreak/>
        <w:t xml:space="preserve">Tolksdorf, S., </w:t>
      </w:r>
      <w:proofErr w:type="spellStart"/>
      <w:r>
        <w:t>Tübergen</w:t>
      </w:r>
      <w:proofErr w:type="spellEnd"/>
      <w:r>
        <w:t xml:space="preserve">, D., Vivaldi, C., Pisek, M., Klug, F., Kemmerling, M., &amp; Schäfer, H. (2022). Early and midterm results of radiofrequency ablation (Rafaelo procedure) for third-degree </w:t>
      </w:r>
      <w:proofErr w:type="spellStart"/>
      <w:r>
        <w:t>haemorrhoids</w:t>
      </w:r>
      <w:proofErr w:type="spellEnd"/>
      <w:r>
        <w:t>: A prospective, two-</w:t>
      </w:r>
      <w:proofErr w:type="spellStart"/>
      <w:r>
        <w:t>centre</w:t>
      </w:r>
      <w:proofErr w:type="spellEnd"/>
      <w:r>
        <w:t xml:space="preserve"> study. </w:t>
      </w:r>
      <w:r>
        <w:rPr>
          <w:i/>
          <w:iCs/>
        </w:rPr>
        <w:t>Techniques in Coloproctology, 26</w:t>
      </w:r>
      <w:r>
        <w:t>(6), 479–487. https://doi.org/10.1007/s10151-022-02608-x</w:t>
      </w:r>
    </w:p>
    <w:p w14:paraId="307A210B" w14:textId="77777777" w:rsidR="001A6ECF" w:rsidRDefault="00000000" w:rsidP="00BD4822">
      <w:pPr>
        <w:pStyle w:val="BodyText"/>
        <w:spacing w:before="100" w:beforeAutospacing="1" w:after="100" w:afterAutospacing="1"/>
        <w:jc w:val="both"/>
      </w:pPr>
      <w:r>
        <w:t xml:space="preserve">Tutino, R., </w:t>
      </w:r>
      <w:proofErr w:type="spellStart"/>
      <w:r>
        <w:t>Picciariello</w:t>
      </w:r>
      <w:proofErr w:type="spellEnd"/>
      <w:r>
        <w:t xml:space="preserve">, A., Santarelli, M., De Simone, V., Lobascio, P., Cocorullo, G., Massani, M., Graziano, G., Santoro, G. A., &amp; Gallo, G. (2025). </w:t>
      </w:r>
      <w:proofErr w:type="spellStart"/>
      <w:r>
        <w:t>Haemorrhoidal</w:t>
      </w:r>
      <w:proofErr w:type="spellEnd"/>
      <w:r>
        <w:t xml:space="preserve"> artery ligation: Is Doppler guidance useful? A systematic review and meta-analysis of randomized controlled trials. </w:t>
      </w:r>
      <w:r>
        <w:rPr>
          <w:i/>
          <w:iCs/>
        </w:rPr>
        <w:t>Colorectal Disease, 27</w:t>
      </w:r>
      <w:r>
        <w:t>(7), Article e70163. https://doi.org/10.1111/codi.70163</w:t>
      </w:r>
    </w:p>
    <w:p w14:paraId="58527F4E" w14:textId="77777777" w:rsidR="001A6ECF" w:rsidRDefault="00000000" w:rsidP="00BD4822">
      <w:pPr>
        <w:pStyle w:val="BodyText"/>
        <w:spacing w:before="100" w:beforeAutospacing="1" w:after="100" w:afterAutospacing="1"/>
        <w:jc w:val="both"/>
      </w:pPr>
      <w:r>
        <w:t xml:space="preserve">van Oostendorp, J. Y., Dekker, L., van </w:t>
      </w:r>
      <w:proofErr w:type="spellStart"/>
      <w:r>
        <w:t>Dieren</w:t>
      </w:r>
      <w:proofErr w:type="spellEnd"/>
      <w:r>
        <w:t xml:space="preserve">, S., Veldkamp, R., </w:t>
      </w:r>
      <w:proofErr w:type="spellStart"/>
      <w:r>
        <w:t>Bemelman</w:t>
      </w:r>
      <w:proofErr w:type="spellEnd"/>
      <w:r>
        <w:t xml:space="preserve">, W. A., &amp; Han-Geurts, I. J. M. (2025a). Cost-effectiveness of rubber band ligation versus hemorrhoidectomy for the treatment of grade III hemorrhoids: Analysis using evidence from the HOLLAND randomized controlled trial. </w:t>
      </w:r>
      <w:r>
        <w:rPr>
          <w:i/>
          <w:iCs/>
        </w:rPr>
        <w:t>Diseases of the Colon &amp; Rectum, 68</w:t>
      </w:r>
      <w:r>
        <w:t>(9), 1100–1111. https://doi.org/10.1097/DCR.0000000000003832</w:t>
      </w:r>
    </w:p>
    <w:p w14:paraId="6FEACB25" w14:textId="77777777" w:rsidR="001A6ECF" w:rsidRDefault="00000000" w:rsidP="00BD4822">
      <w:pPr>
        <w:pStyle w:val="BodyText"/>
        <w:spacing w:before="100" w:beforeAutospacing="1" w:after="100" w:afterAutospacing="1"/>
        <w:jc w:val="both"/>
      </w:pPr>
      <w:r>
        <w:t xml:space="preserve">van Oostendorp, J. Y., Grossi, U., Hoxhaj, I., Kimman, M. L., Kuiper, S. Z., </w:t>
      </w:r>
      <w:proofErr w:type="spellStart"/>
      <w:r>
        <w:t>Breukink</w:t>
      </w:r>
      <w:proofErr w:type="spellEnd"/>
      <w:r>
        <w:t xml:space="preserve">, S. O., Han-Geurts, I. J. M., &amp; Gallo, G. (2025b). Limitations of the </w:t>
      </w:r>
      <w:proofErr w:type="spellStart"/>
      <w:r>
        <w:t>Goligher</w:t>
      </w:r>
      <w:proofErr w:type="spellEnd"/>
      <w:r>
        <w:t xml:space="preserve"> classification in randomized trials for hemorrhoidal disease: A qualitative systematic review of selection criteria. </w:t>
      </w:r>
      <w:r>
        <w:rPr>
          <w:i/>
          <w:iCs/>
        </w:rPr>
        <w:t>Techniques in Coloproctology, 29</w:t>
      </w:r>
      <w:r>
        <w:t>(1), Article 133. https://doi.org/10.1007/s10151-025-03170-y</w:t>
      </w:r>
    </w:p>
    <w:p w14:paraId="1D80354B" w14:textId="77777777" w:rsidR="001A6ECF" w:rsidRDefault="00000000" w:rsidP="00BD4822">
      <w:pPr>
        <w:pStyle w:val="BodyText"/>
        <w:spacing w:before="100" w:beforeAutospacing="1" w:after="100" w:afterAutospacing="1"/>
        <w:jc w:val="both"/>
      </w:pPr>
      <w:r>
        <w:t xml:space="preserve">van Tol, R. R., Kimman, M. L., </w:t>
      </w:r>
      <w:proofErr w:type="spellStart"/>
      <w:r>
        <w:t>Melenhorst</w:t>
      </w:r>
      <w:proofErr w:type="spellEnd"/>
      <w:r>
        <w:t xml:space="preserve">, J., Stassen, L. P. S., Dirksen, C. D., &amp; </w:t>
      </w:r>
      <w:proofErr w:type="spellStart"/>
      <w:r>
        <w:t>Breukink</w:t>
      </w:r>
      <w:proofErr w:type="spellEnd"/>
      <w:r>
        <w:t xml:space="preserve">, S. O. (2019). European Society of Coloproctology core outcome set for </w:t>
      </w:r>
      <w:proofErr w:type="spellStart"/>
      <w:r>
        <w:t>haemorrhoidal</w:t>
      </w:r>
      <w:proofErr w:type="spellEnd"/>
      <w:r>
        <w:t xml:space="preserve"> disease: An international Delphi study among healthcare professionals. </w:t>
      </w:r>
      <w:r>
        <w:rPr>
          <w:i/>
          <w:iCs/>
        </w:rPr>
        <w:t>Colorectal Disease, 21</w:t>
      </w:r>
      <w:r>
        <w:t>(5), 570–580. https://doi.org/10.1111/codi.14553</w:t>
      </w:r>
    </w:p>
    <w:p w14:paraId="5A89329F" w14:textId="77777777" w:rsidR="001A6ECF" w:rsidRDefault="00000000" w:rsidP="00BD4822">
      <w:pPr>
        <w:pStyle w:val="BodyText"/>
        <w:spacing w:before="100" w:beforeAutospacing="1" w:after="100" w:afterAutospacing="1"/>
        <w:jc w:val="both"/>
      </w:pPr>
      <w:r>
        <w:t xml:space="preserve">van Tol, R. R., Kleijnen, J., Watson, A. J. M., </w:t>
      </w:r>
      <w:proofErr w:type="spellStart"/>
      <w:r>
        <w:t>Jongen</w:t>
      </w:r>
      <w:proofErr w:type="spellEnd"/>
      <w:r>
        <w:t xml:space="preserve">, J., Altomare, D. F., Qvist, N., </w:t>
      </w:r>
      <w:proofErr w:type="spellStart"/>
      <w:r>
        <w:t>Higuero</w:t>
      </w:r>
      <w:proofErr w:type="spellEnd"/>
      <w:r>
        <w:t xml:space="preserve">, T., Muris, J. W. M., &amp; </w:t>
      </w:r>
      <w:proofErr w:type="spellStart"/>
      <w:r>
        <w:t>Breukink</w:t>
      </w:r>
      <w:proofErr w:type="spellEnd"/>
      <w:r>
        <w:t xml:space="preserve">, S. O. (2020). European Society of </w:t>
      </w:r>
      <w:proofErr w:type="spellStart"/>
      <w:r>
        <w:t>ColoProctology</w:t>
      </w:r>
      <w:proofErr w:type="spellEnd"/>
      <w:r>
        <w:t xml:space="preserve">: Guideline for </w:t>
      </w:r>
      <w:proofErr w:type="spellStart"/>
      <w:r>
        <w:t>haemorrhoidal</w:t>
      </w:r>
      <w:proofErr w:type="spellEnd"/>
      <w:r>
        <w:t xml:space="preserve"> disease. </w:t>
      </w:r>
      <w:r>
        <w:rPr>
          <w:i/>
          <w:iCs/>
        </w:rPr>
        <w:t>Colorectal Disease, 22</w:t>
      </w:r>
      <w:r>
        <w:t>(6), 650–662. https://doi.org/10.1111/codi.14975</w:t>
      </w:r>
    </w:p>
    <w:p w14:paraId="5C67D653" w14:textId="77777777" w:rsidR="001A6ECF" w:rsidRDefault="00000000" w:rsidP="00BD4822">
      <w:pPr>
        <w:pStyle w:val="BodyText"/>
        <w:spacing w:before="100" w:beforeAutospacing="1" w:after="100" w:afterAutospacing="1"/>
        <w:jc w:val="both"/>
      </w:pPr>
      <w:r>
        <w:t xml:space="preserve">Vidal, V., Sapoval, M., Sielezneff, Y., De Parades, V., </w:t>
      </w:r>
      <w:proofErr w:type="spellStart"/>
      <w:r>
        <w:t>Tradi</w:t>
      </w:r>
      <w:proofErr w:type="spellEnd"/>
      <w:r>
        <w:t xml:space="preserve">, F., Louis, G., Bartoli, J. M., &amp; Pellerin, O. (2015). </w:t>
      </w:r>
      <w:proofErr w:type="spellStart"/>
      <w:r>
        <w:t>Emborrhoid</w:t>
      </w:r>
      <w:proofErr w:type="spellEnd"/>
      <w:r>
        <w:t xml:space="preserve">: A new concept for the treatment of hemorrhoids with arterial embolization: The first 14 cases. </w:t>
      </w:r>
      <w:proofErr w:type="spellStart"/>
      <w:r>
        <w:rPr>
          <w:i/>
          <w:iCs/>
        </w:rPr>
        <w:t>CardioVascular</w:t>
      </w:r>
      <w:proofErr w:type="spellEnd"/>
      <w:r>
        <w:rPr>
          <w:i/>
          <w:iCs/>
        </w:rPr>
        <w:t xml:space="preserve"> and Interventional Radiology, 38</w:t>
      </w:r>
      <w:r>
        <w:t>(1), 72–78. https://doi.org/10.1007/s00270-014-1017-8</w:t>
      </w:r>
    </w:p>
    <w:p w14:paraId="169622D2" w14:textId="77777777" w:rsidR="001A6ECF" w:rsidRDefault="00000000" w:rsidP="00BD4822">
      <w:pPr>
        <w:pStyle w:val="BodyText"/>
        <w:spacing w:before="100" w:beforeAutospacing="1" w:after="100" w:afterAutospacing="1"/>
        <w:jc w:val="both"/>
      </w:pPr>
      <w:r>
        <w:t xml:space="preserve">Xia, W., </w:t>
      </w:r>
      <w:proofErr w:type="spellStart"/>
      <w:r>
        <w:t>Barazanchi</w:t>
      </w:r>
      <w:proofErr w:type="spellEnd"/>
      <w:r>
        <w:t xml:space="preserve">, A. W. H., Coomarasamy, C., Jin, J., Maccormick, A. D., Sammour, T., &amp; Hill, A. G. (2021). Epidemiology of </w:t>
      </w:r>
      <w:proofErr w:type="spellStart"/>
      <w:r>
        <w:t>haemorrhoids</w:t>
      </w:r>
      <w:proofErr w:type="spellEnd"/>
      <w:r>
        <w:t xml:space="preserve"> and publicly funded excisional </w:t>
      </w:r>
      <w:proofErr w:type="spellStart"/>
      <w:r>
        <w:t>haemorrhoidectomies</w:t>
      </w:r>
      <w:proofErr w:type="spellEnd"/>
      <w:r>
        <w:t xml:space="preserve"> in New Zealand (2007–2016): A population-based cross-sectional study. </w:t>
      </w:r>
      <w:r>
        <w:rPr>
          <w:i/>
          <w:iCs/>
        </w:rPr>
        <w:t>Colorectal Disease, 23</w:t>
      </w:r>
      <w:r>
        <w:t>(1), 265–273. https://doi.org/10.1111/codi.15376</w:t>
      </w:r>
    </w:p>
    <w:p w14:paraId="18C27EA6" w14:textId="77777777" w:rsidR="001A6ECF" w:rsidRDefault="00000000" w:rsidP="00BD4822">
      <w:pPr>
        <w:pStyle w:val="BodyText"/>
        <w:spacing w:before="100" w:beforeAutospacing="1" w:after="100" w:afterAutospacing="1"/>
        <w:jc w:val="both"/>
      </w:pPr>
      <w:r>
        <w:t xml:space="preserve">Yamana, T. (2017). Japanese practice guidelines for anal disorders I. Hemorrhoids. </w:t>
      </w:r>
      <w:r>
        <w:rPr>
          <w:i/>
          <w:iCs/>
        </w:rPr>
        <w:t>Journal of the Anus, Rectum and Colon, 1</w:t>
      </w:r>
      <w:r>
        <w:t>(3), 89–99. https://doi.org/10.23922/jarc.2017-018</w:t>
      </w:r>
    </w:p>
    <w:p w14:paraId="78816E28" w14:textId="77777777" w:rsidR="001A6ECF" w:rsidRDefault="00000000" w:rsidP="00BD4822">
      <w:pPr>
        <w:pStyle w:val="BodyText"/>
        <w:spacing w:before="100" w:beforeAutospacing="1" w:after="100" w:afterAutospacing="1"/>
        <w:jc w:val="both"/>
      </w:pPr>
      <w:r>
        <w:t xml:space="preserve">Yuan, X. G., Wu, J., Yin, H. M., Ma, C. M., &amp; Cheng, S. J. (2023). Comparison of the efficacy and safety of different surgical procedures for patients with hemorrhoids: A network meta-analysis. </w:t>
      </w:r>
      <w:r>
        <w:rPr>
          <w:i/>
          <w:iCs/>
        </w:rPr>
        <w:t>Techniques in Coloproctology, 27</w:t>
      </w:r>
      <w:r>
        <w:t>(10), 799–811. https://doi.org/10.1007/s10151-023-02855-6</w:t>
      </w:r>
    </w:p>
    <w:p w14:paraId="186BFC27" w14:textId="77777777" w:rsidR="001A6ECF" w:rsidRDefault="00000000" w:rsidP="00BD4822">
      <w:pPr>
        <w:pStyle w:val="BodyText"/>
        <w:spacing w:before="100" w:beforeAutospacing="1" w:after="100" w:afterAutospacing="1"/>
        <w:jc w:val="both"/>
      </w:pPr>
      <w:r>
        <w:t xml:space="preserve">Zheng, T., Ellinghaus, D., </w:t>
      </w:r>
      <w:proofErr w:type="spellStart"/>
      <w:r>
        <w:t>Juzenas</w:t>
      </w:r>
      <w:proofErr w:type="spellEnd"/>
      <w:r>
        <w:t xml:space="preserve">, S., </w:t>
      </w:r>
      <w:proofErr w:type="spellStart"/>
      <w:r>
        <w:t>Cossais</w:t>
      </w:r>
      <w:proofErr w:type="spellEnd"/>
      <w:r>
        <w:t xml:space="preserve">, F., Burmeister, G., Mayr, G., Jørgensen, I. F., Teder-Laving, M., Skogholt, A. H., Chen, S., Strege, P. R., Ito, G., Banasik, K., Becker, T., </w:t>
      </w:r>
      <w:proofErr w:type="spellStart"/>
      <w:r>
        <w:t>Bokelmann</w:t>
      </w:r>
      <w:proofErr w:type="spellEnd"/>
      <w:r>
        <w:t xml:space="preserve">, F., Brunak, S., Buch, S., Clausnitzer, H., Datz, C., . . . Franke, A. (2021). Genome-wide analysis of 944 </w:t>
      </w:r>
      <w:r>
        <w:lastRenderedPageBreak/>
        <w:t xml:space="preserve">133 individuals provides insights into the etiology of </w:t>
      </w:r>
      <w:proofErr w:type="spellStart"/>
      <w:r>
        <w:t>haemorrhoidal</w:t>
      </w:r>
      <w:proofErr w:type="spellEnd"/>
      <w:r>
        <w:t xml:space="preserve"> disease. </w:t>
      </w:r>
      <w:r>
        <w:rPr>
          <w:i/>
          <w:iCs/>
        </w:rPr>
        <w:t>Gut, 70</w:t>
      </w:r>
      <w:r>
        <w:t>(8), 1538–1549. https://doi.org/10.1136/gutjnl-2020-323868</w:t>
      </w:r>
      <w:bookmarkEnd w:id="0"/>
      <w:bookmarkEnd w:id="47"/>
    </w:p>
    <w:sectPr w:rsidR="001A6ECF">
      <w:headerReference w:type="even" r:id="rId7"/>
      <w:headerReference w:type="default" r:id="rId8"/>
      <w:footerReference w:type="even" r:id="rId9"/>
      <w:footerReference w:type="default" r:id="rId10"/>
      <w:headerReference w:type="first" r:id="rId11"/>
      <w:footerReference w:type="first" r:id="rId12"/>
      <w:pgSz w:w="11906" w:h="16838"/>
      <w:pgMar w:top="1134" w:right="964" w:bottom="1134" w:left="96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51D50" w14:textId="77777777" w:rsidR="002F2C37" w:rsidRDefault="002F2C37">
      <w:pPr>
        <w:spacing w:after="0"/>
      </w:pPr>
      <w:r>
        <w:separator/>
      </w:r>
    </w:p>
  </w:endnote>
  <w:endnote w:type="continuationSeparator" w:id="0">
    <w:p w14:paraId="61E550DA" w14:textId="77777777" w:rsidR="002F2C37" w:rsidRDefault="002F2C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A947A" w14:textId="77777777" w:rsidR="000C5B09" w:rsidRDefault="000C5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AE42F" w14:textId="77777777" w:rsidR="000C5B09" w:rsidRDefault="000C5B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D8E38" w14:textId="77777777" w:rsidR="000C5B09" w:rsidRDefault="000C5B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1DA51" w14:textId="77777777" w:rsidR="002F2C37" w:rsidRDefault="002F2C37">
      <w:r>
        <w:separator/>
      </w:r>
    </w:p>
  </w:footnote>
  <w:footnote w:type="continuationSeparator" w:id="0">
    <w:p w14:paraId="24E2DD74" w14:textId="77777777" w:rsidR="002F2C37" w:rsidRDefault="002F2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89FAC" w14:textId="72CA8DED" w:rsidR="000C5B09" w:rsidRDefault="000C5B09">
    <w:pPr>
      <w:pStyle w:val="Header"/>
    </w:pPr>
    <w:r>
      <w:rPr>
        <w:noProof/>
      </w:rPr>
      <w:pict w14:anchorId="2BAEFA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788938" o:spid="_x0000_s1026" type="#_x0000_t136" style="position:absolute;margin-left:0;margin-top:0;width:625.2pt;height:78.15pt;rotation:315;z-index:-251655168;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902E9" w14:textId="760B3DD7" w:rsidR="000C5B09" w:rsidRDefault="000C5B09">
    <w:pPr>
      <w:pStyle w:val="Header"/>
    </w:pPr>
    <w:r>
      <w:rPr>
        <w:noProof/>
      </w:rPr>
      <w:pict w14:anchorId="6AEF36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788939" o:spid="_x0000_s1027" type="#_x0000_t136" style="position:absolute;margin-left:0;margin-top:0;width:625.2pt;height:78.15pt;rotation:315;z-index:-251653120;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CB3C" w14:textId="69A3F473" w:rsidR="000C5B09" w:rsidRDefault="000C5B09">
    <w:pPr>
      <w:pStyle w:val="Header"/>
    </w:pPr>
    <w:r>
      <w:rPr>
        <w:noProof/>
      </w:rPr>
      <w:pict w14:anchorId="01C47A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788937" o:spid="_x0000_s1025" type="#_x0000_t136" style="position:absolute;margin-left:0;margin-top:0;width:625.2pt;height:78.15pt;rotation:315;z-index:-251657216;mso-position-horizontal:center;mso-position-horizontal-relative:margin;mso-position-vertical:center;mso-position-vertical-relative:margin" o:allowincell="f" fillcolor="silver" stroked="f">
          <v:fill opacity=".5"/>
          <v:textpath style="font-family:&quot;Cambria&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714CC0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09617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A6ECF"/>
    <w:rsid w:val="000419F2"/>
    <w:rsid w:val="000C5B09"/>
    <w:rsid w:val="001A6ECF"/>
    <w:rsid w:val="002F2C37"/>
    <w:rsid w:val="003F4D94"/>
    <w:rsid w:val="004C516C"/>
    <w:rsid w:val="0057228C"/>
    <w:rsid w:val="009E64F1"/>
    <w:rsid w:val="00BD4822"/>
    <w:rsid w:val="00F142B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CA1C5"/>
  <w15:docId w15:val="{C8B6AF1A-FF05-4400-9EBA-E8EA91989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20" w:after="20"/>
    </w:pPr>
    <w:rPr>
      <w:sz w:val="16"/>
      <w:szCs w:val="16"/>
    </w:r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BD482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C5B09"/>
    <w:pPr>
      <w:tabs>
        <w:tab w:val="center" w:pos="4680"/>
        <w:tab w:val="right" w:pos="9360"/>
      </w:tabs>
      <w:spacing w:after="0"/>
    </w:pPr>
  </w:style>
  <w:style w:type="character" w:customStyle="1" w:styleId="HeaderChar">
    <w:name w:val="Header Char"/>
    <w:basedOn w:val="DefaultParagraphFont"/>
    <w:link w:val="Header"/>
    <w:rsid w:val="000C5B09"/>
  </w:style>
  <w:style w:type="paragraph" w:styleId="Footer">
    <w:name w:val="footer"/>
    <w:basedOn w:val="Normal"/>
    <w:link w:val="FooterChar"/>
    <w:rsid w:val="000C5B09"/>
    <w:pPr>
      <w:tabs>
        <w:tab w:val="center" w:pos="4680"/>
        <w:tab w:val="right" w:pos="9360"/>
      </w:tabs>
      <w:spacing w:after="0"/>
    </w:pPr>
  </w:style>
  <w:style w:type="character" w:customStyle="1" w:styleId="FooterChar">
    <w:name w:val="Footer Char"/>
    <w:basedOn w:val="DefaultParagraphFont"/>
    <w:link w:val="Footer"/>
    <w:rsid w:val="000C5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33</Pages>
  <Words>17953</Words>
  <Characters>102336</Characters>
  <Application>Microsoft Office Word</Application>
  <DocSecurity>0</DocSecurity>
  <Lines>852</Lines>
  <Paragraphs>240</Paragraphs>
  <ScaleCrop>false</ScaleCrop>
  <Company>HP</Company>
  <LinksUpToDate>false</LinksUpToDate>
  <CharactersWithSpaces>120049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1084</cp:lastModifiedBy>
  <cp:revision>5</cp:revision>
  <dcterms:created xsi:type="dcterms:W3CDTF">2026-08-08T09:54:00Z</dcterms:created>
  <dcterms:modified xsi:type="dcterms:W3CDTF">2026-08-08T12:23:00Z</dcterms:modified>
</cp:coreProperties>
</file>