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8CD5" w14:textId="77777777" w:rsidR="00A258C3" w:rsidRPr="00790ADA" w:rsidRDefault="00BC26A5" w:rsidP="00441B6F">
      <w:pPr>
        <w:pStyle w:val="Author"/>
        <w:spacing w:line="240" w:lineRule="auto"/>
        <w:jc w:val="both"/>
        <w:rPr>
          <w:rFonts w:ascii="Arial" w:hAnsi="Arial" w:cs="Arial"/>
          <w:sz w:val="36"/>
        </w:rPr>
      </w:pPr>
      <w:r w:rsidRPr="00BC26A5">
        <w:rPr>
          <w:rFonts w:ascii="Arial" w:hAnsi="Arial" w:cs="Arial"/>
          <w:bCs/>
          <w:iCs/>
          <w:kern w:val="28"/>
          <w:sz w:val="36"/>
        </w:rPr>
        <w:t>Pulmonary and Inflammatory Health Effects of Long-Term Gypsum Dust Exposure: A Comparative Study in Calabar Municipality, Nigeria</w:t>
      </w:r>
    </w:p>
    <w:p w14:paraId="5F18F946" w14:textId="77777777" w:rsidR="004E3F74" w:rsidRDefault="004E3F74" w:rsidP="00441B6F">
      <w:pPr>
        <w:pStyle w:val="AbstHead"/>
        <w:spacing w:after="0"/>
        <w:jc w:val="both"/>
        <w:rPr>
          <w:rFonts w:ascii="Arial" w:hAnsi="Arial" w:cs="Arial"/>
        </w:rPr>
      </w:pPr>
    </w:p>
    <w:p w14:paraId="4F057589" w14:textId="77777777" w:rsidR="004E3F74" w:rsidRDefault="004E3F74" w:rsidP="00441B6F">
      <w:pPr>
        <w:pStyle w:val="AbstHead"/>
        <w:spacing w:after="0"/>
        <w:jc w:val="both"/>
        <w:rPr>
          <w:rFonts w:ascii="Arial" w:hAnsi="Arial" w:cs="Arial"/>
        </w:rPr>
      </w:pPr>
    </w:p>
    <w:p w14:paraId="6A7BF8A9" w14:textId="5C1FE79E"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30FF5139"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29669637" w14:textId="77777777" w:rsidTr="001E44FE">
        <w:tc>
          <w:tcPr>
            <w:tcW w:w="9576" w:type="dxa"/>
            <w:shd w:val="clear" w:color="auto" w:fill="F2F2F2"/>
          </w:tcPr>
          <w:p w14:paraId="4DDBCBC7" w14:textId="77777777" w:rsidR="0011286C" w:rsidRPr="007C03F6" w:rsidRDefault="0011286C" w:rsidP="0011286C">
            <w:pPr>
              <w:pStyle w:val="isselectedend"/>
              <w:rPr>
                <w:rFonts w:ascii="Arial Rounded MT Bold" w:hAnsi="Arial Rounded MT Bold"/>
                <w:sz w:val="22"/>
                <w:szCs w:val="22"/>
              </w:rPr>
            </w:pPr>
            <w:r w:rsidRPr="007C03F6">
              <w:rPr>
                <w:rFonts w:ascii="Arial Rounded MT Bold" w:hAnsi="Arial Rounded MT Bold"/>
                <w:sz w:val="22"/>
                <w:szCs w:val="22"/>
              </w:rPr>
              <w:t>Airborne particulate matter (PM) poses significant health risks to individuals exposed to occupational and environmental pollutants such as calcium sulfate dihydrate (</w:t>
            </w:r>
            <w:proofErr w:type="spellStart"/>
            <w:r w:rsidRPr="007C03F6">
              <w:rPr>
                <w:rFonts w:ascii="Arial Rounded MT Bold" w:hAnsi="Arial Rounded MT Bold"/>
                <w:sz w:val="22"/>
                <w:szCs w:val="22"/>
              </w:rPr>
              <w:t>CaSO</w:t>
            </w:r>
            <w:proofErr w:type="spellEnd"/>
            <w:r w:rsidRPr="007C03F6">
              <w:rPr>
                <w:rFonts w:ascii="Cambria Math" w:hAnsi="Cambria Math" w:cs="Cambria Math"/>
                <w:sz w:val="22"/>
                <w:szCs w:val="22"/>
              </w:rPr>
              <w:t>₄</w:t>
            </w:r>
            <w:r w:rsidRPr="007C03F6">
              <w:rPr>
                <w:rFonts w:ascii="Calibri" w:hAnsi="Calibri" w:cs="Calibri"/>
                <w:sz w:val="22"/>
                <w:szCs w:val="22"/>
              </w:rPr>
              <w:t>·</w:t>
            </w:r>
            <w:r w:rsidRPr="007C03F6">
              <w:rPr>
                <w:rFonts w:ascii="Arial Rounded MT Bold" w:hAnsi="Arial Rounded MT Bold"/>
                <w:sz w:val="22"/>
                <w:szCs w:val="22"/>
              </w:rPr>
              <w:t>2H</w:t>
            </w:r>
            <w:r w:rsidRPr="007C03F6">
              <w:rPr>
                <w:rFonts w:ascii="Cambria Math" w:hAnsi="Cambria Math" w:cs="Cambria Math"/>
                <w:sz w:val="22"/>
                <w:szCs w:val="22"/>
              </w:rPr>
              <w:t>₂</w:t>
            </w:r>
            <w:r w:rsidRPr="007C03F6">
              <w:rPr>
                <w:rFonts w:ascii="Arial Rounded MT Bold" w:hAnsi="Arial Rounded MT Bold"/>
                <w:sz w:val="22"/>
                <w:szCs w:val="22"/>
              </w:rPr>
              <w:t xml:space="preserve">O), particularly to the respiratory system. This study assesses the impact of long-term inhalation of </w:t>
            </w:r>
            <w:proofErr w:type="spellStart"/>
            <w:r w:rsidRPr="007C03F6">
              <w:rPr>
                <w:rFonts w:ascii="Arial Rounded MT Bold" w:hAnsi="Arial Rounded MT Bold"/>
                <w:sz w:val="22"/>
                <w:szCs w:val="22"/>
              </w:rPr>
              <w:t>CaSO</w:t>
            </w:r>
            <w:proofErr w:type="spellEnd"/>
            <w:r w:rsidRPr="007C03F6">
              <w:rPr>
                <w:rFonts w:ascii="Cambria Math" w:hAnsi="Cambria Math" w:cs="Cambria Math"/>
                <w:sz w:val="22"/>
                <w:szCs w:val="22"/>
              </w:rPr>
              <w:t>₄</w:t>
            </w:r>
            <w:r w:rsidRPr="007C03F6">
              <w:rPr>
                <w:rFonts w:ascii="Calibri" w:hAnsi="Calibri" w:cs="Calibri"/>
                <w:sz w:val="22"/>
                <w:szCs w:val="22"/>
              </w:rPr>
              <w:t>·</w:t>
            </w:r>
            <w:r w:rsidRPr="007C03F6">
              <w:rPr>
                <w:rFonts w:ascii="Arial Rounded MT Bold" w:hAnsi="Arial Rounded MT Bold"/>
                <w:sz w:val="22"/>
                <w:szCs w:val="22"/>
              </w:rPr>
              <w:t>2H</w:t>
            </w:r>
            <w:r w:rsidRPr="007C03F6">
              <w:rPr>
                <w:rFonts w:ascii="Cambria Math" w:hAnsi="Cambria Math" w:cs="Cambria Math"/>
                <w:sz w:val="22"/>
                <w:szCs w:val="22"/>
              </w:rPr>
              <w:t>₂</w:t>
            </w:r>
            <w:r w:rsidRPr="007C03F6">
              <w:rPr>
                <w:rFonts w:ascii="Arial Rounded MT Bold" w:hAnsi="Arial Rounded MT Bold"/>
                <w:sz w:val="22"/>
                <w:szCs w:val="22"/>
              </w:rPr>
              <w:t>O dust on lung function and inflammatory biomarkers among exposed individuals in Calabar Municipality, Cross River State, Nigeria. A total of 80 adult subjects were enrolled, and groups were assigned. Exposed individuals were assigned Group I</w:t>
            </w:r>
            <w:r w:rsidR="008F7628">
              <w:rPr>
                <w:rFonts w:ascii="Arial Rounded MT Bold" w:hAnsi="Arial Rounded MT Bold"/>
                <w:sz w:val="22"/>
                <w:szCs w:val="22"/>
              </w:rPr>
              <w:t>,</w:t>
            </w:r>
            <w:r w:rsidRPr="007C03F6">
              <w:rPr>
                <w:rFonts w:ascii="Arial Rounded MT Bold" w:hAnsi="Arial Rounded MT Bold"/>
                <w:sz w:val="22"/>
                <w:szCs w:val="22"/>
              </w:rPr>
              <w:t xml:space="preserve"> while non-exposed individuals were assigned Group II. Pulmonary function was performed using a </w:t>
            </w:r>
            <w:proofErr w:type="spellStart"/>
            <w:r w:rsidRPr="007C03F6">
              <w:rPr>
                <w:rFonts w:ascii="Arial Rounded MT Bold" w:hAnsi="Arial Rounded MT Bold"/>
                <w:sz w:val="22"/>
                <w:szCs w:val="22"/>
              </w:rPr>
              <w:t>Vitalograph</w:t>
            </w:r>
            <w:proofErr w:type="spellEnd"/>
            <w:r w:rsidRPr="007C03F6">
              <w:rPr>
                <w:rFonts w:ascii="Arial Rounded MT Bold" w:hAnsi="Arial Rounded MT Bold"/>
                <w:sz w:val="22"/>
                <w:szCs w:val="22"/>
              </w:rPr>
              <w:t>, while ELISA kits were used to assess inflammation. The exposed group demonstrated a decrease in key pulmonary parameters such as FEV</w:t>
            </w:r>
            <w:r w:rsidRPr="007C03F6">
              <w:rPr>
                <w:rFonts w:ascii="Cambria Math" w:hAnsi="Cambria Math" w:cs="Cambria Math"/>
                <w:sz w:val="22"/>
                <w:szCs w:val="22"/>
              </w:rPr>
              <w:t>₁</w:t>
            </w:r>
            <w:r w:rsidRPr="007C03F6">
              <w:rPr>
                <w:rFonts w:ascii="Arial Rounded MT Bold" w:hAnsi="Arial Rounded MT Bold"/>
                <w:sz w:val="22"/>
                <w:szCs w:val="22"/>
              </w:rPr>
              <w:t>, FEV</w:t>
            </w:r>
            <w:r w:rsidRPr="007C03F6">
              <w:rPr>
                <w:rFonts w:ascii="Cambria Math" w:hAnsi="Cambria Math" w:cs="Cambria Math"/>
                <w:sz w:val="22"/>
                <w:szCs w:val="22"/>
              </w:rPr>
              <w:t>₁</w:t>
            </w:r>
            <w:r w:rsidRPr="007C03F6">
              <w:rPr>
                <w:rFonts w:ascii="Arial Rounded MT Bold" w:hAnsi="Arial Rounded MT Bold"/>
                <w:sz w:val="22"/>
                <w:szCs w:val="22"/>
              </w:rPr>
              <w:t xml:space="preserve">%, and PEFR compared to the control group. Conversely, respiratory rate and minute volume were elevated in the exposed group relative to controls. Inflammatory biomarker levels were significantly (P&lt;0.001) elevated in the exposed group, compared to controls. A significant increase was observed in FVC, respiratory rate, and minute ventilation, which may suggest compensatory respiratory mechanisms. Serum levels of CRP and IL-6 were significantly elevated in the exposed group, confirming the presence of systemic inflammation associated with dust inhalation. The exposed group demonstrated a decrease in key pulmonary parameters compared to the control group. These findings indicate that chronic exposure to calcium sulfate dihydrate dust is associated with </w:t>
            </w:r>
            <w:r w:rsidR="007C03F6" w:rsidRPr="007C03F6">
              <w:rPr>
                <w:rFonts w:ascii="Arial Rounded MT Bold" w:hAnsi="Arial Rounded MT Bold"/>
                <w:sz w:val="22"/>
                <w:szCs w:val="22"/>
              </w:rPr>
              <w:t>reduced</w:t>
            </w:r>
            <w:r w:rsidRPr="007C03F6">
              <w:rPr>
                <w:rFonts w:ascii="Arial Rounded MT Bold" w:hAnsi="Arial Rounded MT Bold"/>
                <w:sz w:val="22"/>
                <w:szCs w:val="22"/>
              </w:rPr>
              <w:t xml:space="preserve"> lung function and </w:t>
            </w:r>
            <w:r w:rsidR="007C03F6" w:rsidRPr="007C03F6">
              <w:rPr>
                <w:rFonts w:ascii="Arial Rounded MT Bold" w:hAnsi="Arial Rounded MT Bold"/>
                <w:sz w:val="22"/>
                <w:szCs w:val="22"/>
              </w:rPr>
              <w:t xml:space="preserve">an </w:t>
            </w:r>
            <w:r w:rsidRPr="007C03F6">
              <w:rPr>
                <w:rFonts w:ascii="Arial Rounded MT Bold" w:hAnsi="Arial Rounded MT Bold"/>
                <w:sz w:val="22"/>
                <w:szCs w:val="22"/>
              </w:rPr>
              <w:t xml:space="preserve">obstructive respiratory pattern. This is revealed in the reduce </w:t>
            </w:r>
            <w:proofErr w:type="spellStart"/>
            <w:r w:rsidRPr="007C03F6">
              <w:rPr>
                <w:rFonts w:ascii="Arial Rounded MT Bold" w:hAnsi="Arial Rounded MT Bold"/>
                <w:sz w:val="22"/>
                <w:szCs w:val="22"/>
              </w:rPr>
              <w:t>Spirometric</w:t>
            </w:r>
            <w:proofErr w:type="spellEnd"/>
            <w:r w:rsidRPr="007C03F6">
              <w:rPr>
                <w:rFonts w:ascii="Arial Rounded MT Bold" w:hAnsi="Arial Rounded MT Bold"/>
                <w:sz w:val="22"/>
                <w:szCs w:val="22"/>
              </w:rPr>
              <w:t xml:space="preserve"> volume. The findings from this study indicate that chronic exposure to calcium sulfate dihydrate dust is associated with </w:t>
            </w:r>
            <w:r w:rsidR="007C03F6" w:rsidRPr="007C03F6">
              <w:rPr>
                <w:rFonts w:ascii="Arial Rounded MT Bold" w:hAnsi="Arial Rounded MT Bold"/>
                <w:sz w:val="22"/>
                <w:szCs w:val="22"/>
              </w:rPr>
              <w:t>reduced</w:t>
            </w:r>
            <w:r w:rsidRPr="007C03F6">
              <w:rPr>
                <w:rFonts w:ascii="Arial Rounded MT Bold" w:hAnsi="Arial Rounded MT Bold"/>
                <w:sz w:val="22"/>
                <w:szCs w:val="22"/>
              </w:rPr>
              <w:t xml:space="preserve"> lung function and </w:t>
            </w:r>
            <w:r w:rsidR="007C03F6" w:rsidRPr="007C03F6">
              <w:rPr>
                <w:rFonts w:ascii="Arial Rounded MT Bold" w:hAnsi="Arial Rounded MT Bold"/>
                <w:sz w:val="22"/>
                <w:szCs w:val="22"/>
              </w:rPr>
              <w:t xml:space="preserve">an </w:t>
            </w:r>
            <w:r w:rsidRPr="007C03F6">
              <w:rPr>
                <w:rFonts w:ascii="Arial Rounded MT Bold" w:hAnsi="Arial Rounded MT Bold"/>
                <w:sz w:val="22"/>
                <w:szCs w:val="22"/>
              </w:rPr>
              <w:t>obstructive respiratory pattern. These outcomes emphasize the urgent need for effective dust control measures, personal protective equipment usage, and regular medical monitoring for workers in dust-prone environments to prevent long-term respiratory complications.</w:t>
            </w:r>
          </w:p>
          <w:p w14:paraId="0425637E" w14:textId="77777777" w:rsidR="00505F06" w:rsidRPr="00BA1B01" w:rsidRDefault="00505F06" w:rsidP="00441B6F">
            <w:pPr>
              <w:pStyle w:val="Body"/>
              <w:spacing w:after="0"/>
              <w:rPr>
                <w:rFonts w:ascii="Arial" w:eastAsia="Calibri" w:hAnsi="Arial" w:cs="Arial"/>
                <w:szCs w:val="22"/>
              </w:rPr>
            </w:pPr>
          </w:p>
        </w:tc>
      </w:tr>
    </w:tbl>
    <w:p w14:paraId="5F9D93B8" w14:textId="77777777" w:rsidR="00636EB2" w:rsidRDefault="00636EB2" w:rsidP="00441B6F">
      <w:pPr>
        <w:pStyle w:val="Body"/>
        <w:spacing w:after="0"/>
        <w:rPr>
          <w:rFonts w:ascii="Arial" w:hAnsi="Arial" w:cs="Arial"/>
          <w:i/>
        </w:rPr>
      </w:pPr>
    </w:p>
    <w:p w14:paraId="3B38EE95" w14:textId="77777777" w:rsidR="00505F06" w:rsidRDefault="00A24E7E" w:rsidP="00441B6F">
      <w:pPr>
        <w:pStyle w:val="Body"/>
        <w:spacing w:after="0"/>
        <w:rPr>
          <w:rFonts w:ascii="Arial" w:hAnsi="Arial" w:cs="Arial"/>
        </w:rPr>
      </w:pPr>
      <w:r>
        <w:rPr>
          <w:rFonts w:ascii="Arial" w:hAnsi="Arial" w:cs="Arial"/>
          <w:i/>
        </w:rPr>
        <w:t xml:space="preserve">Keywords: </w:t>
      </w:r>
      <w:r w:rsidR="007C03F6" w:rsidRPr="007C03F6">
        <w:rPr>
          <w:rFonts w:ascii="Arial" w:hAnsi="Arial" w:cs="Arial"/>
        </w:rPr>
        <w:t>Calcium sulfate dihydrate, inflammatory biomarkers, respiratory function, spirometry, CRP, IL-6</w:t>
      </w:r>
    </w:p>
    <w:p w14:paraId="1225A3D2" w14:textId="77777777" w:rsidR="00790ADA" w:rsidRPr="00FB3A86" w:rsidRDefault="00B01FCD" w:rsidP="00441B6F">
      <w:pPr>
        <w:pStyle w:val="AbstHead"/>
        <w:spacing w:after="0"/>
        <w:jc w:val="both"/>
        <w:rPr>
          <w:rFonts w:ascii="Arial" w:hAnsi="Arial" w:cs="Arial"/>
        </w:rPr>
      </w:pPr>
      <w:r w:rsidRPr="00FB3A86">
        <w:rPr>
          <w:rFonts w:ascii="Arial" w:hAnsi="Arial" w:cs="Arial"/>
        </w:rPr>
        <w:t>INTRODUCTION</w:t>
      </w:r>
    </w:p>
    <w:p w14:paraId="490A7306" w14:textId="77777777" w:rsidR="007C03F6" w:rsidRPr="005F71F7" w:rsidRDefault="007C03F6" w:rsidP="007C03F6">
      <w:pPr>
        <w:spacing w:before="100" w:beforeAutospacing="1" w:after="100" w:afterAutospacing="1" w:line="480" w:lineRule="auto"/>
        <w:jc w:val="both"/>
        <w:rPr>
          <w:rFonts w:ascii="Arial Rounded MT Bold" w:hAnsi="Arial Rounded MT Bold"/>
          <w:sz w:val="22"/>
          <w:szCs w:val="22"/>
        </w:rPr>
      </w:pPr>
      <w:r w:rsidRPr="005F71F7">
        <w:rPr>
          <w:rFonts w:ascii="Arial Rounded MT Bold" w:hAnsi="Arial Rounded MT Bold"/>
          <w:sz w:val="22"/>
          <w:szCs w:val="22"/>
        </w:rPr>
        <w:t>Airborne particulate matter (PM) poses significant health risks, particularly to individuals exposed to occupational and environmental pollutants. Calcium sulfate dihydrate (</w:t>
      </w:r>
      <w:proofErr w:type="spellStart"/>
      <w:r w:rsidRPr="005F71F7">
        <w:rPr>
          <w:rFonts w:ascii="Arial Rounded MT Bold" w:hAnsi="Arial Rounded MT Bold"/>
          <w:sz w:val="22"/>
          <w:szCs w:val="22"/>
        </w:rPr>
        <w:t>CaSO</w:t>
      </w:r>
      <w:proofErr w:type="spellEnd"/>
      <w:r w:rsidRPr="005F71F7">
        <w:rPr>
          <w:rFonts w:ascii="Cambria Math" w:hAnsi="Cambria Math" w:cs="Cambria Math"/>
          <w:sz w:val="22"/>
          <w:szCs w:val="22"/>
        </w:rPr>
        <w:t>₄·</w:t>
      </w:r>
      <w:r w:rsidRPr="005F71F7">
        <w:rPr>
          <w:rFonts w:ascii="Arial Rounded MT Bold" w:hAnsi="Arial Rounded MT Bold"/>
          <w:sz w:val="22"/>
          <w:szCs w:val="22"/>
        </w:rPr>
        <w:t>2H</w:t>
      </w:r>
      <w:r w:rsidRPr="005F71F7">
        <w:rPr>
          <w:rFonts w:ascii="Cambria Math" w:hAnsi="Cambria Math" w:cs="Cambria Math"/>
          <w:sz w:val="22"/>
          <w:szCs w:val="22"/>
        </w:rPr>
        <w:t>₂</w:t>
      </w:r>
      <w:r w:rsidRPr="005F71F7">
        <w:rPr>
          <w:rFonts w:ascii="Arial Rounded MT Bold" w:hAnsi="Arial Rounded MT Bold"/>
          <w:sz w:val="22"/>
          <w:szCs w:val="22"/>
        </w:rPr>
        <w:t xml:space="preserve">O), commonly known as gypsum, is widely used in construction, agriculture, and industrial applications. Prolonged exposure to its dust can lead to respiratory complications and systemic inflammation, potentially predisposing individuals to chronic respiratory diseases (Ghazali </w:t>
      </w:r>
      <w:r w:rsidRPr="005F71F7">
        <w:rPr>
          <w:rFonts w:ascii="Arial Rounded MT Bold" w:hAnsi="Arial Rounded MT Bold"/>
          <w:i/>
          <w:sz w:val="22"/>
          <w:szCs w:val="22"/>
        </w:rPr>
        <w:t>et al.,</w:t>
      </w:r>
      <w:r w:rsidRPr="005F71F7">
        <w:rPr>
          <w:rFonts w:ascii="Arial Rounded MT Bold" w:hAnsi="Arial Rounded MT Bold"/>
          <w:sz w:val="22"/>
          <w:szCs w:val="22"/>
        </w:rPr>
        <w:t xml:space="preserve"> 2019). In Calabar Municipality, where gypsum-related activities such as cement production and construction are prevalent, workers and residents may face prolonged exposure to its inhalable particles, raising concerns about potential </w:t>
      </w:r>
      <w:r w:rsidRPr="005F71F7">
        <w:rPr>
          <w:rFonts w:ascii="Arial Rounded MT Bold" w:hAnsi="Arial Rounded MT Bold"/>
          <w:sz w:val="22"/>
          <w:szCs w:val="22"/>
        </w:rPr>
        <w:lastRenderedPageBreak/>
        <w:t xml:space="preserve">health effects. </w:t>
      </w:r>
      <w:r w:rsidRPr="005F71F7">
        <w:rPr>
          <w:rFonts w:ascii="Arial Rounded MT Bold" w:hAnsi="Arial Rounded MT Bold"/>
          <w:bCs/>
          <w:sz w:val="22"/>
          <w:szCs w:val="22"/>
        </w:rPr>
        <w:t xml:space="preserve">The exposure of industrial workers to airborne particulate matter remains a significant occupational health concern worldwide. Among these particles, calcium sulfate dihydrate (gypsum) has received comparatively less attention despite its extensive industrial usage in construction, agriculture, and manufacturing. While calcium sulfate dihydrate is considered less toxic than substances such as silica or asbestos, chronic exposure to its fine particles can cause adverse health effects. </w:t>
      </w:r>
      <w:r w:rsidRPr="005F71F7">
        <w:rPr>
          <w:rFonts w:ascii="Arial Rounded MT Bold" w:hAnsi="Arial Rounded MT Bold"/>
          <w:sz w:val="22"/>
          <w:szCs w:val="22"/>
        </w:rPr>
        <w:t>When heated, calcium sulfate hemihydrate (</w:t>
      </w:r>
      <w:proofErr w:type="spellStart"/>
      <w:r w:rsidRPr="005F71F7">
        <w:rPr>
          <w:rFonts w:ascii="Arial Rounded MT Bold" w:hAnsi="Arial Rounded MT Bold"/>
          <w:sz w:val="22"/>
          <w:szCs w:val="22"/>
        </w:rPr>
        <w:t>CaSO</w:t>
      </w:r>
      <w:proofErr w:type="spellEnd"/>
      <w:r w:rsidRPr="005F71F7">
        <w:rPr>
          <w:rFonts w:ascii="Cambria Math" w:hAnsi="Cambria Math" w:cs="Cambria Math"/>
          <w:sz w:val="22"/>
          <w:szCs w:val="22"/>
        </w:rPr>
        <w:t>₄·</w:t>
      </w:r>
      <w:r w:rsidRPr="005F71F7">
        <w:rPr>
          <w:rFonts w:ascii="Arial Rounded MT Bold" w:hAnsi="Arial Rounded MT Bold" w:cs="Arial Rounded MT Bold"/>
          <w:sz w:val="22"/>
          <w:szCs w:val="22"/>
        </w:rPr>
        <w:t>½</w:t>
      </w:r>
      <w:r w:rsidRPr="005F71F7">
        <w:rPr>
          <w:rFonts w:ascii="Arial Rounded MT Bold" w:hAnsi="Arial Rounded MT Bold"/>
          <w:sz w:val="22"/>
          <w:szCs w:val="22"/>
        </w:rPr>
        <w:t>H</w:t>
      </w:r>
      <w:r w:rsidRPr="005F71F7">
        <w:rPr>
          <w:rFonts w:ascii="Cambria Math" w:hAnsi="Cambria Math" w:cs="Cambria Math"/>
          <w:sz w:val="22"/>
          <w:szCs w:val="22"/>
        </w:rPr>
        <w:t>₂</w:t>
      </w:r>
      <w:r w:rsidRPr="005F71F7">
        <w:rPr>
          <w:rFonts w:ascii="Arial Rounded MT Bold" w:hAnsi="Arial Rounded MT Bold"/>
          <w:sz w:val="22"/>
          <w:szCs w:val="22"/>
        </w:rPr>
        <w:t xml:space="preserve">O) is used to make plaster of Paris, which is widely used for making molds and sculptures and for building materials. It's a primary component in drywall, a key construction material for walls and ceilings (Bohner, 2020). It’s used as a </w:t>
      </w:r>
      <w:r w:rsidRPr="005F71F7">
        <w:rPr>
          <w:rStyle w:val="Strong"/>
          <w:rFonts w:ascii="Arial Rounded MT Bold" w:hAnsi="Arial Rounded MT Bold"/>
          <w:b w:val="0"/>
          <w:sz w:val="22"/>
          <w:szCs w:val="22"/>
        </w:rPr>
        <w:t>soil conditioner</w:t>
      </w:r>
      <w:r w:rsidRPr="005F71F7">
        <w:rPr>
          <w:rFonts w:ascii="Arial Rounded MT Bold" w:hAnsi="Arial Rounded MT Bold"/>
          <w:sz w:val="22"/>
          <w:szCs w:val="22"/>
        </w:rPr>
        <w:t xml:space="preserve"> to improve soil structure and reduce acidity. It provides essential nutrients like </w:t>
      </w:r>
      <w:r w:rsidRPr="005F71F7">
        <w:rPr>
          <w:rStyle w:val="Strong"/>
          <w:rFonts w:ascii="Arial Rounded MT Bold" w:hAnsi="Arial Rounded MT Bold"/>
          <w:b w:val="0"/>
          <w:sz w:val="22"/>
          <w:szCs w:val="22"/>
        </w:rPr>
        <w:t>calcium</w:t>
      </w:r>
      <w:r w:rsidRPr="005F71F7">
        <w:rPr>
          <w:rFonts w:ascii="Arial Rounded MT Bold" w:hAnsi="Arial Rounded MT Bold"/>
          <w:b/>
          <w:sz w:val="22"/>
          <w:szCs w:val="22"/>
        </w:rPr>
        <w:t xml:space="preserve"> </w:t>
      </w:r>
      <w:r w:rsidRPr="005F71F7">
        <w:rPr>
          <w:rFonts w:ascii="Arial Rounded MT Bold" w:hAnsi="Arial Rounded MT Bold"/>
          <w:sz w:val="22"/>
          <w:szCs w:val="22"/>
        </w:rPr>
        <w:t xml:space="preserve">and </w:t>
      </w:r>
      <w:proofErr w:type="spellStart"/>
      <w:r w:rsidRPr="005F71F7">
        <w:rPr>
          <w:rStyle w:val="Strong"/>
          <w:rFonts w:ascii="Arial Rounded MT Bold" w:hAnsi="Arial Rounded MT Bold"/>
          <w:b w:val="0"/>
          <w:sz w:val="22"/>
          <w:szCs w:val="22"/>
        </w:rPr>
        <w:t>sulphur</w:t>
      </w:r>
      <w:proofErr w:type="spellEnd"/>
      <w:r w:rsidRPr="005F71F7">
        <w:rPr>
          <w:rFonts w:ascii="Arial Rounded MT Bold" w:hAnsi="Arial Rounded MT Bold"/>
          <w:sz w:val="22"/>
          <w:szCs w:val="22"/>
        </w:rPr>
        <w:t xml:space="preserve"> for plant growth. In food industries, it acts as a </w:t>
      </w:r>
      <w:r w:rsidRPr="005F71F7">
        <w:rPr>
          <w:rStyle w:val="Strong"/>
          <w:rFonts w:ascii="Arial Rounded MT Bold" w:hAnsi="Arial Rounded MT Bold"/>
          <w:b w:val="0"/>
          <w:sz w:val="22"/>
          <w:szCs w:val="22"/>
        </w:rPr>
        <w:t>firming agent</w:t>
      </w:r>
      <w:r w:rsidRPr="005F71F7">
        <w:rPr>
          <w:rFonts w:ascii="Arial Rounded MT Bold" w:hAnsi="Arial Rounded MT Bold"/>
          <w:sz w:val="22"/>
          <w:szCs w:val="22"/>
        </w:rPr>
        <w:t xml:space="preserve"> and </w:t>
      </w:r>
      <w:r w:rsidRPr="005F71F7">
        <w:rPr>
          <w:rStyle w:val="Strong"/>
          <w:rFonts w:ascii="Arial Rounded MT Bold" w:hAnsi="Arial Rounded MT Bold"/>
          <w:b w:val="0"/>
          <w:sz w:val="22"/>
          <w:szCs w:val="22"/>
        </w:rPr>
        <w:t>coagulant</w:t>
      </w:r>
      <w:r w:rsidRPr="005F71F7">
        <w:rPr>
          <w:rFonts w:ascii="Arial Rounded MT Bold" w:hAnsi="Arial Rounded MT Bold"/>
          <w:sz w:val="22"/>
          <w:szCs w:val="22"/>
        </w:rPr>
        <w:t xml:space="preserve">, especially in products like tofu. In the EU, it's recognized as </w:t>
      </w:r>
      <w:r w:rsidRPr="005F71F7">
        <w:rPr>
          <w:rStyle w:val="Strong"/>
          <w:rFonts w:ascii="Arial Rounded MT Bold" w:hAnsi="Arial Rounded MT Bold"/>
          <w:b w:val="0"/>
          <w:sz w:val="22"/>
          <w:szCs w:val="22"/>
        </w:rPr>
        <w:t>food</w:t>
      </w:r>
      <w:r w:rsidRPr="005F71F7">
        <w:rPr>
          <w:rStyle w:val="Strong"/>
          <w:rFonts w:ascii="Arial Rounded MT Bold" w:hAnsi="Arial Rounded MT Bold"/>
          <w:sz w:val="22"/>
          <w:szCs w:val="22"/>
        </w:rPr>
        <w:t xml:space="preserve"> </w:t>
      </w:r>
      <w:r w:rsidRPr="005F71F7">
        <w:rPr>
          <w:rStyle w:val="Strong"/>
          <w:rFonts w:ascii="Arial Rounded MT Bold" w:hAnsi="Arial Rounded MT Bold"/>
          <w:b w:val="0"/>
          <w:sz w:val="22"/>
          <w:szCs w:val="22"/>
        </w:rPr>
        <w:t>additive E516</w:t>
      </w:r>
      <w:r w:rsidRPr="005F71F7">
        <w:rPr>
          <w:rFonts w:ascii="Arial Rounded MT Bold" w:hAnsi="Arial Rounded MT Bold"/>
          <w:sz w:val="22"/>
          <w:szCs w:val="22"/>
        </w:rPr>
        <w:t xml:space="preserve"> (FDA, 2022). It is also used in medicine for </w:t>
      </w:r>
      <w:r w:rsidRPr="005F71F7">
        <w:rPr>
          <w:rStyle w:val="Strong"/>
          <w:rFonts w:ascii="Arial Rounded MT Bold" w:hAnsi="Arial Rounded MT Bold"/>
          <w:b w:val="0"/>
          <w:sz w:val="22"/>
          <w:szCs w:val="22"/>
        </w:rPr>
        <w:t>bone grafts</w:t>
      </w:r>
      <w:r w:rsidRPr="005F71F7">
        <w:rPr>
          <w:rFonts w:ascii="Arial Rounded MT Bold" w:hAnsi="Arial Rounded MT Bold"/>
          <w:sz w:val="22"/>
          <w:szCs w:val="22"/>
        </w:rPr>
        <w:t xml:space="preserve"> and </w:t>
      </w:r>
      <w:r w:rsidRPr="005F71F7">
        <w:rPr>
          <w:rStyle w:val="Strong"/>
          <w:rFonts w:ascii="Arial Rounded MT Bold" w:hAnsi="Arial Rounded MT Bold"/>
          <w:b w:val="0"/>
          <w:sz w:val="22"/>
          <w:szCs w:val="22"/>
        </w:rPr>
        <w:t>dental molds</w:t>
      </w:r>
      <w:r w:rsidRPr="005F71F7">
        <w:rPr>
          <w:rFonts w:ascii="Arial Rounded MT Bold" w:hAnsi="Arial Rounded MT Bold"/>
          <w:sz w:val="22"/>
          <w:szCs w:val="22"/>
        </w:rPr>
        <w:t xml:space="preserve"> due to its biocompatibility and ability to support bone growth (Bohner, 2020). For water treatment, it helps remove fluoride and other impurities from water through precipitation reactions (MWH, 2005). Calcium sulfate dihydrate (</w:t>
      </w:r>
      <w:proofErr w:type="spellStart"/>
      <w:r w:rsidRPr="005F71F7">
        <w:rPr>
          <w:rFonts w:ascii="Arial Rounded MT Bold" w:hAnsi="Arial Rounded MT Bold"/>
          <w:sz w:val="22"/>
          <w:szCs w:val="22"/>
        </w:rPr>
        <w:t>CaSO</w:t>
      </w:r>
      <w:proofErr w:type="spellEnd"/>
      <w:r w:rsidRPr="005F71F7">
        <w:rPr>
          <w:rFonts w:ascii="Cambria Math" w:hAnsi="Cambria Math" w:cs="Cambria Math"/>
          <w:sz w:val="22"/>
          <w:szCs w:val="22"/>
        </w:rPr>
        <w:t>₄·</w:t>
      </w:r>
      <w:r w:rsidRPr="005F71F7">
        <w:rPr>
          <w:rFonts w:ascii="Arial Rounded MT Bold" w:hAnsi="Arial Rounded MT Bold"/>
          <w:sz w:val="22"/>
          <w:szCs w:val="22"/>
        </w:rPr>
        <w:t>2H</w:t>
      </w:r>
      <w:r w:rsidRPr="005F71F7">
        <w:rPr>
          <w:rFonts w:ascii="Cambria Math" w:hAnsi="Cambria Math" w:cs="Cambria Math"/>
          <w:sz w:val="22"/>
          <w:szCs w:val="22"/>
        </w:rPr>
        <w:t>₂</w:t>
      </w:r>
      <w:r w:rsidRPr="005F71F7">
        <w:rPr>
          <w:rFonts w:ascii="Arial Rounded MT Bold" w:hAnsi="Arial Rounded MT Bold"/>
          <w:sz w:val="22"/>
          <w:szCs w:val="22"/>
        </w:rPr>
        <w:t xml:space="preserve">O) was found in nature mostly as </w:t>
      </w:r>
      <w:r w:rsidRPr="005F71F7">
        <w:rPr>
          <w:rStyle w:val="Strong"/>
          <w:rFonts w:ascii="Arial Rounded MT Bold" w:hAnsi="Arial Rounded MT Bold"/>
          <w:b w:val="0"/>
          <w:sz w:val="22"/>
          <w:szCs w:val="22"/>
        </w:rPr>
        <w:t>gypsum</w:t>
      </w:r>
      <w:r w:rsidRPr="005F71F7">
        <w:rPr>
          <w:rFonts w:ascii="Arial Rounded MT Bold" w:hAnsi="Arial Rounded MT Bold"/>
          <w:sz w:val="22"/>
          <w:szCs w:val="22"/>
        </w:rPr>
        <w:t xml:space="preserve"> (</w:t>
      </w:r>
      <w:proofErr w:type="spellStart"/>
      <w:r w:rsidRPr="005F71F7">
        <w:rPr>
          <w:rFonts w:ascii="Arial Rounded MT Bold" w:hAnsi="Arial Rounded MT Bold"/>
          <w:sz w:val="22"/>
          <w:szCs w:val="22"/>
        </w:rPr>
        <w:t>CaSO</w:t>
      </w:r>
      <w:proofErr w:type="spellEnd"/>
      <w:r w:rsidRPr="005F71F7">
        <w:rPr>
          <w:rFonts w:ascii="Cambria Math" w:hAnsi="Cambria Math" w:cs="Cambria Math"/>
          <w:sz w:val="22"/>
          <w:szCs w:val="22"/>
        </w:rPr>
        <w:t>₄·</w:t>
      </w:r>
      <w:r w:rsidRPr="005F71F7">
        <w:rPr>
          <w:rFonts w:ascii="Arial Rounded MT Bold" w:hAnsi="Arial Rounded MT Bold"/>
          <w:sz w:val="22"/>
          <w:szCs w:val="22"/>
        </w:rPr>
        <w:t>2H</w:t>
      </w:r>
      <w:r w:rsidRPr="005F71F7">
        <w:rPr>
          <w:rFonts w:ascii="Cambria Math" w:hAnsi="Cambria Math" w:cs="Cambria Math"/>
          <w:sz w:val="22"/>
          <w:szCs w:val="22"/>
        </w:rPr>
        <w:t>₂</w:t>
      </w:r>
      <w:r w:rsidRPr="005F71F7">
        <w:rPr>
          <w:rFonts w:ascii="Arial Rounded MT Bold" w:hAnsi="Arial Rounded MT Bold"/>
          <w:sz w:val="22"/>
          <w:szCs w:val="22"/>
        </w:rPr>
        <w:t xml:space="preserve">O) and </w:t>
      </w:r>
      <w:r w:rsidRPr="005F71F7">
        <w:rPr>
          <w:rStyle w:val="Strong"/>
          <w:rFonts w:ascii="Arial Rounded MT Bold" w:hAnsi="Arial Rounded MT Bold"/>
          <w:b w:val="0"/>
          <w:sz w:val="22"/>
          <w:szCs w:val="22"/>
        </w:rPr>
        <w:t>anhydrite</w:t>
      </w:r>
      <w:r w:rsidRPr="005F71F7">
        <w:rPr>
          <w:rFonts w:ascii="Arial Rounded MT Bold" w:hAnsi="Arial Rounded MT Bold"/>
          <w:sz w:val="22"/>
          <w:szCs w:val="22"/>
        </w:rPr>
        <w:t xml:space="preserve"> (</w:t>
      </w:r>
      <w:proofErr w:type="spellStart"/>
      <w:r w:rsidRPr="005F71F7">
        <w:rPr>
          <w:rFonts w:ascii="Arial Rounded MT Bold" w:hAnsi="Arial Rounded MT Bold"/>
          <w:sz w:val="22"/>
          <w:szCs w:val="22"/>
        </w:rPr>
        <w:t>CaSO</w:t>
      </w:r>
      <w:proofErr w:type="spellEnd"/>
      <w:r w:rsidRPr="005F71F7">
        <w:rPr>
          <w:rFonts w:ascii="Cambria Math" w:hAnsi="Cambria Math" w:cs="Cambria Math"/>
          <w:sz w:val="22"/>
          <w:szCs w:val="22"/>
        </w:rPr>
        <w:t>₄</w:t>
      </w:r>
      <w:r w:rsidRPr="005F71F7">
        <w:rPr>
          <w:rFonts w:ascii="Arial Rounded MT Bold" w:hAnsi="Arial Rounded MT Bold"/>
          <w:sz w:val="22"/>
          <w:szCs w:val="22"/>
        </w:rPr>
        <w:t xml:space="preserve">). Major deposits exist in countries like </w:t>
      </w:r>
      <w:r w:rsidRPr="005F71F7">
        <w:rPr>
          <w:rStyle w:val="Strong"/>
          <w:rFonts w:ascii="Arial Rounded MT Bold" w:hAnsi="Arial Rounded MT Bold"/>
          <w:b w:val="0"/>
          <w:sz w:val="22"/>
          <w:szCs w:val="22"/>
        </w:rPr>
        <w:t>China</w:t>
      </w:r>
      <w:r w:rsidRPr="005F71F7">
        <w:rPr>
          <w:rFonts w:ascii="Arial Rounded MT Bold" w:hAnsi="Arial Rounded MT Bold"/>
          <w:b/>
          <w:sz w:val="22"/>
          <w:szCs w:val="22"/>
        </w:rPr>
        <w:t xml:space="preserve">, </w:t>
      </w:r>
      <w:r w:rsidRPr="005F71F7">
        <w:rPr>
          <w:rStyle w:val="Strong"/>
          <w:rFonts w:ascii="Arial Rounded MT Bold" w:hAnsi="Arial Rounded MT Bold"/>
          <w:b w:val="0"/>
          <w:sz w:val="22"/>
          <w:szCs w:val="22"/>
        </w:rPr>
        <w:t>Iran</w:t>
      </w:r>
      <w:r w:rsidRPr="005F71F7">
        <w:rPr>
          <w:rFonts w:ascii="Arial Rounded MT Bold" w:hAnsi="Arial Rounded MT Bold"/>
          <w:b/>
          <w:sz w:val="22"/>
          <w:szCs w:val="22"/>
        </w:rPr>
        <w:t xml:space="preserve">, </w:t>
      </w:r>
      <w:r w:rsidRPr="005F71F7">
        <w:rPr>
          <w:rStyle w:val="Strong"/>
          <w:rFonts w:ascii="Arial Rounded MT Bold" w:hAnsi="Arial Rounded MT Bold"/>
          <w:b w:val="0"/>
          <w:sz w:val="22"/>
          <w:szCs w:val="22"/>
        </w:rPr>
        <w:t>Thailand</w:t>
      </w:r>
      <w:r w:rsidRPr="005F71F7">
        <w:rPr>
          <w:rFonts w:ascii="Arial Rounded MT Bold" w:hAnsi="Arial Rounded MT Bold"/>
          <w:sz w:val="22"/>
          <w:szCs w:val="22"/>
        </w:rPr>
        <w:t xml:space="preserve">, and the </w:t>
      </w:r>
      <w:r w:rsidRPr="005F71F7">
        <w:rPr>
          <w:rStyle w:val="Strong"/>
          <w:rFonts w:ascii="Arial Rounded MT Bold" w:hAnsi="Arial Rounded MT Bold"/>
          <w:b w:val="0"/>
          <w:sz w:val="22"/>
          <w:szCs w:val="22"/>
        </w:rPr>
        <w:t>United States</w:t>
      </w:r>
      <w:r w:rsidRPr="005F71F7">
        <w:rPr>
          <w:rFonts w:ascii="Arial Rounded MT Bold" w:hAnsi="Arial Rounded MT Bold"/>
          <w:sz w:val="22"/>
          <w:szCs w:val="22"/>
        </w:rPr>
        <w:t xml:space="preserve">. Often occurs in </w:t>
      </w:r>
      <w:r w:rsidRPr="005F71F7">
        <w:rPr>
          <w:rStyle w:val="Strong"/>
          <w:rFonts w:ascii="Arial Rounded MT Bold" w:hAnsi="Arial Rounded MT Bold"/>
          <w:b w:val="0"/>
          <w:sz w:val="22"/>
          <w:szCs w:val="22"/>
        </w:rPr>
        <w:t>sedimentary rock</w:t>
      </w:r>
      <w:r w:rsidRPr="005F71F7">
        <w:rPr>
          <w:rStyle w:val="Strong"/>
          <w:rFonts w:ascii="Arial Rounded MT Bold" w:hAnsi="Arial Rounded MT Bold"/>
          <w:sz w:val="22"/>
          <w:szCs w:val="22"/>
        </w:rPr>
        <w:t xml:space="preserve"> </w:t>
      </w:r>
      <w:r w:rsidRPr="005F71F7">
        <w:rPr>
          <w:rStyle w:val="Strong"/>
          <w:rFonts w:ascii="Arial Rounded MT Bold" w:hAnsi="Arial Rounded MT Bold"/>
          <w:b w:val="0"/>
          <w:sz w:val="22"/>
          <w:szCs w:val="22"/>
        </w:rPr>
        <w:t>formations</w:t>
      </w:r>
      <w:r w:rsidRPr="005F71F7">
        <w:rPr>
          <w:rFonts w:ascii="Arial Rounded MT Bold" w:hAnsi="Arial Rounded MT Bold"/>
          <w:b/>
          <w:sz w:val="22"/>
          <w:szCs w:val="22"/>
        </w:rPr>
        <w:t>,</w:t>
      </w:r>
      <w:r w:rsidRPr="005F71F7">
        <w:rPr>
          <w:rFonts w:ascii="Arial Rounded MT Bold" w:hAnsi="Arial Rounded MT Bold"/>
          <w:sz w:val="22"/>
          <w:szCs w:val="22"/>
        </w:rPr>
        <w:t xml:space="preserve"> particularly in </w:t>
      </w:r>
      <w:r w:rsidRPr="005F71F7">
        <w:rPr>
          <w:rStyle w:val="Strong"/>
          <w:rFonts w:ascii="Arial Rounded MT Bold" w:hAnsi="Arial Rounded MT Bold"/>
          <w:b w:val="0"/>
          <w:sz w:val="22"/>
          <w:szCs w:val="22"/>
        </w:rPr>
        <w:t>evaporite deposits</w:t>
      </w:r>
      <w:r w:rsidRPr="005F71F7">
        <w:rPr>
          <w:rFonts w:ascii="Arial Rounded MT Bold" w:hAnsi="Arial Rounded MT Bold"/>
          <w:sz w:val="22"/>
          <w:szCs w:val="22"/>
        </w:rPr>
        <w:t>, where seawater has evaporated (USGS, 2020).</w:t>
      </w:r>
    </w:p>
    <w:p w14:paraId="30EB8ED0" w14:textId="77777777" w:rsidR="00B01FCD" w:rsidRDefault="007C03F6" w:rsidP="007C03F6">
      <w:pPr>
        <w:pStyle w:val="Body"/>
        <w:spacing w:after="0"/>
        <w:rPr>
          <w:rFonts w:ascii="Arial" w:hAnsi="Arial" w:cs="Arial"/>
        </w:rPr>
      </w:pPr>
      <w:r w:rsidRPr="005F71F7">
        <w:rPr>
          <w:rFonts w:ascii="Arial Rounded MT Bold" w:hAnsi="Arial Rounded MT Bold"/>
          <w:bCs/>
          <w:sz w:val="22"/>
          <w:szCs w:val="22"/>
        </w:rPr>
        <w:t>When inhaled, particulate matter, including gypsum, can deposit along the respiratory tract, bypassing natural defense mechanisms such as mucociliary clearance. Over time, this can provoke localized inflammation and systemic immune responses. Inflammatory biomarkers, such as C-reactive protein (CRP), Interleukin-6 (IL-6), and Tumor Necrosis Factor-Alpha (TNF-</w:t>
      </w:r>
      <w:r w:rsidRPr="005F71F7">
        <w:rPr>
          <w:rFonts w:ascii="Calibri" w:hAnsi="Calibri" w:cs="Calibri"/>
          <w:bCs/>
          <w:sz w:val="22"/>
          <w:szCs w:val="22"/>
        </w:rPr>
        <w:t>α</w:t>
      </w:r>
      <w:r w:rsidRPr="005F71F7">
        <w:rPr>
          <w:rFonts w:ascii="Arial Rounded MT Bold" w:hAnsi="Arial Rounded MT Bold"/>
          <w:bCs/>
          <w:sz w:val="22"/>
          <w:szCs w:val="22"/>
        </w:rPr>
        <w:t>), serve as key indicators for systemic inflammation. Concurrently, the respiratory minute volume</w:t>
      </w:r>
      <w:r w:rsidR="005F71F7" w:rsidRPr="005F71F7">
        <w:rPr>
          <w:rFonts w:ascii="Arial Rounded MT Bold" w:hAnsi="Arial Rounded MT Bold"/>
          <w:bCs/>
          <w:sz w:val="22"/>
          <w:szCs w:val="22"/>
        </w:rPr>
        <w:t xml:space="preserve">, </w:t>
      </w:r>
      <w:r w:rsidRPr="005F71F7">
        <w:rPr>
          <w:rFonts w:ascii="Arial Rounded MT Bold" w:hAnsi="Arial Rounded MT Bold"/>
          <w:bCs/>
          <w:sz w:val="22"/>
          <w:szCs w:val="22"/>
        </w:rPr>
        <w:t>measuring the total volume of air inhaled and exhaled per minute</w:t>
      </w:r>
      <w:r w:rsidR="005F71F7" w:rsidRPr="005F71F7">
        <w:rPr>
          <w:rFonts w:ascii="Arial Rounded MT Bold" w:hAnsi="Arial Rounded MT Bold"/>
          <w:bCs/>
          <w:sz w:val="22"/>
          <w:szCs w:val="22"/>
        </w:rPr>
        <w:t xml:space="preserve">, </w:t>
      </w:r>
      <w:r w:rsidRPr="005F71F7">
        <w:rPr>
          <w:rFonts w:ascii="Arial Rounded MT Bold" w:hAnsi="Arial Rounded MT Bold"/>
          <w:bCs/>
          <w:sz w:val="22"/>
          <w:szCs w:val="22"/>
        </w:rPr>
        <w:t xml:space="preserve">can indicate functional impairments in the respiratory system due to particulate matter exposure. </w:t>
      </w:r>
      <w:r w:rsidRPr="005F71F7">
        <w:rPr>
          <w:rFonts w:ascii="Arial Rounded MT Bold" w:hAnsi="Arial Rounded MT Bold"/>
          <w:sz w:val="22"/>
          <w:szCs w:val="22"/>
        </w:rPr>
        <w:t>Inflammatory biomarkers play a crucial role in assessing the physiological response to airborne pollutants. Biomarkers such as C-reactive protein (CRP), interleukin-6 (IL-6), and tumor necrosis factor-alpha (TNF-</w:t>
      </w:r>
      <w:r w:rsidRPr="005F71F7">
        <w:rPr>
          <w:rFonts w:ascii="Calibri" w:hAnsi="Calibri" w:cs="Calibri"/>
          <w:sz w:val="22"/>
          <w:szCs w:val="22"/>
        </w:rPr>
        <w:t>α</w:t>
      </w:r>
      <w:r w:rsidRPr="005F71F7">
        <w:rPr>
          <w:rFonts w:ascii="Arial Rounded MT Bold" w:hAnsi="Arial Rounded MT Bold"/>
          <w:sz w:val="22"/>
          <w:szCs w:val="22"/>
        </w:rPr>
        <w:t xml:space="preserve">) have been identified as indicators of systemic inflammation linked to respiratory distress and cardiovascular risks (Sharma </w:t>
      </w:r>
      <w:r w:rsidRPr="005F71F7">
        <w:rPr>
          <w:rFonts w:ascii="Arial Rounded MT Bold" w:hAnsi="Arial Rounded MT Bold"/>
          <w:i/>
          <w:sz w:val="22"/>
          <w:szCs w:val="22"/>
        </w:rPr>
        <w:t>et al.,</w:t>
      </w:r>
      <w:r w:rsidRPr="005F71F7">
        <w:rPr>
          <w:rFonts w:ascii="Arial Rounded MT Bold" w:hAnsi="Arial Rounded MT Bold"/>
          <w:sz w:val="22"/>
          <w:szCs w:val="22"/>
        </w:rPr>
        <w:t xml:space="preserve"> 2021). These markers provide insight into the body’s response to chronic exposure to particulate matter, including gypsum dust. Several studies have shown that individuals exposed to high levels of dust pollutants exhibit increased levels of these biomarkers, which are associated with conditions like chronic obstructive pulmonary disease (COPD) and asthma (Kim </w:t>
      </w:r>
      <w:r w:rsidRPr="005F71F7">
        <w:rPr>
          <w:rFonts w:ascii="Arial Rounded MT Bold" w:hAnsi="Arial Rounded MT Bold"/>
          <w:i/>
          <w:sz w:val="22"/>
          <w:szCs w:val="22"/>
        </w:rPr>
        <w:t>et al.,</w:t>
      </w:r>
      <w:r w:rsidRPr="005F71F7">
        <w:rPr>
          <w:rFonts w:ascii="Arial Rounded MT Bold" w:hAnsi="Arial Rounded MT Bold"/>
          <w:sz w:val="22"/>
          <w:szCs w:val="22"/>
        </w:rPr>
        <w:t xml:space="preserve"> 2020). Respiratory minute volume (RMV) is a vital physiological parameter that reflects pulmonary function by measuring the volume of air exchanged per minute. Studies have indicated that exposure to airborne pollutants can lead to alterations in RMV, potentially indicating impaired lung function due to airway inflammation and obstruction (</w:t>
      </w:r>
      <w:proofErr w:type="spellStart"/>
      <w:r w:rsidRPr="005F71F7">
        <w:rPr>
          <w:rFonts w:ascii="Arial Rounded MT Bold" w:hAnsi="Arial Rounded MT Bold"/>
          <w:sz w:val="22"/>
          <w:szCs w:val="22"/>
        </w:rPr>
        <w:t>Adetona</w:t>
      </w:r>
      <w:proofErr w:type="spellEnd"/>
      <w:r w:rsidRPr="005F71F7">
        <w:rPr>
          <w:rFonts w:ascii="Arial Rounded MT Bold" w:hAnsi="Arial Rounded MT Bold"/>
          <w:sz w:val="22"/>
          <w:szCs w:val="22"/>
        </w:rPr>
        <w:t xml:space="preserve"> </w:t>
      </w:r>
      <w:r w:rsidRPr="005F71F7">
        <w:rPr>
          <w:rFonts w:ascii="Arial Rounded MT Bold" w:hAnsi="Arial Rounded MT Bold"/>
          <w:i/>
          <w:sz w:val="22"/>
          <w:szCs w:val="22"/>
        </w:rPr>
        <w:t>et al.,</w:t>
      </w:r>
      <w:r w:rsidRPr="005F71F7">
        <w:rPr>
          <w:rFonts w:ascii="Arial Rounded MT Bold" w:hAnsi="Arial Rounded MT Bold"/>
          <w:sz w:val="22"/>
          <w:szCs w:val="22"/>
        </w:rPr>
        <w:t xml:space="preserve"> 2016). Long-term exposure to gypsum dust could lead to increased respiratory workload, reduced lung compliance, and an increased risk of chronic respiratory </w:t>
      </w:r>
      <w:r w:rsidRPr="005F71F7">
        <w:rPr>
          <w:rFonts w:ascii="Arial Rounded MT Bold" w:hAnsi="Arial Rounded MT Bold"/>
          <w:sz w:val="22"/>
          <w:szCs w:val="22"/>
        </w:rPr>
        <w:lastRenderedPageBreak/>
        <w:t>disorders among exposed individuals. Despite existing research on occupational exposure to dust, limited studies have specifically examined the impact of calcium sulfate dihydrate inhalation on inflammatory biomarkers and respiratory parameters in local populations such as those in Calabar Municipality. This study aims to compare the levels of inflammatory biomarkers and RMV between individuals with long-term exposure to gypsum dust and non-exposed individuals, thereby providing critical data for public health policies and occupational safety regulations.</w:t>
      </w:r>
    </w:p>
    <w:p w14:paraId="57D28F0A" w14:textId="0CA1DC2F" w:rsidR="007F7B32" w:rsidRDefault="00902823" w:rsidP="00441B6F">
      <w:pPr>
        <w:pStyle w:val="AbstHead"/>
        <w:spacing w:after="0"/>
        <w:jc w:val="both"/>
        <w:rPr>
          <w:rFonts w:ascii="Arial" w:hAnsi="Arial" w:cs="Arial"/>
        </w:rPr>
      </w:pPr>
      <w:r>
        <w:rPr>
          <w:rFonts w:ascii="Arial" w:hAnsi="Arial" w:cs="Arial"/>
        </w:rPr>
        <w:t>material and method</w:t>
      </w:r>
      <w:r w:rsidR="00000F8F">
        <w:rPr>
          <w:rFonts w:ascii="Arial" w:hAnsi="Arial" w:cs="Arial"/>
        </w:rPr>
        <w:t xml:space="preserve">s </w:t>
      </w:r>
    </w:p>
    <w:p w14:paraId="43C6456E" w14:textId="77777777" w:rsidR="005F71F7" w:rsidRPr="008F7628" w:rsidRDefault="005F71F7" w:rsidP="005F71F7">
      <w:pPr>
        <w:jc w:val="both"/>
        <w:rPr>
          <w:rStyle w:val="Strong"/>
          <w:rFonts w:ascii="Arial" w:hAnsi="Arial" w:cs="Arial"/>
          <w:b w:val="0"/>
          <w:bCs w:val="0"/>
          <w:sz w:val="22"/>
          <w:szCs w:val="22"/>
        </w:rPr>
      </w:pPr>
      <w:r w:rsidRPr="008F7628">
        <w:rPr>
          <w:rStyle w:val="Strong"/>
          <w:rFonts w:ascii="Arial" w:hAnsi="Arial" w:cs="Arial"/>
          <w:b w:val="0"/>
          <w:sz w:val="22"/>
          <w:szCs w:val="22"/>
        </w:rPr>
        <w:t>Materials</w:t>
      </w:r>
    </w:p>
    <w:p w14:paraId="28625BCA" w14:textId="77777777" w:rsidR="005F71F7" w:rsidRPr="008F7628" w:rsidRDefault="005F71F7" w:rsidP="005F71F7">
      <w:pPr>
        <w:jc w:val="both"/>
        <w:rPr>
          <w:rFonts w:ascii="Arial" w:hAnsi="Arial" w:cs="Arial"/>
          <w:bCs/>
          <w:sz w:val="22"/>
          <w:szCs w:val="22"/>
        </w:rPr>
      </w:pPr>
      <w:r w:rsidRPr="008F7628">
        <w:rPr>
          <w:rStyle w:val="Strong"/>
          <w:rFonts w:ascii="Arial" w:hAnsi="Arial" w:cs="Arial"/>
          <w:b w:val="0"/>
          <w:sz w:val="22"/>
          <w:szCs w:val="22"/>
        </w:rPr>
        <w:t>Chemicals and Reagents</w:t>
      </w:r>
    </w:p>
    <w:p w14:paraId="60680B27" w14:textId="77777777" w:rsidR="005F71F7" w:rsidRPr="008F7628" w:rsidRDefault="005F71F7" w:rsidP="005F71F7">
      <w:pPr>
        <w:pStyle w:val="NormalWeb"/>
        <w:jc w:val="both"/>
        <w:rPr>
          <w:rFonts w:ascii="Arial" w:hAnsi="Arial" w:cs="Arial"/>
          <w:sz w:val="22"/>
          <w:szCs w:val="22"/>
        </w:rPr>
      </w:pPr>
      <w:r w:rsidRPr="008F7628">
        <w:rPr>
          <w:rFonts w:ascii="Arial" w:hAnsi="Arial" w:cs="Arial"/>
          <w:sz w:val="22"/>
          <w:szCs w:val="22"/>
        </w:rPr>
        <w:t>The following chemicals and reagents were used in this study:</w:t>
      </w:r>
    </w:p>
    <w:p w14:paraId="1280CEE8"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C-Reactive Protein (CRP) ELISA Kit</w:t>
      </w:r>
      <w:r w:rsidRPr="008F7628">
        <w:rPr>
          <w:rFonts w:ascii="Arial" w:hAnsi="Arial" w:cs="Arial"/>
          <w:b/>
          <w:sz w:val="22"/>
        </w:rPr>
        <w:t xml:space="preserve"> </w:t>
      </w:r>
      <w:r w:rsidRPr="008F7628">
        <w:rPr>
          <w:rFonts w:ascii="Arial" w:hAnsi="Arial" w:cs="Arial"/>
          <w:sz w:val="22"/>
        </w:rPr>
        <w:t>(for inflammatory biomarker analysis)</w:t>
      </w:r>
    </w:p>
    <w:p w14:paraId="728E57CB" w14:textId="77777777" w:rsidR="005F71F7" w:rsidRPr="008F7628" w:rsidRDefault="005F71F7" w:rsidP="005F71F7">
      <w:pPr>
        <w:pStyle w:val="ListParagraph"/>
        <w:numPr>
          <w:ilvl w:val="0"/>
          <w:numId w:val="32"/>
        </w:numPr>
        <w:spacing w:before="100" w:beforeAutospacing="1" w:after="100" w:afterAutospacing="1" w:line="480" w:lineRule="auto"/>
        <w:jc w:val="both"/>
        <w:rPr>
          <w:rStyle w:val="Strong"/>
          <w:rFonts w:ascii="Arial" w:hAnsi="Arial" w:cs="Arial"/>
          <w:b w:val="0"/>
          <w:bCs w:val="0"/>
          <w:sz w:val="22"/>
        </w:rPr>
      </w:pPr>
      <w:r w:rsidRPr="008F7628">
        <w:rPr>
          <w:rStyle w:val="Strong"/>
          <w:rFonts w:ascii="Arial" w:hAnsi="Arial" w:cs="Arial"/>
          <w:b w:val="0"/>
          <w:sz w:val="22"/>
        </w:rPr>
        <w:t>Interleukin-6 (IL-6) and Tumor Necrosis Factor-Alpha (TNF-α) ELISA Kits</w:t>
      </w:r>
    </w:p>
    <w:p w14:paraId="59CB0BD1"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b/>
          <w:sz w:val="22"/>
        </w:rPr>
      </w:pPr>
      <w:r w:rsidRPr="008F7628">
        <w:rPr>
          <w:rStyle w:val="Strong"/>
          <w:rFonts w:ascii="Arial" w:hAnsi="Arial" w:cs="Arial"/>
          <w:b w:val="0"/>
          <w:sz w:val="22"/>
        </w:rPr>
        <w:t>Eosinophil Staining Reagents</w:t>
      </w:r>
      <w:r w:rsidRPr="008F7628">
        <w:rPr>
          <w:rFonts w:ascii="Arial" w:hAnsi="Arial" w:cs="Arial"/>
          <w:b/>
          <w:sz w:val="22"/>
        </w:rPr>
        <w:t xml:space="preserve"> </w:t>
      </w:r>
      <w:r w:rsidRPr="008F7628">
        <w:rPr>
          <w:rFonts w:ascii="Arial" w:hAnsi="Arial" w:cs="Arial"/>
          <w:sz w:val="22"/>
        </w:rPr>
        <w:t>(Wright’s stain for eosinophil count)</w:t>
      </w:r>
    </w:p>
    <w:p w14:paraId="5D91418B"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b/>
          <w:sz w:val="22"/>
        </w:rPr>
      </w:pPr>
      <w:r w:rsidRPr="008F7628">
        <w:rPr>
          <w:rStyle w:val="Strong"/>
          <w:rFonts w:ascii="Arial" w:hAnsi="Arial" w:cs="Arial"/>
          <w:b w:val="0"/>
          <w:sz w:val="22"/>
        </w:rPr>
        <w:t>Phosphate-buffered saline (PBS)</w:t>
      </w:r>
      <w:r w:rsidRPr="008F7628">
        <w:rPr>
          <w:rFonts w:ascii="Arial" w:hAnsi="Arial" w:cs="Arial"/>
          <w:b/>
          <w:sz w:val="22"/>
        </w:rPr>
        <w:t xml:space="preserve"> </w:t>
      </w:r>
      <w:r w:rsidRPr="008F7628">
        <w:rPr>
          <w:rFonts w:ascii="Arial" w:hAnsi="Arial" w:cs="Arial"/>
          <w:sz w:val="22"/>
        </w:rPr>
        <w:t>(for sample dilution and washing steps)</w:t>
      </w:r>
    </w:p>
    <w:p w14:paraId="288C4B90"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b/>
          <w:sz w:val="22"/>
        </w:rPr>
      </w:pPr>
      <w:r w:rsidRPr="008F7628">
        <w:rPr>
          <w:rStyle w:val="Strong"/>
          <w:rFonts w:ascii="Arial" w:hAnsi="Arial" w:cs="Arial"/>
          <w:b w:val="0"/>
          <w:sz w:val="22"/>
        </w:rPr>
        <w:t>EDTA-treated vacutainer tubes</w:t>
      </w:r>
      <w:r w:rsidRPr="008F7628">
        <w:rPr>
          <w:rFonts w:ascii="Arial" w:hAnsi="Arial" w:cs="Arial"/>
          <w:b/>
          <w:sz w:val="22"/>
        </w:rPr>
        <w:t xml:space="preserve"> </w:t>
      </w:r>
      <w:r w:rsidRPr="008F7628">
        <w:rPr>
          <w:rFonts w:ascii="Arial" w:hAnsi="Arial" w:cs="Arial"/>
          <w:sz w:val="22"/>
        </w:rPr>
        <w:t>(for blood sample collection)</w:t>
      </w:r>
    </w:p>
    <w:p w14:paraId="293B9387"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Calcium sulfate dihydrate (</w:t>
      </w:r>
      <w:proofErr w:type="spellStart"/>
      <w:r w:rsidRPr="008F7628">
        <w:rPr>
          <w:rStyle w:val="Strong"/>
          <w:rFonts w:ascii="Arial" w:hAnsi="Arial" w:cs="Arial"/>
          <w:b w:val="0"/>
          <w:sz w:val="22"/>
        </w:rPr>
        <w:t>CaSO</w:t>
      </w:r>
      <w:proofErr w:type="spellEnd"/>
      <w:r w:rsidRPr="008F7628">
        <w:rPr>
          <w:rStyle w:val="Strong"/>
          <w:rFonts w:ascii="Cambria Math" w:hAnsi="Cambria Math" w:cs="Cambria Math"/>
          <w:b w:val="0"/>
          <w:sz w:val="22"/>
        </w:rPr>
        <w:t>₄</w:t>
      </w:r>
      <w:r w:rsidRPr="008F7628">
        <w:rPr>
          <w:rStyle w:val="Strong"/>
          <w:rFonts w:ascii="Arial" w:hAnsi="Arial" w:cs="Arial"/>
          <w:b w:val="0"/>
          <w:sz w:val="22"/>
        </w:rPr>
        <w:t>·2H</w:t>
      </w:r>
      <w:r w:rsidRPr="008F7628">
        <w:rPr>
          <w:rStyle w:val="Strong"/>
          <w:rFonts w:ascii="Cambria Math" w:hAnsi="Cambria Math" w:cs="Cambria Math"/>
          <w:b w:val="0"/>
          <w:sz w:val="22"/>
        </w:rPr>
        <w:t>₂</w:t>
      </w:r>
      <w:r w:rsidRPr="008F7628">
        <w:rPr>
          <w:rStyle w:val="Strong"/>
          <w:rFonts w:ascii="Arial" w:hAnsi="Arial" w:cs="Arial"/>
          <w:b w:val="0"/>
          <w:sz w:val="22"/>
        </w:rPr>
        <w:t>O) dust samples</w:t>
      </w:r>
      <w:r w:rsidRPr="008F7628">
        <w:rPr>
          <w:rFonts w:ascii="Arial" w:hAnsi="Arial" w:cs="Arial"/>
          <w:b/>
          <w:sz w:val="22"/>
        </w:rPr>
        <w:t xml:space="preserve"> </w:t>
      </w:r>
      <w:r w:rsidRPr="008F7628">
        <w:rPr>
          <w:rFonts w:ascii="Arial" w:hAnsi="Arial" w:cs="Arial"/>
          <w:sz w:val="22"/>
        </w:rPr>
        <w:t>(collected from construction sites in Calabar Municipality)</w:t>
      </w:r>
    </w:p>
    <w:p w14:paraId="6D976F11"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Sodium chloride (NaCl) solution</w:t>
      </w:r>
      <w:r w:rsidRPr="008F7628">
        <w:rPr>
          <w:rFonts w:ascii="Arial" w:hAnsi="Arial" w:cs="Arial"/>
          <w:b/>
          <w:sz w:val="22"/>
        </w:rPr>
        <w:t xml:space="preserve"> </w:t>
      </w:r>
      <w:r w:rsidRPr="008F7628">
        <w:rPr>
          <w:rFonts w:ascii="Arial" w:hAnsi="Arial" w:cs="Arial"/>
          <w:sz w:val="22"/>
        </w:rPr>
        <w:t>(for animal hydration and electrolyte balance)</w:t>
      </w:r>
    </w:p>
    <w:p w14:paraId="658CD4E3"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Ethanol and formalin</w:t>
      </w:r>
      <w:r w:rsidRPr="008F7628">
        <w:rPr>
          <w:rFonts w:ascii="Arial" w:hAnsi="Arial" w:cs="Arial"/>
          <w:b/>
          <w:sz w:val="22"/>
        </w:rPr>
        <w:t xml:space="preserve"> </w:t>
      </w:r>
      <w:r w:rsidRPr="008F7628">
        <w:rPr>
          <w:rFonts w:ascii="Arial" w:hAnsi="Arial" w:cs="Arial"/>
          <w:sz w:val="22"/>
        </w:rPr>
        <w:t>(for tissue fixation in histological analysis)</w:t>
      </w:r>
    </w:p>
    <w:p w14:paraId="66CFF017" w14:textId="77777777" w:rsidR="005F71F7" w:rsidRPr="008F7628"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Spirometer or respirometer</w:t>
      </w:r>
      <w:r w:rsidRPr="008F7628">
        <w:rPr>
          <w:rFonts w:ascii="Arial" w:hAnsi="Arial" w:cs="Arial"/>
          <w:sz w:val="22"/>
        </w:rPr>
        <w:t xml:space="preserve"> (for respiratory minute volume measurements)</w:t>
      </w:r>
    </w:p>
    <w:p w14:paraId="523A8436" w14:textId="77777777" w:rsidR="005F71F7" w:rsidRPr="008F7628" w:rsidRDefault="005F71F7" w:rsidP="005F71F7">
      <w:pPr>
        <w:spacing w:before="100" w:beforeAutospacing="1" w:after="100" w:afterAutospacing="1"/>
        <w:jc w:val="both"/>
        <w:rPr>
          <w:rStyle w:val="Strong"/>
          <w:rFonts w:ascii="Arial" w:hAnsi="Arial" w:cs="Arial"/>
          <w:b w:val="0"/>
          <w:bCs w:val="0"/>
          <w:sz w:val="22"/>
          <w:szCs w:val="22"/>
        </w:rPr>
      </w:pPr>
      <w:r w:rsidRPr="008F7628">
        <w:rPr>
          <w:rStyle w:val="Strong"/>
          <w:rFonts w:ascii="Arial" w:hAnsi="Arial" w:cs="Arial"/>
          <w:b w:val="0"/>
          <w:sz w:val="22"/>
          <w:szCs w:val="22"/>
        </w:rPr>
        <w:t>Study subject</w:t>
      </w:r>
    </w:p>
    <w:p w14:paraId="29EEEE00" w14:textId="77777777" w:rsidR="005F71F7" w:rsidRPr="008F7628" w:rsidRDefault="005F71F7" w:rsidP="005F71F7">
      <w:pPr>
        <w:spacing w:before="100" w:beforeAutospacing="1" w:after="100" w:afterAutospacing="1" w:line="480" w:lineRule="auto"/>
        <w:jc w:val="both"/>
        <w:rPr>
          <w:rFonts w:ascii="Arial" w:hAnsi="Arial" w:cs="Arial"/>
          <w:sz w:val="22"/>
          <w:szCs w:val="22"/>
        </w:rPr>
      </w:pPr>
      <w:r w:rsidRPr="008F7628">
        <w:rPr>
          <w:rFonts w:ascii="Arial" w:hAnsi="Arial" w:cs="Arial"/>
          <w:sz w:val="22"/>
          <w:szCs w:val="22"/>
        </w:rPr>
        <w:t xml:space="preserve">The study </w:t>
      </w:r>
      <w:r w:rsidR="008F7628">
        <w:rPr>
          <w:rFonts w:ascii="Arial" w:hAnsi="Arial" w:cs="Arial"/>
          <w:sz w:val="22"/>
          <w:szCs w:val="22"/>
        </w:rPr>
        <w:t>focuses</w:t>
      </w:r>
      <w:r w:rsidRPr="008F7628">
        <w:rPr>
          <w:rFonts w:ascii="Arial" w:hAnsi="Arial" w:cs="Arial"/>
          <w:sz w:val="22"/>
          <w:szCs w:val="22"/>
        </w:rPr>
        <w:t xml:space="preserve"> on </w:t>
      </w:r>
      <w:r w:rsidRPr="008F7628">
        <w:rPr>
          <w:rStyle w:val="Strong"/>
          <w:rFonts w:ascii="Arial" w:hAnsi="Arial" w:cs="Arial"/>
          <w:b w:val="0"/>
          <w:sz w:val="22"/>
          <w:szCs w:val="22"/>
        </w:rPr>
        <w:t>adult individuals</w:t>
      </w:r>
      <w:r w:rsidRPr="008F7628">
        <w:rPr>
          <w:rFonts w:ascii="Arial" w:hAnsi="Arial" w:cs="Arial"/>
          <w:sz w:val="22"/>
          <w:szCs w:val="22"/>
        </w:rPr>
        <w:t xml:space="preserve"> who have been </w:t>
      </w:r>
      <w:r w:rsidRPr="008F7628">
        <w:rPr>
          <w:rStyle w:val="Strong"/>
          <w:rFonts w:ascii="Arial" w:hAnsi="Arial" w:cs="Arial"/>
          <w:b w:val="0"/>
          <w:sz w:val="22"/>
          <w:szCs w:val="22"/>
        </w:rPr>
        <w:t>exposed to long-term inhalation of calcium sulfate dihydrate dust</w:t>
      </w:r>
      <w:r w:rsidRPr="008F7628">
        <w:rPr>
          <w:rFonts w:ascii="Arial" w:hAnsi="Arial" w:cs="Arial"/>
          <w:sz w:val="22"/>
          <w:szCs w:val="22"/>
        </w:rPr>
        <w:t xml:space="preserve"> in </w:t>
      </w:r>
      <w:r w:rsidRPr="008F7628">
        <w:rPr>
          <w:rStyle w:val="Strong"/>
          <w:rFonts w:ascii="Arial" w:hAnsi="Arial" w:cs="Arial"/>
          <w:b w:val="0"/>
          <w:sz w:val="22"/>
          <w:szCs w:val="22"/>
        </w:rPr>
        <w:t>Calabar Municipality, Cross River State, Nigeria</w:t>
      </w:r>
      <w:r w:rsidRPr="008F7628">
        <w:rPr>
          <w:rFonts w:ascii="Arial" w:hAnsi="Arial" w:cs="Arial"/>
          <w:sz w:val="22"/>
          <w:szCs w:val="22"/>
        </w:rPr>
        <w:t xml:space="preserve">. A </w:t>
      </w:r>
      <w:r w:rsidRPr="008F7628">
        <w:rPr>
          <w:rStyle w:val="Strong"/>
          <w:rFonts w:ascii="Arial" w:hAnsi="Arial" w:cs="Arial"/>
          <w:b w:val="0"/>
          <w:sz w:val="22"/>
          <w:szCs w:val="22"/>
        </w:rPr>
        <w:t>control group</w:t>
      </w:r>
      <w:r w:rsidRPr="008F7628">
        <w:rPr>
          <w:rFonts w:ascii="Arial" w:hAnsi="Arial" w:cs="Arial"/>
          <w:b/>
          <w:sz w:val="22"/>
          <w:szCs w:val="22"/>
        </w:rPr>
        <w:t xml:space="preserve"> </w:t>
      </w:r>
      <w:r w:rsidRPr="008F7628">
        <w:rPr>
          <w:rFonts w:ascii="Arial" w:hAnsi="Arial" w:cs="Arial"/>
          <w:sz w:val="22"/>
          <w:szCs w:val="22"/>
        </w:rPr>
        <w:t>of individuals with</w:t>
      </w:r>
      <w:r w:rsidRPr="008F7628">
        <w:rPr>
          <w:rFonts w:ascii="Arial" w:hAnsi="Arial" w:cs="Arial"/>
          <w:b/>
          <w:sz w:val="22"/>
          <w:szCs w:val="22"/>
        </w:rPr>
        <w:t xml:space="preserve"> </w:t>
      </w:r>
      <w:r w:rsidRPr="008F7628">
        <w:rPr>
          <w:rStyle w:val="Strong"/>
          <w:rFonts w:ascii="Arial" w:hAnsi="Arial" w:cs="Arial"/>
          <w:b w:val="0"/>
          <w:sz w:val="22"/>
          <w:szCs w:val="22"/>
        </w:rPr>
        <w:t>minimal or no exposure</w:t>
      </w:r>
      <w:r w:rsidRPr="008F7628">
        <w:rPr>
          <w:rFonts w:ascii="Arial" w:hAnsi="Arial" w:cs="Arial"/>
          <w:sz w:val="22"/>
          <w:szCs w:val="22"/>
        </w:rPr>
        <w:t xml:space="preserve"> was included for comparison.</w:t>
      </w:r>
    </w:p>
    <w:p w14:paraId="4E2D3C6F" w14:textId="77777777" w:rsidR="005F71F7" w:rsidRPr="008F7628" w:rsidRDefault="005F71F7" w:rsidP="005F71F7">
      <w:pPr>
        <w:spacing w:before="100" w:beforeAutospacing="1" w:after="100" w:afterAutospacing="1"/>
        <w:jc w:val="both"/>
        <w:rPr>
          <w:rStyle w:val="Strong"/>
          <w:rFonts w:ascii="Arial" w:hAnsi="Arial" w:cs="Arial"/>
          <w:b w:val="0"/>
          <w:bCs w:val="0"/>
          <w:sz w:val="22"/>
          <w:szCs w:val="22"/>
        </w:rPr>
      </w:pPr>
      <w:r w:rsidRPr="008F7628">
        <w:rPr>
          <w:rStyle w:val="Strong"/>
          <w:rFonts w:ascii="Arial" w:hAnsi="Arial" w:cs="Arial"/>
          <w:b w:val="0"/>
          <w:sz w:val="22"/>
          <w:szCs w:val="22"/>
        </w:rPr>
        <w:t>Sample size</w:t>
      </w:r>
    </w:p>
    <w:p w14:paraId="38743E46" w14:textId="77777777" w:rsidR="005F71F7" w:rsidRPr="008F7628" w:rsidRDefault="005F71F7" w:rsidP="005F71F7">
      <w:pPr>
        <w:spacing w:before="100" w:beforeAutospacing="1" w:after="100" w:afterAutospacing="1" w:line="480" w:lineRule="auto"/>
        <w:jc w:val="both"/>
        <w:rPr>
          <w:rStyle w:val="Strong"/>
          <w:rFonts w:ascii="Arial" w:hAnsi="Arial" w:cs="Arial"/>
          <w:b w:val="0"/>
          <w:bCs w:val="0"/>
          <w:sz w:val="22"/>
          <w:szCs w:val="22"/>
        </w:rPr>
      </w:pPr>
      <w:r w:rsidRPr="008F7628">
        <w:rPr>
          <w:rStyle w:val="Strong"/>
          <w:rFonts w:ascii="Arial" w:hAnsi="Arial" w:cs="Arial"/>
          <w:b w:val="0"/>
          <w:sz w:val="22"/>
          <w:szCs w:val="22"/>
        </w:rPr>
        <w:t xml:space="preserve">The sample size </w:t>
      </w:r>
      <w:r w:rsidR="008F7628">
        <w:rPr>
          <w:rStyle w:val="Strong"/>
          <w:rFonts w:ascii="Arial" w:hAnsi="Arial" w:cs="Arial"/>
          <w:b w:val="0"/>
          <w:sz w:val="22"/>
          <w:szCs w:val="22"/>
        </w:rPr>
        <w:t>was</w:t>
      </w:r>
      <w:r w:rsidRPr="008F7628">
        <w:rPr>
          <w:rStyle w:val="Strong"/>
          <w:rFonts w:ascii="Arial" w:hAnsi="Arial" w:cs="Arial"/>
          <w:b w:val="0"/>
          <w:sz w:val="22"/>
          <w:szCs w:val="22"/>
        </w:rPr>
        <w:t xml:space="preserve"> determined using </w:t>
      </w:r>
      <w:r w:rsidR="008F7628">
        <w:rPr>
          <w:rStyle w:val="Strong"/>
          <w:rFonts w:ascii="Arial" w:hAnsi="Arial" w:cs="Arial"/>
          <w:b w:val="0"/>
          <w:sz w:val="22"/>
          <w:szCs w:val="22"/>
        </w:rPr>
        <w:t xml:space="preserve">the </w:t>
      </w:r>
      <w:r w:rsidRPr="008F7628">
        <w:rPr>
          <w:rStyle w:val="Strong"/>
          <w:rFonts w:ascii="Arial" w:hAnsi="Arial" w:cs="Arial"/>
          <w:b w:val="0"/>
          <w:sz w:val="22"/>
          <w:szCs w:val="22"/>
        </w:rPr>
        <w:t>sample size formula by Slovin (1960)</w:t>
      </w:r>
    </w:p>
    <w:p w14:paraId="5E85D600" w14:textId="77777777" w:rsidR="005F71F7" w:rsidRPr="008F7628" w:rsidRDefault="005F71F7" w:rsidP="005F71F7">
      <w:pPr>
        <w:spacing w:before="100" w:beforeAutospacing="1" w:after="100" w:afterAutospacing="1"/>
        <w:jc w:val="both"/>
        <w:rPr>
          <w:rStyle w:val="Strong"/>
          <w:rFonts w:ascii="Arial" w:hAnsi="Arial" w:cs="Arial"/>
          <w:bCs w:val="0"/>
          <w:sz w:val="22"/>
          <w:szCs w:val="22"/>
        </w:rPr>
      </w:pPr>
      <w:r w:rsidRPr="008F7628">
        <w:rPr>
          <w:rStyle w:val="Strong"/>
          <w:rFonts w:ascii="Arial" w:hAnsi="Arial" w:cs="Arial"/>
          <w:b w:val="0"/>
          <w:sz w:val="22"/>
          <w:szCs w:val="22"/>
        </w:rPr>
        <w:t>Ethical approval</w:t>
      </w:r>
    </w:p>
    <w:p w14:paraId="4F6F9E48" w14:textId="77777777" w:rsidR="005F71F7" w:rsidRPr="008F7628" w:rsidRDefault="008F7628" w:rsidP="005F71F7">
      <w:pPr>
        <w:spacing w:before="100" w:beforeAutospacing="1" w:after="100" w:afterAutospacing="1" w:line="480" w:lineRule="auto"/>
        <w:jc w:val="both"/>
        <w:rPr>
          <w:rStyle w:val="Strong"/>
          <w:rFonts w:ascii="Arial" w:hAnsi="Arial" w:cs="Arial"/>
          <w:b w:val="0"/>
          <w:bCs w:val="0"/>
          <w:sz w:val="22"/>
          <w:szCs w:val="22"/>
        </w:rPr>
      </w:pPr>
      <w:r>
        <w:rPr>
          <w:rStyle w:val="Strong"/>
          <w:rFonts w:ascii="Arial" w:hAnsi="Arial" w:cs="Arial"/>
          <w:b w:val="0"/>
          <w:sz w:val="22"/>
          <w:szCs w:val="22"/>
        </w:rPr>
        <w:t>Ethical</w:t>
      </w:r>
      <w:r w:rsidR="005F71F7" w:rsidRPr="008F7628">
        <w:rPr>
          <w:rStyle w:val="Strong"/>
          <w:rFonts w:ascii="Arial" w:hAnsi="Arial" w:cs="Arial"/>
          <w:b w:val="0"/>
          <w:sz w:val="22"/>
          <w:szCs w:val="22"/>
        </w:rPr>
        <w:t xml:space="preserve"> consent was obtained from the </w:t>
      </w:r>
      <w:r>
        <w:rPr>
          <w:rStyle w:val="Strong"/>
          <w:rFonts w:ascii="Arial" w:hAnsi="Arial" w:cs="Arial"/>
          <w:b w:val="0"/>
          <w:sz w:val="22"/>
          <w:szCs w:val="22"/>
        </w:rPr>
        <w:t>Ministry</w:t>
      </w:r>
      <w:r w:rsidR="005F71F7" w:rsidRPr="008F7628">
        <w:rPr>
          <w:rStyle w:val="Strong"/>
          <w:rFonts w:ascii="Arial" w:hAnsi="Arial" w:cs="Arial"/>
          <w:b w:val="0"/>
          <w:sz w:val="22"/>
          <w:szCs w:val="22"/>
        </w:rPr>
        <w:t xml:space="preserve"> of </w:t>
      </w:r>
      <w:r>
        <w:rPr>
          <w:rStyle w:val="Strong"/>
          <w:rFonts w:ascii="Arial" w:hAnsi="Arial" w:cs="Arial"/>
          <w:b w:val="0"/>
          <w:sz w:val="22"/>
          <w:szCs w:val="22"/>
        </w:rPr>
        <w:t>Health</w:t>
      </w:r>
      <w:r w:rsidR="005F71F7" w:rsidRPr="008F7628">
        <w:rPr>
          <w:rStyle w:val="Strong"/>
          <w:rFonts w:ascii="Arial" w:hAnsi="Arial" w:cs="Arial"/>
          <w:b w:val="0"/>
          <w:sz w:val="22"/>
          <w:szCs w:val="22"/>
        </w:rPr>
        <w:t>, Health Research Ethics Committee (HAEC)</w:t>
      </w:r>
      <w:r>
        <w:rPr>
          <w:rStyle w:val="Strong"/>
          <w:rFonts w:ascii="Arial" w:hAnsi="Arial" w:cs="Arial"/>
          <w:b w:val="0"/>
          <w:sz w:val="22"/>
          <w:szCs w:val="22"/>
        </w:rPr>
        <w:t>,</w:t>
      </w:r>
      <w:r w:rsidR="005F71F7" w:rsidRPr="008F7628">
        <w:rPr>
          <w:rStyle w:val="Strong"/>
          <w:rFonts w:ascii="Arial" w:hAnsi="Arial" w:cs="Arial"/>
          <w:b w:val="0"/>
          <w:sz w:val="22"/>
          <w:szCs w:val="22"/>
        </w:rPr>
        <w:t xml:space="preserve"> Calabar, Cross River State</w:t>
      </w:r>
    </w:p>
    <w:p w14:paraId="081819A9" w14:textId="77777777" w:rsidR="005F71F7" w:rsidRPr="008F7628" w:rsidRDefault="005F71F7" w:rsidP="005F71F7">
      <w:pPr>
        <w:spacing w:before="100" w:beforeAutospacing="1" w:after="100" w:afterAutospacing="1"/>
        <w:jc w:val="both"/>
        <w:rPr>
          <w:rFonts w:ascii="Arial" w:hAnsi="Arial" w:cs="Arial"/>
          <w:b/>
          <w:sz w:val="22"/>
          <w:szCs w:val="22"/>
        </w:rPr>
      </w:pPr>
      <w:r w:rsidRPr="008F7628">
        <w:rPr>
          <w:rStyle w:val="Strong"/>
          <w:rFonts w:ascii="Arial" w:hAnsi="Arial" w:cs="Arial"/>
          <w:b w:val="0"/>
          <w:sz w:val="22"/>
          <w:szCs w:val="22"/>
        </w:rPr>
        <w:lastRenderedPageBreak/>
        <w:t>Experimental Design</w:t>
      </w:r>
    </w:p>
    <w:p w14:paraId="1F9D1248" w14:textId="77777777" w:rsidR="005F71F7" w:rsidRPr="008F7628" w:rsidRDefault="005F71F7" w:rsidP="005F71F7">
      <w:pPr>
        <w:spacing w:before="100" w:beforeAutospacing="1" w:after="100" w:afterAutospacing="1" w:line="480" w:lineRule="auto"/>
        <w:jc w:val="both"/>
        <w:rPr>
          <w:rFonts w:ascii="Arial" w:hAnsi="Arial" w:cs="Arial"/>
          <w:sz w:val="22"/>
          <w:szCs w:val="22"/>
        </w:rPr>
      </w:pPr>
      <w:r w:rsidRPr="008F7628">
        <w:rPr>
          <w:rFonts w:ascii="Arial" w:hAnsi="Arial" w:cs="Arial"/>
          <w:sz w:val="22"/>
          <w:szCs w:val="22"/>
        </w:rPr>
        <w:t xml:space="preserve">The total number of </w:t>
      </w:r>
      <w:r w:rsidR="008F7628">
        <w:rPr>
          <w:rFonts w:ascii="Arial" w:hAnsi="Arial" w:cs="Arial"/>
          <w:sz w:val="22"/>
          <w:szCs w:val="22"/>
        </w:rPr>
        <w:t>subjects</w:t>
      </w:r>
      <w:r w:rsidRPr="008F7628">
        <w:rPr>
          <w:rFonts w:ascii="Arial" w:hAnsi="Arial" w:cs="Arial"/>
          <w:sz w:val="22"/>
          <w:szCs w:val="22"/>
        </w:rPr>
        <w:t xml:space="preserve"> for the study was divided into two </w:t>
      </w:r>
      <w:r w:rsidR="008F7628">
        <w:rPr>
          <w:rFonts w:ascii="Arial" w:hAnsi="Arial" w:cs="Arial"/>
          <w:sz w:val="22"/>
          <w:szCs w:val="22"/>
        </w:rPr>
        <w:t>groups</w:t>
      </w:r>
      <w:r w:rsidRPr="008F7628">
        <w:rPr>
          <w:rFonts w:ascii="Arial" w:hAnsi="Arial" w:cs="Arial"/>
          <w:sz w:val="22"/>
          <w:szCs w:val="22"/>
        </w:rPr>
        <w:t>, A and B</w:t>
      </w:r>
      <w:r w:rsidR="008F7628">
        <w:rPr>
          <w:rFonts w:ascii="Arial" w:hAnsi="Arial" w:cs="Arial"/>
          <w:sz w:val="22"/>
          <w:szCs w:val="22"/>
        </w:rPr>
        <w:t>,</w:t>
      </w:r>
      <w:r w:rsidRPr="008F7628">
        <w:rPr>
          <w:rFonts w:ascii="Arial" w:hAnsi="Arial" w:cs="Arial"/>
          <w:sz w:val="22"/>
          <w:szCs w:val="22"/>
        </w:rPr>
        <w:t xml:space="preserve"> where group A would </w:t>
      </w:r>
      <w:r w:rsidR="008F7628" w:rsidRPr="008F7628">
        <w:rPr>
          <w:rFonts w:ascii="Arial" w:hAnsi="Arial" w:cs="Arial"/>
          <w:sz w:val="22"/>
          <w:szCs w:val="22"/>
        </w:rPr>
        <w:t>comprise</w:t>
      </w:r>
      <w:r w:rsidRPr="008F7628">
        <w:rPr>
          <w:rFonts w:ascii="Arial" w:hAnsi="Arial" w:cs="Arial"/>
          <w:sz w:val="22"/>
          <w:szCs w:val="22"/>
        </w:rPr>
        <w:t xml:space="preserve"> </w:t>
      </w:r>
      <w:r w:rsidR="008F7628">
        <w:rPr>
          <w:rFonts w:ascii="Arial" w:hAnsi="Arial" w:cs="Arial"/>
          <w:sz w:val="22"/>
          <w:szCs w:val="22"/>
        </w:rPr>
        <w:t>subjects</w:t>
      </w:r>
      <w:r w:rsidRPr="008F7628">
        <w:rPr>
          <w:rFonts w:ascii="Arial" w:hAnsi="Arial" w:cs="Arial"/>
          <w:sz w:val="22"/>
          <w:szCs w:val="22"/>
        </w:rPr>
        <w:t xml:space="preserve"> and group B would </w:t>
      </w:r>
      <w:r w:rsidR="008F7628" w:rsidRPr="008F7628">
        <w:rPr>
          <w:rFonts w:ascii="Arial" w:hAnsi="Arial" w:cs="Arial"/>
          <w:sz w:val="22"/>
          <w:szCs w:val="22"/>
        </w:rPr>
        <w:t>comprise</w:t>
      </w:r>
      <w:r w:rsidRPr="008F7628">
        <w:rPr>
          <w:rFonts w:ascii="Arial" w:hAnsi="Arial" w:cs="Arial"/>
          <w:sz w:val="22"/>
          <w:szCs w:val="22"/>
        </w:rPr>
        <w:t xml:space="preserve"> </w:t>
      </w:r>
      <w:r w:rsidR="008F7628">
        <w:rPr>
          <w:rFonts w:ascii="Arial" w:hAnsi="Arial" w:cs="Arial"/>
          <w:sz w:val="22"/>
          <w:szCs w:val="22"/>
        </w:rPr>
        <w:t>the</w:t>
      </w:r>
      <w:r w:rsidRPr="008F7628">
        <w:rPr>
          <w:rFonts w:ascii="Arial" w:hAnsi="Arial" w:cs="Arial"/>
          <w:sz w:val="22"/>
          <w:szCs w:val="22"/>
        </w:rPr>
        <w:t xml:space="preserve"> control.</w:t>
      </w:r>
    </w:p>
    <w:p w14:paraId="67D31C3C" w14:textId="77777777" w:rsidR="005F71F7" w:rsidRPr="008F7628" w:rsidRDefault="005F71F7" w:rsidP="005F71F7">
      <w:pPr>
        <w:spacing w:before="100" w:beforeAutospacing="1" w:after="100" w:afterAutospacing="1"/>
        <w:jc w:val="both"/>
        <w:rPr>
          <w:rStyle w:val="Strong"/>
          <w:rFonts w:ascii="Arial" w:hAnsi="Arial" w:cs="Arial"/>
          <w:b w:val="0"/>
          <w:bCs w:val="0"/>
          <w:sz w:val="22"/>
          <w:szCs w:val="22"/>
        </w:rPr>
      </w:pPr>
      <w:r w:rsidRPr="008F7628">
        <w:rPr>
          <w:rStyle w:val="Strong"/>
          <w:rFonts w:ascii="Arial" w:hAnsi="Arial" w:cs="Arial"/>
          <w:b w:val="0"/>
          <w:sz w:val="22"/>
          <w:szCs w:val="22"/>
        </w:rPr>
        <w:t>Methods</w:t>
      </w:r>
    </w:p>
    <w:p w14:paraId="28EF1FF6" w14:textId="77777777" w:rsidR="005F71F7" w:rsidRPr="008F7628" w:rsidRDefault="005F71F7" w:rsidP="005F71F7">
      <w:pPr>
        <w:spacing w:before="100" w:beforeAutospacing="1" w:after="100" w:afterAutospacing="1" w:line="480" w:lineRule="auto"/>
        <w:jc w:val="both"/>
        <w:rPr>
          <w:rFonts w:ascii="Arial" w:hAnsi="Arial" w:cs="Arial"/>
          <w:sz w:val="22"/>
          <w:szCs w:val="22"/>
        </w:rPr>
      </w:pPr>
      <w:r w:rsidRPr="008F7628">
        <w:rPr>
          <w:rFonts w:ascii="Arial" w:hAnsi="Arial" w:cs="Arial"/>
          <w:sz w:val="22"/>
          <w:szCs w:val="22"/>
        </w:rPr>
        <w:t xml:space="preserve">Evaluation of respiratory minute </w:t>
      </w:r>
      <w:r w:rsidR="008F7628">
        <w:rPr>
          <w:rFonts w:ascii="Arial" w:hAnsi="Arial" w:cs="Arial"/>
          <w:sz w:val="22"/>
          <w:szCs w:val="22"/>
        </w:rPr>
        <w:t xml:space="preserve">volume </w:t>
      </w:r>
      <w:r w:rsidRPr="008F7628">
        <w:rPr>
          <w:rFonts w:ascii="Arial" w:hAnsi="Arial" w:cs="Arial"/>
          <w:sz w:val="22"/>
          <w:szCs w:val="22"/>
        </w:rPr>
        <w:t xml:space="preserve">and assessment of inflammatory biomarkers was done according to the method of West (2021).  </w:t>
      </w:r>
      <w:r w:rsidRPr="008F7628">
        <w:rPr>
          <w:rStyle w:val="Strong"/>
          <w:rFonts w:ascii="Arial" w:hAnsi="Arial" w:cs="Arial"/>
          <w:b w:val="0"/>
          <w:sz w:val="22"/>
          <w:szCs w:val="22"/>
        </w:rPr>
        <w:t xml:space="preserve">A </w:t>
      </w:r>
      <w:proofErr w:type="spellStart"/>
      <w:r w:rsidRPr="008F7628">
        <w:rPr>
          <w:rStyle w:val="Strong"/>
          <w:rFonts w:ascii="Arial" w:hAnsi="Arial" w:cs="Arial"/>
          <w:b w:val="0"/>
          <w:sz w:val="22"/>
          <w:szCs w:val="22"/>
        </w:rPr>
        <w:t>vitalograph</w:t>
      </w:r>
      <w:proofErr w:type="spellEnd"/>
      <w:r w:rsidRPr="008F7628">
        <w:rPr>
          <w:rStyle w:val="Strong"/>
          <w:rFonts w:ascii="Arial" w:hAnsi="Arial" w:cs="Arial"/>
          <w:b w:val="0"/>
          <w:sz w:val="22"/>
          <w:szCs w:val="22"/>
        </w:rPr>
        <w:t xml:space="preserve"> spirometer (Alpha 6000, UK) </w:t>
      </w:r>
      <w:r w:rsidR="008F7628">
        <w:rPr>
          <w:rStyle w:val="Strong"/>
          <w:rFonts w:ascii="Arial" w:hAnsi="Arial" w:cs="Arial"/>
          <w:b w:val="0"/>
          <w:sz w:val="22"/>
          <w:szCs w:val="22"/>
        </w:rPr>
        <w:t>was</w:t>
      </w:r>
      <w:r w:rsidRPr="008F7628">
        <w:rPr>
          <w:rStyle w:val="Strong"/>
          <w:rFonts w:ascii="Arial" w:hAnsi="Arial" w:cs="Arial"/>
          <w:b w:val="0"/>
          <w:sz w:val="22"/>
          <w:szCs w:val="22"/>
        </w:rPr>
        <w:t xml:space="preserve"> used to assess lung function, basic physiological indices such as respiratory minute </w:t>
      </w:r>
      <w:r w:rsidR="008F7628">
        <w:rPr>
          <w:rStyle w:val="Strong"/>
          <w:rFonts w:ascii="Arial" w:hAnsi="Arial" w:cs="Arial"/>
          <w:b w:val="0"/>
          <w:sz w:val="22"/>
          <w:szCs w:val="22"/>
        </w:rPr>
        <w:t xml:space="preserve">volume, </w:t>
      </w:r>
      <w:r w:rsidRPr="008F7628">
        <w:rPr>
          <w:rStyle w:val="Strong"/>
          <w:rFonts w:ascii="Arial" w:hAnsi="Arial" w:cs="Arial"/>
          <w:b w:val="0"/>
          <w:sz w:val="22"/>
          <w:szCs w:val="22"/>
        </w:rPr>
        <w:t xml:space="preserve">and assessment of inflammatory biomarkers. We </w:t>
      </w:r>
      <w:r w:rsidR="008F7628">
        <w:rPr>
          <w:rStyle w:val="Strong"/>
          <w:rFonts w:ascii="Arial" w:hAnsi="Arial" w:cs="Arial"/>
          <w:b w:val="0"/>
          <w:sz w:val="22"/>
          <w:szCs w:val="22"/>
        </w:rPr>
        <w:t>ensured</w:t>
      </w:r>
      <w:r w:rsidRPr="008F7628">
        <w:rPr>
          <w:rStyle w:val="Strong"/>
          <w:rFonts w:ascii="Arial" w:hAnsi="Arial" w:cs="Arial"/>
          <w:b w:val="0"/>
          <w:sz w:val="22"/>
          <w:szCs w:val="22"/>
        </w:rPr>
        <w:t xml:space="preserve"> the patient </w:t>
      </w:r>
      <w:r w:rsidR="008F7628">
        <w:rPr>
          <w:rStyle w:val="Strong"/>
          <w:rFonts w:ascii="Arial" w:hAnsi="Arial" w:cs="Arial"/>
          <w:b w:val="0"/>
          <w:sz w:val="22"/>
          <w:szCs w:val="22"/>
        </w:rPr>
        <w:t>sat</w:t>
      </w:r>
      <w:r w:rsidRPr="008F7628">
        <w:rPr>
          <w:rStyle w:val="Strong"/>
          <w:rFonts w:ascii="Arial" w:hAnsi="Arial" w:cs="Arial"/>
          <w:b w:val="0"/>
          <w:sz w:val="22"/>
          <w:szCs w:val="22"/>
        </w:rPr>
        <w:t xml:space="preserve"> in a comfortable position. After which the subject was instructed to take a deep breath in and exhale forcefully into the </w:t>
      </w:r>
      <w:proofErr w:type="spellStart"/>
      <w:r w:rsidRPr="008F7628">
        <w:rPr>
          <w:rStyle w:val="Strong"/>
          <w:rFonts w:ascii="Arial" w:hAnsi="Arial" w:cs="Arial"/>
          <w:b w:val="0"/>
          <w:sz w:val="22"/>
          <w:szCs w:val="22"/>
        </w:rPr>
        <w:t>vitalograph</w:t>
      </w:r>
      <w:proofErr w:type="spellEnd"/>
      <w:r w:rsidRPr="008F7628">
        <w:rPr>
          <w:rStyle w:val="Strong"/>
          <w:rFonts w:ascii="Arial" w:hAnsi="Arial" w:cs="Arial"/>
          <w:b w:val="0"/>
          <w:sz w:val="22"/>
          <w:szCs w:val="22"/>
        </w:rPr>
        <w:t xml:space="preserve"> as hard and fast as possible until no more air </w:t>
      </w:r>
      <w:r w:rsidR="00795191">
        <w:rPr>
          <w:rStyle w:val="Strong"/>
          <w:rFonts w:ascii="Arial" w:hAnsi="Arial" w:cs="Arial"/>
          <w:b w:val="0"/>
          <w:sz w:val="22"/>
          <w:szCs w:val="22"/>
        </w:rPr>
        <w:t>could</w:t>
      </w:r>
      <w:r w:rsidRPr="008F7628">
        <w:rPr>
          <w:rStyle w:val="Strong"/>
          <w:rFonts w:ascii="Arial" w:hAnsi="Arial" w:cs="Arial"/>
          <w:b w:val="0"/>
          <w:sz w:val="22"/>
          <w:szCs w:val="22"/>
        </w:rPr>
        <w:t xml:space="preserve"> be expelled. The test was repeated at least three to five times to ensure reproducibility. Venous blood </w:t>
      </w:r>
      <w:r w:rsidR="008F7628">
        <w:rPr>
          <w:rStyle w:val="Strong"/>
          <w:rFonts w:ascii="Arial" w:hAnsi="Arial" w:cs="Arial"/>
          <w:b w:val="0"/>
          <w:sz w:val="22"/>
          <w:szCs w:val="22"/>
        </w:rPr>
        <w:t>was</w:t>
      </w:r>
      <w:r w:rsidRPr="008F7628">
        <w:rPr>
          <w:rStyle w:val="Strong"/>
          <w:rFonts w:ascii="Arial" w:hAnsi="Arial" w:cs="Arial"/>
          <w:b w:val="0"/>
          <w:sz w:val="22"/>
          <w:szCs w:val="22"/>
        </w:rPr>
        <w:t xml:space="preserve"> obtained from </w:t>
      </w:r>
      <w:r w:rsidR="008F7628">
        <w:rPr>
          <w:rStyle w:val="Strong"/>
          <w:rFonts w:ascii="Arial" w:hAnsi="Arial" w:cs="Arial"/>
          <w:b w:val="0"/>
          <w:sz w:val="22"/>
          <w:szCs w:val="22"/>
        </w:rPr>
        <w:t xml:space="preserve">the </w:t>
      </w:r>
      <w:r w:rsidRPr="008F7628">
        <w:rPr>
          <w:rStyle w:val="Strong"/>
          <w:rFonts w:ascii="Arial" w:hAnsi="Arial" w:cs="Arial"/>
          <w:b w:val="0"/>
          <w:sz w:val="22"/>
          <w:szCs w:val="22"/>
        </w:rPr>
        <w:t xml:space="preserve">subject using </w:t>
      </w:r>
      <w:r w:rsidR="008F7628">
        <w:rPr>
          <w:rStyle w:val="Strong"/>
          <w:rFonts w:ascii="Arial" w:hAnsi="Arial" w:cs="Arial"/>
          <w:b w:val="0"/>
          <w:sz w:val="22"/>
          <w:szCs w:val="22"/>
        </w:rPr>
        <w:t>a 2 mL</w:t>
      </w:r>
      <w:r w:rsidRPr="008F7628">
        <w:rPr>
          <w:rStyle w:val="Strong"/>
          <w:rFonts w:ascii="Arial" w:hAnsi="Arial" w:cs="Arial"/>
          <w:b w:val="0"/>
          <w:sz w:val="22"/>
          <w:szCs w:val="22"/>
        </w:rPr>
        <w:t xml:space="preserve"> syringe into the EDTA bottle. </w:t>
      </w:r>
      <w:r w:rsidR="008F7628">
        <w:rPr>
          <w:rStyle w:val="Strong"/>
          <w:rFonts w:ascii="Arial" w:hAnsi="Arial" w:cs="Arial"/>
          <w:b w:val="0"/>
          <w:sz w:val="22"/>
          <w:szCs w:val="22"/>
        </w:rPr>
        <w:t>ELISA</w:t>
      </w:r>
      <w:r w:rsidRPr="008F7628">
        <w:rPr>
          <w:rStyle w:val="Strong"/>
          <w:rFonts w:ascii="Arial" w:hAnsi="Arial" w:cs="Arial"/>
          <w:b w:val="0"/>
          <w:sz w:val="22"/>
          <w:szCs w:val="22"/>
        </w:rPr>
        <w:t xml:space="preserve"> kits </w:t>
      </w:r>
      <w:r w:rsidR="008F7628">
        <w:rPr>
          <w:rStyle w:val="Strong"/>
          <w:rFonts w:ascii="Arial" w:hAnsi="Arial" w:cs="Arial"/>
          <w:b w:val="0"/>
          <w:sz w:val="22"/>
          <w:szCs w:val="22"/>
        </w:rPr>
        <w:t>were</w:t>
      </w:r>
      <w:r w:rsidRPr="008F7628">
        <w:rPr>
          <w:rStyle w:val="Strong"/>
          <w:rFonts w:ascii="Arial" w:hAnsi="Arial" w:cs="Arial"/>
          <w:b w:val="0"/>
          <w:sz w:val="22"/>
          <w:szCs w:val="22"/>
        </w:rPr>
        <w:t xml:space="preserve"> used to analyze inflammatory </w:t>
      </w:r>
      <w:r w:rsidR="008F7628">
        <w:rPr>
          <w:rStyle w:val="Strong"/>
          <w:rFonts w:ascii="Arial" w:hAnsi="Arial" w:cs="Arial"/>
          <w:b w:val="0"/>
          <w:sz w:val="22"/>
          <w:szCs w:val="22"/>
        </w:rPr>
        <w:t>biomarkers</w:t>
      </w:r>
      <w:r w:rsidRPr="008F7628">
        <w:rPr>
          <w:rStyle w:val="Strong"/>
          <w:rFonts w:ascii="Arial" w:hAnsi="Arial" w:cs="Arial"/>
          <w:b w:val="0"/>
          <w:sz w:val="22"/>
          <w:szCs w:val="22"/>
        </w:rPr>
        <w:t xml:space="preserve"> using the manufacturer’s protocol provided in the kits. </w:t>
      </w:r>
    </w:p>
    <w:p w14:paraId="78A9E500" w14:textId="77777777" w:rsidR="005F71F7" w:rsidRPr="008F7628" w:rsidRDefault="005F71F7" w:rsidP="008F7628">
      <w:pPr>
        <w:spacing w:before="100" w:beforeAutospacing="1" w:after="100" w:afterAutospacing="1" w:line="480" w:lineRule="auto"/>
        <w:ind w:left="720"/>
        <w:jc w:val="both"/>
        <w:rPr>
          <w:rFonts w:ascii="Arial" w:hAnsi="Arial" w:cs="Arial"/>
          <w:sz w:val="22"/>
          <w:szCs w:val="22"/>
        </w:rPr>
      </w:pPr>
      <w:r w:rsidRPr="008F7628">
        <w:rPr>
          <w:rFonts w:ascii="Arial" w:hAnsi="Arial" w:cs="Arial"/>
          <w:sz w:val="22"/>
          <w:szCs w:val="22"/>
        </w:rPr>
        <w:t xml:space="preserve">A nebulizer was used to </w:t>
      </w:r>
      <w:r w:rsidRPr="008F7628">
        <w:rPr>
          <w:rStyle w:val="Strong"/>
          <w:rFonts w:ascii="Arial" w:hAnsi="Arial" w:cs="Arial"/>
          <w:b w:val="0"/>
          <w:sz w:val="22"/>
          <w:szCs w:val="22"/>
        </w:rPr>
        <w:t>aerosolize histamine</w:t>
      </w:r>
      <w:r w:rsidRPr="008F7628">
        <w:rPr>
          <w:rFonts w:ascii="Arial" w:hAnsi="Arial" w:cs="Arial"/>
          <w:sz w:val="22"/>
          <w:szCs w:val="22"/>
        </w:rPr>
        <w:t xml:space="preserve"> in increasing concentrations.</w:t>
      </w:r>
    </w:p>
    <w:p w14:paraId="28C31987" w14:textId="77777777" w:rsidR="005F71F7" w:rsidRPr="008F7628" w:rsidRDefault="005F71F7" w:rsidP="008F7628">
      <w:pPr>
        <w:spacing w:before="100" w:beforeAutospacing="1" w:after="100" w:afterAutospacing="1" w:line="480" w:lineRule="auto"/>
        <w:ind w:left="720"/>
        <w:jc w:val="both"/>
        <w:rPr>
          <w:rFonts w:ascii="Arial" w:hAnsi="Arial" w:cs="Arial"/>
          <w:sz w:val="22"/>
          <w:szCs w:val="22"/>
        </w:rPr>
      </w:pPr>
      <w:r w:rsidRPr="008F7628">
        <w:rPr>
          <w:rStyle w:val="Strong"/>
          <w:rFonts w:ascii="Arial" w:hAnsi="Arial" w:cs="Arial"/>
          <w:b w:val="0"/>
          <w:sz w:val="22"/>
          <w:szCs w:val="22"/>
        </w:rPr>
        <w:t>Calcium sulfate dihydrate (</w:t>
      </w:r>
      <w:proofErr w:type="spellStart"/>
      <w:r w:rsidRPr="008F7628">
        <w:rPr>
          <w:rStyle w:val="Strong"/>
          <w:rFonts w:ascii="Arial" w:hAnsi="Arial" w:cs="Arial"/>
          <w:b w:val="0"/>
          <w:sz w:val="22"/>
          <w:szCs w:val="22"/>
        </w:rPr>
        <w:t>CaSO</w:t>
      </w:r>
      <w:proofErr w:type="spellEnd"/>
      <w:r w:rsidRPr="008F7628">
        <w:rPr>
          <w:rStyle w:val="Strong"/>
          <w:rFonts w:ascii="Cambria Math" w:hAnsi="Cambria Math" w:cs="Cambria Math"/>
          <w:b w:val="0"/>
          <w:sz w:val="22"/>
          <w:szCs w:val="22"/>
        </w:rPr>
        <w:t>₄</w:t>
      </w:r>
      <w:r w:rsidRPr="008F7628">
        <w:rPr>
          <w:rStyle w:val="Strong"/>
          <w:rFonts w:ascii="Arial" w:hAnsi="Arial" w:cs="Arial"/>
          <w:b w:val="0"/>
          <w:sz w:val="22"/>
          <w:szCs w:val="22"/>
        </w:rPr>
        <w:t>·2H</w:t>
      </w:r>
      <w:r w:rsidRPr="008F7628">
        <w:rPr>
          <w:rStyle w:val="Strong"/>
          <w:rFonts w:ascii="Cambria Math" w:hAnsi="Cambria Math" w:cs="Cambria Math"/>
          <w:b w:val="0"/>
          <w:sz w:val="22"/>
          <w:szCs w:val="22"/>
        </w:rPr>
        <w:t>₂</w:t>
      </w:r>
      <w:r w:rsidRPr="008F7628">
        <w:rPr>
          <w:rStyle w:val="Strong"/>
          <w:rFonts w:ascii="Arial" w:hAnsi="Arial" w:cs="Arial"/>
          <w:b w:val="0"/>
          <w:sz w:val="22"/>
          <w:szCs w:val="22"/>
        </w:rPr>
        <w:t>O)</w:t>
      </w:r>
      <w:r w:rsidRPr="008F7628">
        <w:rPr>
          <w:rFonts w:ascii="Arial" w:hAnsi="Arial" w:cs="Arial"/>
          <w:sz w:val="22"/>
          <w:szCs w:val="22"/>
        </w:rPr>
        <w:t xml:space="preserve"> </w:t>
      </w:r>
      <w:r w:rsidR="008F7628">
        <w:rPr>
          <w:rFonts w:ascii="Arial" w:hAnsi="Arial" w:cs="Arial"/>
          <w:sz w:val="22"/>
          <w:szCs w:val="22"/>
        </w:rPr>
        <w:t xml:space="preserve">was inhaled </w:t>
      </w:r>
      <w:r w:rsidRPr="008F7628">
        <w:rPr>
          <w:rFonts w:ascii="Arial" w:hAnsi="Arial" w:cs="Arial"/>
          <w:sz w:val="22"/>
          <w:szCs w:val="22"/>
        </w:rPr>
        <w:t xml:space="preserve">while </w:t>
      </w:r>
      <w:r w:rsidR="008F7628">
        <w:rPr>
          <w:rStyle w:val="Strong"/>
          <w:rFonts w:ascii="Arial" w:hAnsi="Arial" w:cs="Arial"/>
          <w:b w:val="0"/>
          <w:sz w:val="22"/>
          <w:szCs w:val="22"/>
        </w:rPr>
        <w:t>inhaling</w:t>
      </w:r>
      <w:r w:rsidRPr="008F7628">
        <w:rPr>
          <w:rFonts w:ascii="Arial" w:hAnsi="Arial" w:cs="Arial"/>
          <w:sz w:val="22"/>
          <w:szCs w:val="22"/>
        </w:rPr>
        <w:t xml:space="preserve"> histamine in a controlled manner.</w:t>
      </w:r>
    </w:p>
    <w:p w14:paraId="5FB71281" w14:textId="77777777" w:rsidR="005F71F7" w:rsidRPr="008F7628" w:rsidRDefault="005F71F7" w:rsidP="005F71F7">
      <w:pPr>
        <w:spacing w:before="100" w:beforeAutospacing="1" w:after="100" w:afterAutospacing="1"/>
        <w:jc w:val="both"/>
        <w:rPr>
          <w:rFonts w:ascii="Arial" w:hAnsi="Arial" w:cs="Arial"/>
          <w:sz w:val="22"/>
          <w:szCs w:val="22"/>
        </w:rPr>
      </w:pPr>
      <w:r w:rsidRPr="008F7628">
        <w:rPr>
          <w:rStyle w:val="Strong"/>
          <w:rFonts w:ascii="Arial" w:hAnsi="Arial" w:cs="Arial"/>
          <w:b w:val="0"/>
          <w:sz w:val="22"/>
          <w:szCs w:val="22"/>
        </w:rPr>
        <w:t>Sample Collection and Preparation</w:t>
      </w:r>
    </w:p>
    <w:p w14:paraId="0D4DBD20" w14:textId="77777777" w:rsidR="005F71F7" w:rsidRPr="008F7628" w:rsidRDefault="005F71F7" w:rsidP="008F7628">
      <w:pPr>
        <w:spacing w:before="100" w:beforeAutospacing="1" w:after="100" w:afterAutospacing="1" w:line="480" w:lineRule="auto"/>
        <w:jc w:val="both"/>
        <w:rPr>
          <w:rFonts w:ascii="Arial" w:hAnsi="Arial" w:cs="Arial"/>
          <w:sz w:val="22"/>
          <w:szCs w:val="22"/>
        </w:rPr>
      </w:pPr>
      <w:r w:rsidRPr="008F7628">
        <w:rPr>
          <w:rFonts w:ascii="Arial" w:hAnsi="Arial" w:cs="Arial"/>
          <w:sz w:val="22"/>
          <w:szCs w:val="22"/>
        </w:rPr>
        <w:t>Blood samples were collected from two groups:</w:t>
      </w:r>
    </w:p>
    <w:p w14:paraId="7A5D3B6E" w14:textId="77777777" w:rsidR="005F71F7" w:rsidRPr="008F7628" w:rsidRDefault="005F71F7" w:rsidP="005F71F7">
      <w:pPr>
        <w:pStyle w:val="ListParagraph"/>
        <w:numPr>
          <w:ilvl w:val="0"/>
          <w:numId w:val="33"/>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Exposed group:</w:t>
      </w:r>
      <w:r w:rsidRPr="008F7628">
        <w:rPr>
          <w:rFonts w:ascii="Arial" w:hAnsi="Arial" w:cs="Arial"/>
          <w:sz w:val="22"/>
        </w:rPr>
        <w:t xml:space="preserve"> Workers ranging from 15-40 years with ≥5 years of occupational exposure to calcium sulfate dihydrate dust.</w:t>
      </w:r>
    </w:p>
    <w:p w14:paraId="65BDDDC0" w14:textId="77777777" w:rsidR="005F71F7" w:rsidRPr="008F7628" w:rsidRDefault="005F71F7" w:rsidP="005F71F7">
      <w:pPr>
        <w:pStyle w:val="ListParagraph"/>
        <w:numPr>
          <w:ilvl w:val="0"/>
          <w:numId w:val="33"/>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Control group:</w:t>
      </w:r>
      <w:r w:rsidRPr="008F7628">
        <w:rPr>
          <w:rFonts w:ascii="Arial" w:hAnsi="Arial" w:cs="Arial"/>
          <w:sz w:val="22"/>
        </w:rPr>
        <w:t xml:space="preserve"> Individuals with minimal or no exposure.</w:t>
      </w:r>
    </w:p>
    <w:p w14:paraId="3FF0F314" w14:textId="77777777" w:rsidR="005F71F7" w:rsidRPr="008F7628" w:rsidRDefault="005F71F7" w:rsidP="008F7628">
      <w:pPr>
        <w:spacing w:before="100" w:beforeAutospacing="1" w:after="100" w:afterAutospacing="1"/>
        <w:ind w:left="720"/>
        <w:jc w:val="both"/>
        <w:rPr>
          <w:rFonts w:ascii="Arial" w:hAnsi="Arial" w:cs="Arial"/>
          <w:sz w:val="22"/>
          <w:szCs w:val="22"/>
        </w:rPr>
      </w:pPr>
      <w:r w:rsidRPr="008F7628">
        <w:rPr>
          <w:rStyle w:val="Strong"/>
          <w:rFonts w:ascii="Arial" w:hAnsi="Arial" w:cs="Arial"/>
          <w:b w:val="0"/>
          <w:sz w:val="22"/>
          <w:szCs w:val="22"/>
        </w:rPr>
        <w:t>Procedure:</w:t>
      </w:r>
    </w:p>
    <w:p w14:paraId="19AA286D" w14:textId="77777777" w:rsidR="005F71F7" w:rsidRPr="008F7628"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8F7628">
        <w:rPr>
          <w:rStyle w:val="Strong"/>
          <w:rFonts w:ascii="Arial" w:hAnsi="Arial" w:cs="Arial"/>
          <w:b w:val="0"/>
          <w:sz w:val="22"/>
        </w:rPr>
        <w:t>5 mL venous blood</w:t>
      </w:r>
      <w:r w:rsidRPr="008F7628">
        <w:rPr>
          <w:rFonts w:ascii="Arial" w:hAnsi="Arial" w:cs="Arial"/>
          <w:sz w:val="22"/>
        </w:rPr>
        <w:t xml:space="preserve"> was drawn using sterile syringes and collected into </w:t>
      </w:r>
      <w:r w:rsidRPr="008F7628">
        <w:rPr>
          <w:rStyle w:val="Strong"/>
          <w:rFonts w:ascii="Arial" w:hAnsi="Arial" w:cs="Arial"/>
          <w:b w:val="0"/>
          <w:sz w:val="22"/>
        </w:rPr>
        <w:t>EDTA tubes</w:t>
      </w:r>
      <w:r w:rsidRPr="008F7628">
        <w:rPr>
          <w:rFonts w:ascii="Arial" w:hAnsi="Arial" w:cs="Arial"/>
          <w:sz w:val="22"/>
        </w:rPr>
        <w:t>.</w:t>
      </w:r>
    </w:p>
    <w:p w14:paraId="2FDD8F20" w14:textId="77777777" w:rsidR="005F71F7" w:rsidRPr="008F7628"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8F7628">
        <w:rPr>
          <w:rFonts w:ascii="Arial" w:hAnsi="Arial" w:cs="Arial"/>
          <w:sz w:val="22"/>
        </w:rPr>
        <w:t xml:space="preserve">Plasma was separated via </w:t>
      </w:r>
      <w:r w:rsidRPr="008F7628">
        <w:rPr>
          <w:rStyle w:val="Strong"/>
          <w:rFonts w:ascii="Arial" w:hAnsi="Arial" w:cs="Arial"/>
          <w:b w:val="0"/>
          <w:sz w:val="22"/>
        </w:rPr>
        <w:t>centrifugation (3000 rpm for 10 minutes)</w:t>
      </w:r>
      <w:r w:rsidRPr="008F7628">
        <w:rPr>
          <w:rFonts w:ascii="Arial" w:hAnsi="Arial" w:cs="Arial"/>
          <w:sz w:val="22"/>
        </w:rPr>
        <w:t xml:space="preserve"> and stored at </w:t>
      </w:r>
      <w:r w:rsidRPr="008F7628">
        <w:rPr>
          <w:rStyle w:val="Strong"/>
          <w:rFonts w:ascii="Arial" w:hAnsi="Arial" w:cs="Arial"/>
          <w:b w:val="0"/>
          <w:sz w:val="22"/>
        </w:rPr>
        <w:t>−20°C</w:t>
      </w:r>
      <w:r w:rsidRPr="008F7628">
        <w:rPr>
          <w:rFonts w:ascii="Arial" w:hAnsi="Arial" w:cs="Arial"/>
          <w:sz w:val="22"/>
        </w:rPr>
        <w:t xml:space="preserve"> until analysis.</w:t>
      </w:r>
    </w:p>
    <w:p w14:paraId="61C89AEF" w14:textId="77777777" w:rsidR="005F71F7" w:rsidRPr="008F7628"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8F7628">
        <w:rPr>
          <w:rFonts w:ascii="Arial" w:hAnsi="Arial" w:cs="Arial"/>
          <w:sz w:val="22"/>
        </w:rPr>
        <w:t xml:space="preserve">Serum inflammatory markers (CRP, IL-6, TNF-α) </w:t>
      </w:r>
      <w:r w:rsidR="008F7628">
        <w:rPr>
          <w:rFonts w:ascii="Arial" w:hAnsi="Arial" w:cs="Arial"/>
          <w:sz w:val="22"/>
        </w:rPr>
        <w:t>were</w:t>
      </w:r>
      <w:r w:rsidRPr="008F7628">
        <w:rPr>
          <w:rFonts w:ascii="Arial" w:hAnsi="Arial" w:cs="Arial"/>
          <w:sz w:val="22"/>
        </w:rPr>
        <w:t xml:space="preserve"> quantified using </w:t>
      </w:r>
      <w:r w:rsidRPr="008F7628">
        <w:rPr>
          <w:rStyle w:val="Strong"/>
          <w:rFonts w:ascii="Arial" w:hAnsi="Arial" w:cs="Arial"/>
          <w:b w:val="0"/>
          <w:sz w:val="22"/>
        </w:rPr>
        <w:t>ELISA kits</w:t>
      </w:r>
      <w:r w:rsidRPr="008F7628">
        <w:rPr>
          <w:rFonts w:ascii="Arial" w:hAnsi="Arial" w:cs="Arial"/>
          <w:sz w:val="22"/>
        </w:rPr>
        <w:t>.</w:t>
      </w:r>
    </w:p>
    <w:p w14:paraId="67ECBAA2" w14:textId="77777777" w:rsidR="005F71F7" w:rsidRPr="008F7628"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8F7628">
        <w:rPr>
          <w:rFonts w:ascii="Arial" w:hAnsi="Arial" w:cs="Arial"/>
          <w:sz w:val="22"/>
        </w:rPr>
        <w:t xml:space="preserve">Eosinophil counts </w:t>
      </w:r>
      <w:r w:rsidR="008F7628">
        <w:rPr>
          <w:rFonts w:ascii="Arial" w:hAnsi="Arial" w:cs="Arial"/>
          <w:sz w:val="22"/>
        </w:rPr>
        <w:t>were</w:t>
      </w:r>
      <w:r w:rsidRPr="008F7628">
        <w:rPr>
          <w:rFonts w:ascii="Arial" w:hAnsi="Arial" w:cs="Arial"/>
          <w:sz w:val="22"/>
        </w:rPr>
        <w:t xml:space="preserve"> determined using </w:t>
      </w:r>
      <w:r w:rsidRPr="008F7628">
        <w:rPr>
          <w:rStyle w:val="Strong"/>
          <w:rFonts w:ascii="Arial" w:hAnsi="Arial" w:cs="Arial"/>
          <w:b w:val="0"/>
          <w:sz w:val="22"/>
        </w:rPr>
        <w:t>hemocytometry and Wright’s staining</w:t>
      </w:r>
      <w:r w:rsidRPr="008F7628">
        <w:rPr>
          <w:rFonts w:ascii="Arial" w:hAnsi="Arial" w:cs="Arial"/>
          <w:sz w:val="22"/>
        </w:rPr>
        <w:t>.</w:t>
      </w:r>
    </w:p>
    <w:p w14:paraId="7FC0C3B2" w14:textId="77777777" w:rsidR="005F71F7" w:rsidRPr="008F7628" w:rsidRDefault="005F71F7" w:rsidP="005F71F7">
      <w:pPr>
        <w:spacing w:before="100" w:beforeAutospacing="1" w:after="100" w:afterAutospacing="1"/>
        <w:jc w:val="both"/>
        <w:rPr>
          <w:rStyle w:val="Strong"/>
          <w:rFonts w:ascii="Arial" w:hAnsi="Arial" w:cs="Arial"/>
          <w:b w:val="0"/>
          <w:bCs w:val="0"/>
          <w:sz w:val="22"/>
          <w:szCs w:val="22"/>
        </w:rPr>
      </w:pPr>
      <w:r w:rsidRPr="008F7628">
        <w:rPr>
          <w:rStyle w:val="Strong"/>
          <w:rFonts w:ascii="Arial" w:hAnsi="Arial" w:cs="Arial"/>
          <w:b w:val="0"/>
          <w:sz w:val="22"/>
          <w:szCs w:val="22"/>
        </w:rPr>
        <w:lastRenderedPageBreak/>
        <w:t>Statistical analysis</w:t>
      </w:r>
    </w:p>
    <w:p w14:paraId="2120849E" w14:textId="77777777" w:rsidR="00712F22" w:rsidRDefault="005F71F7" w:rsidP="00712F22">
      <w:pPr>
        <w:spacing w:before="100" w:beforeAutospacing="1" w:after="100" w:afterAutospacing="1" w:line="480" w:lineRule="auto"/>
        <w:jc w:val="both"/>
        <w:rPr>
          <w:rFonts w:ascii="Arial" w:hAnsi="Arial" w:cs="Arial"/>
          <w:b/>
          <w:caps/>
          <w:sz w:val="22"/>
        </w:rPr>
      </w:pPr>
      <w:r w:rsidRPr="008F7628">
        <w:rPr>
          <w:rFonts w:ascii="Arial" w:hAnsi="Arial" w:cs="Arial"/>
          <w:sz w:val="22"/>
          <w:szCs w:val="22"/>
        </w:rPr>
        <w:t xml:space="preserve">All data were presented as mean ± standard error of </w:t>
      </w:r>
      <w:r w:rsidR="008F7628">
        <w:rPr>
          <w:rFonts w:ascii="Arial" w:hAnsi="Arial" w:cs="Arial"/>
          <w:sz w:val="22"/>
          <w:szCs w:val="22"/>
        </w:rPr>
        <w:t xml:space="preserve">the </w:t>
      </w:r>
      <w:r w:rsidRPr="008F7628">
        <w:rPr>
          <w:rFonts w:ascii="Arial" w:hAnsi="Arial" w:cs="Arial"/>
          <w:sz w:val="22"/>
          <w:szCs w:val="22"/>
        </w:rPr>
        <w:t xml:space="preserve">mean. Paired t-tests </w:t>
      </w:r>
      <w:r w:rsidR="008F7628">
        <w:rPr>
          <w:rFonts w:ascii="Arial" w:hAnsi="Arial" w:cs="Arial"/>
          <w:sz w:val="22"/>
          <w:szCs w:val="22"/>
        </w:rPr>
        <w:t>were</w:t>
      </w:r>
      <w:r w:rsidRPr="008F7628">
        <w:rPr>
          <w:rFonts w:ascii="Arial" w:hAnsi="Arial" w:cs="Arial"/>
          <w:sz w:val="22"/>
          <w:szCs w:val="22"/>
        </w:rPr>
        <w:t xml:space="preserve"> used to compare pre- and post-exposure results, and Pearson’s correlation coefficient </w:t>
      </w:r>
      <w:r w:rsidR="00843B99">
        <w:rPr>
          <w:rFonts w:ascii="Arial" w:hAnsi="Arial" w:cs="Arial"/>
          <w:sz w:val="22"/>
          <w:szCs w:val="22"/>
        </w:rPr>
        <w:t xml:space="preserve">was used </w:t>
      </w:r>
      <w:r w:rsidRPr="008F7628">
        <w:rPr>
          <w:rFonts w:ascii="Arial" w:hAnsi="Arial" w:cs="Arial"/>
          <w:sz w:val="22"/>
          <w:szCs w:val="22"/>
        </w:rPr>
        <w:t>to assess the relationship between exposure duration and changes in lung function</w:t>
      </w:r>
      <w:r w:rsidR="00843B99">
        <w:rPr>
          <w:rFonts w:ascii="Arial" w:hAnsi="Arial" w:cs="Arial"/>
          <w:sz w:val="22"/>
          <w:szCs w:val="22"/>
        </w:rPr>
        <w:t>;</w:t>
      </w:r>
      <w:r w:rsidRPr="008F7628">
        <w:rPr>
          <w:rFonts w:ascii="Arial" w:hAnsi="Arial" w:cs="Arial"/>
          <w:sz w:val="22"/>
          <w:szCs w:val="22"/>
        </w:rPr>
        <w:t xml:space="preserve"> a level of P≤0.5 was considered statistically significant</w:t>
      </w:r>
      <w:r>
        <w:rPr>
          <w:rFonts w:ascii="Times New Roman" w:hAnsi="Times New Roman"/>
          <w:sz w:val="24"/>
          <w:szCs w:val="24"/>
        </w:rPr>
        <w:t>.</w:t>
      </w:r>
      <w:r w:rsidR="00AA74E0" w:rsidRPr="00FB3A86">
        <w:rPr>
          <w:rFonts w:ascii="Arial" w:hAnsi="Arial" w:cs="Arial"/>
        </w:rPr>
        <w:t xml:space="preserve">  </w:t>
      </w:r>
    </w:p>
    <w:p w14:paraId="778C6C19" w14:textId="77777777" w:rsidR="00712F22" w:rsidRPr="00712F22" w:rsidRDefault="00712F22" w:rsidP="00712F22">
      <w:pPr>
        <w:ind w:left="180" w:right="270"/>
        <w:rPr>
          <w:rFonts w:ascii="Times New Roman" w:hAnsi="Times New Roman"/>
          <w:sz w:val="24"/>
          <w:szCs w:val="24"/>
        </w:rPr>
      </w:pPr>
      <w:r w:rsidRPr="00712F22">
        <w:rPr>
          <w:rFonts w:ascii="Times New Roman" w:hAnsi="Times New Roman"/>
          <w:bCs/>
          <w:kern w:val="2"/>
          <w:sz w:val="24"/>
          <w:szCs w:val="24"/>
        </w:rPr>
        <w:t xml:space="preserve">RESULTS </w:t>
      </w:r>
    </w:p>
    <w:p w14:paraId="611BFEF4" w14:textId="77777777" w:rsidR="00712F22" w:rsidRDefault="00712F22" w:rsidP="00712F22">
      <w:pPr>
        <w:spacing w:before="240" w:line="480" w:lineRule="auto"/>
        <w:ind w:left="180" w:right="270"/>
        <w:jc w:val="both"/>
        <w:rPr>
          <w:rFonts w:ascii="Times New Roman" w:hAnsi="Times New Roman"/>
          <w:sz w:val="24"/>
          <w:szCs w:val="24"/>
        </w:rPr>
      </w:pPr>
      <w:r>
        <w:rPr>
          <w:rFonts w:ascii="Times New Roman" w:hAnsi="Times New Roman"/>
          <w:sz w:val="24"/>
          <w:szCs w:val="24"/>
        </w:rPr>
        <w:t xml:space="preserve">This study assessed the inflammatory biomarkers and some demographic and lung function parameters of people exposed to calcium sulphate dihydrate in Calabar Municipality, Cross River State. The results were compared and presented as standards error of mean (SEM). </w:t>
      </w:r>
    </w:p>
    <w:p w14:paraId="0A10CADC" w14:textId="77777777" w:rsidR="00712F22" w:rsidRPr="00712F22" w:rsidRDefault="00712F22" w:rsidP="00712F22">
      <w:pPr>
        <w:spacing w:line="480" w:lineRule="auto"/>
        <w:jc w:val="both"/>
        <w:rPr>
          <w:rFonts w:ascii="Times New Roman" w:hAnsi="Times New Roman"/>
          <w:sz w:val="24"/>
          <w:szCs w:val="24"/>
        </w:rPr>
      </w:pPr>
      <w:r w:rsidRPr="00712F22">
        <w:rPr>
          <w:rFonts w:ascii="Times New Roman" w:hAnsi="Times New Roman"/>
          <w:sz w:val="24"/>
          <w:szCs w:val="24"/>
        </w:rPr>
        <w:t xml:space="preserve">Comparison of demographic parameter </w:t>
      </w:r>
    </w:p>
    <w:p w14:paraId="414302D5" w14:textId="77777777" w:rsidR="00712F22" w:rsidRDefault="00712F22" w:rsidP="00712F22">
      <w:pPr>
        <w:spacing w:line="480" w:lineRule="auto"/>
        <w:jc w:val="both"/>
        <w:rPr>
          <w:rFonts w:ascii="Times New Roman" w:hAnsi="Times New Roman"/>
          <w:sz w:val="24"/>
          <w:szCs w:val="24"/>
        </w:rPr>
      </w:pPr>
      <w:r>
        <w:rPr>
          <w:rFonts w:ascii="Times New Roman" w:hAnsi="Times New Roman"/>
          <w:sz w:val="24"/>
          <w:szCs w:val="24"/>
        </w:rPr>
        <w:t>The mean value of age, weight, height, and body mass index was presented as ± age, weight, height, and body mass index respectively. There was no significant difference at (p&lt;0.001).</w:t>
      </w:r>
    </w:p>
    <w:p w14:paraId="42D085F6" w14:textId="77777777" w:rsidR="00712F22" w:rsidRDefault="00712F22" w:rsidP="009B4545">
      <w:pPr>
        <w:spacing w:line="480" w:lineRule="auto"/>
        <w:ind w:right="270"/>
        <w:jc w:val="both"/>
        <w:rPr>
          <w:rFonts w:ascii="Times New Roman" w:hAnsi="Times New Roman"/>
          <w:sz w:val="24"/>
          <w:szCs w:val="24"/>
        </w:rPr>
      </w:pPr>
      <w:r w:rsidRPr="009B4545">
        <w:rPr>
          <w:rFonts w:ascii="Times New Roman" w:hAnsi="Times New Roman"/>
          <w:sz w:val="24"/>
          <w:szCs w:val="24"/>
        </w:rPr>
        <w:t>AGE</w:t>
      </w:r>
      <w:r>
        <w:rPr>
          <w:rFonts w:ascii="Times New Roman" w:hAnsi="Times New Roman"/>
          <w:b/>
          <w:sz w:val="24"/>
          <w:szCs w:val="24"/>
        </w:rPr>
        <w:t>:</w:t>
      </w:r>
      <w:r>
        <w:rPr>
          <w:rFonts w:ascii="Times New Roman" w:hAnsi="Times New Roman"/>
          <w:sz w:val="24"/>
          <w:szCs w:val="24"/>
        </w:rPr>
        <w:t xml:space="preserve"> Result of the mean value of age in the control and test subject was presented as 26.35 ± 0.23 and 27.00 ± 0.34</w:t>
      </w:r>
      <w:r w:rsidR="009B4545">
        <w:rPr>
          <w:rFonts w:ascii="Times New Roman" w:hAnsi="Times New Roman"/>
          <w:sz w:val="24"/>
          <w:szCs w:val="24"/>
        </w:rPr>
        <w:t>,</w:t>
      </w:r>
      <w:r>
        <w:rPr>
          <w:rFonts w:ascii="Times New Roman" w:hAnsi="Times New Roman"/>
          <w:sz w:val="24"/>
          <w:szCs w:val="24"/>
        </w:rPr>
        <w:t xml:space="preserve"> respectively. There was no significant difference between </w:t>
      </w:r>
      <w:r w:rsidR="009B4545">
        <w:rPr>
          <w:rFonts w:ascii="Times New Roman" w:hAnsi="Times New Roman"/>
          <w:sz w:val="24"/>
          <w:szCs w:val="24"/>
        </w:rPr>
        <w:t xml:space="preserve">the </w:t>
      </w:r>
      <w:r>
        <w:rPr>
          <w:rFonts w:ascii="Times New Roman" w:hAnsi="Times New Roman"/>
          <w:sz w:val="24"/>
          <w:szCs w:val="24"/>
        </w:rPr>
        <w:t xml:space="preserve">test and control </w:t>
      </w:r>
      <w:r w:rsidR="009B4545">
        <w:rPr>
          <w:rFonts w:ascii="Times New Roman" w:hAnsi="Times New Roman"/>
          <w:sz w:val="24"/>
          <w:szCs w:val="24"/>
        </w:rPr>
        <w:t>groups</w:t>
      </w:r>
      <w:r>
        <w:rPr>
          <w:rFonts w:ascii="Times New Roman" w:hAnsi="Times New Roman"/>
          <w:sz w:val="24"/>
          <w:szCs w:val="24"/>
        </w:rPr>
        <w:t>.</w:t>
      </w:r>
    </w:p>
    <w:p w14:paraId="54B00D60" w14:textId="77777777" w:rsidR="00712F22" w:rsidRDefault="00712F22" w:rsidP="00712F22">
      <w:pPr>
        <w:spacing w:line="480" w:lineRule="auto"/>
        <w:ind w:left="180" w:right="270"/>
        <w:jc w:val="both"/>
        <w:rPr>
          <w:rFonts w:ascii="Times New Roman" w:hAnsi="Times New Roman"/>
        </w:rPr>
      </w:pPr>
      <w:r>
        <w:rPr>
          <w:rFonts w:ascii="Times New Roman" w:hAnsi="Times New Roman"/>
          <w:noProof/>
        </w:rPr>
        <w:lastRenderedPageBreak/>
        <w:drawing>
          <wp:inline distT="0" distB="0" distL="0" distR="0" wp14:anchorId="1E31A18F" wp14:editId="710FA1DE">
            <wp:extent cx="5734685" cy="8229600"/>
            <wp:effectExtent l="0" t="0" r="0" b="0"/>
            <wp:docPr id="102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 cstate="print"/>
                    <a:srcRect/>
                    <a:stretch/>
                  </pic:blipFill>
                  <pic:spPr>
                    <a:xfrm>
                      <a:off x="0" y="0"/>
                      <a:ext cx="5734685" cy="8229600"/>
                    </a:xfrm>
                    <a:prstGeom prst="rect">
                      <a:avLst/>
                    </a:prstGeom>
                    <a:ln>
                      <a:noFill/>
                    </a:ln>
                  </pic:spPr>
                </pic:pic>
              </a:graphicData>
            </a:graphic>
          </wp:inline>
        </w:drawing>
      </w:r>
    </w:p>
    <w:p w14:paraId="00FE0202" w14:textId="77777777" w:rsidR="00712F22" w:rsidRDefault="00712F22" w:rsidP="00712F22">
      <w:pPr>
        <w:spacing w:line="480" w:lineRule="auto"/>
        <w:ind w:left="180" w:right="270"/>
        <w:jc w:val="both"/>
        <w:rPr>
          <w:rFonts w:ascii="Times New Roman" w:hAnsi="Times New Roman"/>
          <w:sz w:val="24"/>
          <w:szCs w:val="24"/>
        </w:rPr>
      </w:pPr>
      <w:r w:rsidRPr="009B4545">
        <w:rPr>
          <w:rFonts w:ascii="Times New Roman" w:hAnsi="Times New Roman"/>
          <w:sz w:val="24"/>
          <w:szCs w:val="24"/>
        </w:rPr>
        <w:lastRenderedPageBreak/>
        <w:t>WEIGHT</w:t>
      </w:r>
      <w:r>
        <w:rPr>
          <w:rFonts w:ascii="Times New Roman" w:hAnsi="Times New Roman"/>
          <w:b/>
          <w:sz w:val="24"/>
          <w:szCs w:val="24"/>
        </w:rPr>
        <w:t xml:space="preserve">: </w:t>
      </w:r>
      <w:r>
        <w:rPr>
          <w:rFonts w:ascii="Times New Roman" w:hAnsi="Times New Roman"/>
          <w:sz w:val="24"/>
          <w:szCs w:val="24"/>
        </w:rPr>
        <w:t xml:space="preserve">The mean value of weight in the control and test </w:t>
      </w:r>
      <w:r w:rsidR="009B4545">
        <w:rPr>
          <w:rFonts w:ascii="Times New Roman" w:hAnsi="Times New Roman"/>
          <w:sz w:val="24"/>
          <w:szCs w:val="24"/>
        </w:rPr>
        <w:t>subjects</w:t>
      </w:r>
      <w:r>
        <w:rPr>
          <w:rFonts w:ascii="Times New Roman" w:hAnsi="Times New Roman"/>
          <w:sz w:val="24"/>
          <w:szCs w:val="24"/>
        </w:rPr>
        <w:t xml:space="preserve"> was presented as 66.20 ± 0.42 and 66.54 ± 0.25</w:t>
      </w:r>
      <w:r w:rsidR="009B4545">
        <w:rPr>
          <w:rFonts w:ascii="Times New Roman" w:hAnsi="Times New Roman"/>
          <w:sz w:val="24"/>
          <w:szCs w:val="24"/>
        </w:rPr>
        <w:t>,</w:t>
      </w:r>
      <w:r>
        <w:rPr>
          <w:rFonts w:ascii="Times New Roman" w:hAnsi="Times New Roman"/>
          <w:sz w:val="24"/>
          <w:szCs w:val="24"/>
        </w:rPr>
        <w:t xml:space="preserve"> respectively. There was no significant difference between </w:t>
      </w:r>
      <w:r w:rsidR="009B4545">
        <w:rPr>
          <w:rFonts w:ascii="Times New Roman" w:hAnsi="Times New Roman"/>
          <w:sz w:val="24"/>
          <w:szCs w:val="24"/>
        </w:rPr>
        <w:t xml:space="preserve">the </w:t>
      </w:r>
      <w:r>
        <w:rPr>
          <w:rFonts w:ascii="Times New Roman" w:hAnsi="Times New Roman"/>
          <w:sz w:val="24"/>
          <w:szCs w:val="24"/>
        </w:rPr>
        <w:t xml:space="preserve">test and control </w:t>
      </w:r>
      <w:r w:rsidR="009B4545">
        <w:rPr>
          <w:rFonts w:ascii="Times New Roman" w:hAnsi="Times New Roman"/>
          <w:sz w:val="24"/>
          <w:szCs w:val="24"/>
        </w:rPr>
        <w:t>groups</w:t>
      </w:r>
      <w:r>
        <w:rPr>
          <w:rFonts w:ascii="Times New Roman" w:hAnsi="Times New Roman"/>
          <w:sz w:val="24"/>
          <w:szCs w:val="24"/>
        </w:rPr>
        <w:t xml:space="preserve">. </w:t>
      </w:r>
    </w:p>
    <w:p w14:paraId="2B9FA9F2"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7FC1C751" wp14:editId="4808706D">
            <wp:extent cx="5734685" cy="8229600"/>
            <wp:effectExtent l="0" t="0" r="0" b="0"/>
            <wp:docPr id="102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9" cstate="print"/>
                    <a:srcRect/>
                    <a:stretch/>
                  </pic:blipFill>
                  <pic:spPr>
                    <a:xfrm>
                      <a:off x="0" y="0"/>
                      <a:ext cx="5734685" cy="8229600"/>
                    </a:xfrm>
                    <a:prstGeom prst="rect">
                      <a:avLst/>
                    </a:prstGeom>
                    <a:ln>
                      <a:noFill/>
                    </a:ln>
                  </pic:spPr>
                </pic:pic>
              </a:graphicData>
            </a:graphic>
          </wp:inline>
        </w:drawing>
      </w:r>
    </w:p>
    <w:p w14:paraId="27476AA1" w14:textId="77777777" w:rsidR="00712F22" w:rsidRPr="009B4545" w:rsidRDefault="00712F22" w:rsidP="009B4545">
      <w:pPr>
        <w:spacing w:line="480" w:lineRule="auto"/>
        <w:jc w:val="both"/>
        <w:rPr>
          <w:rFonts w:ascii="Times New Roman" w:hAnsi="Times New Roman"/>
          <w:sz w:val="24"/>
          <w:szCs w:val="24"/>
        </w:rPr>
      </w:pPr>
      <w:r w:rsidRPr="009B4545">
        <w:rPr>
          <w:rFonts w:ascii="Times New Roman" w:hAnsi="Times New Roman"/>
          <w:sz w:val="24"/>
          <w:szCs w:val="24"/>
        </w:rPr>
        <w:t>HEIGHT</w:t>
      </w:r>
      <w:r>
        <w:rPr>
          <w:rFonts w:ascii="Times New Roman" w:hAnsi="Times New Roman"/>
          <w:b/>
          <w:sz w:val="24"/>
          <w:szCs w:val="24"/>
        </w:rPr>
        <w:t>:</w:t>
      </w:r>
      <w:r>
        <w:rPr>
          <w:rFonts w:ascii="Times New Roman" w:hAnsi="Times New Roman"/>
          <w:sz w:val="24"/>
          <w:szCs w:val="24"/>
        </w:rPr>
        <w:t xml:space="preserve"> The result of the mean value of height in the control and test </w:t>
      </w:r>
      <w:r w:rsidR="009B4545">
        <w:rPr>
          <w:rFonts w:ascii="Times New Roman" w:hAnsi="Times New Roman"/>
          <w:sz w:val="24"/>
          <w:szCs w:val="24"/>
        </w:rPr>
        <w:t>subjects</w:t>
      </w:r>
      <w:r>
        <w:rPr>
          <w:rFonts w:ascii="Times New Roman" w:hAnsi="Times New Roman"/>
          <w:sz w:val="24"/>
          <w:szCs w:val="24"/>
        </w:rPr>
        <w:t xml:space="preserve"> was presented as 1.67 ± 0.00 and 1.68 ± 0.00</w:t>
      </w:r>
      <w:r w:rsidR="009B4545">
        <w:rPr>
          <w:rFonts w:ascii="Times New Roman" w:hAnsi="Times New Roman"/>
          <w:sz w:val="24"/>
          <w:szCs w:val="24"/>
        </w:rPr>
        <w:t>,</w:t>
      </w:r>
      <w:r>
        <w:rPr>
          <w:rFonts w:ascii="Times New Roman" w:hAnsi="Times New Roman"/>
          <w:sz w:val="24"/>
          <w:szCs w:val="24"/>
        </w:rPr>
        <w:t xml:space="preserve"> respectively. There was no significant difference between </w:t>
      </w:r>
      <w:r w:rsidR="009B4545">
        <w:rPr>
          <w:rFonts w:ascii="Times New Roman" w:hAnsi="Times New Roman"/>
          <w:sz w:val="24"/>
          <w:szCs w:val="24"/>
        </w:rPr>
        <w:t xml:space="preserve">the </w:t>
      </w:r>
      <w:r>
        <w:rPr>
          <w:rFonts w:ascii="Times New Roman" w:hAnsi="Times New Roman"/>
          <w:sz w:val="24"/>
          <w:szCs w:val="24"/>
        </w:rPr>
        <w:t xml:space="preserve">test and control </w:t>
      </w:r>
      <w:r w:rsidR="009B4545">
        <w:rPr>
          <w:rFonts w:ascii="Times New Roman" w:hAnsi="Times New Roman"/>
          <w:sz w:val="24"/>
          <w:szCs w:val="24"/>
        </w:rPr>
        <w:t>groups</w:t>
      </w:r>
      <w:r>
        <w:rPr>
          <w:rFonts w:ascii="Times New Roman" w:hAnsi="Times New Roman"/>
          <w:sz w:val="24"/>
          <w:szCs w:val="24"/>
        </w:rPr>
        <w:t xml:space="preserve">. </w:t>
      </w:r>
      <w:r>
        <w:rPr>
          <w:rFonts w:ascii="Times New Roman" w:hAnsi="Times New Roman"/>
        </w:rPr>
        <w:br w:type="page"/>
      </w:r>
    </w:p>
    <w:p w14:paraId="79D26CED"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06CDE523" wp14:editId="23DC1388">
            <wp:extent cx="5734685" cy="8229600"/>
            <wp:effectExtent l="0" t="0" r="0" b="0"/>
            <wp:docPr id="102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a:blip r:embed="rId10" cstate="print"/>
                    <a:srcRect/>
                    <a:stretch/>
                  </pic:blipFill>
                  <pic:spPr>
                    <a:xfrm>
                      <a:off x="0" y="0"/>
                      <a:ext cx="5734685" cy="8229600"/>
                    </a:xfrm>
                    <a:prstGeom prst="rect">
                      <a:avLst/>
                    </a:prstGeom>
                    <a:ln>
                      <a:noFill/>
                    </a:ln>
                  </pic:spPr>
                </pic:pic>
              </a:graphicData>
            </a:graphic>
          </wp:inline>
        </w:drawing>
      </w:r>
    </w:p>
    <w:p w14:paraId="18A9BEC4" w14:textId="77777777" w:rsidR="00712F22" w:rsidRDefault="00712F22" w:rsidP="009B4545">
      <w:pPr>
        <w:spacing w:line="480" w:lineRule="auto"/>
        <w:jc w:val="both"/>
        <w:rPr>
          <w:rFonts w:ascii="Times New Roman" w:hAnsi="Times New Roman"/>
        </w:rPr>
      </w:pPr>
      <w:r w:rsidRPr="009B4545">
        <w:rPr>
          <w:rFonts w:ascii="Times New Roman" w:hAnsi="Times New Roman"/>
          <w:sz w:val="24"/>
          <w:szCs w:val="24"/>
        </w:rPr>
        <w:t>Body Mass Index:</w:t>
      </w:r>
      <w:r>
        <w:rPr>
          <w:rFonts w:ascii="Times New Roman" w:hAnsi="Times New Roman"/>
          <w:sz w:val="24"/>
          <w:szCs w:val="24"/>
        </w:rPr>
        <w:t xml:space="preserve"> The mean value of Body Mass Index in the control and test </w:t>
      </w:r>
      <w:r w:rsidR="009B4545">
        <w:rPr>
          <w:rFonts w:ascii="Times New Roman" w:hAnsi="Times New Roman"/>
          <w:sz w:val="24"/>
          <w:szCs w:val="24"/>
        </w:rPr>
        <w:t>subjects</w:t>
      </w:r>
      <w:r>
        <w:rPr>
          <w:rFonts w:ascii="Times New Roman" w:hAnsi="Times New Roman"/>
          <w:sz w:val="24"/>
          <w:szCs w:val="24"/>
        </w:rPr>
        <w:t xml:space="preserve"> was presented as 23.86 ± 0.17 and 23.50 ± 0.18</w:t>
      </w:r>
      <w:r w:rsidR="009B4545">
        <w:rPr>
          <w:rFonts w:ascii="Times New Roman" w:hAnsi="Times New Roman"/>
          <w:sz w:val="24"/>
          <w:szCs w:val="24"/>
        </w:rPr>
        <w:t>,</w:t>
      </w:r>
      <w:r>
        <w:rPr>
          <w:rFonts w:ascii="Times New Roman" w:hAnsi="Times New Roman"/>
          <w:sz w:val="24"/>
          <w:szCs w:val="24"/>
        </w:rPr>
        <w:t xml:space="preserve"> respectively. There was no significant difference between </w:t>
      </w:r>
      <w:r w:rsidR="009B4545">
        <w:rPr>
          <w:rFonts w:ascii="Times New Roman" w:hAnsi="Times New Roman"/>
          <w:sz w:val="24"/>
          <w:szCs w:val="24"/>
        </w:rPr>
        <w:t xml:space="preserve">the </w:t>
      </w:r>
      <w:r>
        <w:rPr>
          <w:rFonts w:ascii="Times New Roman" w:hAnsi="Times New Roman"/>
          <w:sz w:val="24"/>
          <w:szCs w:val="24"/>
        </w:rPr>
        <w:t xml:space="preserve">test and control </w:t>
      </w:r>
      <w:r w:rsidR="009B4545">
        <w:rPr>
          <w:rFonts w:ascii="Times New Roman" w:hAnsi="Times New Roman"/>
          <w:sz w:val="24"/>
          <w:szCs w:val="24"/>
        </w:rPr>
        <w:t>groups</w:t>
      </w:r>
      <w:r>
        <w:rPr>
          <w:rFonts w:ascii="Times New Roman" w:hAnsi="Times New Roman"/>
          <w:sz w:val="24"/>
          <w:szCs w:val="24"/>
        </w:rPr>
        <w:t>.</w:t>
      </w:r>
    </w:p>
    <w:p w14:paraId="43082E69"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4CE61B80" wp14:editId="32B9E833">
            <wp:extent cx="5734685" cy="8229600"/>
            <wp:effectExtent l="0" t="0" r="0" b="0"/>
            <wp:docPr id="102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3"/>
                    <pic:cNvPicPr/>
                  </pic:nvPicPr>
                  <pic:blipFill>
                    <a:blip r:embed="rId11" cstate="print"/>
                    <a:srcRect/>
                    <a:stretch/>
                  </pic:blipFill>
                  <pic:spPr>
                    <a:xfrm>
                      <a:off x="0" y="0"/>
                      <a:ext cx="5734685" cy="8229600"/>
                    </a:xfrm>
                    <a:prstGeom prst="rect">
                      <a:avLst/>
                    </a:prstGeom>
                    <a:ln>
                      <a:noFill/>
                    </a:ln>
                  </pic:spPr>
                </pic:pic>
              </a:graphicData>
            </a:graphic>
          </wp:inline>
        </w:drawing>
      </w:r>
      <w:r>
        <w:rPr>
          <w:rFonts w:ascii="Times New Roman" w:hAnsi="Times New Roman"/>
        </w:rPr>
        <w:br w:type="page"/>
      </w:r>
    </w:p>
    <w:p w14:paraId="2BE93761" w14:textId="77777777" w:rsidR="00712F22" w:rsidRPr="009B4545" w:rsidRDefault="00712F22" w:rsidP="00712F22">
      <w:pPr>
        <w:spacing w:line="480" w:lineRule="auto"/>
        <w:jc w:val="both"/>
        <w:rPr>
          <w:rFonts w:ascii="Times New Roman" w:hAnsi="Times New Roman"/>
          <w:sz w:val="24"/>
          <w:szCs w:val="24"/>
        </w:rPr>
      </w:pPr>
      <w:r w:rsidRPr="009B4545">
        <w:rPr>
          <w:rFonts w:ascii="Times New Roman" w:hAnsi="Times New Roman"/>
          <w:sz w:val="24"/>
          <w:szCs w:val="24"/>
        </w:rPr>
        <w:lastRenderedPageBreak/>
        <w:t xml:space="preserve">Comparison of </w:t>
      </w:r>
      <w:proofErr w:type="spellStart"/>
      <w:r w:rsidRPr="009B4545">
        <w:rPr>
          <w:rFonts w:ascii="Times New Roman" w:hAnsi="Times New Roman"/>
          <w:sz w:val="24"/>
          <w:szCs w:val="24"/>
        </w:rPr>
        <w:t>spirometric</w:t>
      </w:r>
      <w:proofErr w:type="spellEnd"/>
      <w:r w:rsidRPr="009B4545">
        <w:rPr>
          <w:rFonts w:ascii="Times New Roman" w:hAnsi="Times New Roman"/>
          <w:sz w:val="24"/>
          <w:szCs w:val="24"/>
        </w:rPr>
        <w:t xml:space="preserve"> </w:t>
      </w:r>
      <w:r w:rsidR="009B4545">
        <w:rPr>
          <w:rFonts w:ascii="Times New Roman" w:hAnsi="Times New Roman"/>
          <w:sz w:val="24"/>
          <w:szCs w:val="24"/>
        </w:rPr>
        <w:t>parameters</w:t>
      </w:r>
      <w:r w:rsidRPr="009B4545">
        <w:rPr>
          <w:rFonts w:ascii="Times New Roman" w:hAnsi="Times New Roman"/>
          <w:sz w:val="24"/>
          <w:szCs w:val="24"/>
        </w:rPr>
        <w:t xml:space="preserve"> </w:t>
      </w:r>
    </w:p>
    <w:p w14:paraId="2CFE57C9" w14:textId="77777777" w:rsidR="00712F22" w:rsidRDefault="00712F22" w:rsidP="00712F22">
      <w:pPr>
        <w:spacing w:line="480" w:lineRule="auto"/>
        <w:jc w:val="both"/>
        <w:rPr>
          <w:rFonts w:ascii="Times New Roman" w:hAnsi="Times New Roman"/>
          <w:sz w:val="24"/>
          <w:szCs w:val="24"/>
        </w:rPr>
      </w:pPr>
      <w:r w:rsidRPr="009B4545">
        <w:rPr>
          <w:rFonts w:ascii="Times New Roman" w:hAnsi="Times New Roman"/>
          <w:sz w:val="24"/>
          <w:szCs w:val="24"/>
        </w:rPr>
        <w:t>Comparison of forced vital capacity</w:t>
      </w:r>
      <w:r>
        <w:rPr>
          <w:rFonts w:ascii="Times New Roman" w:hAnsi="Times New Roman"/>
          <w:b/>
          <w:sz w:val="24"/>
          <w:szCs w:val="24"/>
        </w:rPr>
        <w:t xml:space="preserve">: </w:t>
      </w:r>
      <w:r>
        <w:rPr>
          <w:rFonts w:ascii="Times New Roman" w:hAnsi="Times New Roman"/>
          <w:sz w:val="24"/>
          <w:szCs w:val="24"/>
        </w:rPr>
        <w:t xml:space="preserve">The result of the mean value of forced vital capacity (FVC) in the control and test </w:t>
      </w:r>
      <w:r w:rsidR="009B4545">
        <w:rPr>
          <w:rFonts w:ascii="Times New Roman" w:hAnsi="Times New Roman"/>
          <w:sz w:val="24"/>
          <w:szCs w:val="24"/>
        </w:rPr>
        <w:t>subjects</w:t>
      </w:r>
      <w:r>
        <w:rPr>
          <w:rFonts w:ascii="Times New Roman" w:hAnsi="Times New Roman"/>
          <w:sz w:val="24"/>
          <w:szCs w:val="24"/>
        </w:rPr>
        <w:t xml:space="preserve"> was presented as 3.04 ± 0.05 and 3.26 ± 0.03</w:t>
      </w:r>
      <w:r w:rsidR="009B4545">
        <w:rPr>
          <w:rFonts w:ascii="Times New Roman" w:hAnsi="Times New Roman"/>
          <w:sz w:val="24"/>
          <w:szCs w:val="24"/>
        </w:rPr>
        <w:t>,</w:t>
      </w:r>
      <w:r>
        <w:rPr>
          <w:rFonts w:ascii="Times New Roman" w:hAnsi="Times New Roman"/>
          <w:sz w:val="24"/>
          <w:szCs w:val="24"/>
        </w:rPr>
        <w:t xml:space="preserve">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347A81CD" w14:textId="77777777" w:rsidR="00712F22" w:rsidRDefault="00712F22" w:rsidP="00712F22">
      <w:pPr>
        <w:spacing w:line="480" w:lineRule="auto"/>
        <w:jc w:val="both"/>
        <w:rPr>
          <w:rFonts w:ascii="Times New Roman" w:hAnsi="Times New Roman"/>
        </w:rPr>
      </w:pPr>
      <w:r>
        <w:rPr>
          <w:rFonts w:ascii="Times New Roman" w:hAnsi="Times New Roman"/>
          <w:noProof/>
        </w:rPr>
        <w:lastRenderedPageBreak/>
        <w:drawing>
          <wp:inline distT="0" distB="0" distL="0" distR="0" wp14:anchorId="210DB92E" wp14:editId="2685EC95">
            <wp:extent cx="5734685" cy="8229600"/>
            <wp:effectExtent l="0" t="0" r="0" b="0"/>
            <wp:docPr id="103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2"/>
                    <pic:cNvPicPr/>
                  </pic:nvPicPr>
                  <pic:blipFill>
                    <a:blip r:embed="rId12" cstate="print"/>
                    <a:srcRect/>
                    <a:stretch/>
                  </pic:blipFill>
                  <pic:spPr>
                    <a:xfrm>
                      <a:off x="0" y="0"/>
                      <a:ext cx="5734685" cy="8229600"/>
                    </a:xfrm>
                    <a:prstGeom prst="rect">
                      <a:avLst/>
                    </a:prstGeom>
                    <a:ln>
                      <a:noFill/>
                    </a:ln>
                  </pic:spPr>
                </pic:pic>
              </a:graphicData>
            </a:graphic>
          </wp:inline>
        </w:drawing>
      </w:r>
    </w:p>
    <w:p w14:paraId="5AD26FC3" w14:textId="77777777" w:rsidR="00712F22" w:rsidRDefault="00712F22" w:rsidP="00712F22">
      <w:pPr>
        <w:spacing w:line="480" w:lineRule="auto"/>
        <w:jc w:val="both"/>
        <w:rPr>
          <w:rFonts w:ascii="Times New Roman" w:hAnsi="Times New Roman"/>
          <w:sz w:val="24"/>
          <w:szCs w:val="24"/>
        </w:rPr>
      </w:pPr>
      <w:r w:rsidRPr="009B4545">
        <w:rPr>
          <w:rFonts w:ascii="Times New Roman" w:hAnsi="Times New Roman"/>
          <w:sz w:val="24"/>
          <w:szCs w:val="24"/>
        </w:rPr>
        <w:lastRenderedPageBreak/>
        <w:t>Comparison of forced expiratory volume in one second</w:t>
      </w:r>
      <w:r>
        <w:rPr>
          <w:rFonts w:ascii="Times New Roman" w:hAnsi="Times New Roman"/>
          <w:b/>
          <w:sz w:val="24"/>
          <w:szCs w:val="24"/>
        </w:rPr>
        <w:t xml:space="preserve">: </w:t>
      </w:r>
      <w:r>
        <w:rPr>
          <w:rFonts w:ascii="Times New Roman" w:hAnsi="Times New Roman"/>
          <w:sz w:val="24"/>
          <w:szCs w:val="24"/>
        </w:rPr>
        <w:t xml:space="preserve">The result of the mean value of forced expiratory volume in one second (FEV1) in the control and test </w:t>
      </w:r>
      <w:r w:rsidR="009B4545">
        <w:rPr>
          <w:rFonts w:ascii="Times New Roman" w:hAnsi="Times New Roman"/>
          <w:sz w:val="24"/>
          <w:szCs w:val="24"/>
        </w:rPr>
        <w:t>subjects</w:t>
      </w:r>
      <w:r>
        <w:rPr>
          <w:rFonts w:ascii="Times New Roman" w:hAnsi="Times New Roman"/>
          <w:sz w:val="24"/>
          <w:szCs w:val="24"/>
        </w:rPr>
        <w:t xml:space="preserve"> was presented as 2.49 ± 0.04 and 2.23 ± 0.02</w:t>
      </w:r>
      <w:r w:rsidR="009B4545">
        <w:rPr>
          <w:rFonts w:ascii="Times New Roman" w:hAnsi="Times New Roman"/>
          <w:sz w:val="24"/>
          <w:szCs w:val="24"/>
        </w:rPr>
        <w:t>,</w:t>
      </w:r>
      <w:r>
        <w:rPr>
          <w:rFonts w:ascii="Times New Roman" w:hAnsi="Times New Roman"/>
          <w:sz w:val="24"/>
          <w:szCs w:val="24"/>
        </w:rPr>
        <w:t xml:space="preserve">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561660F5" w14:textId="77777777" w:rsidR="00712F22" w:rsidRDefault="00712F22" w:rsidP="00712F22">
      <w:pPr>
        <w:spacing w:line="480" w:lineRule="auto"/>
        <w:jc w:val="both"/>
        <w:rPr>
          <w:rFonts w:ascii="Times New Roman" w:hAnsi="Times New Roman"/>
          <w:sz w:val="24"/>
          <w:szCs w:val="24"/>
        </w:rPr>
      </w:pPr>
      <w:r>
        <w:rPr>
          <w:rFonts w:ascii="Times New Roman" w:hAnsi="Times New Roman"/>
          <w:noProof/>
        </w:rPr>
        <w:lastRenderedPageBreak/>
        <w:drawing>
          <wp:inline distT="0" distB="0" distL="0" distR="0" wp14:anchorId="7AD1E5EB" wp14:editId="616E67BF">
            <wp:extent cx="5734685" cy="8229600"/>
            <wp:effectExtent l="0" t="0" r="0" b="0"/>
            <wp:docPr id="103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1"/>
                    <pic:cNvPicPr/>
                  </pic:nvPicPr>
                  <pic:blipFill>
                    <a:blip r:embed="rId13" cstate="print"/>
                    <a:srcRect/>
                    <a:stretch/>
                  </pic:blipFill>
                  <pic:spPr>
                    <a:xfrm>
                      <a:off x="0" y="0"/>
                      <a:ext cx="5734685" cy="8229600"/>
                    </a:xfrm>
                    <a:prstGeom prst="rect">
                      <a:avLst/>
                    </a:prstGeom>
                    <a:ln>
                      <a:noFill/>
                    </a:ln>
                  </pic:spPr>
                </pic:pic>
              </a:graphicData>
            </a:graphic>
          </wp:inline>
        </w:drawing>
      </w:r>
    </w:p>
    <w:p w14:paraId="33927E08" w14:textId="77777777" w:rsidR="00712F22" w:rsidRDefault="00712F22" w:rsidP="00712F22">
      <w:pPr>
        <w:spacing w:line="480" w:lineRule="auto"/>
        <w:jc w:val="both"/>
        <w:rPr>
          <w:rFonts w:ascii="Times New Roman" w:hAnsi="Times New Roman"/>
          <w:sz w:val="24"/>
          <w:szCs w:val="24"/>
        </w:rPr>
      </w:pPr>
      <w:r w:rsidRPr="009715E6">
        <w:rPr>
          <w:rFonts w:ascii="Times New Roman" w:hAnsi="Times New Roman"/>
          <w:sz w:val="24"/>
          <w:szCs w:val="24"/>
        </w:rPr>
        <w:lastRenderedPageBreak/>
        <w:t>Comparison of forced expiratory volume in one second percent</w:t>
      </w:r>
      <w:r>
        <w:rPr>
          <w:rFonts w:ascii="Times New Roman" w:hAnsi="Times New Roman"/>
          <w:b/>
          <w:sz w:val="24"/>
          <w:szCs w:val="24"/>
        </w:rPr>
        <w:t xml:space="preserve">: </w:t>
      </w:r>
      <w:r>
        <w:rPr>
          <w:rFonts w:ascii="Times New Roman" w:hAnsi="Times New Roman"/>
          <w:sz w:val="24"/>
          <w:szCs w:val="24"/>
        </w:rPr>
        <w:t xml:space="preserve">The result of the mean value of forced expiratory volume in one second percent (FEV1%) in the control and test </w:t>
      </w:r>
      <w:r w:rsidR="009715E6">
        <w:rPr>
          <w:rFonts w:ascii="Times New Roman" w:hAnsi="Times New Roman"/>
          <w:sz w:val="24"/>
          <w:szCs w:val="24"/>
        </w:rPr>
        <w:t>subjects</w:t>
      </w:r>
      <w:r>
        <w:rPr>
          <w:rFonts w:ascii="Times New Roman" w:hAnsi="Times New Roman"/>
          <w:sz w:val="24"/>
          <w:szCs w:val="24"/>
        </w:rPr>
        <w:t xml:space="preserve"> was presented as 72.01 ± 1.21 and 68.86 ± 0.87</w:t>
      </w:r>
      <w:r w:rsidR="009715E6">
        <w:rPr>
          <w:rFonts w:ascii="Times New Roman" w:hAnsi="Times New Roman"/>
          <w:sz w:val="24"/>
          <w:szCs w:val="24"/>
        </w:rPr>
        <w:t>,</w:t>
      </w:r>
      <w:r>
        <w:rPr>
          <w:rFonts w:ascii="Times New Roman" w:hAnsi="Times New Roman"/>
          <w:sz w:val="24"/>
          <w:szCs w:val="24"/>
        </w:rPr>
        <w:t xml:space="preserve">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15F9C962" w14:textId="77777777" w:rsidR="00712F22" w:rsidRDefault="00712F22" w:rsidP="00712F22">
      <w:pPr>
        <w:rPr>
          <w:rFonts w:ascii="Times New Roman" w:hAnsi="Times New Roman"/>
        </w:rPr>
      </w:pPr>
      <w:r>
        <w:rPr>
          <w:rFonts w:ascii="Times New Roman" w:hAnsi="Times New Roman"/>
          <w:noProof/>
        </w:rPr>
        <w:drawing>
          <wp:inline distT="0" distB="0" distL="0" distR="0" wp14:anchorId="638F027F" wp14:editId="005FA280">
            <wp:extent cx="5949315" cy="7653655"/>
            <wp:effectExtent l="0" t="0" r="0" b="0"/>
            <wp:docPr id="103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0"/>
                    <pic:cNvPicPr/>
                  </pic:nvPicPr>
                  <pic:blipFill>
                    <a:blip r:embed="rId14" cstate="print"/>
                    <a:srcRect/>
                    <a:stretch/>
                  </pic:blipFill>
                  <pic:spPr>
                    <a:xfrm>
                      <a:off x="0" y="0"/>
                      <a:ext cx="5949315" cy="7653655"/>
                    </a:xfrm>
                    <a:prstGeom prst="rect">
                      <a:avLst/>
                    </a:prstGeom>
                    <a:ln>
                      <a:noFill/>
                    </a:ln>
                  </pic:spPr>
                </pic:pic>
              </a:graphicData>
            </a:graphic>
          </wp:inline>
        </w:drawing>
      </w:r>
    </w:p>
    <w:p w14:paraId="2AAF6B3A" w14:textId="77777777" w:rsidR="00712F22" w:rsidRPr="009715E6" w:rsidRDefault="00712F22" w:rsidP="009715E6">
      <w:pPr>
        <w:spacing w:line="480" w:lineRule="auto"/>
        <w:jc w:val="both"/>
        <w:rPr>
          <w:rFonts w:ascii="Times New Roman" w:hAnsi="Times New Roman"/>
          <w:sz w:val="24"/>
          <w:szCs w:val="24"/>
        </w:rPr>
      </w:pPr>
      <w:r w:rsidRPr="009715E6">
        <w:rPr>
          <w:rFonts w:ascii="Times New Roman" w:hAnsi="Times New Roman"/>
          <w:sz w:val="24"/>
          <w:szCs w:val="24"/>
        </w:rPr>
        <w:lastRenderedPageBreak/>
        <w:t>Comparison of peak expiratory flow rate</w:t>
      </w:r>
      <w:r>
        <w:rPr>
          <w:rFonts w:ascii="Times New Roman" w:hAnsi="Times New Roman"/>
          <w:b/>
          <w:sz w:val="24"/>
          <w:szCs w:val="24"/>
        </w:rPr>
        <w:t xml:space="preserve">: </w:t>
      </w:r>
      <w:r>
        <w:rPr>
          <w:rFonts w:ascii="Times New Roman" w:hAnsi="Times New Roman"/>
          <w:sz w:val="24"/>
          <w:szCs w:val="24"/>
        </w:rPr>
        <w:t xml:space="preserve">The result of the mean value of peak expiratory flow rate in the control and test </w:t>
      </w:r>
      <w:r w:rsidR="009715E6">
        <w:rPr>
          <w:rFonts w:ascii="Times New Roman" w:hAnsi="Times New Roman"/>
          <w:sz w:val="24"/>
          <w:szCs w:val="24"/>
        </w:rPr>
        <w:t>subjects</w:t>
      </w:r>
      <w:r>
        <w:rPr>
          <w:rFonts w:ascii="Times New Roman" w:hAnsi="Times New Roman"/>
          <w:sz w:val="24"/>
          <w:szCs w:val="24"/>
        </w:rPr>
        <w:t xml:space="preserve"> was presented as 239.46 ± 3.83 and 221.94 ± 2.37</w:t>
      </w:r>
      <w:r w:rsidR="009715E6">
        <w:rPr>
          <w:rFonts w:ascii="Times New Roman" w:hAnsi="Times New Roman"/>
          <w:sz w:val="24"/>
          <w:szCs w:val="24"/>
        </w:rPr>
        <w:t>,</w:t>
      </w:r>
      <w:r>
        <w:rPr>
          <w:rFonts w:ascii="Times New Roman" w:hAnsi="Times New Roman"/>
          <w:sz w:val="24"/>
          <w:szCs w:val="24"/>
        </w:rPr>
        <w:t xml:space="preserve">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26B15382"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6FE9AC3D" wp14:editId="728192A6">
            <wp:extent cx="5734685" cy="8229600"/>
            <wp:effectExtent l="0" t="0" r="0" b="0"/>
            <wp:docPr id="103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9"/>
                    <pic:cNvPicPr/>
                  </pic:nvPicPr>
                  <pic:blipFill>
                    <a:blip r:embed="rId15" cstate="print"/>
                    <a:srcRect/>
                    <a:stretch/>
                  </pic:blipFill>
                  <pic:spPr>
                    <a:xfrm>
                      <a:off x="0" y="0"/>
                      <a:ext cx="5734685" cy="8229600"/>
                    </a:xfrm>
                    <a:prstGeom prst="rect">
                      <a:avLst/>
                    </a:prstGeom>
                    <a:ln>
                      <a:noFill/>
                    </a:ln>
                  </pic:spPr>
                </pic:pic>
              </a:graphicData>
            </a:graphic>
          </wp:inline>
        </w:drawing>
      </w:r>
    </w:p>
    <w:p w14:paraId="7BDD67FB" w14:textId="77777777" w:rsidR="00712F22" w:rsidRPr="009715E6" w:rsidRDefault="00712F22" w:rsidP="00712F22">
      <w:pPr>
        <w:spacing w:line="480" w:lineRule="auto"/>
        <w:jc w:val="both"/>
        <w:rPr>
          <w:rFonts w:ascii="Times New Roman" w:hAnsi="Times New Roman"/>
          <w:sz w:val="24"/>
          <w:szCs w:val="24"/>
        </w:rPr>
      </w:pPr>
      <w:r w:rsidRPr="009715E6">
        <w:rPr>
          <w:rFonts w:ascii="Times New Roman" w:hAnsi="Times New Roman"/>
          <w:sz w:val="24"/>
          <w:szCs w:val="24"/>
        </w:rPr>
        <w:t>Comparison of lung function parameters</w:t>
      </w:r>
    </w:p>
    <w:p w14:paraId="77EB0C81" w14:textId="77777777" w:rsidR="00712F22" w:rsidRDefault="00712F22" w:rsidP="00712F22">
      <w:pPr>
        <w:spacing w:line="480" w:lineRule="auto"/>
        <w:jc w:val="both"/>
        <w:rPr>
          <w:rFonts w:ascii="Times New Roman" w:hAnsi="Times New Roman"/>
          <w:sz w:val="24"/>
          <w:szCs w:val="24"/>
        </w:rPr>
      </w:pPr>
      <w:r w:rsidRPr="009715E6">
        <w:rPr>
          <w:rFonts w:ascii="Times New Roman" w:hAnsi="Times New Roman"/>
          <w:sz w:val="24"/>
          <w:szCs w:val="24"/>
        </w:rPr>
        <w:lastRenderedPageBreak/>
        <w:t>Comparison of concentration of C-reactive protein</w:t>
      </w:r>
      <w:r>
        <w:rPr>
          <w:rFonts w:ascii="Times New Roman" w:hAnsi="Times New Roman"/>
          <w:b/>
          <w:sz w:val="24"/>
          <w:szCs w:val="24"/>
        </w:rPr>
        <w:t xml:space="preserve">: </w:t>
      </w:r>
      <w:r>
        <w:rPr>
          <w:rFonts w:ascii="Times New Roman" w:hAnsi="Times New Roman"/>
          <w:sz w:val="24"/>
          <w:szCs w:val="24"/>
        </w:rPr>
        <w:t xml:space="preserve">The result of the mean value of concentration of C-reactive protein in the control and test </w:t>
      </w:r>
      <w:r w:rsidR="009715E6">
        <w:rPr>
          <w:rFonts w:ascii="Times New Roman" w:hAnsi="Times New Roman"/>
          <w:sz w:val="24"/>
          <w:szCs w:val="24"/>
        </w:rPr>
        <w:t>subjects</w:t>
      </w:r>
      <w:r>
        <w:rPr>
          <w:rFonts w:ascii="Times New Roman" w:hAnsi="Times New Roman"/>
          <w:sz w:val="24"/>
          <w:szCs w:val="24"/>
        </w:rPr>
        <w:t xml:space="preserve"> was presented as 0.68 ± 0.03 and 1.35 ± 0.04</w:t>
      </w:r>
      <w:r w:rsidR="009715E6">
        <w:rPr>
          <w:rFonts w:ascii="Times New Roman" w:hAnsi="Times New Roman"/>
          <w:sz w:val="24"/>
          <w:szCs w:val="24"/>
        </w:rPr>
        <w:t>,</w:t>
      </w:r>
      <w:r>
        <w:rPr>
          <w:rFonts w:ascii="Times New Roman" w:hAnsi="Times New Roman"/>
          <w:sz w:val="24"/>
          <w:szCs w:val="24"/>
        </w:rPr>
        <w:t xml:space="preserve">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0F4BA8AD" w14:textId="77777777" w:rsidR="00712F22" w:rsidRDefault="00712F22" w:rsidP="00712F22">
      <w:pPr>
        <w:rPr>
          <w:rFonts w:ascii="Times New Roman" w:hAnsi="Times New Roman"/>
        </w:rPr>
      </w:pPr>
      <w:r>
        <w:rPr>
          <w:rFonts w:ascii="Times New Roman" w:hAnsi="Times New Roman"/>
          <w:noProof/>
        </w:rPr>
        <w:drawing>
          <wp:inline distT="0" distB="0" distL="0" distR="0" wp14:anchorId="6FE3E782" wp14:editId="15355426">
            <wp:extent cx="5949315" cy="7653655"/>
            <wp:effectExtent l="0" t="0" r="0" b="0"/>
            <wp:docPr id="103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srcRect/>
                    <a:stretch/>
                  </pic:blipFill>
                  <pic:spPr>
                    <a:xfrm>
                      <a:off x="0" y="0"/>
                      <a:ext cx="5949315" cy="7653655"/>
                    </a:xfrm>
                    <a:prstGeom prst="rect">
                      <a:avLst/>
                    </a:prstGeom>
                    <a:ln>
                      <a:noFill/>
                    </a:ln>
                  </pic:spPr>
                </pic:pic>
              </a:graphicData>
            </a:graphic>
          </wp:inline>
        </w:drawing>
      </w:r>
    </w:p>
    <w:p w14:paraId="6492B968" w14:textId="77777777" w:rsidR="00712F22" w:rsidRDefault="00712F22" w:rsidP="00712F22">
      <w:pPr>
        <w:spacing w:line="480" w:lineRule="auto"/>
        <w:jc w:val="both"/>
        <w:rPr>
          <w:rFonts w:ascii="Times New Roman" w:hAnsi="Times New Roman"/>
          <w:sz w:val="24"/>
          <w:szCs w:val="24"/>
        </w:rPr>
      </w:pPr>
      <w:r w:rsidRPr="00FA409E">
        <w:rPr>
          <w:rFonts w:ascii="Times New Roman" w:hAnsi="Times New Roman"/>
          <w:sz w:val="24"/>
          <w:szCs w:val="24"/>
        </w:rPr>
        <w:lastRenderedPageBreak/>
        <w:t>Comparison of concentration of interleukin-6</w:t>
      </w:r>
      <w:r>
        <w:rPr>
          <w:rFonts w:ascii="Times New Roman" w:hAnsi="Times New Roman"/>
          <w:b/>
          <w:sz w:val="24"/>
          <w:szCs w:val="24"/>
        </w:rPr>
        <w:t xml:space="preserve">: </w:t>
      </w:r>
      <w:r>
        <w:rPr>
          <w:rFonts w:ascii="Times New Roman" w:hAnsi="Times New Roman"/>
          <w:sz w:val="24"/>
          <w:szCs w:val="24"/>
        </w:rPr>
        <w:t>The result of the mean value of concentration of interleukin-6 in the control and test subject was presented as 0.50 ± 0.02 and 0.58 ± 0.01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6BDFAC56" w14:textId="77777777" w:rsidR="00712F22" w:rsidRDefault="00712F22" w:rsidP="00712F22">
      <w:pPr>
        <w:rPr>
          <w:rFonts w:ascii="Times New Roman" w:hAnsi="Times New Roman"/>
        </w:rPr>
      </w:pPr>
      <w:r>
        <w:rPr>
          <w:rFonts w:ascii="Times New Roman" w:hAnsi="Times New Roman"/>
          <w:noProof/>
        </w:rPr>
        <w:drawing>
          <wp:inline distT="0" distB="0" distL="0" distR="0" wp14:anchorId="39E9FB44" wp14:editId="605921CA">
            <wp:extent cx="5949315" cy="7653655"/>
            <wp:effectExtent l="0" t="0" r="0" b="0"/>
            <wp:docPr id="103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7"/>
                    <pic:cNvPicPr/>
                  </pic:nvPicPr>
                  <pic:blipFill>
                    <a:blip r:embed="rId17" cstate="print"/>
                    <a:srcRect/>
                    <a:stretch/>
                  </pic:blipFill>
                  <pic:spPr>
                    <a:xfrm>
                      <a:off x="0" y="0"/>
                      <a:ext cx="5949315" cy="7653655"/>
                    </a:xfrm>
                    <a:prstGeom prst="rect">
                      <a:avLst/>
                    </a:prstGeom>
                    <a:ln>
                      <a:noFill/>
                    </a:ln>
                  </pic:spPr>
                </pic:pic>
              </a:graphicData>
            </a:graphic>
          </wp:inline>
        </w:drawing>
      </w:r>
    </w:p>
    <w:p w14:paraId="7EE34C1C" w14:textId="77777777" w:rsidR="00712F22" w:rsidRPr="00FA409E" w:rsidRDefault="00712F22" w:rsidP="00FA409E">
      <w:pPr>
        <w:spacing w:line="480" w:lineRule="auto"/>
        <w:jc w:val="both"/>
        <w:rPr>
          <w:rFonts w:ascii="Times New Roman" w:hAnsi="Times New Roman"/>
          <w:sz w:val="24"/>
          <w:szCs w:val="24"/>
        </w:rPr>
      </w:pPr>
      <w:bookmarkStart w:id="0" w:name="_Hlk235575793"/>
      <w:r w:rsidRPr="00FA409E">
        <w:rPr>
          <w:rFonts w:ascii="Times New Roman" w:hAnsi="Times New Roman"/>
          <w:sz w:val="24"/>
          <w:szCs w:val="24"/>
        </w:rPr>
        <w:lastRenderedPageBreak/>
        <w:t>Comparison of respiratory rate</w:t>
      </w:r>
      <w:r>
        <w:rPr>
          <w:rFonts w:ascii="Times New Roman" w:hAnsi="Times New Roman"/>
          <w:b/>
          <w:sz w:val="24"/>
          <w:szCs w:val="24"/>
        </w:rPr>
        <w:t xml:space="preserve">: </w:t>
      </w:r>
      <w:r>
        <w:rPr>
          <w:rFonts w:ascii="Times New Roman" w:hAnsi="Times New Roman"/>
          <w:sz w:val="24"/>
          <w:szCs w:val="24"/>
        </w:rPr>
        <w:t xml:space="preserve">The result of the mean value of respiratory rate in the control and test </w:t>
      </w:r>
      <w:r w:rsidR="00FA409E">
        <w:rPr>
          <w:rFonts w:ascii="Times New Roman" w:hAnsi="Times New Roman"/>
          <w:sz w:val="24"/>
          <w:szCs w:val="24"/>
        </w:rPr>
        <w:t>subjects</w:t>
      </w:r>
      <w:r>
        <w:rPr>
          <w:rFonts w:ascii="Times New Roman" w:hAnsi="Times New Roman"/>
          <w:sz w:val="24"/>
          <w:szCs w:val="24"/>
        </w:rPr>
        <w:t xml:space="preserve"> was presented as 12.44 ± 0.34 and 13.52 ± 0.21</w:t>
      </w:r>
      <w:r w:rsidR="00FA409E">
        <w:rPr>
          <w:rFonts w:ascii="Times New Roman" w:hAnsi="Times New Roman"/>
          <w:sz w:val="24"/>
          <w:szCs w:val="24"/>
        </w:rPr>
        <w:t>,</w:t>
      </w:r>
      <w:r>
        <w:rPr>
          <w:rFonts w:ascii="Times New Roman" w:hAnsi="Times New Roman"/>
          <w:sz w:val="24"/>
          <w:szCs w:val="24"/>
        </w:rPr>
        <w:t xml:space="preserve">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70EBCB86" w14:textId="77777777" w:rsidR="00712F22" w:rsidRDefault="00712F22" w:rsidP="00712F22">
      <w:pPr>
        <w:rPr>
          <w:rFonts w:ascii="Times New Roman" w:hAnsi="Times New Roman"/>
        </w:rPr>
      </w:pPr>
      <w:r>
        <w:rPr>
          <w:rFonts w:ascii="Times New Roman" w:hAnsi="Times New Roman"/>
          <w:noProof/>
        </w:rPr>
        <w:drawing>
          <wp:inline distT="0" distB="0" distL="0" distR="0" wp14:anchorId="5672242A" wp14:editId="73E23AAB">
            <wp:extent cx="5949315" cy="7653655"/>
            <wp:effectExtent l="0" t="0" r="0" b="0"/>
            <wp:docPr id="103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6"/>
                    <pic:cNvPicPr/>
                  </pic:nvPicPr>
                  <pic:blipFill>
                    <a:blip r:embed="rId18" cstate="print"/>
                    <a:srcRect/>
                    <a:stretch/>
                  </pic:blipFill>
                  <pic:spPr>
                    <a:xfrm>
                      <a:off x="0" y="0"/>
                      <a:ext cx="5949315" cy="7653655"/>
                    </a:xfrm>
                    <a:prstGeom prst="rect">
                      <a:avLst/>
                    </a:prstGeom>
                    <a:ln>
                      <a:noFill/>
                    </a:ln>
                  </pic:spPr>
                </pic:pic>
              </a:graphicData>
            </a:graphic>
          </wp:inline>
        </w:drawing>
      </w:r>
      <w:r>
        <w:rPr>
          <w:rFonts w:ascii="Times New Roman" w:hAnsi="Times New Roman"/>
        </w:rPr>
        <w:br w:type="page"/>
      </w:r>
    </w:p>
    <w:p w14:paraId="20EBCF8A" w14:textId="77777777" w:rsidR="00712F22" w:rsidRDefault="00712F22" w:rsidP="00712F22">
      <w:pPr>
        <w:spacing w:line="480" w:lineRule="auto"/>
        <w:jc w:val="both"/>
        <w:rPr>
          <w:rFonts w:ascii="Times New Roman" w:hAnsi="Times New Roman"/>
          <w:b/>
          <w:sz w:val="24"/>
          <w:szCs w:val="24"/>
        </w:rPr>
      </w:pPr>
      <w:r w:rsidRPr="009E5D42">
        <w:rPr>
          <w:rFonts w:ascii="Times New Roman" w:hAnsi="Times New Roman"/>
          <w:sz w:val="24"/>
          <w:szCs w:val="24"/>
        </w:rPr>
        <w:lastRenderedPageBreak/>
        <w:t>Comparison of respiratory minute volume</w:t>
      </w:r>
      <w:r>
        <w:rPr>
          <w:rFonts w:ascii="Times New Roman" w:hAnsi="Times New Roman"/>
          <w:b/>
          <w:sz w:val="24"/>
          <w:szCs w:val="24"/>
        </w:rPr>
        <w:t xml:space="preserve">: </w:t>
      </w:r>
      <w:r>
        <w:rPr>
          <w:rFonts w:ascii="Times New Roman" w:hAnsi="Times New Roman"/>
          <w:sz w:val="24"/>
          <w:szCs w:val="24"/>
        </w:rPr>
        <w:t>The result of the mean value of respiratory minute volume in the control and test subject was presented as 6.22 ± 0.17 and 6.76 ± 0.11 respectively. There was a</w:t>
      </w:r>
      <w:r>
        <w:rPr>
          <w:rFonts w:ascii="Times New Roman" w:hAnsi="Times New Roman"/>
        </w:rPr>
        <w:t xml:space="preserve"> </w:t>
      </w:r>
      <w:r>
        <w:rPr>
          <w:rFonts w:ascii="Times New Roman" w:hAnsi="Times New Roman"/>
          <w:sz w:val="24"/>
          <w:szCs w:val="24"/>
        </w:rPr>
        <w:t>significant difference in the test group (p&lt;0.001).</w:t>
      </w:r>
    </w:p>
    <w:p w14:paraId="11859E5A" w14:textId="77777777" w:rsidR="00712F22" w:rsidRPr="004E124F" w:rsidRDefault="00712F22" w:rsidP="004E124F">
      <w:pPr>
        <w:rPr>
          <w:rFonts w:ascii="Times New Roman" w:hAnsi="Times New Roman"/>
          <w:sz w:val="24"/>
          <w:szCs w:val="24"/>
        </w:rPr>
      </w:pPr>
      <w:r>
        <w:rPr>
          <w:rFonts w:ascii="Times New Roman" w:hAnsi="Times New Roman"/>
          <w:noProof/>
        </w:rPr>
        <w:lastRenderedPageBreak/>
        <w:drawing>
          <wp:inline distT="0" distB="0" distL="0" distR="0" wp14:anchorId="48F1A30A" wp14:editId="79088647">
            <wp:extent cx="5949315" cy="7653655"/>
            <wp:effectExtent l="0" t="0" r="0" b="0"/>
            <wp:docPr id="103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5"/>
                    <pic:cNvPicPr/>
                  </pic:nvPicPr>
                  <pic:blipFill>
                    <a:blip r:embed="rId19" cstate="print"/>
                    <a:srcRect/>
                    <a:stretch/>
                  </pic:blipFill>
                  <pic:spPr>
                    <a:xfrm>
                      <a:off x="0" y="0"/>
                      <a:ext cx="5949315" cy="7653655"/>
                    </a:xfrm>
                    <a:prstGeom prst="rect">
                      <a:avLst/>
                    </a:prstGeom>
                    <a:ln>
                      <a:noFill/>
                    </a:ln>
                  </pic:spPr>
                </pic:pic>
              </a:graphicData>
            </a:graphic>
          </wp:inline>
        </w:drawing>
      </w:r>
      <w:r w:rsidRPr="003F2C1F">
        <w:rPr>
          <w:rFonts w:ascii="Times New Roman" w:hAnsi="Times New Roman"/>
          <w:sz w:val="24"/>
          <w:szCs w:val="24"/>
        </w:rPr>
        <w:t>Correlation of duration of lung parameters</w:t>
      </w:r>
    </w:p>
    <w:p w14:paraId="4E18A588"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57145537" wp14:editId="42160FE6">
            <wp:extent cx="6189201" cy="7236177"/>
            <wp:effectExtent l="0" t="0" r="0" b="0"/>
            <wp:docPr id="103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4"/>
                    <pic:cNvPicPr/>
                  </pic:nvPicPr>
                  <pic:blipFill>
                    <a:blip r:embed="rId20" cstate="print"/>
                    <a:srcRect/>
                    <a:stretch/>
                  </pic:blipFill>
                  <pic:spPr>
                    <a:xfrm>
                      <a:off x="0" y="0"/>
                      <a:ext cx="6189201" cy="7236177"/>
                    </a:xfrm>
                    <a:prstGeom prst="rect">
                      <a:avLst/>
                    </a:prstGeom>
                    <a:ln>
                      <a:noFill/>
                    </a:ln>
                  </pic:spPr>
                </pic:pic>
              </a:graphicData>
            </a:graphic>
          </wp:inline>
        </w:drawing>
      </w:r>
    </w:p>
    <w:p w14:paraId="22932D26"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636CBA20" wp14:editId="5D2D5A14">
            <wp:extent cx="5734685" cy="8229600"/>
            <wp:effectExtent l="0" t="0" r="0" b="0"/>
            <wp:docPr id="10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3"/>
                    <pic:cNvPicPr/>
                  </pic:nvPicPr>
                  <pic:blipFill>
                    <a:blip r:embed="rId21" cstate="print"/>
                    <a:srcRect/>
                    <a:stretch/>
                  </pic:blipFill>
                  <pic:spPr>
                    <a:xfrm>
                      <a:off x="0" y="0"/>
                      <a:ext cx="5734685" cy="8229600"/>
                    </a:xfrm>
                    <a:prstGeom prst="rect">
                      <a:avLst/>
                    </a:prstGeom>
                    <a:ln>
                      <a:noFill/>
                    </a:ln>
                  </pic:spPr>
                </pic:pic>
              </a:graphicData>
            </a:graphic>
          </wp:inline>
        </w:drawing>
      </w:r>
      <w:r>
        <w:rPr>
          <w:rFonts w:ascii="Times New Roman" w:hAnsi="Times New Roman"/>
        </w:rPr>
        <w:br w:type="page"/>
      </w:r>
    </w:p>
    <w:p w14:paraId="0337BD03" w14:textId="77777777" w:rsidR="00712F22" w:rsidRDefault="00712F22" w:rsidP="00712F22">
      <w:pPr>
        <w:rPr>
          <w:rFonts w:ascii="Times New Roman" w:hAnsi="Times New Roman"/>
        </w:rPr>
      </w:pPr>
      <w:r>
        <w:rPr>
          <w:rFonts w:ascii="Times New Roman" w:hAnsi="Times New Roman"/>
          <w:noProof/>
        </w:rPr>
        <w:lastRenderedPageBreak/>
        <w:drawing>
          <wp:inline distT="0" distB="0" distL="0" distR="0" wp14:anchorId="2FE5A628" wp14:editId="18240DCC">
            <wp:extent cx="5734685" cy="8229600"/>
            <wp:effectExtent l="0" t="0" r="0" b="0"/>
            <wp:docPr id="104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
                    <pic:cNvPicPr/>
                  </pic:nvPicPr>
                  <pic:blipFill>
                    <a:blip r:embed="rId22" cstate="print"/>
                    <a:srcRect/>
                    <a:stretch/>
                  </pic:blipFill>
                  <pic:spPr>
                    <a:xfrm>
                      <a:off x="0" y="0"/>
                      <a:ext cx="5734685" cy="8229600"/>
                    </a:xfrm>
                    <a:prstGeom prst="rect">
                      <a:avLst/>
                    </a:prstGeom>
                    <a:ln>
                      <a:noFill/>
                    </a:ln>
                  </pic:spPr>
                </pic:pic>
              </a:graphicData>
            </a:graphic>
          </wp:inline>
        </w:drawing>
      </w:r>
    </w:p>
    <w:p w14:paraId="0C5AC408" w14:textId="77777777" w:rsidR="00712F22" w:rsidRPr="003F2C1F" w:rsidRDefault="00712F22" w:rsidP="003F2C1F">
      <w:pPr>
        <w:rPr>
          <w:rFonts w:ascii="Times New Roman" w:hAnsi="Times New Roman"/>
        </w:rPr>
      </w:pPr>
      <w:r>
        <w:rPr>
          <w:rFonts w:ascii="Times New Roman" w:hAnsi="Times New Roman"/>
          <w:noProof/>
        </w:rPr>
        <w:lastRenderedPageBreak/>
        <w:drawing>
          <wp:inline distT="0" distB="0" distL="0" distR="0" wp14:anchorId="3A32069A" wp14:editId="2C342454">
            <wp:extent cx="5734685" cy="8229600"/>
            <wp:effectExtent l="0" t="0" r="0" b="0"/>
            <wp:docPr id="1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
                    <pic:cNvPicPr/>
                  </pic:nvPicPr>
                  <pic:blipFill>
                    <a:blip r:embed="rId23" cstate="print"/>
                    <a:srcRect/>
                    <a:stretch/>
                  </pic:blipFill>
                  <pic:spPr>
                    <a:xfrm>
                      <a:off x="0" y="0"/>
                      <a:ext cx="5734685" cy="8229600"/>
                    </a:xfrm>
                    <a:prstGeom prst="rect">
                      <a:avLst/>
                    </a:prstGeom>
                    <a:ln>
                      <a:noFill/>
                    </a:ln>
                  </pic:spPr>
                </pic:pic>
              </a:graphicData>
            </a:graphic>
          </wp:inline>
        </w:drawing>
      </w:r>
      <w:bookmarkEnd w:id="0"/>
    </w:p>
    <w:p w14:paraId="111F1345" w14:textId="77777777" w:rsidR="00712F22" w:rsidRDefault="00712F22" w:rsidP="00712F22">
      <w:pPr>
        <w:spacing w:before="100" w:beforeAutospacing="1" w:after="100" w:afterAutospacing="1" w:line="480" w:lineRule="auto"/>
        <w:jc w:val="both"/>
        <w:rPr>
          <w:rFonts w:ascii="Arial" w:hAnsi="Arial" w:cs="Arial"/>
          <w:b/>
          <w:caps/>
          <w:sz w:val="22"/>
        </w:rPr>
      </w:pPr>
      <w:r>
        <w:rPr>
          <w:rFonts w:ascii="Arial" w:hAnsi="Arial" w:cs="Arial"/>
          <w:b/>
          <w:caps/>
          <w:sz w:val="22"/>
        </w:rPr>
        <w:t xml:space="preserve">DISCUSSION </w:t>
      </w:r>
    </w:p>
    <w:p w14:paraId="7032F68D" w14:textId="77777777" w:rsidR="005075F3" w:rsidRDefault="005075F3" w:rsidP="00712F22">
      <w:pPr>
        <w:spacing w:before="100" w:beforeAutospacing="1" w:after="100" w:afterAutospacing="1" w:line="480" w:lineRule="auto"/>
        <w:jc w:val="both"/>
      </w:pPr>
      <w:r>
        <w:lastRenderedPageBreak/>
        <w:t>The results of this study demonstrate that long-term exposure to calcium sulfate dihydrate (</w:t>
      </w:r>
      <w:proofErr w:type="spellStart"/>
      <w:r>
        <w:t>CaSO</w:t>
      </w:r>
      <w:proofErr w:type="spellEnd"/>
      <w:r>
        <w:rPr>
          <w:rFonts w:ascii="Cambria Math" w:hAnsi="Cambria Math" w:cs="Cambria Math"/>
        </w:rPr>
        <w:t>₄</w:t>
      </w:r>
      <w:r>
        <w:rPr>
          <w:rFonts w:cs="Helvetica"/>
        </w:rPr>
        <w:t>·</w:t>
      </w:r>
      <w:r>
        <w:t>2H</w:t>
      </w:r>
      <w:r>
        <w:rPr>
          <w:rFonts w:ascii="Cambria Math" w:hAnsi="Cambria Math" w:cs="Cambria Math"/>
        </w:rPr>
        <w:t>₂</w:t>
      </w:r>
      <w:r>
        <w:t>O) dust significantly impacts respiratory function and induces systemic inflammation in exposed individuals. Despite the absence of significant differences in demographic variables such as age, weight, height, and body mass index, clear physiological alterations were observed in the test group compared to the control group. Lung function indices revealed a significant reduction in forced expiratory volume in one second (FEV</w:t>
      </w:r>
      <w:r>
        <w:rPr>
          <w:rFonts w:ascii="Cambria Math" w:hAnsi="Cambria Math" w:cs="Cambria Math"/>
        </w:rPr>
        <w:t>₁</w:t>
      </w:r>
      <w:r>
        <w:t>), FEV</w:t>
      </w:r>
      <w:r>
        <w:rPr>
          <w:rFonts w:ascii="Cambria Math" w:hAnsi="Cambria Math" w:cs="Cambria Math"/>
        </w:rPr>
        <w:t>₁</w:t>
      </w:r>
      <w:r>
        <w:t xml:space="preserve">%, and peak expiratory flow rate (PEFR), alongside an increased forced vital capacity (FVC) in the exposed group. This pattern may suggest early signs of obstructive and restrictive pulmonary changes, which have also been reported in similar occupational settings involving inhalation of mineral and dust particles (Ahmed </w:t>
      </w:r>
      <w:r>
        <w:rPr>
          <w:i/>
        </w:rPr>
        <w:t>et al.,</w:t>
      </w:r>
      <w:r>
        <w:t xml:space="preserve"> 2022). A reduced FEV</w:t>
      </w:r>
      <w:r>
        <w:rPr>
          <w:rFonts w:ascii="Cambria Math" w:hAnsi="Cambria Math" w:cs="Cambria Math"/>
        </w:rPr>
        <w:t>₁</w:t>
      </w:r>
      <w:r>
        <w:t xml:space="preserve"> and FEV</w:t>
      </w:r>
      <w:r>
        <w:rPr>
          <w:rFonts w:ascii="Cambria Math" w:hAnsi="Cambria Math" w:cs="Cambria Math"/>
        </w:rPr>
        <w:t>₁</w:t>
      </w:r>
      <w:r>
        <w:t xml:space="preserve">% indicate airflow limitation, which could be due to chronic inflammation or airway remodeling caused by prolonged dust inhalation (Ezenwa </w:t>
      </w:r>
      <w:r>
        <w:rPr>
          <w:i/>
        </w:rPr>
        <w:t>et al.,</w:t>
      </w:r>
      <w:r>
        <w:t xml:space="preserve"> 2023). The elevation in FVC, although paradoxical, may reflect a compensatory mechanism or could be influenced by hyperinflation, which often accompanies obstructive airway diseases (Ibrahim </w:t>
      </w:r>
      <w:r>
        <w:rPr>
          <w:i/>
        </w:rPr>
        <w:t>et al.,</w:t>
      </w:r>
      <w:r>
        <w:t xml:space="preserve"> 2021).</w:t>
      </w:r>
    </w:p>
    <w:p w14:paraId="6E296E87" w14:textId="77777777" w:rsidR="005075F3" w:rsidRDefault="005075F3" w:rsidP="005075F3">
      <w:pPr>
        <w:pStyle w:val="NormalWeb"/>
        <w:spacing w:line="480" w:lineRule="auto"/>
        <w:jc w:val="both"/>
      </w:pPr>
      <w:r>
        <w:t xml:space="preserve">Furthermore, the study reported elevated levels of inflammatory biomarkers, specifically C-reactive protein (CRP), interleukin-6 (IL-6), and tumor necrosis factor-alpha (TNF-α), in the test group. These biomarkers are known indicators of systemic inflammation and are often elevated in individuals with chronic exposure to respiratory irritants (Okoro </w:t>
      </w:r>
      <w:r>
        <w:rPr>
          <w:i/>
        </w:rPr>
        <w:t>et al.,</w:t>
      </w:r>
      <w:r>
        <w:t xml:space="preserve"> 2020). The significant rise in CRP and IL-6 levels supports the hypothesis that inhalation of calcium sulfate dihydrate dust triggers systemic inflammatory responses, which can potentiate respiratory symptoms and long-term pulmonary complications. This aligns with findings from recent studies that link particulate exposure in occupational environments to heightened inflammatory responses (Zhou </w:t>
      </w:r>
      <w:r>
        <w:rPr>
          <w:i/>
        </w:rPr>
        <w:t>et al.,</w:t>
      </w:r>
      <w:r>
        <w:t xml:space="preserve"> 2021; Musa </w:t>
      </w:r>
      <w:r>
        <w:rPr>
          <w:i/>
        </w:rPr>
        <w:t>et al.,</w:t>
      </w:r>
      <w:r>
        <w:t xml:space="preserve"> 2023).</w:t>
      </w:r>
    </w:p>
    <w:p w14:paraId="46821778" w14:textId="77777777" w:rsidR="005075F3" w:rsidRPr="001D02BC" w:rsidRDefault="005075F3" w:rsidP="001D02BC">
      <w:pPr>
        <w:pStyle w:val="NormalWeb"/>
        <w:spacing w:line="480" w:lineRule="auto"/>
        <w:jc w:val="both"/>
      </w:pPr>
      <w:r>
        <w:t xml:space="preserve">Additionally, there was a significant increase in respiratory rate and minute ventilation in the exposed group. This could be due to compromised gas exchange efficiency and an increased respiratory drive as a compensatory response to impaired lung function. Increased respiratory minute volume may also indicate a sustained physiological response to chronic exposure, as suggested by Oyebamiji et al. (2022), who found similar trends in workers exposed to construction and industrial dust. These findings highlight the occupational health risks associated with prolonged exposure to construction-related dusts such as calcium sulfate dihydrate. The observed physiological and biochemical alterations </w:t>
      </w:r>
      <w:r w:rsidR="005A2BA4">
        <w:t>show</w:t>
      </w:r>
      <w:r>
        <w:t xml:space="preserve"> the need for improved protective measures and regular health </w:t>
      </w:r>
      <w:r>
        <w:lastRenderedPageBreak/>
        <w:t xml:space="preserve">surveillance among workers in dust-prone environments. The consistency of these results with other contemporary studies further strengthens the evidence that mineral dust exposure is a significant contributor to pulmonary dysfunction and systemic inflammation (Nwachukwu </w:t>
      </w:r>
      <w:r>
        <w:rPr>
          <w:i/>
        </w:rPr>
        <w:t>et al.,</w:t>
      </w:r>
      <w:r>
        <w:t xml:space="preserve"> 2024; Chen </w:t>
      </w:r>
      <w:r>
        <w:rPr>
          <w:i/>
        </w:rPr>
        <w:t>et al.,</w:t>
      </w:r>
      <w:r>
        <w:t xml:space="preserve"> 2020).</w:t>
      </w:r>
    </w:p>
    <w:p w14:paraId="07CB3C20" w14:textId="77777777" w:rsidR="00790ADA" w:rsidRPr="00FB3A86" w:rsidRDefault="00B01FCD" w:rsidP="00441B6F">
      <w:pPr>
        <w:pStyle w:val="ConcHead"/>
        <w:spacing w:after="0"/>
        <w:jc w:val="both"/>
        <w:rPr>
          <w:rFonts w:ascii="Arial" w:hAnsi="Arial" w:cs="Arial"/>
        </w:rPr>
      </w:pPr>
      <w:r w:rsidRPr="00FB3A86">
        <w:rPr>
          <w:rFonts w:ascii="Arial" w:hAnsi="Arial" w:cs="Arial"/>
        </w:rPr>
        <w:t>Conclusion</w:t>
      </w:r>
    </w:p>
    <w:p w14:paraId="1ACE4FD3" w14:textId="77777777" w:rsidR="00790ADA" w:rsidRPr="00FB3A86" w:rsidRDefault="00BC26A5" w:rsidP="00441B6F">
      <w:pPr>
        <w:pStyle w:val="Body"/>
        <w:spacing w:after="0"/>
        <w:rPr>
          <w:rFonts w:ascii="Arial" w:hAnsi="Arial" w:cs="Arial"/>
        </w:rPr>
      </w:pPr>
      <w:r>
        <w:t>This study has demonstrated that long-term occupational exposure to calcium sulfate dihydrate (</w:t>
      </w:r>
      <w:proofErr w:type="spellStart"/>
      <w:r>
        <w:t>CaSO</w:t>
      </w:r>
      <w:proofErr w:type="spellEnd"/>
      <w:r>
        <w:t>₄·2H₂O) dust is associated with significant impairments in pulmonary function and elevated levels of systemic inflammatory biomarkers. While demographic variables such as age, weight, height, and body mass index showed no significant differences between the exposed and control groups, critical respiratory indices including FEV₁, FEV₁%, and PEFR were markedly reduced in the exposed group. Additionally, increased levels of C-reactive protein (CRP) and interleukin-6 (IL-6) confirmed the presence of underlying inflammatory responses, which may contribute to the progression of respiratory conditions over time. These result underscore the detrimental health effects of prolonged dust inhalation and the importance of implementing protective interventions in occupational settings where dust exposure is prevalent.</w:t>
      </w:r>
    </w:p>
    <w:p w14:paraId="470F7AF5" w14:textId="77777777" w:rsidR="004E3F74" w:rsidRDefault="004E3F74" w:rsidP="00441B6F">
      <w:pPr>
        <w:pStyle w:val="ReferHead"/>
        <w:spacing w:after="0"/>
        <w:jc w:val="both"/>
        <w:rPr>
          <w:rFonts w:ascii="Arial" w:hAnsi="Arial" w:cs="Arial"/>
          <w:bCs/>
        </w:rPr>
      </w:pPr>
    </w:p>
    <w:p w14:paraId="20A51D86" w14:textId="1F7ADA25"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796A50ED" w14:textId="77777777" w:rsidR="00860000" w:rsidRDefault="001A29D8" w:rsidP="00441B6F">
      <w:pPr>
        <w:pStyle w:val="ReferHead"/>
        <w:spacing w:after="0"/>
        <w:jc w:val="both"/>
        <w:rPr>
          <w:rFonts w:ascii="Arial" w:hAnsi="Arial" w:cs="Arial"/>
          <w:b w:val="0"/>
          <w:caps w:val="0"/>
          <w:sz w:val="20"/>
        </w:rPr>
      </w:pPr>
      <w:r w:rsidRPr="00F469F0">
        <w:rPr>
          <w:rFonts w:ascii="Arial" w:hAnsi="Arial" w:cs="Arial"/>
          <w:b w:val="0"/>
          <w:caps w:val="0"/>
          <w:sz w:val="20"/>
          <w:u w:val="single"/>
        </w:rPr>
        <w:t>“</w:t>
      </w:r>
      <w:r w:rsidRPr="00C508A8">
        <w:rPr>
          <w:rFonts w:ascii="Arial" w:hAnsi="Arial" w:cs="Arial"/>
          <w:b w:val="0"/>
          <w:caps w:val="0"/>
          <w:sz w:val="20"/>
        </w:rPr>
        <w:t>All authors hereby declare that a</w:t>
      </w:r>
      <w:r w:rsidR="0041027F" w:rsidRPr="00C508A8">
        <w:rPr>
          <w:rFonts w:ascii="Arial" w:hAnsi="Arial" w:cs="Arial"/>
          <w:b w:val="0"/>
          <w:caps w:val="0"/>
          <w:sz w:val="20"/>
        </w:rPr>
        <w:t xml:space="preserve">ll </w:t>
      </w:r>
      <w:r w:rsidR="00F469F0" w:rsidRPr="00C508A8">
        <w:rPr>
          <w:rFonts w:ascii="Arial" w:hAnsi="Arial" w:cs="Arial"/>
          <w:b w:val="0"/>
          <w:caps w:val="0"/>
          <w:sz w:val="20"/>
        </w:rPr>
        <w:t>experiments</w:t>
      </w:r>
      <w:r w:rsidR="0041027F" w:rsidRPr="00C508A8">
        <w:rPr>
          <w:rFonts w:ascii="Arial" w:hAnsi="Arial" w:cs="Arial"/>
          <w:b w:val="0"/>
          <w:caps w:val="0"/>
          <w:sz w:val="20"/>
        </w:rPr>
        <w:t xml:space="preserve"> have been examined</w:t>
      </w:r>
      <w:r w:rsidRPr="00C508A8">
        <w:rPr>
          <w:rFonts w:ascii="Arial" w:hAnsi="Arial" w:cs="Arial"/>
          <w:b w:val="0"/>
          <w:caps w:val="0"/>
          <w:sz w:val="20"/>
        </w:rPr>
        <w:t xml:space="preserve"> and approved</w:t>
      </w:r>
      <w:r w:rsidR="0041027F" w:rsidRPr="00C508A8">
        <w:rPr>
          <w:rFonts w:ascii="Arial" w:hAnsi="Arial" w:cs="Arial"/>
          <w:b w:val="0"/>
          <w:caps w:val="0"/>
          <w:sz w:val="20"/>
        </w:rPr>
        <w:t xml:space="preserve"> by the appropriate ethics committee and have therefore been performed in accordance with the ethical standards laid down in the 1964 Declaration of Helsinki.</w:t>
      </w:r>
      <w:r w:rsidRPr="00C508A8">
        <w:rPr>
          <w:rFonts w:ascii="Arial" w:hAnsi="Arial" w:cs="Arial"/>
          <w:b w:val="0"/>
          <w:caps w:val="0"/>
          <w:sz w:val="20"/>
        </w:rPr>
        <w:t>”</w:t>
      </w:r>
    </w:p>
    <w:p w14:paraId="437BBED1" w14:textId="77777777" w:rsidR="007C33DC" w:rsidRPr="000839CE" w:rsidRDefault="007C33DC" w:rsidP="007C33DC">
      <w:pPr>
        <w:rPr>
          <w:rFonts w:ascii="Times New Roman" w:hAnsi="Times New Roman"/>
          <w:b/>
        </w:rPr>
      </w:pPr>
      <w:r w:rsidRPr="000839CE">
        <w:rPr>
          <w:rFonts w:ascii="Times New Roman" w:hAnsi="Times New Roman"/>
          <w:b/>
        </w:rPr>
        <w:t>Declaration of AI Use</w:t>
      </w:r>
    </w:p>
    <w:p w14:paraId="7D543091" w14:textId="77777777" w:rsidR="007C33DC" w:rsidRPr="000839CE" w:rsidRDefault="007C33DC" w:rsidP="007C33DC">
      <w:pPr>
        <w:rPr>
          <w:rFonts w:ascii="Times New Roman" w:hAnsi="Times New Roman"/>
        </w:rPr>
      </w:pPr>
    </w:p>
    <w:p w14:paraId="21D816F3" w14:textId="77777777" w:rsidR="007C33DC" w:rsidRDefault="007C33DC" w:rsidP="007C33DC">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FE3368" w14:textId="77777777" w:rsidR="007C33DC" w:rsidRDefault="007C33DC" w:rsidP="007C33DC">
      <w:pPr>
        <w:pStyle w:val="DefAcrHead"/>
        <w:spacing w:after="0"/>
        <w:jc w:val="both"/>
        <w:rPr>
          <w:rFonts w:ascii="Arial" w:hAnsi="Arial" w:cs="Arial"/>
        </w:rPr>
      </w:pPr>
      <w:r w:rsidRPr="00FB3A86">
        <w:rPr>
          <w:rFonts w:ascii="Arial" w:hAnsi="Arial" w:cs="Arial"/>
        </w:rPr>
        <w:t>Definitions, Acronyms, Abbreviations</w:t>
      </w:r>
    </w:p>
    <w:p w14:paraId="430703CF" w14:textId="77777777" w:rsidR="007C33DC" w:rsidRPr="00FE3C0E" w:rsidRDefault="007C33DC" w:rsidP="007C33DC">
      <w:pPr>
        <w:pStyle w:val="Body"/>
        <w:rPr>
          <w:rFonts w:ascii="Arial" w:hAnsi="Arial" w:cs="Arial"/>
        </w:rPr>
      </w:pPr>
      <w:proofErr w:type="spellStart"/>
      <w:r w:rsidRPr="00FE3C0E">
        <w:rPr>
          <w:rFonts w:ascii="Arial" w:hAnsi="Arial" w:cs="Arial"/>
        </w:rPr>
        <w:t>CaSO</w:t>
      </w:r>
      <w:proofErr w:type="spellEnd"/>
      <w:r w:rsidRPr="00FE3C0E">
        <w:rPr>
          <w:rFonts w:ascii="Cambria Math" w:hAnsi="Cambria Math" w:cs="Cambria Math"/>
        </w:rPr>
        <w:t>₄</w:t>
      </w:r>
      <w:r w:rsidRPr="00FE3C0E">
        <w:rPr>
          <w:rFonts w:ascii="Arial" w:hAnsi="Arial" w:cs="Arial"/>
        </w:rPr>
        <w:t>·2H</w:t>
      </w:r>
      <w:r w:rsidRPr="00FE3C0E">
        <w:rPr>
          <w:rFonts w:ascii="Cambria Math" w:hAnsi="Cambria Math" w:cs="Cambria Math"/>
        </w:rPr>
        <w:t>₂</w:t>
      </w:r>
      <w:r w:rsidRPr="00FE3C0E">
        <w:rPr>
          <w:rFonts w:ascii="Arial" w:hAnsi="Arial" w:cs="Arial"/>
        </w:rPr>
        <w:t>O — Calcium sulfate dihydrate</w:t>
      </w:r>
    </w:p>
    <w:p w14:paraId="7F29ECAB" w14:textId="77777777" w:rsidR="007C33DC" w:rsidRPr="00FE3C0E" w:rsidRDefault="007C33DC" w:rsidP="007C33DC">
      <w:pPr>
        <w:pStyle w:val="Body"/>
        <w:rPr>
          <w:rFonts w:ascii="Arial" w:hAnsi="Arial" w:cs="Arial"/>
        </w:rPr>
      </w:pPr>
      <w:proofErr w:type="spellStart"/>
      <w:r w:rsidRPr="00FE3C0E">
        <w:rPr>
          <w:rFonts w:ascii="Arial" w:hAnsi="Arial" w:cs="Arial"/>
        </w:rPr>
        <w:t>CaSO</w:t>
      </w:r>
      <w:proofErr w:type="spellEnd"/>
      <w:r w:rsidRPr="00FE3C0E">
        <w:rPr>
          <w:rFonts w:ascii="Cambria Math" w:hAnsi="Cambria Math" w:cs="Cambria Math"/>
        </w:rPr>
        <w:t>₄</w:t>
      </w:r>
      <w:r w:rsidRPr="00FE3C0E">
        <w:rPr>
          <w:rFonts w:ascii="Arial" w:hAnsi="Arial" w:cs="Arial"/>
        </w:rPr>
        <w:t>·½H</w:t>
      </w:r>
      <w:r w:rsidRPr="00FE3C0E">
        <w:rPr>
          <w:rFonts w:ascii="Cambria Math" w:hAnsi="Cambria Math" w:cs="Cambria Math"/>
        </w:rPr>
        <w:t>₂</w:t>
      </w:r>
      <w:r w:rsidRPr="00FE3C0E">
        <w:rPr>
          <w:rFonts w:ascii="Arial" w:hAnsi="Arial" w:cs="Arial"/>
        </w:rPr>
        <w:t>O — Calcium sulfate hemihydrate</w:t>
      </w:r>
    </w:p>
    <w:p w14:paraId="06695F79" w14:textId="77777777" w:rsidR="007C33DC" w:rsidRPr="00FE3C0E" w:rsidRDefault="007C33DC" w:rsidP="007C33DC">
      <w:pPr>
        <w:pStyle w:val="Body"/>
        <w:rPr>
          <w:rFonts w:ascii="Arial" w:hAnsi="Arial" w:cs="Arial"/>
        </w:rPr>
      </w:pPr>
      <w:proofErr w:type="spellStart"/>
      <w:r w:rsidRPr="00FE3C0E">
        <w:rPr>
          <w:rFonts w:ascii="Arial" w:hAnsi="Arial" w:cs="Arial"/>
        </w:rPr>
        <w:t>CaSO</w:t>
      </w:r>
      <w:proofErr w:type="spellEnd"/>
      <w:r w:rsidRPr="00FE3C0E">
        <w:rPr>
          <w:rFonts w:ascii="Cambria Math" w:hAnsi="Cambria Math" w:cs="Cambria Math"/>
        </w:rPr>
        <w:t>₄</w:t>
      </w:r>
      <w:r w:rsidRPr="00FE3C0E">
        <w:rPr>
          <w:rFonts w:ascii="Arial" w:hAnsi="Arial" w:cs="Arial"/>
        </w:rPr>
        <w:t xml:space="preserve"> — Calcium sulfate</w:t>
      </w:r>
    </w:p>
    <w:p w14:paraId="13806878" w14:textId="77777777" w:rsidR="007C33DC" w:rsidRPr="00FE3C0E" w:rsidRDefault="007C33DC" w:rsidP="007C33DC">
      <w:pPr>
        <w:pStyle w:val="Body"/>
        <w:rPr>
          <w:rFonts w:ascii="Arial" w:hAnsi="Arial" w:cs="Arial"/>
        </w:rPr>
      </w:pPr>
      <w:r w:rsidRPr="00FE3C0E">
        <w:rPr>
          <w:rFonts w:ascii="Arial" w:hAnsi="Arial" w:cs="Arial"/>
        </w:rPr>
        <w:t>CRP — C-reactive protein</w:t>
      </w:r>
    </w:p>
    <w:p w14:paraId="40349052" w14:textId="77777777" w:rsidR="007C33DC" w:rsidRPr="00FE3C0E" w:rsidRDefault="007C33DC" w:rsidP="007C33DC">
      <w:pPr>
        <w:pStyle w:val="Body"/>
        <w:rPr>
          <w:rFonts w:ascii="Arial" w:hAnsi="Arial" w:cs="Arial"/>
        </w:rPr>
      </w:pPr>
      <w:r w:rsidRPr="00FE3C0E">
        <w:rPr>
          <w:rFonts w:ascii="Arial" w:hAnsi="Arial" w:cs="Arial"/>
        </w:rPr>
        <w:t>COPD — Chronic obstructive pulmonary disease</w:t>
      </w:r>
    </w:p>
    <w:p w14:paraId="3B9173A1" w14:textId="77777777" w:rsidR="007C33DC" w:rsidRPr="00FE3C0E" w:rsidRDefault="007C33DC" w:rsidP="007C33DC">
      <w:pPr>
        <w:pStyle w:val="Body"/>
        <w:rPr>
          <w:rFonts w:ascii="Arial" w:hAnsi="Arial" w:cs="Arial"/>
        </w:rPr>
      </w:pPr>
      <w:r w:rsidRPr="00FE3C0E">
        <w:rPr>
          <w:rFonts w:ascii="Arial" w:hAnsi="Arial" w:cs="Arial"/>
        </w:rPr>
        <w:t>ELISA — Enzyme-linked immunosorbent assay</w:t>
      </w:r>
    </w:p>
    <w:p w14:paraId="560DB929" w14:textId="77777777" w:rsidR="007C33DC" w:rsidRPr="00FE3C0E" w:rsidRDefault="007C33DC" w:rsidP="007C33DC">
      <w:pPr>
        <w:pStyle w:val="Body"/>
        <w:rPr>
          <w:rFonts w:ascii="Arial" w:hAnsi="Arial" w:cs="Arial"/>
        </w:rPr>
      </w:pPr>
      <w:r w:rsidRPr="00FE3C0E">
        <w:rPr>
          <w:rFonts w:ascii="Arial" w:hAnsi="Arial" w:cs="Arial"/>
        </w:rPr>
        <w:t>EDTA — Ethylenediaminetetraacetic acid</w:t>
      </w:r>
    </w:p>
    <w:p w14:paraId="67853348" w14:textId="77777777" w:rsidR="007C33DC" w:rsidRPr="00FE3C0E" w:rsidRDefault="007C33DC" w:rsidP="007C33DC">
      <w:pPr>
        <w:pStyle w:val="Body"/>
        <w:rPr>
          <w:rFonts w:ascii="Arial" w:hAnsi="Arial" w:cs="Arial"/>
        </w:rPr>
      </w:pPr>
      <w:r w:rsidRPr="00FE3C0E">
        <w:rPr>
          <w:rFonts w:ascii="Arial" w:hAnsi="Arial" w:cs="Arial"/>
        </w:rPr>
        <w:t>EU — European Union</w:t>
      </w:r>
    </w:p>
    <w:p w14:paraId="7C0D45BE" w14:textId="77777777" w:rsidR="007C33DC" w:rsidRPr="00FE3C0E" w:rsidRDefault="007C33DC" w:rsidP="007C33DC">
      <w:pPr>
        <w:pStyle w:val="Body"/>
        <w:rPr>
          <w:rFonts w:ascii="Arial" w:hAnsi="Arial" w:cs="Arial"/>
        </w:rPr>
      </w:pPr>
      <w:r w:rsidRPr="00FE3C0E">
        <w:rPr>
          <w:rFonts w:ascii="Arial" w:hAnsi="Arial" w:cs="Arial"/>
        </w:rPr>
        <w:t>FDA — U.S. Food and Drug Administration</w:t>
      </w:r>
    </w:p>
    <w:p w14:paraId="24397C24" w14:textId="77777777" w:rsidR="007C33DC" w:rsidRPr="00FE3C0E" w:rsidRDefault="007C33DC" w:rsidP="007C33DC">
      <w:pPr>
        <w:pStyle w:val="Body"/>
        <w:rPr>
          <w:rFonts w:ascii="Arial" w:hAnsi="Arial" w:cs="Arial"/>
        </w:rPr>
      </w:pPr>
      <w:r w:rsidRPr="00FE3C0E">
        <w:rPr>
          <w:rFonts w:ascii="Arial" w:hAnsi="Arial" w:cs="Arial"/>
        </w:rPr>
        <w:t>FEV</w:t>
      </w:r>
      <w:r w:rsidRPr="00FE3C0E">
        <w:rPr>
          <w:rFonts w:ascii="Cambria Math" w:hAnsi="Cambria Math" w:cs="Cambria Math"/>
        </w:rPr>
        <w:t>₁</w:t>
      </w:r>
      <w:r w:rsidRPr="00FE3C0E">
        <w:rPr>
          <w:rFonts w:ascii="Arial" w:hAnsi="Arial" w:cs="Arial"/>
        </w:rPr>
        <w:t xml:space="preserve"> — Forced expiratory volume in one second</w:t>
      </w:r>
    </w:p>
    <w:p w14:paraId="4C5C3D21" w14:textId="77777777" w:rsidR="007C33DC" w:rsidRPr="00FE3C0E" w:rsidRDefault="007C33DC" w:rsidP="007C33DC">
      <w:pPr>
        <w:pStyle w:val="Body"/>
        <w:rPr>
          <w:rFonts w:ascii="Arial" w:hAnsi="Arial" w:cs="Arial"/>
        </w:rPr>
      </w:pPr>
      <w:r w:rsidRPr="00FE3C0E">
        <w:rPr>
          <w:rFonts w:ascii="Arial" w:hAnsi="Arial" w:cs="Arial"/>
        </w:rPr>
        <w:t>FEV</w:t>
      </w:r>
      <w:r w:rsidRPr="00FE3C0E">
        <w:rPr>
          <w:rFonts w:ascii="Cambria Math" w:hAnsi="Cambria Math" w:cs="Cambria Math"/>
        </w:rPr>
        <w:t>₁</w:t>
      </w:r>
      <w:r w:rsidRPr="00FE3C0E">
        <w:rPr>
          <w:rFonts w:ascii="Arial" w:hAnsi="Arial" w:cs="Arial"/>
        </w:rPr>
        <w:t>% — Forced expiratory volume in one second percentage</w:t>
      </w:r>
    </w:p>
    <w:p w14:paraId="09A202D8" w14:textId="77777777" w:rsidR="007C33DC" w:rsidRPr="00FE3C0E" w:rsidRDefault="007C33DC" w:rsidP="007C33DC">
      <w:pPr>
        <w:pStyle w:val="Body"/>
        <w:rPr>
          <w:rFonts w:ascii="Arial" w:hAnsi="Arial" w:cs="Arial"/>
        </w:rPr>
      </w:pPr>
      <w:r w:rsidRPr="00FE3C0E">
        <w:rPr>
          <w:rFonts w:ascii="Arial" w:hAnsi="Arial" w:cs="Arial"/>
        </w:rPr>
        <w:t>FVC — Forced vital capacity</w:t>
      </w:r>
    </w:p>
    <w:p w14:paraId="2753C281" w14:textId="77777777" w:rsidR="007C33DC" w:rsidRPr="00FE3C0E" w:rsidRDefault="007C33DC" w:rsidP="007C33DC">
      <w:pPr>
        <w:pStyle w:val="Body"/>
        <w:rPr>
          <w:rFonts w:ascii="Arial" w:hAnsi="Arial" w:cs="Arial"/>
        </w:rPr>
      </w:pPr>
      <w:r w:rsidRPr="00FE3C0E">
        <w:rPr>
          <w:rFonts w:ascii="Arial" w:hAnsi="Arial" w:cs="Arial"/>
        </w:rPr>
        <w:t>HAEC — Health Research Ethics Committee</w:t>
      </w:r>
    </w:p>
    <w:p w14:paraId="5359A4E1" w14:textId="77777777" w:rsidR="007C33DC" w:rsidRPr="00FE3C0E" w:rsidRDefault="007C33DC" w:rsidP="007C33DC">
      <w:pPr>
        <w:pStyle w:val="Body"/>
        <w:rPr>
          <w:rFonts w:ascii="Arial" w:hAnsi="Arial" w:cs="Arial"/>
        </w:rPr>
      </w:pPr>
      <w:r w:rsidRPr="00FE3C0E">
        <w:rPr>
          <w:rFonts w:ascii="Arial" w:hAnsi="Arial" w:cs="Arial"/>
        </w:rPr>
        <w:t>IL-6 — Interleukin-6</w:t>
      </w:r>
    </w:p>
    <w:p w14:paraId="311739A9" w14:textId="77777777" w:rsidR="007C33DC" w:rsidRPr="00FE3C0E" w:rsidRDefault="007C33DC" w:rsidP="007C33DC">
      <w:pPr>
        <w:pStyle w:val="Body"/>
        <w:rPr>
          <w:rFonts w:ascii="Arial" w:hAnsi="Arial" w:cs="Arial"/>
        </w:rPr>
      </w:pPr>
      <w:r w:rsidRPr="00FE3C0E">
        <w:rPr>
          <w:rFonts w:ascii="Arial" w:hAnsi="Arial" w:cs="Arial"/>
        </w:rPr>
        <w:t>MWH — Montgomery Watson Harza</w:t>
      </w:r>
    </w:p>
    <w:p w14:paraId="630BCDC7" w14:textId="77777777" w:rsidR="007C33DC" w:rsidRPr="00FE3C0E" w:rsidRDefault="007C33DC" w:rsidP="007C33DC">
      <w:pPr>
        <w:pStyle w:val="Body"/>
        <w:rPr>
          <w:rFonts w:ascii="Arial" w:hAnsi="Arial" w:cs="Arial"/>
        </w:rPr>
      </w:pPr>
      <w:r w:rsidRPr="00FE3C0E">
        <w:rPr>
          <w:rFonts w:ascii="Arial" w:hAnsi="Arial" w:cs="Arial"/>
        </w:rPr>
        <w:lastRenderedPageBreak/>
        <w:t>NaCl — Sodium chloride</w:t>
      </w:r>
    </w:p>
    <w:p w14:paraId="56E22CC6" w14:textId="77777777" w:rsidR="007C33DC" w:rsidRPr="00FE3C0E" w:rsidRDefault="007C33DC" w:rsidP="007C33DC">
      <w:pPr>
        <w:pStyle w:val="Body"/>
        <w:rPr>
          <w:rFonts w:ascii="Arial" w:hAnsi="Arial" w:cs="Arial"/>
        </w:rPr>
      </w:pPr>
      <w:r w:rsidRPr="00FE3C0E">
        <w:rPr>
          <w:rFonts w:ascii="Arial" w:hAnsi="Arial" w:cs="Arial"/>
        </w:rPr>
        <w:t>NIH — National Institutes of Health</w:t>
      </w:r>
    </w:p>
    <w:p w14:paraId="3DDC8DD5" w14:textId="77777777" w:rsidR="007C33DC" w:rsidRPr="00FE3C0E" w:rsidRDefault="007C33DC" w:rsidP="007C33DC">
      <w:pPr>
        <w:pStyle w:val="Body"/>
        <w:rPr>
          <w:rFonts w:ascii="Arial" w:hAnsi="Arial" w:cs="Arial"/>
        </w:rPr>
      </w:pPr>
      <w:r w:rsidRPr="00FE3C0E">
        <w:rPr>
          <w:rFonts w:ascii="Arial" w:hAnsi="Arial" w:cs="Arial"/>
        </w:rPr>
        <w:t>PBS — Phosphate-buffered saline</w:t>
      </w:r>
    </w:p>
    <w:p w14:paraId="5139FF6B" w14:textId="77777777" w:rsidR="007C33DC" w:rsidRPr="00FE3C0E" w:rsidRDefault="007C33DC" w:rsidP="007C33DC">
      <w:pPr>
        <w:pStyle w:val="Body"/>
        <w:rPr>
          <w:rFonts w:ascii="Arial" w:hAnsi="Arial" w:cs="Arial"/>
        </w:rPr>
      </w:pPr>
      <w:r w:rsidRPr="00FE3C0E">
        <w:rPr>
          <w:rFonts w:ascii="Arial" w:hAnsi="Arial" w:cs="Arial"/>
        </w:rPr>
        <w:t>PEFR — Peak expiratory flow rate</w:t>
      </w:r>
    </w:p>
    <w:p w14:paraId="390879F2" w14:textId="77777777" w:rsidR="007C33DC" w:rsidRPr="00FE3C0E" w:rsidRDefault="007C33DC" w:rsidP="007C33DC">
      <w:pPr>
        <w:pStyle w:val="Body"/>
        <w:rPr>
          <w:rFonts w:ascii="Arial" w:hAnsi="Arial" w:cs="Arial"/>
        </w:rPr>
      </w:pPr>
      <w:r w:rsidRPr="00FE3C0E">
        <w:rPr>
          <w:rFonts w:ascii="Arial" w:hAnsi="Arial" w:cs="Arial"/>
        </w:rPr>
        <w:t>PM — Particulate matter</w:t>
      </w:r>
    </w:p>
    <w:p w14:paraId="153B1D19" w14:textId="77777777" w:rsidR="007C33DC" w:rsidRPr="00FE3C0E" w:rsidRDefault="007C33DC" w:rsidP="007C33DC">
      <w:pPr>
        <w:pStyle w:val="Body"/>
        <w:rPr>
          <w:rFonts w:ascii="Arial" w:hAnsi="Arial" w:cs="Arial"/>
        </w:rPr>
      </w:pPr>
      <w:r w:rsidRPr="00FE3C0E">
        <w:rPr>
          <w:rFonts w:ascii="Arial" w:hAnsi="Arial" w:cs="Arial"/>
        </w:rPr>
        <w:t>RMV — Respiratory minute volume</w:t>
      </w:r>
    </w:p>
    <w:p w14:paraId="17D7F5F1" w14:textId="77777777" w:rsidR="007C33DC" w:rsidRPr="00FE3C0E" w:rsidRDefault="007C33DC" w:rsidP="007C33DC">
      <w:pPr>
        <w:pStyle w:val="Body"/>
        <w:rPr>
          <w:rFonts w:ascii="Arial" w:hAnsi="Arial" w:cs="Arial"/>
        </w:rPr>
      </w:pPr>
      <w:r w:rsidRPr="00FE3C0E">
        <w:rPr>
          <w:rFonts w:ascii="Arial" w:hAnsi="Arial" w:cs="Arial"/>
        </w:rPr>
        <w:t>SEM — Standard error of the mean</w:t>
      </w:r>
    </w:p>
    <w:p w14:paraId="5302D852" w14:textId="77777777" w:rsidR="007C33DC" w:rsidRPr="00FE3C0E" w:rsidRDefault="007C33DC" w:rsidP="007C33DC">
      <w:pPr>
        <w:pStyle w:val="Body"/>
        <w:rPr>
          <w:rFonts w:ascii="Arial" w:hAnsi="Arial" w:cs="Arial"/>
        </w:rPr>
      </w:pPr>
      <w:r w:rsidRPr="00FE3C0E">
        <w:rPr>
          <w:rFonts w:ascii="Arial" w:hAnsi="Arial" w:cs="Arial"/>
        </w:rPr>
        <w:t>TNF-α — Tumor necrosis factor-alpha</w:t>
      </w:r>
    </w:p>
    <w:p w14:paraId="2F319D5A" w14:textId="77777777" w:rsidR="007C33DC" w:rsidRPr="00FB3A86" w:rsidRDefault="007C33DC" w:rsidP="007C33DC">
      <w:pPr>
        <w:pStyle w:val="Body"/>
        <w:spacing w:after="0"/>
        <w:rPr>
          <w:rFonts w:ascii="Arial" w:hAnsi="Arial" w:cs="Arial"/>
        </w:rPr>
      </w:pPr>
      <w:r w:rsidRPr="00FE3C0E">
        <w:rPr>
          <w:rFonts w:ascii="Arial" w:hAnsi="Arial" w:cs="Arial"/>
        </w:rPr>
        <w:t>USGS — United States Geological Survey</w:t>
      </w:r>
    </w:p>
    <w:p w14:paraId="675062E6" w14:textId="77777777" w:rsidR="007C33DC" w:rsidRPr="000839CE" w:rsidRDefault="007C33DC" w:rsidP="007C33DC">
      <w:pPr>
        <w:jc w:val="both"/>
        <w:rPr>
          <w:rFonts w:ascii="Times New Roman" w:hAnsi="Times New Roman"/>
        </w:rPr>
      </w:pPr>
    </w:p>
    <w:p w14:paraId="725D33B8" w14:textId="77777777" w:rsidR="007C33DC" w:rsidRPr="00C508A8" w:rsidRDefault="007C33DC" w:rsidP="00441B6F">
      <w:pPr>
        <w:pStyle w:val="ReferHead"/>
        <w:spacing w:after="0"/>
        <w:jc w:val="both"/>
        <w:rPr>
          <w:rFonts w:ascii="Arial" w:hAnsi="Arial" w:cs="Arial"/>
          <w:b w:val="0"/>
          <w:caps w:val="0"/>
          <w:sz w:val="20"/>
        </w:rPr>
      </w:pPr>
    </w:p>
    <w:p w14:paraId="7EAF9D96" w14:textId="77777777" w:rsidR="00790ADA" w:rsidRPr="00FB3A86" w:rsidRDefault="00B01FCD" w:rsidP="00441B6F">
      <w:pPr>
        <w:pStyle w:val="ReferHead"/>
        <w:spacing w:after="0"/>
        <w:jc w:val="both"/>
        <w:rPr>
          <w:rFonts w:ascii="Arial" w:hAnsi="Arial" w:cs="Arial"/>
        </w:rPr>
      </w:pPr>
      <w:r w:rsidRPr="00FB3A86">
        <w:rPr>
          <w:rFonts w:ascii="Arial" w:hAnsi="Arial" w:cs="Arial"/>
        </w:rPr>
        <w:t>References</w:t>
      </w:r>
    </w:p>
    <w:p w14:paraId="323D8FAF" w14:textId="77777777" w:rsidR="009D3DB9" w:rsidRDefault="009D3DB9" w:rsidP="009D3DB9">
      <w:pPr>
        <w:pStyle w:val="Body"/>
      </w:pPr>
      <w:proofErr w:type="spellStart"/>
      <w:r>
        <w:t>Adetona</w:t>
      </w:r>
      <w:proofErr w:type="spellEnd"/>
      <w:r>
        <w:t>, O., Hall, D. B., Naeher, L. P., &amp; Agnew, R. J. (2016). Lung function changes in wildland firefighters responding to prescribed burns. American Journal of Industrial Medicine, 59(3), 177–185.</w:t>
      </w:r>
    </w:p>
    <w:p w14:paraId="7EBE00B7" w14:textId="77777777" w:rsidR="009D3DB9" w:rsidRDefault="009D3DB9" w:rsidP="009D3DB9">
      <w:pPr>
        <w:pStyle w:val="Body"/>
      </w:pPr>
      <w:r>
        <w:t>Ahmed, S. M., Bello, A. M., &amp; Lawal, A. A. (2022). Pulmonary function changes in workers exposed to industrial dust in Northern Nigeria. Journal of Occupational Health Research, 14(1), 45–52.</w:t>
      </w:r>
    </w:p>
    <w:p w14:paraId="5A2E6C02" w14:textId="77777777" w:rsidR="009D3DB9" w:rsidRDefault="009D3DB9" w:rsidP="009D3DB9">
      <w:pPr>
        <w:pStyle w:val="Body"/>
      </w:pPr>
      <w:r>
        <w:t>Bohner, M. (2020). Calcium orthophosphates in medicine: From ceramics to calcium phosphate cements. Injury, 31(4), D37–D47.</w:t>
      </w:r>
    </w:p>
    <w:p w14:paraId="41F2688F" w14:textId="77777777" w:rsidR="009D3DB9" w:rsidRDefault="009D3DB9" w:rsidP="009D3DB9">
      <w:pPr>
        <w:pStyle w:val="Body"/>
      </w:pPr>
      <w:r>
        <w:t>Chen, R., Li, H., &amp; Ma, Y. (2020). Dust exposure and respiratory inflammation: A meta-analysis of occupational studies. Environmental Health Insights, 14, 1178630220909398.</w:t>
      </w:r>
    </w:p>
    <w:p w14:paraId="0BA21C01" w14:textId="77777777" w:rsidR="009D3DB9" w:rsidRDefault="009D3DB9" w:rsidP="009D3DB9">
      <w:pPr>
        <w:pStyle w:val="Body"/>
      </w:pPr>
      <w:r>
        <w:t xml:space="preserve">Ezenwa, C. M., Udo, J. I., &amp; </w:t>
      </w:r>
      <w:proofErr w:type="spellStart"/>
      <w:r>
        <w:t>Ndem</w:t>
      </w:r>
      <w:proofErr w:type="spellEnd"/>
      <w:r>
        <w:t>, B. U. (2023). Respiratory health status of construction workers exposed to airborne dust in Calabar. Nigerian Journal of Environmental Health, 8(2), 89–97.</w:t>
      </w:r>
    </w:p>
    <w:p w14:paraId="651914F9" w14:textId="77777777" w:rsidR="009D3DB9" w:rsidRDefault="009D3DB9" w:rsidP="009D3DB9">
      <w:pPr>
        <w:pStyle w:val="Body"/>
      </w:pPr>
      <w:r>
        <w:t>FDA. (2022). Food Additive Status List. U.S. Food and Drug Administration.</w:t>
      </w:r>
    </w:p>
    <w:p w14:paraId="0E4680A8" w14:textId="77777777" w:rsidR="009D3DB9" w:rsidRDefault="009D3DB9" w:rsidP="009D3DB9">
      <w:pPr>
        <w:pStyle w:val="Body"/>
      </w:pPr>
      <w:r>
        <w:t>Ghazali, N., Singh, D., &amp; Rahman, N. H. A. (2019). The impact of gypsum dust exposure on respiratory function and inflammation: A review. Environmental Health Perspectives, 127(5), 1–10.</w:t>
      </w:r>
    </w:p>
    <w:p w14:paraId="41C26B99" w14:textId="77777777" w:rsidR="009D3DB9" w:rsidRDefault="009D3DB9" w:rsidP="009D3DB9">
      <w:pPr>
        <w:pStyle w:val="Body"/>
      </w:pPr>
      <w:r>
        <w:t>Ibrahim, D. T., Aluko, M. O., &amp; Yusuf, M. A. (2021). Lung function impairment among quarry workers exposed to dust: A cross-sectional study. African Journal of Respiratory Medicine, 17(2), 26–31.</w:t>
      </w:r>
    </w:p>
    <w:p w14:paraId="5AA699C2" w14:textId="77777777" w:rsidR="009D3DB9" w:rsidRDefault="009D3DB9" w:rsidP="009D3DB9">
      <w:pPr>
        <w:pStyle w:val="Body"/>
      </w:pPr>
      <w:r>
        <w:t>Kim, H. B., Kim, J. H., &amp; Cho, S. I. (2020). Long-term exposure to fine particulate matter and its association with inflammatory markers in urban populations. International Journal of Environmental Research and Public Health, 17(8), 2930.</w:t>
      </w:r>
    </w:p>
    <w:p w14:paraId="446584C3" w14:textId="77777777" w:rsidR="009D3DB9" w:rsidRDefault="009D3DB9" w:rsidP="009D3DB9">
      <w:pPr>
        <w:pStyle w:val="Body"/>
      </w:pPr>
      <w:r>
        <w:t>Musa, G. T., Oladimeji, A. A., &amp; Afolabi, K. A. (2023). Inflammatory biomarker profile of construction site workers in Lagos: Implications for occupational health. West African Journal of Medicine, 40(3), 173–179.</w:t>
      </w:r>
    </w:p>
    <w:p w14:paraId="05A30C27" w14:textId="77777777" w:rsidR="009D3DB9" w:rsidRDefault="009D3DB9" w:rsidP="009D3DB9">
      <w:pPr>
        <w:pStyle w:val="Body"/>
      </w:pPr>
      <w:r>
        <w:t>Nwachukwu, F. U., Ibe, C. C., &amp; Akpan, E. E. (2024). Dust-induced inflammation and pulmonary function changes among cement factory workers. African Journal of Occupational and Environmental Health, 9(1), 21–28.</w:t>
      </w:r>
    </w:p>
    <w:p w14:paraId="5B15E971" w14:textId="77777777" w:rsidR="009D3DB9" w:rsidRDefault="009D3DB9" w:rsidP="009D3DB9">
      <w:pPr>
        <w:pStyle w:val="Body"/>
      </w:pPr>
      <w:r>
        <w:t>Okoro, O. N., Essien, E. M., &amp; Udoh, M. B. (2020). Biomarker analysis of inflammatory response in road construction workers. Nigerian Biomedical Science Journal, 16(1), 33–39.</w:t>
      </w:r>
    </w:p>
    <w:p w14:paraId="72A97382" w14:textId="77777777" w:rsidR="009D3DB9" w:rsidRDefault="009D3DB9" w:rsidP="009D3DB9">
      <w:pPr>
        <w:pStyle w:val="Body"/>
      </w:pPr>
      <w:r>
        <w:t>Oyebamiji, M. O., Adewale, R. A., &amp; Salami, T. O. (2022). Respiratory effects of chronic dust exposure among block molding workers. Journal of Environmental and Occupational Health, 11(4), 201–209.</w:t>
      </w:r>
    </w:p>
    <w:p w14:paraId="69C12BCC" w14:textId="77777777" w:rsidR="009D3DB9" w:rsidRDefault="009D3DB9" w:rsidP="009D3DB9">
      <w:pPr>
        <w:pStyle w:val="Body"/>
      </w:pPr>
      <w:r>
        <w:lastRenderedPageBreak/>
        <w:t>Sharma, G., Sharma, R., &amp; Choudhary, M. (2021). Inhalation of dust particles and the inflammatory response: A comparative analysis. Journal of Occupational and Environmental Medicine, 63(10), 870–878.</w:t>
      </w:r>
    </w:p>
    <w:p w14:paraId="32BA2EC4" w14:textId="77777777" w:rsidR="009D3DB9" w:rsidRDefault="009D3DB9" w:rsidP="009D3DB9">
      <w:pPr>
        <w:pStyle w:val="Body"/>
      </w:pPr>
      <w:r>
        <w:t>West, J. B. (2021). Respiratory Physiology: The Essentials. Lippincott Williams &amp; Wilkins.</w:t>
      </w:r>
    </w:p>
    <w:p w14:paraId="2BA0E022" w14:textId="77777777" w:rsidR="00441B6F" w:rsidRDefault="009D3DB9" w:rsidP="009D3DB9">
      <w:pPr>
        <w:pStyle w:val="Body"/>
        <w:spacing w:after="0"/>
        <w:jc w:val="left"/>
      </w:pPr>
      <w:r>
        <w:t>Zhou, Y., Wang, X., &amp; Zhang, Y. (2021). Occupational dust exposure and systemic inflammation: A comparative study of urban and rural populations. International Journal of Environmental Research and Public Health, 18(5), 2534.</w:t>
      </w:r>
    </w:p>
    <w:p w14:paraId="55C34467" w14:textId="77777777" w:rsidR="00441B6F" w:rsidRDefault="00C508A8" w:rsidP="00441B6F">
      <w:pPr>
        <w:pStyle w:val="Body"/>
        <w:spacing w:after="0"/>
        <w:jc w:val="left"/>
        <w:rPr>
          <w:rFonts w:ascii="Arial" w:hAnsi="Arial" w:cs="Arial"/>
        </w:rPr>
      </w:pPr>
      <w:r w:rsidRPr="00C508A8">
        <w:rPr>
          <w:rFonts w:ascii="Arial" w:hAnsi="Arial" w:cs="Arial"/>
        </w:rPr>
        <w:t>U.S. Geological Survey. (2020). Minerals yearbook: Gypsum, 2020. U.S. Department of the Interior, U.S. Geological Survey.</w:t>
      </w:r>
    </w:p>
    <w:p w14:paraId="239C84D9" w14:textId="77777777" w:rsidR="00B01FCD" w:rsidRPr="00FB3A86" w:rsidRDefault="00B01FCD" w:rsidP="00441B6F">
      <w:pPr>
        <w:pStyle w:val="Appendix"/>
        <w:spacing w:after="0"/>
        <w:jc w:val="both"/>
        <w:rPr>
          <w:rFonts w:ascii="Arial" w:hAnsi="Arial" w:cs="Arial"/>
          <w:b w:val="0"/>
        </w:rPr>
      </w:pPr>
    </w:p>
    <w:sectPr w:rsidR="00B01FCD" w:rsidRPr="00FB3A86" w:rsidSect="004E3F74">
      <w:headerReference w:type="even" r:id="rId24"/>
      <w:headerReference w:type="default" r:id="rId25"/>
      <w:footerReference w:type="even" r:id="rId26"/>
      <w:footerReference w:type="default" r:id="rId27"/>
      <w:headerReference w:type="first" r:id="rId28"/>
      <w:footerReference w:type="first" r:id="rId2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13BC8" w14:textId="77777777" w:rsidR="00DF7DC6" w:rsidRDefault="00DF7DC6" w:rsidP="00C37E61">
      <w:r>
        <w:separator/>
      </w:r>
    </w:p>
  </w:endnote>
  <w:endnote w:type="continuationSeparator" w:id="0">
    <w:p w14:paraId="2F166210" w14:textId="77777777" w:rsidR="00DF7DC6" w:rsidRDefault="00DF7DC6"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93E5" w14:textId="77777777" w:rsidR="004E3F74" w:rsidRDefault="004E3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0EB1" w14:textId="77777777" w:rsidR="00C37E61" w:rsidRPr="00C37E61" w:rsidRDefault="00C37E61"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BB58" w14:textId="77777777" w:rsidR="004E3F74" w:rsidRDefault="004E3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3B79F" w14:textId="77777777" w:rsidR="00DF7DC6" w:rsidRDefault="00DF7DC6" w:rsidP="00C37E61">
      <w:r>
        <w:separator/>
      </w:r>
    </w:p>
  </w:footnote>
  <w:footnote w:type="continuationSeparator" w:id="0">
    <w:p w14:paraId="340E1F10" w14:textId="77777777" w:rsidR="00DF7DC6" w:rsidRDefault="00DF7DC6"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21BD" w14:textId="6510D251" w:rsidR="004E3F74" w:rsidRDefault="004E3F74">
    <w:pPr>
      <w:pStyle w:val="Header"/>
    </w:pPr>
    <w:r>
      <w:rPr>
        <w:noProof/>
      </w:rPr>
      <w:pict w14:anchorId="2486DE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690188"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C6FF" w14:textId="6C4EE0F6" w:rsidR="004E3F74" w:rsidRDefault="004E3F74">
    <w:pPr>
      <w:pStyle w:val="Header"/>
    </w:pPr>
    <w:r>
      <w:rPr>
        <w:noProof/>
      </w:rPr>
      <w:pict w14:anchorId="1E3ED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690189"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5922" w14:textId="751D324C" w:rsidR="004E3F74" w:rsidRDefault="004E3F74">
    <w:pPr>
      <w:pStyle w:val="Header"/>
    </w:pPr>
    <w:r>
      <w:rPr>
        <w:noProof/>
      </w:rPr>
      <w:pict w14:anchorId="36805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690187"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7026FF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F"/>
    <w:multiLevelType w:val="hybridMultilevel"/>
    <w:tmpl w:val="D9F4157A"/>
    <w:lvl w:ilvl="0" w:tplc="70D896D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4"/>
    <w:multiLevelType w:val="hybridMultilevel"/>
    <w:tmpl w:val="9B2213BC"/>
    <w:lvl w:ilvl="0" w:tplc="6C52093C">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7"/>
    <w:multiLevelType w:val="multilevel"/>
    <w:tmpl w:val="99E8CD2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1A"/>
    <w:multiLevelType w:val="multilevel"/>
    <w:tmpl w:val="E4169E70"/>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5"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7"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9"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0527840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89095990">
    <w:abstractNumId w:val="20"/>
  </w:num>
  <w:num w:numId="3" w16cid:durableId="1468084771">
    <w:abstractNumId w:val="28"/>
  </w:num>
  <w:num w:numId="4" w16cid:durableId="86267128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083869065">
    <w:abstractNumId w:val="12"/>
  </w:num>
  <w:num w:numId="6" w16cid:durableId="1809784370">
    <w:abstractNumId w:val="11"/>
  </w:num>
  <w:num w:numId="7" w16cid:durableId="1918899646">
    <w:abstractNumId w:val="6"/>
  </w:num>
  <w:num w:numId="8" w16cid:durableId="2018532963">
    <w:abstractNumId w:val="17"/>
  </w:num>
  <w:num w:numId="9" w16cid:durableId="1863319610">
    <w:abstractNumId w:val="30"/>
  </w:num>
  <w:num w:numId="10" w16cid:durableId="935942967">
    <w:abstractNumId w:val="7"/>
  </w:num>
  <w:num w:numId="11" w16cid:durableId="1975869654">
    <w:abstractNumId w:val="23"/>
  </w:num>
  <w:num w:numId="12" w16cid:durableId="482353797">
    <w:abstractNumId w:val="8"/>
  </w:num>
  <w:num w:numId="13" w16cid:durableId="64306140">
    <w:abstractNumId w:val="22"/>
  </w:num>
  <w:num w:numId="14" w16cid:durableId="913704810">
    <w:abstractNumId w:val="13"/>
  </w:num>
  <w:num w:numId="15" w16cid:durableId="1522820781">
    <w:abstractNumId w:val="26"/>
  </w:num>
  <w:num w:numId="16" w16cid:durableId="956522414">
    <w:abstractNumId w:val="10"/>
  </w:num>
  <w:num w:numId="17" w16cid:durableId="1798798979">
    <w:abstractNumId w:val="27"/>
  </w:num>
  <w:num w:numId="18" w16cid:durableId="1972704590">
    <w:abstractNumId w:val="19"/>
  </w:num>
  <w:num w:numId="19" w16cid:durableId="1191459139">
    <w:abstractNumId w:val="33"/>
  </w:num>
  <w:num w:numId="20" w16cid:durableId="1888758053">
    <w:abstractNumId w:val="16"/>
  </w:num>
  <w:num w:numId="21" w16cid:durableId="1978489116">
    <w:abstractNumId w:val="14"/>
  </w:num>
  <w:num w:numId="22" w16cid:durableId="1380858026">
    <w:abstractNumId w:val="18"/>
  </w:num>
  <w:num w:numId="23" w16cid:durableId="942229559">
    <w:abstractNumId w:val="24"/>
  </w:num>
  <w:num w:numId="24" w16cid:durableId="1076509946">
    <w:abstractNumId w:val="31"/>
  </w:num>
  <w:num w:numId="25" w16cid:durableId="650017912">
    <w:abstractNumId w:val="9"/>
  </w:num>
  <w:num w:numId="26" w16cid:durableId="127356896">
    <w:abstractNumId w:val="21"/>
  </w:num>
  <w:num w:numId="27" w16cid:durableId="1491093664">
    <w:abstractNumId w:val="25"/>
  </w:num>
  <w:num w:numId="28" w16cid:durableId="1906987437">
    <w:abstractNumId w:val="32"/>
  </w:num>
  <w:num w:numId="29" w16cid:durableId="1787966599">
    <w:abstractNumId w:val="29"/>
  </w:num>
  <w:num w:numId="30" w16cid:durableId="621152362">
    <w:abstractNumId w:val="15"/>
  </w:num>
  <w:num w:numId="31" w16cid:durableId="878781256">
    <w:abstractNumId w:val="5"/>
  </w:num>
  <w:num w:numId="32" w16cid:durableId="1983272780">
    <w:abstractNumId w:val="3"/>
  </w:num>
  <w:num w:numId="33" w16cid:durableId="1032615071">
    <w:abstractNumId w:val="1"/>
  </w:num>
  <w:num w:numId="34" w16cid:durableId="313997349">
    <w:abstractNumId w:val="2"/>
  </w:num>
  <w:num w:numId="35" w16cid:durableId="2129231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103357"/>
    <w:rsid w:val="0011286C"/>
    <w:rsid w:val="00123C9F"/>
    <w:rsid w:val="00126190"/>
    <w:rsid w:val="00130F17"/>
    <w:rsid w:val="001320BF"/>
    <w:rsid w:val="00163BC4"/>
    <w:rsid w:val="00191062"/>
    <w:rsid w:val="00192B72"/>
    <w:rsid w:val="001A29D8"/>
    <w:rsid w:val="001A5CAA"/>
    <w:rsid w:val="001B0427"/>
    <w:rsid w:val="001D02BC"/>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2904"/>
    <w:rsid w:val="003F2C1F"/>
    <w:rsid w:val="00401927"/>
    <w:rsid w:val="0041027F"/>
    <w:rsid w:val="00412475"/>
    <w:rsid w:val="00423789"/>
    <w:rsid w:val="00440F43"/>
    <w:rsid w:val="00441B6F"/>
    <w:rsid w:val="00446221"/>
    <w:rsid w:val="00450E62"/>
    <w:rsid w:val="004539DB"/>
    <w:rsid w:val="00471A80"/>
    <w:rsid w:val="004D305E"/>
    <w:rsid w:val="004D4277"/>
    <w:rsid w:val="004E124F"/>
    <w:rsid w:val="004E3F74"/>
    <w:rsid w:val="004E5B3B"/>
    <w:rsid w:val="00502516"/>
    <w:rsid w:val="00505F06"/>
    <w:rsid w:val="00506828"/>
    <w:rsid w:val="005075F3"/>
    <w:rsid w:val="0053056E"/>
    <w:rsid w:val="00554FDA"/>
    <w:rsid w:val="005A2BA4"/>
    <w:rsid w:val="005C784C"/>
    <w:rsid w:val="005D17F6"/>
    <w:rsid w:val="005E5539"/>
    <w:rsid w:val="005F71F7"/>
    <w:rsid w:val="00602BF5"/>
    <w:rsid w:val="00617FDD"/>
    <w:rsid w:val="00633614"/>
    <w:rsid w:val="00633F68"/>
    <w:rsid w:val="006365F7"/>
    <w:rsid w:val="00636EB2"/>
    <w:rsid w:val="006375B8"/>
    <w:rsid w:val="0066510A"/>
    <w:rsid w:val="00673F9F"/>
    <w:rsid w:val="00686953"/>
    <w:rsid w:val="00687DEA"/>
    <w:rsid w:val="00687E67"/>
    <w:rsid w:val="006967F7"/>
    <w:rsid w:val="006A1F70"/>
    <w:rsid w:val="006A250C"/>
    <w:rsid w:val="006B21D3"/>
    <w:rsid w:val="006B57D0"/>
    <w:rsid w:val="006D30FF"/>
    <w:rsid w:val="006D6940"/>
    <w:rsid w:val="006F11EC"/>
    <w:rsid w:val="0070082C"/>
    <w:rsid w:val="00712F22"/>
    <w:rsid w:val="007369E6"/>
    <w:rsid w:val="00746E59"/>
    <w:rsid w:val="00754C9A"/>
    <w:rsid w:val="0075599A"/>
    <w:rsid w:val="00761D52"/>
    <w:rsid w:val="0077749E"/>
    <w:rsid w:val="00790ADA"/>
    <w:rsid w:val="00795191"/>
    <w:rsid w:val="007C03F6"/>
    <w:rsid w:val="007C33DC"/>
    <w:rsid w:val="007C7431"/>
    <w:rsid w:val="007D2288"/>
    <w:rsid w:val="007E088F"/>
    <w:rsid w:val="007F7B32"/>
    <w:rsid w:val="00804BC2"/>
    <w:rsid w:val="0081431A"/>
    <w:rsid w:val="0083216F"/>
    <w:rsid w:val="00843B99"/>
    <w:rsid w:val="00860000"/>
    <w:rsid w:val="00863BD3"/>
    <w:rsid w:val="008641ED"/>
    <w:rsid w:val="00866D66"/>
    <w:rsid w:val="008671C6"/>
    <w:rsid w:val="00875803"/>
    <w:rsid w:val="008B459E"/>
    <w:rsid w:val="008E13AE"/>
    <w:rsid w:val="008E1506"/>
    <w:rsid w:val="008E710C"/>
    <w:rsid w:val="008F4096"/>
    <w:rsid w:val="008F69D6"/>
    <w:rsid w:val="008F7628"/>
    <w:rsid w:val="00902823"/>
    <w:rsid w:val="00915CA6"/>
    <w:rsid w:val="00927834"/>
    <w:rsid w:val="009500A6"/>
    <w:rsid w:val="00957C18"/>
    <w:rsid w:val="009659BA"/>
    <w:rsid w:val="009715E6"/>
    <w:rsid w:val="00983040"/>
    <w:rsid w:val="009B3FB9"/>
    <w:rsid w:val="009B4545"/>
    <w:rsid w:val="009C2465"/>
    <w:rsid w:val="009D35A0"/>
    <w:rsid w:val="009D3DB9"/>
    <w:rsid w:val="009D7EB7"/>
    <w:rsid w:val="009E048A"/>
    <w:rsid w:val="009E08E9"/>
    <w:rsid w:val="009E3DB9"/>
    <w:rsid w:val="009E5D42"/>
    <w:rsid w:val="009E6E35"/>
    <w:rsid w:val="009F0EDA"/>
    <w:rsid w:val="00A03B96"/>
    <w:rsid w:val="00A05B19"/>
    <w:rsid w:val="00A1134E"/>
    <w:rsid w:val="00A24E7E"/>
    <w:rsid w:val="00A258C3"/>
    <w:rsid w:val="00A347C0"/>
    <w:rsid w:val="00A51431"/>
    <w:rsid w:val="00A539AD"/>
    <w:rsid w:val="00A82D37"/>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26A5"/>
    <w:rsid w:val="00BC53A0"/>
    <w:rsid w:val="00BE62AD"/>
    <w:rsid w:val="00BF121F"/>
    <w:rsid w:val="00BF1F80"/>
    <w:rsid w:val="00C166EF"/>
    <w:rsid w:val="00C17EB0"/>
    <w:rsid w:val="00C27F5F"/>
    <w:rsid w:val="00C30A0F"/>
    <w:rsid w:val="00C37E61"/>
    <w:rsid w:val="00C508A8"/>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DF7DC6"/>
    <w:rsid w:val="00E053D0"/>
    <w:rsid w:val="00E15994"/>
    <w:rsid w:val="00E3114E"/>
    <w:rsid w:val="00E31A70"/>
    <w:rsid w:val="00E35B02"/>
    <w:rsid w:val="00E66496"/>
    <w:rsid w:val="00E66B35"/>
    <w:rsid w:val="00E66E10"/>
    <w:rsid w:val="00E769F6"/>
    <w:rsid w:val="00E8407C"/>
    <w:rsid w:val="00E84F3C"/>
    <w:rsid w:val="00E929CE"/>
    <w:rsid w:val="00EA012C"/>
    <w:rsid w:val="00EC6A55"/>
    <w:rsid w:val="00ED0288"/>
    <w:rsid w:val="00EE52CB"/>
    <w:rsid w:val="00EF581D"/>
    <w:rsid w:val="00EF7FD8"/>
    <w:rsid w:val="00F06F59"/>
    <w:rsid w:val="00F12AB2"/>
    <w:rsid w:val="00F1553C"/>
    <w:rsid w:val="00F17988"/>
    <w:rsid w:val="00F469F0"/>
    <w:rsid w:val="00F53273"/>
    <w:rsid w:val="00F755E4"/>
    <w:rsid w:val="00F77D02"/>
    <w:rsid w:val="00FA409E"/>
    <w:rsid w:val="00FB3A86"/>
    <w:rsid w:val="00FB6770"/>
    <w:rsid w:val="00FD36C8"/>
    <w:rsid w:val="00FE3C0E"/>
    <w:rsid w:val="00FF0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63877"/>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isselectedend">
    <w:name w:val="isselectedend"/>
    <w:basedOn w:val="Normal"/>
    <w:rsid w:val="0011286C"/>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1286C"/>
    <w:pPr>
      <w:spacing w:before="100" w:beforeAutospacing="1" w:after="100" w:afterAutospacing="1"/>
    </w:pPr>
    <w:rPr>
      <w:rFonts w:ascii="Times New Roman" w:hAnsi="Times New Roman"/>
      <w:sz w:val="24"/>
      <w:szCs w:val="24"/>
    </w:rPr>
  </w:style>
  <w:style w:type="character" w:styleId="Strong">
    <w:name w:val="Strong"/>
    <w:uiPriority w:val="22"/>
    <w:qFormat/>
    <w:rsid w:val="007C03F6"/>
    <w:rPr>
      <w:b/>
      <w:bCs/>
    </w:rPr>
  </w:style>
  <w:style w:type="paragraph" w:styleId="ListParagraph">
    <w:name w:val="List Paragraph"/>
    <w:basedOn w:val="Normal"/>
    <w:qFormat/>
    <w:rsid w:val="005F71F7"/>
    <w:pPr>
      <w:spacing w:line="276" w:lineRule="auto"/>
      <w:ind w:left="720"/>
    </w:pPr>
    <w:rPr>
      <w:rFonts w:ascii="Calibri" w:eastAsia="SimSun" w:hAnsi="Calibri"/>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572357578">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38448726">
      <w:bodyDiv w:val="1"/>
      <w:marLeft w:val="0"/>
      <w:marRight w:val="0"/>
      <w:marTop w:val="0"/>
      <w:marBottom w:val="0"/>
      <w:divBdr>
        <w:top w:val="none" w:sz="0" w:space="0" w:color="auto"/>
        <w:left w:val="none" w:sz="0" w:space="0" w:color="auto"/>
        <w:bottom w:val="none" w:sz="0" w:space="0" w:color="auto"/>
        <w:right w:val="none" w:sz="0" w:space="0" w:color="auto"/>
      </w:divBdr>
    </w:div>
    <w:div w:id="127848957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841FF-7409-482B-B074-2ECC98B5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117</TotalTime>
  <Pages>30</Pages>
  <Words>3458</Words>
  <Characters>19715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23127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15</cp:revision>
  <cp:lastPrinted>1999-07-06T11:00:00Z</cp:lastPrinted>
  <dcterms:created xsi:type="dcterms:W3CDTF">2026-07-21T23:11:00Z</dcterms:created>
  <dcterms:modified xsi:type="dcterms:W3CDTF">2026-07-23T13:02:00Z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0d680b89-ec48-4c24-8fe7-17c392c1ba46</vt:lpwstr>
  </property>
</Properties>
</file>