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2417B" w14:textId="77777777" w:rsidR="00A258C3" w:rsidRPr="003C4991" w:rsidRDefault="00A64825" w:rsidP="00A64825">
      <w:pPr>
        <w:spacing w:line="480" w:lineRule="auto"/>
        <w:rPr>
          <w:rFonts w:ascii="Times New Roman" w:hAnsi="Times New Roman"/>
          <w:b/>
          <w:sz w:val="24"/>
          <w:szCs w:val="24"/>
        </w:rPr>
      </w:pPr>
      <w:r w:rsidRPr="003C4991">
        <w:rPr>
          <w:rFonts w:ascii="Times New Roman" w:hAnsi="Times New Roman"/>
          <w:b/>
          <w:sz w:val="24"/>
          <w:szCs w:val="24"/>
        </w:rPr>
        <w:t xml:space="preserve">SPIROMETRIC ANALYSIS OF BRONCHOPROVATION AMONG </w:t>
      </w:r>
      <w:r w:rsidRPr="003C4991">
        <w:rPr>
          <w:rFonts w:ascii="Times New Roman" w:hAnsi="Times New Roman"/>
          <w:b/>
          <w:i/>
          <w:sz w:val="24"/>
          <w:szCs w:val="24"/>
        </w:rPr>
        <w:t xml:space="preserve">CAPSICUM ANNUUM </w:t>
      </w:r>
      <w:r w:rsidRPr="003C4991">
        <w:rPr>
          <w:rFonts w:ascii="Times New Roman" w:hAnsi="Times New Roman"/>
          <w:b/>
          <w:sz w:val="24"/>
          <w:szCs w:val="24"/>
        </w:rPr>
        <w:t xml:space="preserve">VENDORS IN CALABAR </w:t>
      </w:r>
      <w:r w:rsidR="00E731C2" w:rsidRPr="003C4991">
        <w:rPr>
          <w:rFonts w:ascii="Times New Roman" w:hAnsi="Times New Roman"/>
          <w:b/>
          <w:sz w:val="24"/>
          <w:szCs w:val="24"/>
        </w:rPr>
        <w:t>MUNICIPALITY</w:t>
      </w:r>
      <w:r w:rsidRPr="003C4991">
        <w:rPr>
          <w:rFonts w:ascii="Times New Roman" w:hAnsi="Times New Roman"/>
          <w:b/>
          <w:sz w:val="24"/>
          <w:szCs w:val="24"/>
        </w:rPr>
        <w:t>, CROSS RIVER STATE</w:t>
      </w:r>
      <w:r w:rsidR="00E04500" w:rsidRPr="003C4991">
        <w:rPr>
          <w:rFonts w:ascii="Times New Roman" w:hAnsi="Times New Roman"/>
          <w:b/>
          <w:sz w:val="24"/>
          <w:szCs w:val="24"/>
        </w:rPr>
        <w:t>, NIGERIA</w:t>
      </w:r>
    </w:p>
    <w:p w14:paraId="0599CADA" w14:textId="3C15AB5D" w:rsidR="006E1B4C" w:rsidRPr="003C4991" w:rsidRDefault="006E1B4C" w:rsidP="00391363">
      <w:pPr>
        <w:pStyle w:val="Affiliation"/>
        <w:spacing w:after="0" w:line="240" w:lineRule="auto"/>
        <w:rPr>
          <w:rFonts w:ascii="Arial" w:hAnsi="Arial" w:cs="Arial"/>
          <w:i/>
        </w:rPr>
        <w:sectPr w:rsidR="006E1B4C" w:rsidRPr="003C4991" w:rsidSect="0081764D">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p>
    <w:p w14:paraId="7807C9F6" w14:textId="77777777" w:rsidR="00790ADA" w:rsidRPr="003C4991" w:rsidRDefault="00B01FCD" w:rsidP="00441B6F">
      <w:pPr>
        <w:pStyle w:val="AbstHead"/>
        <w:spacing w:after="0"/>
        <w:jc w:val="both"/>
        <w:rPr>
          <w:rFonts w:ascii="Arial" w:hAnsi="Arial" w:cs="Arial"/>
        </w:rPr>
      </w:pPr>
      <w:r w:rsidRPr="003C4991">
        <w:rPr>
          <w:rFonts w:ascii="Arial" w:hAnsi="Arial" w:cs="Arial"/>
        </w:rPr>
        <w:t>ABSTRACT</w:t>
      </w:r>
      <w:r w:rsidR="0066510A" w:rsidRPr="003C4991">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3C4991" w14:paraId="53991A83" w14:textId="77777777" w:rsidTr="001E44FE">
        <w:tc>
          <w:tcPr>
            <w:tcW w:w="9576" w:type="dxa"/>
            <w:shd w:val="clear" w:color="auto" w:fill="F2F2F2"/>
          </w:tcPr>
          <w:p w14:paraId="5DDBC81E" w14:textId="77777777" w:rsidR="00505F06" w:rsidRPr="003C4991" w:rsidRDefault="00A64825" w:rsidP="00441B6F">
            <w:pPr>
              <w:pStyle w:val="Body"/>
              <w:spacing w:after="0"/>
              <w:rPr>
                <w:rFonts w:ascii="Arial Black" w:eastAsia="Calibri" w:hAnsi="Arial Black" w:cs="Arial"/>
                <w:sz w:val="22"/>
                <w:szCs w:val="22"/>
              </w:rPr>
            </w:pPr>
            <w:r w:rsidRPr="003C4991">
              <w:rPr>
                <w:rFonts w:ascii="Arial Black" w:hAnsi="Arial Black"/>
                <w:sz w:val="22"/>
                <w:szCs w:val="22"/>
              </w:rPr>
              <w:t xml:space="preserve">Occupational exposure to airborne irritants is a recognized risk factor for respiratory impairment. </w:t>
            </w:r>
            <w:r w:rsidRPr="003C4991">
              <w:rPr>
                <w:rStyle w:val="Emphasis"/>
                <w:rFonts w:ascii="Arial Black" w:hAnsi="Arial Black"/>
                <w:sz w:val="22"/>
                <w:szCs w:val="22"/>
              </w:rPr>
              <w:t>Capsicum annuum</w:t>
            </w:r>
            <w:r w:rsidRPr="003C4991">
              <w:rPr>
                <w:rFonts w:ascii="Arial Black" w:hAnsi="Arial Black"/>
                <w:sz w:val="22"/>
                <w:szCs w:val="22"/>
              </w:rPr>
              <w:t xml:space="preserve"> (commonly known as chili pepper) vendors are frequently exposed to pepper powder, which may cause airway irritation and subclinical respiratory abnormalities. This study assessed the impact of chronic exposure to </w:t>
            </w:r>
            <w:r w:rsidRPr="003C4991">
              <w:rPr>
                <w:rStyle w:val="Emphasis"/>
                <w:rFonts w:ascii="Arial Black" w:hAnsi="Arial Black"/>
                <w:sz w:val="22"/>
                <w:szCs w:val="22"/>
              </w:rPr>
              <w:t>Capsicum annuum</w:t>
            </w:r>
            <w:r w:rsidRPr="003C4991">
              <w:rPr>
                <w:rFonts w:ascii="Arial Black" w:hAnsi="Arial Black"/>
                <w:sz w:val="22"/>
                <w:szCs w:val="22"/>
              </w:rPr>
              <w:t xml:space="preserve"> powder on lung function and airway responsiveness among young adult vendors in Calabar Municipality, Cross River State, Nigeria. A total of 80 adult subjects aged 18</w:t>
            </w:r>
            <w:r w:rsidR="00B74FF1" w:rsidRPr="003C4991">
              <w:rPr>
                <w:rFonts w:ascii="Arial Black" w:hAnsi="Arial Black"/>
                <w:sz w:val="22"/>
                <w:szCs w:val="22"/>
              </w:rPr>
              <w:t>-</w:t>
            </w:r>
            <w:r w:rsidRPr="003C4991">
              <w:rPr>
                <w:rFonts w:ascii="Arial Black" w:hAnsi="Arial Black"/>
                <w:sz w:val="22"/>
                <w:szCs w:val="22"/>
              </w:rPr>
              <w:t xml:space="preserve">35 years were enrolled in a cross-sectional study. Participants were divided into two groups: </w:t>
            </w:r>
            <w:r w:rsidRPr="003C4991">
              <w:rPr>
                <w:rStyle w:val="Emphasis"/>
                <w:rFonts w:ascii="Arial Black" w:hAnsi="Arial Black"/>
                <w:sz w:val="22"/>
                <w:szCs w:val="22"/>
              </w:rPr>
              <w:t>Capsicum annuum</w:t>
            </w:r>
            <w:r w:rsidRPr="003C4991">
              <w:rPr>
                <w:rFonts w:ascii="Arial Black" w:hAnsi="Arial Black"/>
                <w:sz w:val="22"/>
                <w:szCs w:val="22"/>
              </w:rPr>
              <w:t xml:space="preserve"> vendors with occupational exposure were assigned to Group I, while non-exposed individuals were assigned to Group II. Pulmonary function assessment was performed using a </w:t>
            </w:r>
            <w:proofErr w:type="spellStart"/>
            <w:r w:rsidRPr="003C4991">
              <w:rPr>
                <w:rFonts w:ascii="Arial Black" w:hAnsi="Arial Black"/>
                <w:sz w:val="22"/>
                <w:szCs w:val="22"/>
              </w:rPr>
              <w:t>Vitalograph</w:t>
            </w:r>
            <w:proofErr w:type="spellEnd"/>
            <w:r w:rsidRPr="003C4991">
              <w:rPr>
                <w:rFonts w:ascii="Arial Black" w:hAnsi="Arial Black"/>
                <w:sz w:val="22"/>
                <w:szCs w:val="22"/>
              </w:rPr>
              <w:t xml:space="preserve"> spirometer to measure Forced Vital Capacity (FVC), Forced Expiratory Volume in 1 second (FEV</w:t>
            </w:r>
            <w:r w:rsidRPr="003C4991">
              <w:rPr>
                <w:rFonts w:ascii="Cambria Math" w:hAnsi="Cambria Math" w:cs="Cambria Math"/>
                <w:sz w:val="22"/>
                <w:szCs w:val="22"/>
              </w:rPr>
              <w:t>₁</w:t>
            </w:r>
            <w:r w:rsidRPr="003C4991">
              <w:rPr>
                <w:rFonts w:ascii="Arial Black" w:hAnsi="Arial Black"/>
                <w:sz w:val="22"/>
                <w:szCs w:val="22"/>
              </w:rPr>
              <w:t>), Peak Expiratory Flow Rate (PEFR), and FEV</w:t>
            </w:r>
            <w:r w:rsidRPr="003C4991">
              <w:rPr>
                <w:rFonts w:ascii="Cambria Math" w:hAnsi="Cambria Math" w:cs="Cambria Math"/>
                <w:sz w:val="22"/>
                <w:szCs w:val="22"/>
              </w:rPr>
              <w:t>₁</w:t>
            </w:r>
            <w:r w:rsidRPr="003C4991">
              <w:rPr>
                <w:rFonts w:ascii="Arial Black" w:hAnsi="Arial Black"/>
                <w:sz w:val="22"/>
                <w:szCs w:val="22"/>
              </w:rPr>
              <w:t>%. A histamine challenge test was administered using a nebulizer, and changes in FEV</w:t>
            </w:r>
            <w:r w:rsidRPr="003C4991">
              <w:rPr>
                <w:rFonts w:ascii="Cambria Math" w:hAnsi="Cambria Math" w:cs="Cambria Math"/>
                <w:sz w:val="22"/>
                <w:szCs w:val="22"/>
              </w:rPr>
              <w:t>₁</w:t>
            </w:r>
            <w:r w:rsidRPr="003C4991">
              <w:rPr>
                <w:rFonts w:ascii="Arial Black" w:hAnsi="Arial Black"/>
                <w:sz w:val="22"/>
                <w:szCs w:val="22"/>
              </w:rPr>
              <w:t xml:space="preserve"> were assessed following incremental histamine doses of 0.5 mg and 1.0 mg. Data were analyzed using t-tests and presented as mean ± standard error of the mean (SEM). Pulmonary function parameters showed significant (p &lt; 0.001) reductions following histamine exposure in the test group. After administration of 1.0 mg histamine, further reductions were observed in FVC (2.98 ± 0.03 L), FEV</w:t>
            </w:r>
            <w:r w:rsidRPr="003C4991">
              <w:rPr>
                <w:rFonts w:ascii="Cambria Math" w:hAnsi="Cambria Math" w:cs="Cambria Math"/>
                <w:sz w:val="22"/>
                <w:szCs w:val="22"/>
              </w:rPr>
              <w:t>₁</w:t>
            </w:r>
            <w:r w:rsidRPr="003C4991">
              <w:rPr>
                <w:rFonts w:ascii="Arial Black" w:hAnsi="Arial Black"/>
                <w:sz w:val="22"/>
                <w:szCs w:val="22"/>
              </w:rPr>
              <w:t xml:space="preserve"> (1.94 </w:t>
            </w:r>
            <w:r w:rsidRPr="003C4991">
              <w:rPr>
                <w:rFonts w:ascii="Arial Black" w:hAnsi="Arial Black" w:cs="Helvetica"/>
                <w:sz w:val="22"/>
                <w:szCs w:val="22"/>
              </w:rPr>
              <w:t>±</w:t>
            </w:r>
            <w:r w:rsidRPr="003C4991">
              <w:rPr>
                <w:rFonts w:ascii="Arial Black" w:hAnsi="Arial Black"/>
                <w:sz w:val="22"/>
                <w:szCs w:val="22"/>
              </w:rPr>
              <w:t xml:space="preserve"> 0.05 L), PEFR (205.76 </w:t>
            </w:r>
            <w:r w:rsidRPr="003C4991">
              <w:rPr>
                <w:rFonts w:ascii="Arial Black" w:hAnsi="Arial Black" w:cs="Helvetica"/>
                <w:sz w:val="22"/>
                <w:szCs w:val="22"/>
              </w:rPr>
              <w:t>±</w:t>
            </w:r>
            <w:r w:rsidRPr="003C4991">
              <w:rPr>
                <w:rFonts w:ascii="Arial Black" w:hAnsi="Arial Black"/>
                <w:sz w:val="22"/>
                <w:szCs w:val="22"/>
              </w:rPr>
              <w:t xml:space="preserve"> 2.26 L/min), and FEV</w:t>
            </w:r>
            <w:r w:rsidRPr="003C4991">
              <w:rPr>
                <w:rFonts w:ascii="Cambria Math" w:hAnsi="Cambria Math" w:cs="Cambria Math"/>
                <w:sz w:val="22"/>
                <w:szCs w:val="22"/>
              </w:rPr>
              <w:t>₁</w:t>
            </w:r>
            <w:r w:rsidRPr="003C4991">
              <w:rPr>
                <w:rFonts w:ascii="Arial Black" w:hAnsi="Arial Black"/>
                <w:sz w:val="22"/>
                <w:szCs w:val="22"/>
              </w:rPr>
              <w:t xml:space="preserve">% (65.09 </w:t>
            </w:r>
            <w:r w:rsidRPr="003C4991">
              <w:rPr>
                <w:rFonts w:ascii="Arial Black" w:hAnsi="Arial Black" w:cs="Helvetica"/>
                <w:sz w:val="22"/>
                <w:szCs w:val="22"/>
              </w:rPr>
              <w:t>±</w:t>
            </w:r>
            <w:r w:rsidRPr="003C4991">
              <w:rPr>
                <w:rFonts w:ascii="Arial Black" w:hAnsi="Arial Black"/>
                <w:sz w:val="22"/>
                <w:szCs w:val="22"/>
              </w:rPr>
              <w:t xml:space="preserve"> 1.30%). These changes indicate increased airway sensitivity and heightened bronchial hyperresponsiveness. A positive correlation was also observed between the duration of pepper exposure and the degree of decline in lung function parameters. Regular occupational exposure to </w:t>
            </w:r>
            <w:r w:rsidRPr="003C4991">
              <w:rPr>
                <w:rStyle w:val="Emphasis"/>
                <w:rFonts w:ascii="Arial Black" w:hAnsi="Arial Black"/>
                <w:sz w:val="22"/>
                <w:szCs w:val="22"/>
              </w:rPr>
              <w:t>Capsicum annuum</w:t>
            </w:r>
            <w:r w:rsidRPr="003C4991">
              <w:rPr>
                <w:rFonts w:ascii="Arial Black" w:hAnsi="Arial Black"/>
                <w:sz w:val="22"/>
                <w:szCs w:val="22"/>
              </w:rPr>
              <w:t xml:space="preserve"> powder may therefore contribute to measurable reductions in lung function and increased airway reactivity, as reflected by reduced </w:t>
            </w:r>
            <w:proofErr w:type="spellStart"/>
            <w:r w:rsidRPr="003C4991">
              <w:rPr>
                <w:rFonts w:ascii="Arial Black" w:hAnsi="Arial Black"/>
                <w:sz w:val="22"/>
                <w:szCs w:val="22"/>
              </w:rPr>
              <w:t>spirometric</w:t>
            </w:r>
            <w:proofErr w:type="spellEnd"/>
            <w:r w:rsidRPr="003C4991">
              <w:rPr>
                <w:rFonts w:ascii="Arial Black" w:hAnsi="Arial Black"/>
                <w:sz w:val="22"/>
                <w:szCs w:val="22"/>
              </w:rPr>
              <w:t xml:space="preserve"> values. These effects may occur even in the absence of clinically apparent respiratory symptoms, highlighting the need for appropriate </w:t>
            </w:r>
            <w:r w:rsidRPr="003C4991">
              <w:rPr>
                <w:rFonts w:ascii="Arial Black" w:hAnsi="Arial Black"/>
                <w:sz w:val="22"/>
                <w:szCs w:val="22"/>
              </w:rPr>
              <w:lastRenderedPageBreak/>
              <w:t>protective measures, routine respiratory health screening, and occupational health awareness among pepper vendors.</w:t>
            </w:r>
          </w:p>
        </w:tc>
      </w:tr>
    </w:tbl>
    <w:p w14:paraId="339AF7D8" w14:textId="77777777" w:rsidR="00505F06" w:rsidRPr="003C4991" w:rsidRDefault="00A24E7E" w:rsidP="00441B6F">
      <w:pPr>
        <w:pStyle w:val="Body"/>
        <w:spacing w:after="0"/>
      </w:pPr>
      <w:r w:rsidRPr="003C4991">
        <w:rPr>
          <w:rFonts w:ascii="Arial" w:hAnsi="Arial" w:cs="Arial"/>
          <w:i/>
        </w:rPr>
        <w:lastRenderedPageBreak/>
        <w:t xml:space="preserve">Keywords: </w:t>
      </w:r>
      <w:r w:rsidR="00B74FF1" w:rsidRPr="003C4991">
        <w:rPr>
          <w:rStyle w:val="Emphasis"/>
          <w:rFonts w:ascii="Arial" w:hAnsi="Arial" w:cs="Arial"/>
        </w:rPr>
        <w:t>Capsicum annuum</w:t>
      </w:r>
      <w:r w:rsidR="00B74FF1" w:rsidRPr="003C4991">
        <w:rPr>
          <w:rFonts w:ascii="Arial" w:hAnsi="Arial" w:cs="Arial"/>
        </w:rPr>
        <w:t>, airway hyperresponsiveness, spirometry, histamine challenge, occupational exposure, lung function, respiratory health, pepper vendors.</w:t>
      </w:r>
    </w:p>
    <w:p w14:paraId="5B22F4A8" w14:textId="77777777" w:rsidR="007F7B32" w:rsidRPr="003C4991" w:rsidRDefault="00B01FCD" w:rsidP="00441B6F">
      <w:pPr>
        <w:pStyle w:val="AbstHead"/>
        <w:spacing w:after="0"/>
        <w:jc w:val="both"/>
        <w:rPr>
          <w:rFonts w:ascii="Arial" w:hAnsi="Arial" w:cs="Arial"/>
        </w:rPr>
      </w:pPr>
      <w:r w:rsidRPr="003C4991">
        <w:rPr>
          <w:rFonts w:ascii="Arial" w:hAnsi="Arial" w:cs="Arial"/>
        </w:rPr>
        <w:t>INTRODUCTION</w:t>
      </w:r>
    </w:p>
    <w:p w14:paraId="6710AD0B" w14:textId="77777777" w:rsidR="003E2E91" w:rsidRPr="003C4991" w:rsidRDefault="003E2E91" w:rsidP="003E2E91">
      <w:pPr>
        <w:spacing w:line="480" w:lineRule="auto"/>
        <w:jc w:val="both"/>
        <w:rPr>
          <w:rFonts w:ascii="Arial" w:hAnsi="Arial" w:cs="Arial"/>
        </w:rPr>
      </w:pPr>
      <w:r w:rsidRPr="003C4991">
        <w:rPr>
          <w:rFonts w:ascii="Arial" w:hAnsi="Arial" w:cs="Arial"/>
          <w:i/>
        </w:rPr>
        <w:t>Capsicum annuum</w:t>
      </w:r>
      <w:r w:rsidRPr="003C4991">
        <w:rPr>
          <w:rFonts w:ascii="Arial" w:hAnsi="Arial" w:cs="Arial"/>
        </w:rPr>
        <w:t xml:space="preserve">, commonly known as bell pepper, is a widely cultivated vegetable and a significant crop in both local and global markets. Its consumption is largely driven by its nutritional value, particularly its rich content of vitamins (especially vitamin C) and antioxidants, which play vital roles in human health (Zhang </w:t>
      </w:r>
      <w:r w:rsidRPr="003C4991">
        <w:rPr>
          <w:rFonts w:ascii="Arial" w:hAnsi="Arial" w:cs="Arial"/>
          <w:i/>
        </w:rPr>
        <w:t>et al.,</w:t>
      </w:r>
      <w:r w:rsidRPr="003C4991">
        <w:rPr>
          <w:rFonts w:ascii="Arial" w:hAnsi="Arial" w:cs="Arial"/>
        </w:rPr>
        <w:t xml:space="preserve"> 2018). </w:t>
      </w:r>
      <w:r w:rsidRPr="003C4991">
        <w:rPr>
          <w:rFonts w:ascii="Arial" w:hAnsi="Arial" w:cs="Arial"/>
          <w:i/>
        </w:rPr>
        <w:t xml:space="preserve">Capsicum annuum </w:t>
      </w:r>
      <w:r w:rsidRPr="003C4991">
        <w:rPr>
          <w:rFonts w:ascii="Arial" w:hAnsi="Arial" w:cs="Arial"/>
        </w:rPr>
        <w:t xml:space="preserve">is also appreciated for its culinary uses, offering both flavor and color to a variety of dishes (Sarker </w:t>
      </w:r>
      <w:r w:rsidRPr="003C4991">
        <w:rPr>
          <w:rFonts w:ascii="Arial" w:hAnsi="Arial" w:cs="Arial"/>
          <w:i/>
        </w:rPr>
        <w:t>et al.,</w:t>
      </w:r>
      <w:r w:rsidRPr="003C4991">
        <w:rPr>
          <w:rFonts w:ascii="Arial" w:hAnsi="Arial" w:cs="Arial"/>
        </w:rPr>
        <w:t xml:space="preserve"> 2020). Vendors who work with pepper daily, especially in the preparation or grinding stages, are at risk of inhaling fine dust particles and volatile compounds, which can irritate the respiratory system. Capsaicin, the bioactive compound responsible for the spicy sensation in peppers, can cause acute respiratory discomfort when inhaled, including coughing, sneezing, and shortness of breath. Capsaicin has been shown to cause irritation to the airways, leading to symptoms such as coughing, wheezing, and dyspnea (shortness of breath). In a study by </w:t>
      </w:r>
      <w:r w:rsidRPr="003C4991">
        <w:rPr>
          <w:rStyle w:val="Strong"/>
          <w:rFonts w:ascii="Arial" w:hAnsi="Arial" w:cs="Arial"/>
          <w:b w:val="0"/>
        </w:rPr>
        <w:t xml:space="preserve">Schiller </w:t>
      </w:r>
      <w:r w:rsidRPr="003C4991">
        <w:rPr>
          <w:rStyle w:val="Strong"/>
          <w:rFonts w:ascii="Arial" w:hAnsi="Arial" w:cs="Arial"/>
          <w:b w:val="0"/>
          <w:i/>
        </w:rPr>
        <w:t>et al.</w:t>
      </w:r>
      <w:r w:rsidRPr="003C4991">
        <w:rPr>
          <w:rStyle w:val="Strong"/>
          <w:rFonts w:ascii="Arial" w:hAnsi="Arial" w:cs="Arial"/>
          <w:b w:val="0"/>
        </w:rPr>
        <w:t xml:space="preserve"> (2009)</w:t>
      </w:r>
      <w:r w:rsidRPr="003C4991">
        <w:rPr>
          <w:rFonts w:ascii="Arial" w:hAnsi="Arial" w:cs="Arial"/>
          <w:b/>
        </w:rPr>
        <w:t>,</w:t>
      </w:r>
      <w:r w:rsidRPr="003C4991">
        <w:rPr>
          <w:rFonts w:ascii="Arial" w:hAnsi="Arial" w:cs="Arial"/>
        </w:rPr>
        <w:t xml:space="preserve"> it was found that capsaicin exposure led to bronchoconstriction in sensitive individuals, particularly in asthmatic patients. This effect could be exacerbated in workers handling pepper continuously</w:t>
      </w:r>
    </w:p>
    <w:p w14:paraId="05CB5AF0" w14:textId="77777777" w:rsidR="00994CE5" w:rsidRPr="003C4991" w:rsidRDefault="00000000">
      <w:r w:rsidRPr="003C4991">
        <w:t xml:space="preserve">From an occupational-health perspective, pepper handling should be considered exposure to a complex plant-derived aerosol rather than to capsaicin alone. Organic dust, fragmented plant material, and pungent compounds may act as irritants or sensitizers, and repeated workplace exposure is a recognized pathway to work-related respiratory symptoms and occupational asthma (Baur &amp; </w:t>
      </w:r>
      <w:proofErr w:type="spellStart"/>
      <w:r w:rsidRPr="003C4991">
        <w:t>Bakehe</w:t>
      </w:r>
      <w:proofErr w:type="spellEnd"/>
      <w:r w:rsidRPr="003C4991">
        <w:t xml:space="preserve">, 2014; Nicholson et al., 2005; Tarlo &amp; </w:t>
      </w:r>
      <w:proofErr w:type="spellStart"/>
      <w:r w:rsidRPr="003C4991">
        <w:t>Lemiere</w:t>
      </w:r>
      <w:proofErr w:type="spellEnd"/>
      <w:r w:rsidRPr="003C4991">
        <w:t>, 2014).</w:t>
      </w:r>
    </w:p>
    <w:p w14:paraId="656C57CA" w14:textId="77777777" w:rsidR="00790ADA" w:rsidRPr="003C4991" w:rsidRDefault="003E2E91" w:rsidP="003E2E91">
      <w:pPr>
        <w:pStyle w:val="AbstHead"/>
        <w:spacing w:after="0"/>
        <w:rPr>
          <w:rFonts w:ascii="Arial" w:hAnsi="Arial" w:cs="Arial"/>
          <w:b w:val="0"/>
          <w:sz w:val="20"/>
        </w:rPr>
      </w:pPr>
      <w:r w:rsidRPr="003C4991">
        <w:rPr>
          <w:rFonts w:ascii="Arial" w:hAnsi="Arial" w:cs="Arial"/>
          <w:b w:val="0"/>
          <w:caps w:val="0"/>
          <w:sz w:val="20"/>
        </w:rPr>
        <w:t xml:space="preserve">prolonged exposure to pepper dust can also lead to chronic conditions such as occupational asthma, bronchitis, and chronic obstructive pulmonary disease (COPD). the dust particles can irritate the mucosal lining of the lungs, leading to inflammation, narrowed airways, and difficulty breathing. in a study conducted by </w:t>
      </w:r>
      <w:r w:rsidRPr="003C4991">
        <w:rPr>
          <w:rFonts w:ascii="Arial" w:hAnsi="Arial" w:cs="Arial"/>
          <w:b w:val="0"/>
          <w:bCs/>
          <w:caps w:val="0"/>
          <w:sz w:val="20"/>
        </w:rPr>
        <w:t xml:space="preserve">Julien </w:t>
      </w:r>
      <w:r w:rsidRPr="003C4991">
        <w:rPr>
          <w:rFonts w:ascii="Arial" w:hAnsi="Arial" w:cs="Arial"/>
          <w:b w:val="0"/>
          <w:bCs/>
          <w:i/>
          <w:caps w:val="0"/>
          <w:sz w:val="20"/>
        </w:rPr>
        <w:t>et al.</w:t>
      </w:r>
      <w:r w:rsidRPr="003C4991">
        <w:rPr>
          <w:rFonts w:ascii="Arial" w:hAnsi="Arial" w:cs="Arial"/>
          <w:b w:val="0"/>
          <w:bCs/>
          <w:caps w:val="0"/>
          <w:sz w:val="20"/>
        </w:rPr>
        <w:t xml:space="preserve"> (2005)</w:t>
      </w:r>
      <w:r w:rsidRPr="003C4991">
        <w:rPr>
          <w:rFonts w:ascii="Arial" w:hAnsi="Arial" w:cs="Arial"/>
          <w:b w:val="0"/>
          <w:caps w:val="0"/>
          <w:sz w:val="20"/>
        </w:rPr>
        <w:t xml:space="preserve">, it was found that workers in occupations involving the handling of spices or dust, including chili powder, had an increased risk of developing asthma-like symptoms, including wheezing and chest tightness. while respiratory issues are the primary concern, pepper can also cause skin irritation in vendors who handle it frequently. capsaicin is known to cause a burning sensation and redness upon contact with the skin, leading to conditions like contact dermatitis or skin sensitization. a study by </w:t>
      </w:r>
      <w:r w:rsidRPr="003C4991">
        <w:rPr>
          <w:rFonts w:ascii="Arial" w:hAnsi="Arial" w:cs="Arial"/>
          <w:b w:val="0"/>
          <w:bCs/>
          <w:caps w:val="0"/>
          <w:sz w:val="20"/>
        </w:rPr>
        <w:t xml:space="preserve">Zhang </w:t>
      </w:r>
      <w:r w:rsidRPr="003C4991">
        <w:rPr>
          <w:rFonts w:ascii="Arial" w:hAnsi="Arial" w:cs="Arial"/>
          <w:b w:val="0"/>
          <w:bCs/>
          <w:i/>
          <w:caps w:val="0"/>
          <w:sz w:val="20"/>
        </w:rPr>
        <w:t>et al.</w:t>
      </w:r>
      <w:r w:rsidRPr="003C4991">
        <w:rPr>
          <w:rFonts w:ascii="Arial" w:hAnsi="Arial" w:cs="Arial"/>
          <w:b w:val="0"/>
          <w:bCs/>
          <w:caps w:val="0"/>
          <w:sz w:val="20"/>
        </w:rPr>
        <w:t xml:space="preserve"> (2014)</w:t>
      </w:r>
      <w:r w:rsidRPr="003C4991">
        <w:rPr>
          <w:rFonts w:ascii="Arial" w:hAnsi="Arial" w:cs="Arial"/>
          <w:b w:val="0"/>
          <w:caps w:val="0"/>
          <w:sz w:val="20"/>
        </w:rPr>
        <w:t xml:space="preserve"> demonstrated that individuals who handled pepper frequently without protective gloves experienced mild to severe skin irritation, redness, and itching due to capsaicin exposure. long-term exposure to pepper dust and capsaicin can lead to chronic inflammation in the airways and other parts of the respiratory system. this can result in a progressive decline in lung function, particularly in those with pre-</w:t>
      </w:r>
      <w:r w:rsidRPr="003C4991">
        <w:rPr>
          <w:rFonts w:ascii="Arial" w:hAnsi="Arial" w:cs="Arial"/>
          <w:b w:val="0"/>
          <w:caps w:val="0"/>
          <w:sz w:val="20"/>
        </w:rPr>
        <w:lastRenderedPageBreak/>
        <w:t xml:space="preserve">existing respiratory conditions. a study by </w:t>
      </w:r>
      <w:r w:rsidRPr="003C4991">
        <w:rPr>
          <w:rFonts w:ascii="Arial" w:hAnsi="Arial" w:cs="Arial"/>
          <w:b w:val="0"/>
          <w:bCs/>
          <w:caps w:val="0"/>
          <w:sz w:val="20"/>
        </w:rPr>
        <w:t xml:space="preserve">Sarkar </w:t>
      </w:r>
      <w:r w:rsidRPr="003C4991">
        <w:rPr>
          <w:rFonts w:ascii="Arial" w:hAnsi="Arial" w:cs="Arial"/>
          <w:b w:val="0"/>
          <w:bCs/>
          <w:i/>
          <w:caps w:val="0"/>
          <w:sz w:val="20"/>
        </w:rPr>
        <w:t xml:space="preserve">et al. </w:t>
      </w:r>
      <w:r w:rsidRPr="003C4991">
        <w:rPr>
          <w:rFonts w:ascii="Arial" w:hAnsi="Arial" w:cs="Arial"/>
          <w:b w:val="0"/>
          <w:bCs/>
          <w:caps w:val="0"/>
          <w:sz w:val="20"/>
        </w:rPr>
        <w:t>(2015)</w:t>
      </w:r>
      <w:r w:rsidRPr="003C4991">
        <w:rPr>
          <w:rFonts w:ascii="Arial" w:hAnsi="Arial" w:cs="Arial"/>
          <w:b w:val="0"/>
          <w:caps w:val="0"/>
          <w:sz w:val="20"/>
        </w:rPr>
        <w:t xml:space="preserve"> reviewed the long-term effects of capsaicin and found that continuous exposure to capsaicin-induced inflammation could result in permanent lung damage, particularly among those working in spice processing plants which exist daily among vendors.</w:t>
      </w:r>
    </w:p>
    <w:p w14:paraId="0870DFD7" w14:textId="77777777" w:rsidR="00994CE5" w:rsidRPr="003C4991" w:rsidRDefault="00000000">
      <w:r w:rsidRPr="003C4991">
        <w:t>Capsaicin activates transient receptor potential vanilloid 1 (TRPV1)-expressing vagal afferent fibers, producing cough and neurogenic airway responses; however, evidence of cough or transient bronchoconstriction should not by itself be interpreted as proof of permanent lung injury. The biologically plausible outcome is heightened airway sensory responsiveness, which should be evaluated with standardized spirometry and bronchial-challenge methods (</w:t>
      </w:r>
      <w:proofErr w:type="spellStart"/>
      <w:r w:rsidRPr="003C4991">
        <w:t>Belvisi</w:t>
      </w:r>
      <w:proofErr w:type="spellEnd"/>
      <w:r w:rsidRPr="003C4991">
        <w:t xml:space="preserve"> &amp; Birrell, 2017; Coates et al., 2017; Mazzone &amp; Undem, 2016).</w:t>
      </w:r>
    </w:p>
    <w:p w14:paraId="6D47ED74" w14:textId="77777777" w:rsidR="007F7B32" w:rsidRPr="003C4991" w:rsidRDefault="00902823" w:rsidP="00441B6F">
      <w:pPr>
        <w:pStyle w:val="AbstHead"/>
        <w:spacing w:after="0"/>
        <w:jc w:val="both"/>
        <w:rPr>
          <w:rFonts w:ascii="Arial" w:hAnsi="Arial" w:cs="Arial"/>
        </w:rPr>
      </w:pPr>
      <w:r w:rsidRPr="003C4991">
        <w:rPr>
          <w:rFonts w:ascii="Arial" w:hAnsi="Arial" w:cs="Arial"/>
        </w:rPr>
        <w:t>material and method</w:t>
      </w:r>
      <w:r w:rsidR="00000F8F" w:rsidRPr="003C4991">
        <w:rPr>
          <w:rFonts w:ascii="Arial" w:hAnsi="Arial" w:cs="Arial"/>
        </w:rPr>
        <w:t>s / experimental details</w:t>
      </w:r>
      <w:r w:rsidR="006B57D0" w:rsidRPr="003C4991">
        <w:rPr>
          <w:rFonts w:ascii="Arial" w:hAnsi="Arial" w:cs="Arial"/>
        </w:rPr>
        <w:t xml:space="preserve"> / methodology</w:t>
      </w:r>
    </w:p>
    <w:p w14:paraId="7B6D7DBD"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Materials:</w:t>
      </w:r>
      <w:r w:rsidRPr="003C4991">
        <w:rPr>
          <w:rFonts w:ascii="Arial" w:hAnsi="Arial" w:cs="Arial"/>
          <w:sz w:val="22"/>
          <w:szCs w:val="22"/>
        </w:rPr>
        <w:br/>
      </w:r>
      <w:proofErr w:type="spellStart"/>
      <w:r w:rsidRPr="003C4991">
        <w:rPr>
          <w:rFonts w:ascii="Arial" w:hAnsi="Arial" w:cs="Arial"/>
          <w:sz w:val="22"/>
          <w:szCs w:val="22"/>
        </w:rPr>
        <w:t>Vitalograph</w:t>
      </w:r>
      <w:proofErr w:type="spellEnd"/>
      <w:r w:rsidRPr="003C4991">
        <w:rPr>
          <w:rFonts w:ascii="Arial" w:hAnsi="Arial" w:cs="Arial"/>
          <w:sz w:val="22"/>
          <w:szCs w:val="22"/>
        </w:rPr>
        <w:t>, Nebulizer, Histamine, Pulse Oximeter,</w:t>
      </w:r>
      <w:r w:rsidR="0019636B" w:rsidRPr="003C4991">
        <w:rPr>
          <w:rFonts w:ascii="Arial" w:hAnsi="Arial" w:cs="Arial"/>
          <w:sz w:val="22"/>
          <w:szCs w:val="22"/>
        </w:rPr>
        <w:t xml:space="preserve"> </w:t>
      </w:r>
      <w:r w:rsidRPr="003C4991">
        <w:rPr>
          <w:rFonts w:ascii="Arial" w:hAnsi="Arial" w:cs="Arial"/>
          <w:sz w:val="22"/>
          <w:szCs w:val="22"/>
        </w:rPr>
        <w:t>Weighing balance, Questionnaire, Young adult (18-35 years)</w:t>
      </w:r>
      <w:r w:rsidR="004338C3" w:rsidRPr="003C4991">
        <w:rPr>
          <w:rFonts w:ascii="Arial" w:hAnsi="Arial" w:cs="Arial"/>
          <w:sz w:val="22"/>
          <w:szCs w:val="22"/>
        </w:rPr>
        <w:t>.</w:t>
      </w:r>
    </w:p>
    <w:p w14:paraId="327DAC94"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Study Subject</w:t>
      </w:r>
      <w:r w:rsidR="004338C3" w:rsidRPr="003C4991">
        <w:rPr>
          <w:rFonts w:ascii="Arial" w:hAnsi="Arial" w:cs="Arial"/>
          <w:sz w:val="22"/>
          <w:szCs w:val="22"/>
        </w:rPr>
        <w:t>:</w:t>
      </w:r>
      <w:r w:rsidRPr="003C4991">
        <w:rPr>
          <w:rFonts w:ascii="Arial" w:hAnsi="Arial" w:cs="Arial"/>
          <w:sz w:val="22"/>
          <w:szCs w:val="22"/>
        </w:rPr>
        <w:br/>
        <w:t xml:space="preserve">The subject </w:t>
      </w:r>
      <w:r w:rsidR="00244717" w:rsidRPr="003C4991">
        <w:rPr>
          <w:rFonts w:ascii="Arial" w:hAnsi="Arial" w:cs="Arial"/>
          <w:sz w:val="22"/>
          <w:szCs w:val="22"/>
        </w:rPr>
        <w:t>was</w:t>
      </w:r>
      <w:r w:rsidRPr="003C4991">
        <w:rPr>
          <w:rFonts w:ascii="Arial" w:hAnsi="Arial" w:cs="Arial"/>
          <w:sz w:val="22"/>
          <w:szCs w:val="22"/>
        </w:rPr>
        <w:t xml:space="preserve"> Capsicum annuum vendors in Calabar Municipal, Cross River State, age (18-35 years) exposed to Capsicum annuum powder, </w:t>
      </w:r>
      <w:proofErr w:type="spellStart"/>
      <w:r w:rsidRPr="003C4991">
        <w:rPr>
          <w:rFonts w:ascii="Arial" w:hAnsi="Arial" w:cs="Arial"/>
          <w:sz w:val="22"/>
          <w:szCs w:val="22"/>
        </w:rPr>
        <w:t>deviod</w:t>
      </w:r>
      <w:r w:rsidR="0019636B" w:rsidRPr="003C4991">
        <w:rPr>
          <w:rFonts w:ascii="Arial" w:hAnsi="Arial" w:cs="Arial"/>
          <w:sz w:val="22"/>
          <w:szCs w:val="22"/>
        </w:rPr>
        <w:t>s</w:t>
      </w:r>
      <w:proofErr w:type="spellEnd"/>
      <w:r w:rsidRPr="003C4991">
        <w:rPr>
          <w:rFonts w:ascii="Arial" w:hAnsi="Arial" w:cs="Arial"/>
          <w:sz w:val="22"/>
          <w:szCs w:val="22"/>
        </w:rPr>
        <w:t xml:space="preserve"> of any health condition or medication prior the investigation. Students of comparable age free from exposure were recruited from the University of Calabar as control.</w:t>
      </w:r>
    </w:p>
    <w:p w14:paraId="1A52796B"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Sample size</w:t>
      </w:r>
      <w:r w:rsidR="004338C3" w:rsidRPr="003C4991">
        <w:rPr>
          <w:rFonts w:ascii="Arial" w:hAnsi="Arial" w:cs="Arial"/>
          <w:sz w:val="22"/>
          <w:szCs w:val="22"/>
        </w:rPr>
        <w:t>:</w:t>
      </w:r>
      <w:r w:rsidRPr="003C4991">
        <w:rPr>
          <w:rFonts w:ascii="Arial" w:hAnsi="Arial" w:cs="Arial"/>
          <w:sz w:val="22"/>
          <w:szCs w:val="22"/>
        </w:rPr>
        <w:br/>
        <w:t xml:space="preserve">A sample size was determined according to the sample size formula of n=N/(1+Ne2). Where n was the sample size, N was the population size and </w:t>
      </w:r>
      <w:proofErr w:type="spellStart"/>
      <w:r w:rsidRPr="003C4991">
        <w:rPr>
          <w:rFonts w:ascii="Arial" w:hAnsi="Arial" w:cs="Arial"/>
          <w:sz w:val="22"/>
          <w:szCs w:val="22"/>
        </w:rPr>
        <w:t>e</w:t>
      </w:r>
      <w:proofErr w:type="spellEnd"/>
      <w:r w:rsidRPr="003C4991">
        <w:rPr>
          <w:rFonts w:ascii="Arial" w:hAnsi="Arial" w:cs="Arial"/>
          <w:sz w:val="22"/>
          <w:szCs w:val="22"/>
        </w:rPr>
        <w:t xml:space="preserve"> </w:t>
      </w:r>
      <w:r w:rsidR="00244717" w:rsidRPr="003C4991">
        <w:rPr>
          <w:rFonts w:ascii="Arial" w:hAnsi="Arial" w:cs="Arial"/>
          <w:sz w:val="22"/>
          <w:szCs w:val="22"/>
        </w:rPr>
        <w:t>were</w:t>
      </w:r>
      <w:r w:rsidRPr="003C4991">
        <w:rPr>
          <w:rFonts w:ascii="Arial" w:hAnsi="Arial" w:cs="Arial"/>
          <w:sz w:val="22"/>
          <w:szCs w:val="22"/>
        </w:rPr>
        <w:t xml:space="preserve"> the margin error as taken by Ryan, (2013) in the Slovin’s sampling formula (1960)</w:t>
      </w:r>
    </w:p>
    <w:p w14:paraId="6908B491"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Ethical approval</w:t>
      </w:r>
      <w:r w:rsidR="004338C3" w:rsidRPr="003C4991">
        <w:rPr>
          <w:rFonts w:ascii="Arial" w:hAnsi="Arial" w:cs="Arial"/>
          <w:sz w:val="22"/>
          <w:szCs w:val="22"/>
        </w:rPr>
        <w:t>:</w:t>
      </w:r>
      <w:r w:rsidRPr="003C4991">
        <w:rPr>
          <w:rFonts w:ascii="Arial" w:hAnsi="Arial" w:cs="Arial"/>
          <w:sz w:val="22"/>
          <w:szCs w:val="22"/>
        </w:rPr>
        <w:br/>
        <w:t>The ethical consent was obtained from the Ministry of Health, Calabar. Health Research Ethics Committee (HREC) Calabar, Cross River Sta</w:t>
      </w:r>
      <w:r w:rsidR="00391363" w:rsidRPr="003C4991">
        <w:rPr>
          <w:rFonts w:ascii="Arial" w:hAnsi="Arial" w:cs="Arial"/>
          <w:sz w:val="22"/>
          <w:szCs w:val="22"/>
        </w:rPr>
        <w:t>te with the registration number: CRS/MH/HREC/24/Vol.V1/93</w:t>
      </w:r>
    </w:p>
    <w:p w14:paraId="0E040F72"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Experimental design</w:t>
      </w:r>
      <w:r w:rsidR="004338C3" w:rsidRPr="003C4991">
        <w:rPr>
          <w:rFonts w:ascii="Arial" w:hAnsi="Arial" w:cs="Arial"/>
          <w:sz w:val="22"/>
          <w:szCs w:val="22"/>
        </w:rPr>
        <w:t>:</w:t>
      </w:r>
      <w:r w:rsidRPr="003C4991">
        <w:rPr>
          <w:rFonts w:ascii="Arial" w:hAnsi="Arial" w:cs="Arial"/>
          <w:sz w:val="22"/>
          <w:szCs w:val="22"/>
        </w:rPr>
        <w:br/>
        <w:t xml:space="preserve">The total number of </w:t>
      </w:r>
      <w:proofErr w:type="gramStart"/>
      <w:r w:rsidRPr="003C4991">
        <w:rPr>
          <w:rFonts w:ascii="Arial" w:hAnsi="Arial" w:cs="Arial"/>
          <w:sz w:val="22"/>
          <w:szCs w:val="22"/>
        </w:rPr>
        <w:t>subject</w:t>
      </w:r>
      <w:proofErr w:type="gramEnd"/>
      <w:r w:rsidRPr="003C4991">
        <w:rPr>
          <w:rFonts w:ascii="Arial" w:hAnsi="Arial" w:cs="Arial"/>
          <w:sz w:val="22"/>
          <w:szCs w:val="22"/>
        </w:rPr>
        <w:t xml:space="preserve"> for the study were divided into two group, A and B where, group A comprised of Capsicum annuum vendors and group B comprised of control subjects.</w:t>
      </w:r>
    </w:p>
    <w:p w14:paraId="4CD14A0D"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Methods</w:t>
      </w:r>
      <w:r w:rsidR="004338C3" w:rsidRPr="003C4991">
        <w:rPr>
          <w:rFonts w:ascii="Arial" w:hAnsi="Arial" w:cs="Arial"/>
          <w:sz w:val="22"/>
          <w:szCs w:val="22"/>
        </w:rPr>
        <w:t>:</w:t>
      </w:r>
      <w:r w:rsidRPr="003C4991">
        <w:rPr>
          <w:rFonts w:ascii="Arial" w:hAnsi="Arial" w:cs="Arial"/>
          <w:sz w:val="22"/>
          <w:szCs w:val="22"/>
        </w:rPr>
        <w:br/>
        <w:t xml:space="preserve">A </w:t>
      </w:r>
      <w:proofErr w:type="spellStart"/>
      <w:r w:rsidRPr="003C4991">
        <w:rPr>
          <w:rFonts w:ascii="Arial" w:hAnsi="Arial" w:cs="Arial"/>
          <w:sz w:val="22"/>
          <w:szCs w:val="22"/>
        </w:rPr>
        <w:t>vitalo</w:t>
      </w:r>
      <w:r w:rsidR="00244717" w:rsidRPr="003C4991">
        <w:rPr>
          <w:rFonts w:ascii="Arial" w:hAnsi="Arial" w:cs="Arial"/>
          <w:sz w:val="22"/>
          <w:szCs w:val="22"/>
        </w:rPr>
        <w:t>graph</w:t>
      </w:r>
      <w:proofErr w:type="spellEnd"/>
      <w:r w:rsidR="00244717" w:rsidRPr="003C4991">
        <w:rPr>
          <w:rFonts w:ascii="Arial" w:hAnsi="Arial" w:cs="Arial"/>
          <w:sz w:val="22"/>
          <w:szCs w:val="22"/>
        </w:rPr>
        <w:t xml:space="preserve"> spirometer (Alpha 6000</w:t>
      </w:r>
      <w:r w:rsidRPr="003C4991">
        <w:rPr>
          <w:rFonts w:ascii="Arial" w:hAnsi="Arial" w:cs="Arial"/>
          <w:sz w:val="22"/>
          <w:szCs w:val="22"/>
        </w:rPr>
        <w:t xml:space="preserve">) was used to assess lung function, basic physiological indices such as, oxygen saturation, heart rate, temperature and blood pressure. Ensure the patient seated in a comfortable position. The subject was instructed to take a deep breath in and exhale forcefully into the </w:t>
      </w:r>
      <w:proofErr w:type="spellStart"/>
      <w:r w:rsidRPr="003C4991">
        <w:rPr>
          <w:rFonts w:ascii="Arial" w:hAnsi="Arial" w:cs="Arial"/>
          <w:sz w:val="22"/>
          <w:szCs w:val="22"/>
        </w:rPr>
        <w:t>vitalograph</w:t>
      </w:r>
      <w:proofErr w:type="spellEnd"/>
      <w:r w:rsidRPr="003C4991">
        <w:rPr>
          <w:rFonts w:ascii="Arial" w:hAnsi="Arial" w:cs="Arial"/>
          <w:sz w:val="22"/>
          <w:szCs w:val="22"/>
        </w:rPr>
        <w:t xml:space="preserve"> as hard and fast as possible until no more air could be expelled. The test was repeated at least three to five times to ensure reproducibility. Venous blood was obtained from subject using 2ml syringe into the EDTA bottle. Elisa kits were used to analyze inflammatory biomarker using the manufacturer’s protocol provided in the kits.</w:t>
      </w:r>
      <w:r w:rsidRPr="003C4991">
        <w:rPr>
          <w:rFonts w:ascii="Arial" w:hAnsi="Arial" w:cs="Arial"/>
          <w:sz w:val="22"/>
          <w:szCs w:val="22"/>
        </w:rPr>
        <w:br/>
        <w:t>A nebulizer was used to aerosolize histamine in increasing concentrations.</w:t>
      </w:r>
      <w:r w:rsidRPr="003C4991">
        <w:rPr>
          <w:rFonts w:ascii="Arial" w:hAnsi="Arial" w:cs="Arial"/>
          <w:sz w:val="22"/>
          <w:szCs w:val="22"/>
        </w:rPr>
        <w:br/>
        <w:t>The Capsicum annuum vendors inhaled histamine in a controlled manner.</w:t>
      </w:r>
    </w:p>
    <w:p w14:paraId="1412B30F"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lastRenderedPageBreak/>
        <w:t>Measurement of Lung Function:</w:t>
      </w:r>
      <w:r w:rsidRPr="003C4991">
        <w:rPr>
          <w:rFonts w:ascii="Arial" w:hAnsi="Arial" w:cs="Arial"/>
          <w:sz w:val="22"/>
          <w:szCs w:val="22"/>
        </w:rPr>
        <w:br/>
        <w:t>After each dose, FEV</w:t>
      </w:r>
      <w:r w:rsidRPr="003C4991">
        <w:rPr>
          <w:rFonts w:ascii="Cambria Math" w:hAnsi="Cambria Math" w:cs="Cambria Math"/>
          <w:sz w:val="22"/>
          <w:szCs w:val="22"/>
        </w:rPr>
        <w:t>₁</w:t>
      </w:r>
      <w:r w:rsidRPr="003C4991">
        <w:rPr>
          <w:rFonts w:ascii="Arial" w:hAnsi="Arial" w:cs="Arial"/>
          <w:sz w:val="22"/>
          <w:szCs w:val="22"/>
        </w:rPr>
        <w:t xml:space="preserve"> was measured using spirometry.</w:t>
      </w:r>
      <w:r w:rsidRPr="003C4991">
        <w:rPr>
          <w:rFonts w:ascii="Arial" w:hAnsi="Arial" w:cs="Arial"/>
          <w:sz w:val="22"/>
          <w:szCs w:val="22"/>
        </w:rPr>
        <w:br/>
        <w:t>The test continued until FEV</w:t>
      </w:r>
      <w:r w:rsidRPr="003C4991">
        <w:rPr>
          <w:rFonts w:ascii="Cambria Math" w:hAnsi="Cambria Math" w:cs="Cambria Math"/>
          <w:sz w:val="22"/>
          <w:szCs w:val="22"/>
        </w:rPr>
        <w:t>₁</w:t>
      </w:r>
      <w:r w:rsidRPr="003C4991">
        <w:rPr>
          <w:rFonts w:ascii="Arial" w:hAnsi="Arial" w:cs="Arial"/>
          <w:sz w:val="22"/>
          <w:szCs w:val="22"/>
        </w:rPr>
        <w:t xml:space="preserve"> dropped by 20% or more from baseline or a maximum dose was reached.</w:t>
      </w:r>
    </w:p>
    <w:p w14:paraId="2C6C143A"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Determining Airway Sensitivity:</w:t>
      </w:r>
      <w:r w:rsidRPr="003C4991">
        <w:rPr>
          <w:rFonts w:ascii="Arial" w:hAnsi="Arial" w:cs="Arial"/>
          <w:sz w:val="22"/>
          <w:szCs w:val="22"/>
        </w:rPr>
        <w:br/>
        <w:t>The concentration of histamine causing a 20% drop in FEV</w:t>
      </w:r>
      <w:r w:rsidRPr="003C4991">
        <w:rPr>
          <w:rFonts w:ascii="Cambria Math" w:hAnsi="Cambria Math" w:cs="Cambria Math"/>
          <w:sz w:val="22"/>
          <w:szCs w:val="22"/>
        </w:rPr>
        <w:t>₁</w:t>
      </w:r>
      <w:r w:rsidRPr="003C4991">
        <w:rPr>
          <w:rFonts w:ascii="Arial" w:hAnsi="Arial" w:cs="Arial"/>
          <w:sz w:val="22"/>
          <w:szCs w:val="22"/>
        </w:rPr>
        <w:t xml:space="preserve"> (PC</w:t>
      </w:r>
      <w:r w:rsidRPr="003C4991">
        <w:rPr>
          <w:rFonts w:ascii="Cambria Math" w:hAnsi="Cambria Math" w:cs="Cambria Math"/>
          <w:sz w:val="22"/>
          <w:szCs w:val="22"/>
        </w:rPr>
        <w:t>₂₀</w:t>
      </w:r>
      <w:r w:rsidRPr="003C4991">
        <w:rPr>
          <w:rFonts w:ascii="Arial" w:hAnsi="Arial" w:cs="Arial"/>
          <w:sz w:val="22"/>
          <w:szCs w:val="22"/>
        </w:rPr>
        <w:t>) was recorded.</w:t>
      </w:r>
      <w:r w:rsidRPr="003C4991">
        <w:rPr>
          <w:rFonts w:ascii="Arial" w:hAnsi="Arial" w:cs="Arial"/>
          <w:sz w:val="22"/>
          <w:szCs w:val="22"/>
        </w:rPr>
        <w:br/>
        <w:t>A lower PC</w:t>
      </w:r>
      <w:r w:rsidRPr="003C4991">
        <w:rPr>
          <w:rFonts w:ascii="Cambria Math" w:hAnsi="Cambria Math" w:cs="Cambria Math"/>
          <w:sz w:val="22"/>
          <w:szCs w:val="22"/>
        </w:rPr>
        <w:t>₂₀</w:t>
      </w:r>
      <w:r w:rsidRPr="003C4991">
        <w:rPr>
          <w:rFonts w:ascii="Arial" w:hAnsi="Arial" w:cs="Arial"/>
          <w:sz w:val="22"/>
          <w:szCs w:val="22"/>
        </w:rPr>
        <w:t xml:space="preserve"> indicated higher airway hyperresponsiveness, which was characteristic of asthma or other respiratory conditions.</w:t>
      </w:r>
    </w:p>
    <w:p w14:paraId="4950BD60"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Recovery:</w:t>
      </w:r>
      <w:r w:rsidRPr="003C4991">
        <w:rPr>
          <w:rFonts w:ascii="Arial" w:hAnsi="Arial" w:cs="Arial"/>
          <w:sz w:val="22"/>
          <w:szCs w:val="22"/>
        </w:rPr>
        <w:br/>
      </w:r>
      <w:r w:rsidR="004338C3" w:rsidRPr="003C4991">
        <w:rPr>
          <w:rFonts w:ascii="Arial" w:hAnsi="Arial" w:cs="Arial"/>
          <w:sz w:val="22"/>
          <w:szCs w:val="22"/>
        </w:rPr>
        <w:t>A bronchodilator (</w:t>
      </w:r>
      <w:r w:rsidRPr="003C4991">
        <w:rPr>
          <w:rFonts w:ascii="Arial" w:hAnsi="Arial" w:cs="Arial"/>
          <w:sz w:val="22"/>
          <w:szCs w:val="22"/>
        </w:rPr>
        <w:t>salbutamol) was administered to reverse bronchoconstriction.</w:t>
      </w:r>
      <w:r w:rsidRPr="003C4991">
        <w:rPr>
          <w:rFonts w:ascii="Arial" w:hAnsi="Arial" w:cs="Arial"/>
          <w:sz w:val="22"/>
          <w:szCs w:val="22"/>
        </w:rPr>
        <w:br/>
        <w:t>The Capsicum annuum vendors were monitored until lung function returned to baseline.</w:t>
      </w:r>
    </w:p>
    <w:p w14:paraId="397DF094" w14:textId="77777777" w:rsidR="00AF4820" w:rsidRPr="003C4991" w:rsidRDefault="00AF4820" w:rsidP="00AF4820">
      <w:pPr>
        <w:spacing w:before="100" w:beforeAutospacing="1" w:after="100" w:afterAutospacing="1"/>
        <w:rPr>
          <w:rFonts w:ascii="Arial" w:hAnsi="Arial" w:cs="Arial"/>
          <w:sz w:val="22"/>
          <w:szCs w:val="22"/>
        </w:rPr>
      </w:pPr>
      <w:r w:rsidRPr="003C4991">
        <w:rPr>
          <w:rFonts w:ascii="Arial" w:hAnsi="Arial" w:cs="Arial"/>
          <w:sz w:val="22"/>
          <w:szCs w:val="22"/>
        </w:rPr>
        <w:t>Safety Considerations:</w:t>
      </w:r>
      <w:r w:rsidRPr="003C4991">
        <w:rPr>
          <w:rFonts w:ascii="Arial" w:hAnsi="Arial" w:cs="Arial"/>
          <w:sz w:val="22"/>
          <w:szCs w:val="22"/>
        </w:rPr>
        <w:br/>
        <w:t>The test was conducted in a controlled medical environment with emergency equipment ready.</w:t>
      </w:r>
      <w:r w:rsidRPr="003C4991">
        <w:rPr>
          <w:rFonts w:ascii="Arial" w:hAnsi="Arial" w:cs="Arial"/>
          <w:sz w:val="22"/>
          <w:szCs w:val="22"/>
        </w:rPr>
        <w:br/>
        <w:t>It was performed by trained professionals to manage severe bronchoconstriction if necessary.</w:t>
      </w:r>
    </w:p>
    <w:p w14:paraId="2F833C67" w14:textId="77777777" w:rsidR="00AA74E0" w:rsidRPr="003C4991" w:rsidRDefault="00AF4820" w:rsidP="00391363">
      <w:pPr>
        <w:spacing w:before="100" w:beforeAutospacing="1" w:after="100" w:afterAutospacing="1"/>
        <w:rPr>
          <w:rFonts w:ascii="Times New Roman" w:hAnsi="Times New Roman"/>
          <w:sz w:val="24"/>
          <w:szCs w:val="24"/>
        </w:rPr>
      </w:pPr>
      <w:r w:rsidRPr="003C4991">
        <w:rPr>
          <w:rFonts w:ascii="Arial" w:hAnsi="Arial" w:cs="Arial"/>
          <w:sz w:val="22"/>
          <w:szCs w:val="22"/>
        </w:rPr>
        <w:t>Statistical analysis</w:t>
      </w:r>
      <w:r w:rsidRPr="003C4991">
        <w:rPr>
          <w:rFonts w:ascii="Arial" w:hAnsi="Arial" w:cs="Arial"/>
          <w:sz w:val="22"/>
          <w:szCs w:val="22"/>
        </w:rPr>
        <w:br/>
        <w:t>All data were presented as mean ± standard error of mean. t-tests were used to compare and assess the relationship between exposure duration and changes in lung function at a level of P≤0.5 was considered statistically significant.</w:t>
      </w:r>
      <w:r w:rsidR="00AA74E0" w:rsidRPr="003C4991">
        <w:rPr>
          <w:rFonts w:ascii="Arial" w:hAnsi="Arial" w:cs="Arial"/>
        </w:rPr>
        <w:t xml:space="preserve"> </w:t>
      </w:r>
    </w:p>
    <w:p w14:paraId="58B0FEB4" w14:textId="77777777" w:rsidR="00902823" w:rsidRPr="003C4991" w:rsidRDefault="00902823" w:rsidP="00441B6F">
      <w:pPr>
        <w:pStyle w:val="Head1"/>
        <w:spacing w:after="0"/>
        <w:jc w:val="both"/>
        <w:rPr>
          <w:rFonts w:ascii="Arial" w:hAnsi="Arial" w:cs="Arial"/>
        </w:rPr>
      </w:pPr>
      <w:r w:rsidRPr="003C4991">
        <w:rPr>
          <w:rFonts w:ascii="Arial" w:hAnsi="Arial" w:cs="Arial"/>
        </w:rPr>
        <w:t xml:space="preserve"> </w:t>
      </w:r>
      <w:r w:rsidR="00000F8F" w:rsidRPr="003C4991">
        <w:rPr>
          <w:rFonts w:ascii="Arial" w:hAnsi="Arial" w:cs="Arial"/>
        </w:rPr>
        <w:t>results and discussion</w:t>
      </w:r>
    </w:p>
    <w:p w14:paraId="19281D94" w14:textId="77777777" w:rsidR="003E1F28" w:rsidRPr="003C4991" w:rsidRDefault="003E1F28" w:rsidP="003E1F28">
      <w:pPr>
        <w:spacing w:before="240" w:line="480" w:lineRule="auto"/>
        <w:ind w:right="270"/>
        <w:jc w:val="both"/>
        <w:rPr>
          <w:rFonts w:ascii="Times New Roman" w:hAnsi="Times New Roman"/>
          <w:sz w:val="24"/>
          <w:szCs w:val="24"/>
        </w:rPr>
      </w:pPr>
      <w:r w:rsidRPr="003C4991">
        <w:rPr>
          <w:rFonts w:ascii="Times New Roman" w:hAnsi="Times New Roman"/>
          <w:sz w:val="24"/>
          <w:szCs w:val="24"/>
        </w:rPr>
        <w:t xml:space="preserve">This study assessed the inflammatory biomarkers and some demographic and lung function parameters of </w:t>
      </w:r>
      <w:r w:rsidRPr="003C4991">
        <w:rPr>
          <w:rFonts w:ascii="Times New Roman" w:hAnsi="Times New Roman"/>
          <w:i/>
          <w:sz w:val="24"/>
          <w:szCs w:val="24"/>
        </w:rPr>
        <w:t>Capsicum annuum</w:t>
      </w:r>
      <w:r w:rsidRPr="003C4991">
        <w:rPr>
          <w:rFonts w:ascii="Times New Roman" w:hAnsi="Times New Roman"/>
          <w:sz w:val="24"/>
          <w:szCs w:val="24"/>
        </w:rPr>
        <w:t xml:space="preserve"> vendors exposed to histamine in Calabar Municipality. The results were compared with control and presented as standards error of mean (SEM). </w:t>
      </w:r>
    </w:p>
    <w:p w14:paraId="3303769B" w14:textId="77777777" w:rsidR="00994CE5" w:rsidRPr="003C4991" w:rsidRDefault="00000000">
      <w:r w:rsidRPr="003C4991">
        <w:t xml:space="preserve">The findings should be interpreted as within-subject responses to histamine and not as direct evidence that pepper exposure caused the observed changes, because a cross-sectional design cannot establish temporality and the reported comparisons require consideration of relevant covariates. </w:t>
      </w:r>
      <w:proofErr w:type="spellStart"/>
      <w:r w:rsidRPr="003C4991">
        <w:t>Spirometric</w:t>
      </w:r>
      <w:proofErr w:type="spellEnd"/>
      <w:r w:rsidRPr="003C4991">
        <w:t xml:space="preserve"> quality control, suitable reference equations, and standardized challenge procedures are essential when comparing occupational groups (Coates et al., 2017; Graham et al., 2019; </w:t>
      </w:r>
      <w:proofErr w:type="spellStart"/>
      <w:r w:rsidRPr="003C4991">
        <w:t>Quanjer</w:t>
      </w:r>
      <w:proofErr w:type="spellEnd"/>
      <w:r w:rsidRPr="003C4991">
        <w:t xml:space="preserve"> et al., 2012).</w:t>
      </w:r>
    </w:p>
    <w:p w14:paraId="3D28DA03" w14:textId="77777777" w:rsidR="00561792" w:rsidRDefault="00561792" w:rsidP="003E1F28">
      <w:pPr>
        <w:spacing w:line="480" w:lineRule="auto"/>
        <w:jc w:val="both"/>
        <w:rPr>
          <w:rFonts w:ascii="Times New Roman" w:hAnsi="Times New Roman"/>
          <w:b/>
          <w:sz w:val="24"/>
          <w:szCs w:val="24"/>
        </w:rPr>
      </w:pPr>
    </w:p>
    <w:p w14:paraId="3DF5EF40" w14:textId="77777777" w:rsidR="00561792" w:rsidRDefault="00561792" w:rsidP="003E1F28">
      <w:pPr>
        <w:spacing w:line="480" w:lineRule="auto"/>
        <w:jc w:val="both"/>
        <w:rPr>
          <w:rFonts w:ascii="Times New Roman" w:hAnsi="Times New Roman"/>
          <w:b/>
          <w:sz w:val="24"/>
          <w:szCs w:val="24"/>
        </w:rPr>
      </w:pPr>
    </w:p>
    <w:p w14:paraId="514963DA" w14:textId="77777777" w:rsidR="00561792" w:rsidRDefault="00561792" w:rsidP="003E1F28">
      <w:pPr>
        <w:spacing w:line="480" w:lineRule="auto"/>
        <w:jc w:val="both"/>
        <w:rPr>
          <w:rFonts w:ascii="Times New Roman" w:hAnsi="Times New Roman"/>
          <w:b/>
          <w:sz w:val="24"/>
          <w:szCs w:val="24"/>
        </w:rPr>
      </w:pPr>
    </w:p>
    <w:p w14:paraId="26E9E8DC" w14:textId="1EE84FC8" w:rsidR="003E1F28" w:rsidRPr="003C4991" w:rsidRDefault="003E1F28" w:rsidP="003E1F28">
      <w:pPr>
        <w:spacing w:line="480" w:lineRule="auto"/>
        <w:jc w:val="both"/>
        <w:rPr>
          <w:rFonts w:ascii="Times New Roman" w:hAnsi="Times New Roman"/>
          <w:b/>
          <w:sz w:val="24"/>
          <w:szCs w:val="24"/>
        </w:rPr>
      </w:pPr>
      <w:r w:rsidRPr="003C4991">
        <w:rPr>
          <w:rFonts w:ascii="Times New Roman" w:hAnsi="Times New Roman"/>
          <w:b/>
          <w:sz w:val="24"/>
          <w:szCs w:val="24"/>
        </w:rPr>
        <w:lastRenderedPageBreak/>
        <w:t>Comparison of demographic parameter in the test subjects</w:t>
      </w:r>
    </w:p>
    <w:p w14:paraId="7696FD83" w14:textId="77777777" w:rsidR="003E1F28" w:rsidRPr="003C4991" w:rsidRDefault="003E1F28" w:rsidP="003E1F28">
      <w:pPr>
        <w:spacing w:line="480" w:lineRule="auto"/>
        <w:jc w:val="both"/>
        <w:rPr>
          <w:rFonts w:ascii="Times New Roman" w:hAnsi="Times New Roman"/>
          <w:sz w:val="24"/>
          <w:szCs w:val="24"/>
        </w:rPr>
      </w:pPr>
      <w:r w:rsidRPr="003C4991">
        <w:rPr>
          <w:rFonts w:ascii="Times New Roman" w:hAnsi="Times New Roman"/>
          <w:sz w:val="24"/>
          <w:szCs w:val="24"/>
        </w:rPr>
        <w:t>The mean value of duration, age, weight and height, was presented as age 31.21 ± 0.67 weight 66.69 ± 0.38 and height 1.67 ±0.00. There was no significant difference at (p&lt;0.001).</w:t>
      </w:r>
    </w:p>
    <w:p w14:paraId="19887045" w14:textId="77777777" w:rsidR="00994CE5" w:rsidRPr="003C4991" w:rsidRDefault="00000000">
      <w:r w:rsidRPr="003C4991">
        <w:t xml:space="preserve">Age, sex, height, and population-appropriate reference equations influence expected FEV₁ and FVC; therefore, similarity in participant characteristics supports group comparability but does not replace multivariable adjustment. Interpretation should be based on lower limits of normal or z-scores rather than raw values alone (Graham et al., 2019; </w:t>
      </w:r>
      <w:proofErr w:type="spellStart"/>
      <w:r w:rsidRPr="003C4991">
        <w:t>Quanjer</w:t>
      </w:r>
      <w:proofErr w:type="spellEnd"/>
      <w:r w:rsidRPr="003C4991">
        <w:t xml:space="preserve"> et al., 2012).</w:t>
      </w:r>
    </w:p>
    <w:p w14:paraId="2247CD47" w14:textId="77777777" w:rsidR="003E1F28" w:rsidRPr="003C4991" w:rsidRDefault="003E1F28" w:rsidP="003E1F28">
      <w:pPr>
        <w:spacing w:line="480" w:lineRule="auto"/>
        <w:jc w:val="both"/>
        <w:rPr>
          <w:rFonts w:ascii="Times New Roman" w:hAnsi="Times New Roman"/>
          <w:b/>
          <w:sz w:val="24"/>
          <w:szCs w:val="24"/>
        </w:rPr>
      </w:pPr>
      <w:r w:rsidRPr="003C4991">
        <w:rPr>
          <w:rFonts w:ascii="Times New Roman" w:hAnsi="Times New Roman"/>
          <w:b/>
          <w:sz w:val="24"/>
          <w:szCs w:val="24"/>
        </w:rPr>
        <w:t>Basal measurement of lung functions parameter in the test subjects</w:t>
      </w:r>
    </w:p>
    <w:p w14:paraId="379AD7D6" w14:textId="77777777" w:rsidR="003E1F28" w:rsidRPr="003C4991" w:rsidRDefault="003E1F28" w:rsidP="003E1F28">
      <w:pPr>
        <w:spacing w:line="480" w:lineRule="auto"/>
        <w:jc w:val="both"/>
        <w:rPr>
          <w:rFonts w:ascii="Times New Roman" w:hAnsi="Times New Roman"/>
          <w:sz w:val="24"/>
          <w:szCs w:val="24"/>
        </w:rPr>
      </w:pPr>
      <w:r w:rsidRPr="003C4991">
        <w:rPr>
          <w:rFonts w:ascii="Times New Roman" w:hAnsi="Times New Roman"/>
          <w:sz w:val="24"/>
          <w:szCs w:val="24"/>
        </w:rPr>
        <w:t>The result of the mean value of basal measurement for FVC, FEV</w:t>
      </w:r>
      <w:r w:rsidRPr="003C4991">
        <w:rPr>
          <w:rFonts w:ascii="Times New Roman" w:hAnsi="Times New Roman"/>
          <w:sz w:val="24"/>
          <w:szCs w:val="24"/>
          <w:vertAlign w:val="subscript"/>
        </w:rPr>
        <w:t>1</w:t>
      </w:r>
      <w:r w:rsidRPr="003C4991">
        <w:rPr>
          <w:rFonts w:ascii="Times New Roman" w:hAnsi="Times New Roman"/>
          <w:sz w:val="24"/>
          <w:szCs w:val="24"/>
        </w:rPr>
        <w:t>, PEF and FEV</w:t>
      </w:r>
      <w:r w:rsidRPr="003C4991">
        <w:rPr>
          <w:rFonts w:ascii="Times New Roman" w:hAnsi="Times New Roman"/>
          <w:sz w:val="24"/>
          <w:szCs w:val="24"/>
          <w:vertAlign w:val="subscript"/>
        </w:rPr>
        <w:t>1</w:t>
      </w:r>
      <w:r w:rsidRPr="003C4991">
        <w:rPr>
          <w:rFonts w:ascii="Times New Roman" w:hAnsi="Times New Roman"/>
          <w:sz w:val="24"/>
          <w:szCs w:val="24"/>
        </w:rPr>
        <w:t xml:space="preserve">% was presented as 3.44 ± 0.08, 2.43 ± 0.07, 239.41 ± 4.99 and 70.92 ± 1.73 respectively. </w:t>
      </w:r>
    </w:p>
    <w:p w14:paraId="4A570BAD" w14:textId="77777777" w:rsidR="00994CE5" w:rsidRPr="003C4991" w:rsidRDefault="00000000">
      <w:r w:rsidRPr="003C4991">
        <w:t xml:space="preserve">At baseline, the absolute values cannot be classified as normal or abnormal without sex- and height-specific reference predictions and test-quality grades. Repeatability, acceptability, calibration, and reporting of FEV₁/FVC relative to the lower limit of normal are required before inferring an obstructive pattern (Graham et al., 2019; </w:t>
      </w:r>
      <w:proofErr w:type="spellStart"/>
      <w:r w:rsidRPr="003C4991">
        <w:t>Quanjer</w:t>
      </w:r>
      <w:proofErr w:type="spellEnd"/>
      <w:r w:rsidRPr="003C4991">
        <w:t xml:space="preserve"> et al., 2012).</w:t>
      </w:r>
    </w:p>
    <w:p w14:paraId="0867CB03" w14:textId="77777777" w:rsidR="003E1F28" w:rsidRPr="003C4991" w:rsidRDefault="003E1F28" w:rsidP="003E1F28">
      <w:pPr>
        <w:spacing w:before="240"/>
        <w:ind w:right="270"/>
        <w:jc w:val="both"/>
        <w:rPr>
          <w:rFonts w:ascii="Times New Roman" w:hAnsi="Times New Roman"/>
          <w:b/>
          <w:sz w:val="24"/>
          <w:szCs w:val="24"/>
        </w:rPr>
      </w:pPr>
      <w:r w:rsidRPr="003C4991">
        <w:rPr>
          <w:rFonts w:ascii="Times New Roman" w:hAnsi="Times New Roman"/>
          <w:b/>
          <w:sz w:val="24"/>
          <w:szCs w:val="24"/>
        </w:rPr>
        <w:t>Administration of 0.5mg dose of Histamine in the test subjects</w:t>
      </w:r>
    </w:p>
    <w:p w14:paraId="10E3D96E" w14:textId="77777777" w:rsidR="003E1F28" w:rsidRPr="003C4991" w:rsidRDefault="003E1F28" w:rsidP="003E1F28">
      <w:pPr>
        <w:spacing w:before="240" w:line="480" w:lineRule="auto"/>
        <w:ind w:right="270"/>
        <w:jc w:val="both"/>
        <w:rPr>
          <w:rFonts w:ascii="Times New Roman" w:hAnsi="Times New Roman"/>
          <w:sz w:val="24"/>
          <w:szCs w:val="24"/>
        </w:rPr>
      </w:pPr>
      <w:r w:rsidRPr="003C4991">
        <w:rPr>
          <w:rFonts w:ascii="Times New Roman" w:hAnsi="Times New Roman"/>
          <w:sz w:val="24"/>
          <w:szCs w:val="24"/>
        </w:rPr>
        <w:t>The result of the mean value for FVC, FEV</w:t>
      </w:r>
      <w:r w:rsidRPr="003C4991">
        <w:rPr>
          <w:rFonts w:ascii="Times New Roman" w:hAnsi="Times New Roman"/>
          <w:sz w:val="24"/>
          <w:szCs w:val="24"/>
          <w:vertAlign w:val="subscript"/>
        </w:rPr>
        <w:t>1</w:t>
      </w:r>
      <w:r w:rsidRPr="003C4991">
        <w:rPr>
          <w:rFonts w:ascii="Times New Roman" w:hAnsi="Times New Roman"/>
          <w:sz w:val="24"/>
          <w:szCs w:val="24"/>
        </w:rPr>
        <w:t>, PEF and FEV</w:t>
      </w:r>
      <w:r w:rsidRPr="003C4991">
        <w:rPr>
          <w:rFonts w:ascii="Times New Roman" w:hAnsi="Times New Roman"/>
          <w:sz w:val="24"/>
          <w:szCs w:val="24"/>
          <w:vertAlign w:val="subscript"/>
        </w:rPr>
        <w:t>1</w:t>
      </w:r>
      <w:r w:rsidRPr="003C4991">
        <w:rPr>
          <w:rFonts w:ascii="Times New Roman" w:hAnsi="Times New Roman"/>
          <w:sz w:val="24"/>
          <w:szCs w:val="24"/>
        </w:rPr>
        <w:t>% in 0.5mg dose of Histamine was presented as 3.18 ± 0.04, 2.18 ± 0.05, 220.17 ± 2.40 and 68.65 ± 1.25 respectively. There was significant difference (p&lt;0.001) at 0.5mg of histamine</w:t>
      </w:r>
      <w:r w:rsidR="00391363" w:rsidRPr="003C4991">
        <w:rPr>
          <w:rFonts w:ascii="Times New Roman" w:hAnsi="Times New Roman"/>
          <w:sz w:val="24"/>
          <w:szCs w:val="24"/>
        </w:rPr>
        <w:t>.</w:t>
      </w:r>
    </w:p>
    <w:p w14:paraId="1019124D" w14:textId="77777777" w:rsidR="00994CE5" w:rsidRPr="003C4991" w:rsidRDefault="00000000">
      <w:r w:rsidRPr="003C4991">
        <w:t>The decline after 0.5 mg is consistent with a measurable response to a direct bronchoconstrictor, but interpretation should be based on the percentage fall in FEV₁ from a reproducible baseline and a complete dose-response curve. Direct challenge results are influenced by delivery method, nebulizer output, inhalation protocol, and medication withholding (American Thoracic Society, 2000; Coates et al., 2017; Cockcroft &amp; Davis, 2006).</w:t>
      </w:r>
    </w:p>
    <w:p w14:paraId="2CDFD670" w14:textId="77777777" w:rsidR="003E1F28" w:rsidRPr="003C4991" w:rsidRDefault="003E1F28" w:rsidP="003E1F28">
      <w:pPr>
        <w:spacing w:before="240"/>
        <w:ind w:right="270"/>
        <w:jc w:val="both"/>
        <w:rPr>
          <w:rFonts w:ascii="Times New Roman" w:hAnsi="Times New Roman"/>
          <w:b/>
          <w:sz w:val="24"/>
          <w:szCs w:val="24"/>
        </w:rPr>
      </w:pPr>
      <w:r w:rsidRPr="003C4991">
        <w:rPr>
          <w:rFonts w:ascii="Times New Roman" w:hAnsi="Times New Roman"/>
          <w:b/>
          <w:sz w:val="24"/>
          <w:szCs w:val="24"/>
        </w:rPr>
        <w:t>Administration of 1.0mg dose of Histamine in the test subjects</w:t>
      </w:r>
    </w:p>
    <w:p w14:paraId="22323E96" w14:textId="77777777" w:rsidR="003E1F28" w:rsidRPr="003C4991" w:rsidRDefault="003E1F28" w:rsidP="003E1F28">
      <w:pPr>
        <w:spacing w:before="240" w:line="480" w:lineRule="auto"/>
        <w:ind w:right="270"/>
        <w:jc w:val="both"/>
        <w:rPr>
          <w:rFonts w:ascii="Times New Roman" w:hAnsi="Times New Roman"/>
          <w:b/>
          <w:sz w:val="24"/>
          <w:szCs w:val="24"/>
        </w:rPr>
      </w:pPr>
      <w:r w:rsidRPr="003C4991">
        <w:rPr>
          <w:rFonts w:ascii="Times New Roman" w:hAnsi="Times New Roman"/>
          <w:sz w:val="24"/>
          <w:szCs w:val="24"/>
        </w:rPr>
        <w:t>The result of the mean value for FVC, FEV</w:t>
      </w:r>
      <w:r w:rsidRPr="003C4991">
        <w:rPr>
          <w:rFonts w:ascii="Times New Roman" w:hAnsi="Times New Roman"/>
          <w:sz w:val="24"/>
          <w:szCs w:val="24"/>
          <w:vertAlign w:val="subscript"/>
        </w:rPr>
        <w:t>1</w:t>
      </w:r>
      <w:r w:rsidRPr="003C4991">
        <w:rPr>
          <w:rFonts w:ascii="Times New Roman" w:hAnsi="Times New Roman"/>
          <w:sz w:val="24"/>
          <w:szCs w:val="24"/>
        </w:rPr>
        <w:t>, PEF and FEV</w:t>
      </w:r>
      <w:r w:rsidRPr="003C4991">
        <w:rPr>
          <w:rFonts w:ascii="Times New Roman" w:hAnsi="Times New Roman"/>
          <w:sz w:val="24"/>
          <w:szCs w:val="24"/>
          <w:vertAlign w:val="subscript"/>
        </w:rPr>
        <w:t>1</w:t>
      </w:r>
      <w:r w:rsidRPr="003C4991">
        <w:rPr>
          <w:rFonts w:ascii="Times New Roman" w:hAnsi="Times New Roman"/>
          <w:sz w:val="24"/>
          <w:szCs w:val="24"/>
        </w:rPr>
        <w:t>% in 1.0mg dose of Histamine was presented as 2.98 ± 0.03, 1.94 ± 0.05, 205.76 ± 2.26 and 65.09 ± 1.30 for FVC, FEV, PEFR and FEV</w:t>
      </w:r>
      <w:r w:rsidRPr="003C4991">
        <w:rPr>
          <w:rFonts w:ascii="Times New Roman" w:hAnsi="Times New Roman"/>
          <w:sz w:val="24"/>
          <w:szCs w:val="24"/>
          <w:vertAlign w:val="subscript"/>
        </w:rPr>
        <w:t>1</w:t>
      </w:r>
      <w:r w:rsidRPr="003C4991">
        <w:rPr>
          <w:rFonts w:ascii="Times New Roman" w:hAnsi="Times New Roman"/>
          <w:sz w:val="24"/>
          <w:szCs w:val="24"/>
        </w:rPr>
        <w:t>% respectively. There was reduction in lung parameter.</w:t>
      </w:r>
    </w:p>
    <w:p w14:paraId="7C97C74C" w14:textId="77777777" w:rsidR="00994CE5" w:rsidRPr="003C4991" w:rsidRDefault="00000000">
      <w:r w:rsidRPr="003C4991">
        <w:lastRenderedPageBreak/>
        <w:t>The further reduction at 1.0 mg suggests a dose-related bronchoconstrictor response within the tested range. Nevertheless, airway hyperresponsiveness should be defined using a validated endpoint such as PC₂₀ or a provocation dose, with explicit stopping criteria and post-bronchodilator recovery, rather than by dose-wise significance testing alone (American Thoracic Society, 2000; Coates et al., 2017; Cockcroft &amp; Davis, 2006).</w:t>
      </w:r>
    </w:p>
    <w:p w14:paraId="65C5A166" w14:textId="77777777" w:rsidR="003E1F28" w:rsidRPr="003C4991" w:rsidRDefault="003E1F28" w:rsidP="003E1F28">
      <w:pPr>
        <w:spacing w:before="240" w:after="240"/>
        <w:ind w:left="720" w:right="270" w:hanging="720"/>
        <w:jc w:val="both"/>
        <w:rPr>
          <w:rFonts w:ascii="Times New Roman" w:hAnsi="Times New Roman"/>
          <w:b/>
          <w:sz w:val="24"/>
          <w:szCs w:val="24"/>
        </w:rPr>
      </w:pPr>
      <w:r w:rsidRPr="003C4991">
        <w:rPr>
          <w:rFonts w:ascii="Times New Roman" w:hAnsi="Times New Roman"/>
          <w:b/>
          <w:sz w:val="24"/>
          <w:szCs w:val="24"/>
        </w:rPr>
        <w:t xml:space="preserve">Comparison of Lung function parameters in 0.5mg, 1.0mg and Basal measurement in the test subject </w:t>
      </w:r>
    </w:p>
    <w:p w14:paraId="69CDAA62" w14:textId="77777777" w:rsidR="003E1F28" w:rsidRPr="003C4991" w:rsidRDefault="003E1F28" w:rsidP="003E1F28">
      <w:pPr>
        <w:spacing w:line="480" w:lineRule="auto"/>
        <w:jc w:val="both"/>
        <w:rPr>
          <w:rFonts w:ascii="Times New Roman" w:hAnsi="Times New Roman"/>
          <w:sz w:val="24"/>
          <w:szCs w:val="24"/>
        </w:rPr>
      </w:pPr>
      <w:r w:rsidRPr="003C4991">
        <w:rPr>
          <w:rFonts w:ascii="Times New Roman" w:hAnsi="Times New Roman"/>
          <w:b/>
          <w:sz w:val="24"/>
          <w:szCs w:val="24"/>
        </w:rPr>
        <w:t xml:space="preserve">Forced vital capacity (FVC): </w:t>
      </w:r>
      <w:r w:rsidRPr="003C4991">
        <w:rPr>
          <w:rFonts w:ascii="Times New Roman" w:hAnsi="Times New Roman"/>
          <w:sz w:val="24"/>
          <w:szCs w:val="24"/>
        </w:rPr>
        <w:t>The result of the mean value of forced vital capacity (FVC) for the basal measurement, 0.5mg and 1.0mg and basal was presented as 3.44 ± 0.08, 3.18 ± 0.04 and 2.98 ± 0.03 respectively. There was a</w:t>
      </w:r>
      <w:r w:rsidRPr="003C4991">
        <w:t xml:space="preserve"> </w:t>
      </w:r>
      <w:r w:rsidRPr="003C4991">
        <w:rPr>
          <w:rFonts w:ascii="Times New Roman" w:hAnsi="Times New Roman"/>
          <w:sz w:val="24"/>
          <w:szCs w:val="24"/>
        </w:rPr>
        <w:t>significant difference (p&lt;0.001) in 0.5mg and 1.0mg dose of histamine administration compared to the basal measurement.</w:t>
      </w:r>
    </w:p>
    <w:p w14:paraId="120E53C3" w14:textId="77777777" w:rsidR="00994CE5" w:rsidRPr="003C4991" w:rsidRDefault="00000000">
      <w:r w:rsidRPr="003C4991">
        <w:t xml:space="preserve">FVC may decrease during bronchial challenge because of airflow limitation, premature termination of forced expiration, or air trapping; therefore, a lower FVC is not independently diagnostic of restriction. Its interpretation should be integrated with maneuver quality, FEV₁, and the FEV₁/FVC ratio (Graham et al., 2019; </w:t>
      </w:r>
      <w:proofErr w:type="spellStart"/>
      <w:r w:rsidRPr="003C4991">
        <w:t>Quanjer</w:t>
      </w:r>
      <w:proofErr w:type="spellEnd"/>
      <w:r w:rsidRPr="003C4991">
        <w:t xml:space="preserve"> et al., 2012).</w:t>
      </w:r>
    </w:p>
    <w:p w14:paraId="4AB0115E" w14:textId="77777777" w:rsidR="003E1F28" w:rsidRPr="003C4991" w:rsidRDefault="003E1F28" w:rsidP="003E1F28">
      <w:pPr>
        <w:spacing w:line="480" w:lineRule="auto"/>
        <w:jc w:val="both"/>
        <w:rPr>
          <w:rFonts w:ascii="Times New Roman" w:hAnsi="Times New Roman"/>
          <w:sz w:val="24"/>
          <w:szCs w:val="24"/>
        </w:rPr>
      </w:pPr>
      <w:r w:rsidRPr="003C4991">
        <w:rPr>
          <w:rFonts w:ascii="Times New Roman" w:hAnsi="Times New Roman"/>
          <w:sz w:val="24"/>
          <w:szCs w:val="24"/>
        </w:rPr>
        <w:t xml:space="preserve">Figure 1-5 shows Comparison of Lung function parameters in Basal measurement 0.5mg, and 1.0mg dose of histamine administration among Capsicum </w:t>
      </w:r>
      <w:proofErr w:type="spellStart"/>
      <w:r w:rsidRPr="003C4991">
        <w:rPr>
          <w:rFonts w:ascii="Times New Roman" w:hAnsi="Times New Roman"/>
          <w:sz w:val="24"/>
          <w:szCs w:val="24"/>
        </w:rPr>
        <w:t>annun</w:t>
      </w:r>
      <w:proofErr w:type="spellEnd"/>
      <w:r w:rsidRPr="003C4991">
        <w:rPr>
          <w:rFonts w:ascii="Times New Roman" w:hAnsi="Times New Roman"/>
          <w:sz w:val="24"/>
          <w:szCs w:val="24"/>
        </w:rPr>
        <w:t xml:space="preserve"> vendor</w:t>
      </w:r>
      <w:r w:rsidRPr="003C4991">
        <w:rPr>
          <w:noProof/>
        </w:rPr>
        <w:lastRenderedPageBreak/>
        <w:drawing>
          <wp:inline distT="0" distB="0" distL="0" distR="0" wp14:anchorId="1C648672" wp14:editId="57868EDE">
            <wp:extent cx="5734050" cy="8229600"/>
            <wp:effectExtent l="0" t="0" r="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srcRect/>
                    <a:stretch/>
                  </pic:blipFill>
                  <pic:spPr>
                    <a:xfrm>
                      <a:off x="0" y="0"/>
                      <a:ext cx="5734050" cy="8229600"/>
                    </a:xfrm>
                    <a:prstGeom prst="rect">
                      <a:avLst/>
                    </a:prstGeom>
                    <a:ln>
                      <a:noFill/>
                    </a:ln>
                  </pic:spPr>
                </pic:pic>
              </a:graphicData>
            </a:graphic>
          </wp:inline>
        </w:drawing>
      </w:r>
      <w:r w:rsidRPr="003C4991">
        <w:rPr>
          <w:rFonts w:ascii="Times New Roman" w:hAnsi="Times New Roman"/>
          <w:sz w:val="24"/>
          <w:szCs w:val="24"/>
        </w:rPr>
        <w:lastRenderedPageBreak/>
        <w:t>Forced expiratory volume in one second: The result of the mean value of forced expiratory volume in one second (FVC</w:t>
      </w:r>
      <w:r w:rsidRPr="003C4991">
        <w:rPr>
          <w:rFonts w:ascii="Times New Roman" w:hAnsi="Times New Roman"/>
          <w:sz w:val="24"/>
          <w:szCs w:val="24"/>
          <w:vertAlign w:val="subscript"/>
        </w:rPr>
        <w:t>1</w:t>
      </w:r>
      <w:r w:rsidRPr="003C4991">
        <w:rPr>
          <w:rFonts w:ascii="Times New Roman" w:hAnsi="Times New Roman"/>
          <w:sz w:val="24"/>
          <w:szCs w:val="24"/>
        </w:rPr>
        <w:t xml:space="preserve">) in the test and control subject for histamine 0.5mg and 1.0mg and basal was presented as 2.18 ± 0.05 and </w:t>
      </w:r>
      <w:r w:rsidRPr="003C4991">
        <w:rPr>
          <w:rFonts w:ascii="Times New Roman" w:hAnsi="Times New Roman"/>
          <w:color w:val="000000"/>
          <w:sz w:val="24"/>
          <w:szCs w:val="24"/>
        </w:rPr>
        <w:t xml:space="preserve">1.94 ± 0.05 and 2.43 ± 0.07 </w:t>
      </w:r>
      <w:r w:rsidRPr="003C4991">
        <w:rPr>
          <w:rFonts w:ascii="Times New Roman" w:hAnsi="Times New Roman"/>
          <w:sz w:val="24"/>
          <w:szCs w:val="24"/>
        </w:rPr>
        <w:t>respectively. There was a</w:t>
      </w:r>
      <w:r w:rsidRPr="003C4991">
        <w:t xml:space="preserve"> </w:t>
      </w:r>
      <w:r w:rsidRPr="003C4991">
        <w:rPr>
          <w:rFonts w:ascii="Times New Roman" w:hAnsi="Times New Roman"/>
          <w:sz w:val="24"/>
          <w:szCs w:val="24"/>
        </w:rPr>
        <w:t>significant difference in the test group compared to the control (p&lt;0.001).</w:t>
      </w:r>
      <w:r w:rsidRPr="003C4991">
        <w:rPr>
          <w:rFonts w:ascii="Times New Roman" w:hAnsi="Times New Roman"/>
          <w:sz w:val="24"/>
          <w:szCs w:val="24"/>
        </w:rPr>
        <w:br w:type="page"/>
      </w:r>
    </w:p>
    <w:p w14:paraId="5F971F75" w14:textId="77777777" w:rsidR="00994CE5" w:rsidRPr="003C4991" w:rsidRDefault="00000000">
      <w:r w:rsidRPr="003C4991">
        <w:lastRenderedPageBreak/>
        <w:t xml:space="preserve">FEV₁ is the principal </w:t>
      </w:r>
      <w:proofErr w:type="spellStart"/>
      <w:r w:rsidRPr="003C4991">
        <w:t>spirometric</w:t>
      </w:r>
      <w:proofErr w:type="spellEnd"/>
      <w:r w:rsidRPr="003C4991">
        <w:t xml:space="preserve"> endpoint for direct bronchial-challenge testing because it is more reproducible than peak flow and permits calculation of the percentage fall from baseline. A progressive FEV₁ reduction across doses supports a dose-response pattern, but causal attribution to occupational pepper exposure requires a valid exposed-versus-control analysis and exposure characterization (American Thoracic Society, 2000; Coates et al., 2017; Tarlo &amp; </w:t>
      </w:r>
      <w:proofErr w:type="spellStart"/>
      <w:r w:rsidRPr="003C4991">
        <w:t>Lemiere</w:t>
      </w:r>
      <w:proofErr w:type="spellEnd"/>
      <w:r w:rsidRPr="003C4991">
        <w:t>, 2014).</w:t>
      </w:r>
    </w:p>
    <w:p w14:paraId="439EC350" w14:textId="77777777" w:rsidR="003E1F28" w:rsidRPr="003C4991" w:rsidRDefault="003E1F28" w:rsidP="003E1F28">
      <w:pPr>
        <w:rPr>
          <w:rFonts w:ascii="Times New Roman" w:hAnsi="Times New Roman"/>
          <w:sz w:val="24"/>
          <w:szCs w:val="24"/>
        </w:rPr>
      </w:pPr>
      <w:r w:rsidRPr="003C4991">
        <w:rPr>
          <w:noProof/>
        </w:rPr>
        <w:lastRenderedPageBreak/>
        <w:drawing>
          <wp:inline distT="0" distB="0" distL="0" distR="0" wp14:anchorId="6023B11D" wp14:editId="544E96E7">
            <wp:extent cx="5734050" cy="8229600"/>
            <wp:effectExtent l="0" t="0" r="0" b="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srcRect/>
                    <a:stretch/>
                  </pic:blipFill>
                  <pic:spPr>
                    <a:xfrm>
                      <a:off x="0" y="0"/>
                      <a:ext cx="5734050" cy="8229600"/>
                    </a:xfrm>
                    <a:prstGeom prst="rect">
                      <a:avLst/>
                    </a:prstGeom>
                    <a:ln>
                      <a:noFill/>
                    </a:ln>
                  </pic:spPr>
                </pic:pic>
              </a:graphicData>
            </a:graphic>
          </wp:inline>
        </w:drawing>
      </w:r>
    </w:p>
    <w:p w14:paraId="3CB7BEE9" w14:textId="77777777" w:rsidR="003E1F28" w:rsidRPr="003C4991" w:rsidRDefault="003E1F28" w:rsidP="003E1F28">
      <w:pPr>
        <w:spacing w:line="480" w:lineRule="auto"/>
        <w:jc w:val="both"/>
        <w:rPr>
          <w:rFonts w:ascii="Times New Roman" w:hAnsi="Times New Roman"/>
          <w:sz w:val="24"/>
          <w:szCs w:val="24"/>
        </w:rPr>
      </w:pPr>
      <w:r w:rsidRPr="003C4991">
        <w:rPr>
          <w:rFonts w:ascii="Times New Roman" w:hAnsi="Times New Roman"/>
          <w:sz w:val="24"/>
          <w:szCs w:val="24"/>
        </w:rPr>
        <w:lastRenderedPageBreak/>
        <w:t>Forced expiratory volume in one second percent:</w:t>
      </w:r>
      <w:r w:rsidRPr="003C4991">
        <w:rPr>
          <w:rFonts w:ascii="Times New Roman" w:hAnsi="Times New Roman"/>
          <w:b/>
          <w:sz w:val="24"/>
          <w:szCs w:val="24"/>
        </w:rPr>
        <w:t xml:space="preserve"> </w:t>
      </w:r>
      <w:r w:rsidRPr="003C4991">
        <w:rPr>
          <w:rFonts w:ascii="Times New Roman" w:hAnsi="Times New Roman"/>
          <w:sz w:val="24"/>
          <w:szCs w:val="24"/>
        </w:rPr>
        <w:t>The result of the mean value of forced expiratory volume in one second percent (FVC</w:t>
      </w:r>
      <w:r w:rsidRPr="003C4991">
        <w:rPr>
          <w:rFonts w:ascii="Times New Roman" w:hAnsi="Times New Roman"/>
          <w:sz w:val="24"/>
          <w:szCs w:val="24"/>
          <w:vertAlign w:val="subscript"/>
        </w:rPr>
        <w:t>1</w:t>
      </w:r>
      <w:r w:rsidRPr="003C4991">
        <w:rPr>
          <w:rFonts w:ascii="Times New Roman" w:hAnsi="Times New Roman"/>
          <w:sz w:val="24"/>
          <w:szCs w:val="24"/>
        </w:rPr>
        <w:t xml:space="preserve">%) in the test and control subject for histamine 0.5mg and 1.0mg and basal was presented as </w:t>
      </w:r>
      <w:r w:rsidRPr="003C4991">
        <w:rPr>
          <w:rFonts w:ascii="Times New Roman" w:hAnsi="Times New Roman"/>
          <w:color w:val="000000"/>
          <w:sz w:val="24"/>
          <w:szCs w:val="24"/>
        </w:rPr>
        <w:t xml:space="preserve">68.65 ± 1.25 </w:t>
      </w:r>
      <w:r w:rsidRPr="003C4991">
        <w:rPr>
          <w:rFonts w:ascii="Times New Roman" w:hAnsi="Times New Roman"/>
          <w:sz w:val="24"/>
          <w:szCs w:val="24"/>
        </w:rPr>
        <w:t xml:space="preserve">and </w:t>
      </w:r>
      <w:r w:rsidRPr="003C4991">
        <w:rPr>
          <w:rFonts w:ascii="Times New Roman" w:hAnsi="Times New Roman"/>
          <w:color w:val="000000"/>
          <w:sz w:val="24"/>
          <w:szCs w:val="24"/>
        </w:rPr>
        <w:t xml:space="preserve">65.09 ± 1.30 and 70.92 ± 1.73 </w:t>
      </w:r>
      <w:r w:rsidRPr="003C4991">
        <w:rPr>
          <w:rFonts w:ascii="Times New Roman" w:hAnsi="Times New Roman"/>
          <w:sz w:val="24"/>
          <w:szCs w:val="24"/>
        </w:rPr>
        <w:t>respectively. There was a</w:t>
      </w:r>
      <w:r w:rsidRPr="003C4991">
        <w:t xml:space="preserve"> </w:t>
      </w:r>
      <w:r w:rsidRPr="003C4991">
        <w:rPr>
          <w:rFonts w:ascii="Times New Roman" w:hAnsi="Times New Roman"/>
          <w:sz w:val="24"/>
          <w:szCs w:val="24"/>
        </w:rPr>
        <w:t>significant difference in the test group compared to the control (p&lt;0.05).</w:t>
      </w:r>
    </w:p>
    <w:p w14:paraId="7023CB3B" w14:textId="77777777" w:rsidR="00994CE5" w:rsidRPr="003C4991" w:rsidRDefault="00000000">
      <w:r w:rsidRPr="003C4991">
        <w:t xml:space="preserve">The observed decline in FEV₁% is compatible with increasing expiratory airflow limitation during challenge; however, the manuscript should clearly define whether FEV₁% denotes FEV₁/FVC × 100 or percentage-predicted FEV₁. These measures are not interchangeable and should be interpreted against appropriate reference limits (Graham et al., 2019; </w:t>
      </w:r>
      <w:proofErr w:type="spellStart"/>
      <w:r w:rsidRPr="003C4991">
        <w:t>Quanjer</w:t>
      </w:r>
      <w:proofErr w:type="spellEnd"/>
      <w:r w:rsidRPr="003C4991">
        <w:t xml:space="preserve"> et al., 2012).</w:t>
      </w:r>
    </w:p>
    <w:p w14:paraId="2838876D" w14:textId="77777777" w:rsidR="003E1F28" w:rsidRPr="003C4991" w:rsidRDefault="003E1F28" w:rsidP="003E1F28">
      <w:pPr>
        <w:rPr>
          <w:rFonts w:ascii="Times New Roman" w:hAnsi="Times New Roman"/>
          <w:sz w:val="24"/>
          <w:szCs w:val="24"/>
        </w:rPr>
      </w:pPr>
      <w:r w:rsidRPr="003C4991">
        <w:rPr>
          <w:noProof/>
        </w:rPr>
        <w:lastRenderedPageBreak/>
        <w:drawing>
          <wp:inline distT="0" distB="0" distL="0" distR="0" wp14:anchorId="65FFEEF0" wp14:editId="267E50EB">
            <wp:extent cx="5734050" cy="8229600"/>
            <wp:effectExtent l="0" t="0" r="0" b="0"/>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srcRect/>
                    <a:stretch/>
                  </pic:blipFill>
                  <pic:spPr>
                    <a:xfrm>
                      <a:off x="0" y="0"/>
                      <a:ext cx="5734050" cy="8229600"/>
                    </a:xfrm>
                    <a:prstGeom prst="rect">
                      <a:avLst/>
                    </a:prstGeom>
                    <a:ln>
                      <a:noFill/>
                    </a:ln>
                  </pic:spPr>
                </pic:pic>
              </a:graphicData>
            </a:graphic>
          </wp:inline>
        </w:drawing>
      </w:r>
    </w:p>
    <w:p w14:paraId="1BB03724" w14:textId="77777777" w:rsidR="003E1F28" w:rsidRPr="003C4991" w:rsidRDefault="003E1F28" w:rsidP="00E36F13">
      <w:pPr>
        <w:spacing w:line="480" w:lineRule="auto"/>
        <w:jc w:val="both"/>
        <w:rPr>
          <w:rFonts w:ascii="Times New Roman" w:hAnsi="Times New Roman"/>
          <w:sz w:val="24"/>
          <w:szCs w:val="24"/>
        </w:rPr>
      </w:pPr>
      <w:r w:rsidRPr="003C4991">
        <w:rPr>
          <w:rFonts w:ascii="Times New Roman" w:hAnsi="Times New Roman"/>
          <w:sz w:val="24"/>
          <w:szCs w:val="24"/>
        </w:rPr>
        <w:lastRenderedPageBreak/>
        <w:t xml:space="preserve">Peak expiratory flow rate: The result of the mean value of peak expiratory flow rate (PEFR) in the test and control subject for histamine 0.5mg and 1.0mg and basal was presented as </w:t>
      </w:r>
      <w:r w:rsidRPr="003C4991">
        <w:rPr>
          <w:rFonts w:ascii="Times New Roman" w:hAnsi="Times New Roman"/>
          <w:color w:val="000000"/>
          <w:sz w:val="24"/>
          <w:szCs w:val="24"/>
        </w:rPr>
        <w:t xml:space="preserve">68.65 ± 1.25 </w:t>
      </w:r>
      <w:r w:rsidRPr="003C4991">
        <w:rPr>
          <w:rFonts w:ascii="Times New Roman" w:hAnsi="Times New Roman"/>
          <w:sz w:val="24"/>
          <w:szCs w:val="24"/>
        </w:rPr>
        <w:t xml:space="preserve">and </w:t>
      </w:r>
      <w:r w:rsidRPr="003C4991">
        <w:rPr>
          <w:rFonts w:ascii="Times New Roman" w:hAnsi="Times New Roman"/>
          <w:color w:val="000000"/>
          <w:sz w:val="24"/>
          <w:szCs w:val="24"/>
        </w:rPr>
        <w:t xml:space="preserve">65.09 ± 1.30 and 70.92 ± 1.73 </w:t>
      </w:r>
      <w:r w:rsidRPr="003C4991">
        <w:rPr>
          <w:rFonts w:ascii="Times New Roman" w:hAnsi="Times New Roman"/>
          <w:sz w:val="24"/>
          <w:szCs w:val="24"/>
        </w:rPr>
        <w:t>respectively. There was a</w:t>
      </w:r>
      <w:r w:rsidRPr="003C4991">
        <w:t xml:space="preserve"> </w:t>
      </w:r>
      <w:r w:rsidRPr="003C4991">
        <w:rPr>
          <w:rFonts w:ascii="Times New Roman" w:hAnsi="Times New Roman"/>
          <w:sz w:val="24"/>
          <w:szCs w:val="24"/>
        </w:rPr>
        <w:t>significant difference in the test group compared to the control (p&lt;0.001).</w:t>
      </w:r>
      <w:r w:rsidRPr="003C4991">
        <w:rPr>
          <w:rFonts w:ascii="Times New Roman" w:hAnsi="Times New Roman"/>
          <w:sz w:val="24"/>
          <w:szCs w:val="24"/>
        </w:rPr>
        <w:br w:type="page"/>
      </w:r>
    </w:p>
    <w:p w14:paraId="5240320D" w14:textId="77777777" w:rsidR="00994CE5" w:rsidRPr="003C4991" w:rsidRDefault="00000000">
      <w:r w:rsidRPr="003C4991">
        <w:lastRenderedPageBreak/>
        <w:t xml:space="preserve">PEFR is effort-dependent and more variable than FEV₁, so it is best treated as a supportive rather than definitive challenge endpoint. In occupational asthma assessment, serial peak-flow monitoring can demonstrate work-related variability, whereas controlled bronchial challenge generally relies on standardized FEV₁ responses (Coates et al., 2017; Nicholson et al., 2005; Tarlo &amp; </w:t>
      </w:r>
      <w:proofErr w:type="spellStart"/>
      <w:r w:rsidRPr="003C4991">
        <w:t>Lemiere</w:t>
      </w:r>
      <w:proofErr w:type="spellEnd"/>
      <w:r w:rsidRPr="003C4991">
        <w:t>, 2014).</w:t>
      </w:r>
    </w:p>
    <w:p w14:paraId="03CCEBA0" w14:textId="77777777" w:rsidR="003E1F28" w:rsidRPr="003C4991" w:rsidRDefault="003E1F28" w:rsidP="003E1F28">
      <w:pPr>
        <w:rPr>
          <w:rFonts w:ascii="Times New Roman" w:hAnsi="Times New Roman"/>
          <w:sz w:val="24"/>
          <w:szCs w:val="24"/>
        </w:rPr>
      </w:pPr>
      <w:r w:rsidRPr="003C4991">
        <w:rPr>
          <w:noProof/>
        </w:rPr>
        <w:lastRenderedPageBreak/>
        <w:drawing>
          <wp:inline distT="0" distB="0" distL="0" distR="0" wp14:anchorId="56F31825" wp14:editId="46F215F0">
            <wp:extent cx="5943600" cy="7486650"/>
            <wp:effectExtent l="0" t="0" r="0" b="0"/>
            <wp:docPr id="103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srcRect/>
                    <a:stretch/>
                  </pic:blipFill>
                  <pic:spPr>
                    <a:xfrm>
                      <a:off x="0" y="0"/>
                      <a:ext cx="5943600" cy="7486650"/>
                    </a:xfrm>
                    <a:prstGeom prst="rect">
                      <a:avLst/>
                    </a:prstGeom>
                    <a:ln>
                      <a:noFill/>
                    </a:ln>
                  </pic:spPr>
                </pic:pic>
              </a:graphicData>
            </a:graphic>
          </wp:inline>
        </w:drawing>
      </w:r>
    </w:p>
    <w:p w14:paraId="677816DD" w14:textId="77777777" w:rsidR="003E1F28" w:rsidRPr="003C4991" w:rsidRDefault="003E1F28" w:rsidP="003E1F28">
      <w:pPr>
        <w:rPr>
          <w:rFonts w:ascii="Times New Roman" w:hAnsi="Times New Roman"/>
          <w:b/>
          <w:sz w:val="24"/>
          <w:szCs w:val="24"/>
        </w:rPr>
      </w:pPr>
      <w:r w:rsidRPr="003C4991">
        <w:rPr>
          <w:rFonts w:ascii="Times New Roman" w:hAnsi="Times New Roman"/>
          <w:b/>
          <w:sz w:val="24"/>
          <w:szCs w:val="24"/>
        </w:rPr>
        <w:lastRenderedPageBreak/>
        <w:t>4.2</w:t>
      </w:r>
      <w:r w:rsidRPr="003C4991">
        <w:rPr>
          <w:rFonts w:ascii="Times New Roman" w:hAnsi="Times New Roman"/>
          <w:b/>
          <w:sz w:val="24"/>
          <w:szCs w:val="24"/>
        </w:rPr>
        <w:tab/>
        <w:t>Correlation of lung functions and duration of exposure</w:t>
      </w:r>
      <w:r w:rsidRPr="003C4991">
        <w:rPr>
          <w:rFonts w:ascii="Times New Roman" w:hAnsi="Times New Roman"/>
          <w:noProof/>
          <w:sz w:val="24"/>
          <w:szCs w:val="24"/>
        </w:rPr>
        <w:drawing>
          <wp:inline distT="0" distB="0" distL="0" distR="0" wp14:anchorId="50407180" wp14:editId="534F291F">
            <wp:extent cx="5593557" cy="7458075"/>
            <wp:effectExtent l="0" t="0" r="0" b="0"/>
            <wp:docPr id="103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srcRect/>
                    <a:stretch/>
                  </pic:blipFill>
                  <pic:spPr>
                    <a:xfrm>
                      <a:off x="0" y="0"/>
                      <a:ext cx="5593557" cy="7458075"/>
                    </a:xfrm>
                    <a:prstGeom prst="rect">
                      <a:avLst/>
                    </a:prstGeom>
                    <a:ln>
                      <a:noFill/>
                    </a:ln>
                  </pic:spPr>
                </pic:pic>
              </a:graphicData>
            </a:graphic>
          </wp:inline>
        </w:drawing>
      </w:r>
      <w:r w:rsidRPr="003C4991">
        <w:rPr>
          <w:rFonts w:ascii="Times New Roman" w:hAnsi="Times New Roman"/>
          <w:sz w:val="24"/>
          <w:szCs w:val="24"/>
        </w:rPr>
        <w:br w:type="page"/>
      </w:r>
    </w:p>
    <w:p w14:paraId="05120FE7" w14:textId="77777777" w:rsidR="00994CE5" w:rsidRPr="003C4991" w:rsidRDefault="00000000">
      <w:r w:rsidRPr="003C4991">
        <w:lastRenderedPageBreak/>
        <w:t xml:space="preserve">A positive association between exposure duration and lung-function decline would be biologically compatible with cumulative workplace exposure, but correlation alone does not establish causation and may be confounded by age, smoking, baseline lung function, exposure intensity, or protective-equipment use. Occupational-asthma guidance recommends detailed exposure histories and objective work-related testing before attributing impairment to a specific agent (Nicholson et al., 2005; Tarlo &amp; </w:t>
      </w:r>
      <w:proofErr w:type="spellStart"/>
      <w:r w:rsidRPr="003C4991">
        <w:t>Lemiere</w:t>
      </w:r>
      <w:proofErr w:type="spellEnd"/>
      <w:r w:rsidRPr="003C4991">
        <w:t>, 2014; Vandenplas et al., 2011).</w:t>
      </w:r>
    </w:p>
    <w:p w14:paraId="20F8CED0" w14:textId="77777777" w:rsidR="003E1F28" w:rsidRPr="003C4991" w:rsidRDefault="003E1F28" w:rsidP="003E1F28">
      <w:pPr>
        <w:rPr>
          <w:rFonts w:ascii="Times New Roman" w:hAnsi="Times New Roman"/>
          <w:sz w:val="24"/>
          <w:szCs w:val="24"/>
        </w:rPr>
      </w:pPr>
      <w:r w:rsidRPr="003C4991">
        <w:rPr>
          <w:rFonts w:ascii="Times New Roman" w:hAnsi="Times New Roman"/>
          <w:noProof/>
          <w:sz w:val="24"/>
          <w:szCs w:val="24"/>
        </w:rPr>
        <w:lastRenderedPageBreak/>
        <w:drawing>
          <wp:inline distT="0" distB="0" distL="0" distR="0" wp14:anchorId="1EE95A23" wp14:editId="7933BC50">
            <wp:extent cx="5943600" cy="7653020"/>
            <wp:effectExtent l="0" t="0" r="0" b="0"/>
            <wp:docPr id="103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srcRect/>
                    <a:stretch/>
                  </pic:blipFill>
                  <pic:spPr>
                    <a:xfrm>
                      <a:off x="0" y="0"/>
                      <a:ext cx="5943600" cy="7653020"/>
                    </a:xfrm>
                    <a:prstGeom prst="rect">
                      <a:avLst/>
                    </a:prstGeom>
                    <a:ln>
                      <a:noFill/>
                    </a:ln>
                  </pic:spPr>
                </pic:pic>
              </a:graphicData>
            </a:graphic>
          </wp:inline>
        </w:drawing>
      </w:r>
      <w:r w:rsidRPr="003C4991">
        <w:rPr>
          <w:rFonts w:ascii="Times New Roman" w:hAnsi="Times New Roman"/>
          <w:sz w:val="24"/>
          <w:szCs w:val="24"/>
        </w:rPr>
        <w:br w:type="page"/>
      </w:r>
    </w:p>
    <w:p w14:paraId="0422B664" w14:textId="77777777" w:rsidR="003E1F28" w:rsidRPr="003C4991" w:rsidRDefault="003E1F28" w:rsidP="003E1F28">
      <w:pPr>
        <w:rPr>
          <w:rFonts w:ascii="Times New Roman" w:hAnsi="Times New Roman"/>
          <w:sz w:val="24"/>
          <w:szCs w:val="24"/>
        </w:rPr>
      </w:pPr>
      <w:r w:rsidRPr="003C4991">
        <w:rPr>
          <w:rFonts w:ascii="Times New Roman" w:hAnsi="Times New Roman"/>
          <w:noProof/>
          <w:sz w:val="24"/>
          <w:szCs w:val="24"/>
        </w:rPr>
        <w:lastRenderedPageBreak/>
        <w:drawing>
          <wp:inline distT="0" distB="0" distL="0" distR="0" wp14:anchorId="50CC53D4" wp14:editId="49B8D524">
            <wp:extent cx="5943600" cy="7653020"/>
            <wp:effectExtent l="0" t="0" r="0" b="0"/>
            <wp:docPr id="103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cstate="print"/>
                    <a:srcRect/>
                    <a:stretch/>
                  </pic:blipFill>
                  <pic:spPr>
                    <a:xfrm>
                      <a:off x="0" y="0"/>
                      <a:ext cx="5943600" cy="7653020"/>
                    </a:xfrm>
                    <a:prstGeom prst="rect">
                      <a:avLst/>
                    </a:prstGeom>
                    <a:ln>
                      <a:noFill/>
                    </a:ln>
                  </pic:spPr>
                </pic:pic>
              </a:graphicData>
            </a:graphic>
          </wp:inline>
        </w:drawing>
      </w:r>
      <w:r w:rsidRPr="003C4991">
        <w:rPr>
          <w:rFonts w:ascii="Times New Roman" w:hAnsi="Times New Roman"/>
          <w:sz w:val="24"/>
          <w:szCs w:val="24"/>
        </w:rPr>
        <w:br w:type="page"/>
      </w:r>
    </w:p>
    <w:p w14:paraId="42BBCFFA" w14:textId="77777777" w:rsidR="003E1F28" w:rsidRPr="003C4991" w:rsidRDefault="003E1F28" w:rsidP="00E36F13">
      <w:pPr>
        <w:rPr>
          <w:rFonts w:ascii="Times New Roman" w:hAnsi="Times New Roman"/>
          <w:sz w:val="24"/>
          <w:szCs w:val="24"/>
        </w:rPr>
      </w:pPr>
      <w:r w:rsidRPr="003C4991">
        <w:rPr>
          <w:noProof/>
        </w:rPr>
        <w:lastRenderedPageBreak/>
        <w:drawing>
          <wp:inline distT="0" distB="0" distL="0" distR="0" wp14:anchorId="52D599D9" wp14:editId="677BF684">
            <wp:extent cx="5943600" cy="7653020"/>
            <wp:effectExtent l="0" t="0" r="0" b="0"/>
            <wp:docPr id="103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srcRect/>
                    <a:stretch/>
                  </pic:blipFill>
                  <pic:spPr>
                    <a:xfrm>
                      <a:off x="0" y="0"/>
                      <a:ext cx="5943600" cy="7653020"/>
                    </a:xfrm>
                    <a:prstGeom prst="rect">
                      <a:avLst/>
                    </a:prstGeom>
                    <a:ln>
                      <a:noFill/>
                    </a:ln>
                  </pic:spPr>
                </pic:pic>
              </a:graphicData>
            </a:graphic>
          </wp:inline>
        </w:drawing>
      </w:r>
    </w:p>
    <w:p w14:paraId="3A2685C2" w14:textId="77777777" w:rsidR="003E1F28" w:rsidRPr="003C4991" w:rsidRDefault="00E36F13" w:rsidP="003E1F28">
      <w:pPr>
        <w:spacing w:before="240" w:line="480" w:lineRule="auto"/>
        <w:ind w:right="270"/>
        <w:jc w:val="both"/>
        <w:rPr>
          <w:rFonts w:ascii="Times New Roman" w:hAnsi="Times New Roman"/>
          <w:b/>
          <w:sz w:val="24"/>
          <w:szCs w:val="24"/>
        </w:rPr>
      </w:pPr>
      <w:r w:rsidRPr="003C4991">
        <w:rPr>
          <w:rFonts w:ascii="Times New Roman" w:hAnsi="Times New Roman"/>
          <w:b/>
          <w:kern w:val="2"/>
          <w:sz w:val="24"/>
          <w:szCs w:val="24"/>
        </w:rPr>
        <w:lastRenderedPageBreak/>
        <w:t>DISCUSSION</w:t>
      </w:r>
      <w:r w:rsidRPr="003C4991">
        <w:t xml:space="preserve"> </w:t>
      </w:r>
    </w:p>
    <w:p w14:paraId="72E63871" w14:textId="77777777" w:rsidR="003E1F28" w:rsidRPr="003C4991" w:rsidRDefault="003E1F28" w:rsidP="003E1F28">
      <w:pPr>
        <w:pStyle w:val="NormalWeb"/>
        <w:spacing w:before="0" w:beforeAutospacing="0" w:line="480" w:lineRule="auto"/>
        <w:jc w:val="both"/>
      </w:pPr>
      <w:r w:rsidRPr="003C4991">
        <w:t xml:space="preserve">The results of this study indicate that exposure to </w:t>
      </w:r>
      <w:r w:rsidRPr="003C4991">
        <w:rPr>
          <w:rStyle w:val="Emphasis"/>
        </w:rPr>
        <w:t>Capsicum annuum</w:t>
      </w:r>
      <w:r w:rsidRPr="003C4991">
        <w:t xml:space="preserve"> powder among vendors in Calabar Municipal is associated with significant alterations in pulmonary function following histamine bronchoprovocation. The observed reduction in FVC, FEV</w:t>
      </w:r>
      <w:r w:rsidRPr="003C4991">
        <w:rPr>
          <w:rFonts w:ascii="Cambria Math" w:hAnsi="Cambria Math" w:cs="Cambria Math"/>
        </w:rPr>
        <w:t>₁</w:t>
      </w:r>
      <w:r w:rsidRPr="003C4991">
        <w:t>, PEFR, and FEV</w:t>
      </w:r>
      <w:r w:rsidRPr="003C4991">
        <w:rPr>
          <w:rFonts w:ascii="Cambria Math" w:hAnsi="Cambria Math" w:cs="Cambria Math"/>
        </w:rPr>
        <w:t>₁</w:t>
      </w:r>
      <w:r w:rsidRPr="003C4991">
        <w:t xml:space="preserve">% after histamine inhalation demonstrates increased airway hyperresponsiveness among the exposed individuals compared to their non-exposed (control). These findings from the study align with studies that identified occupational exposure to airborne irritants such as capsaicin as a risk factor for respiratory impairment. Capsaicin, the active component in chili peppers, has been shown to stimulate sensory nerve endings and provoke bronchoconstriction through the activation of transient receptor potential vanilloid 1 (TRPV1) channels, contributing to airway inflammation and hypersensitivity (Kunkel </w:t>
      </w:r>
      <w:r w:rsidR="00391363" w:rsidRPr="003C4991">
        <w:t>&amp;</w:t>
      </w:r>
      <w:r w:rsidRPr="003C4991">
        <w:t xml:space="preserve"> Chizh, 2011). Similar patterns of bronchial hyperresponsiveness have been observed in studies involving workers exposed to spice dusts and irritant aerosols. For instance, Bernstein et al. (2012) reported increased bronchial reactivity and asthma-like symptoms among spice mill workers chronically exposed to chili and pepper dust. In a comparable Nigerian study, Adewole et al. (2023) found significant decreases in FEV₁ and FVC values in pepper grinders in local markets, suggesting chronic airway irritation and possible early obstructive airway disease.</w:t>
      </w:r>
    </w:p>
    <w:p w14:paraId="05104682" w14:textId="77777777" w:rsidR="00994CE5" w:rsidRPr="003C4991" w:rsidRDefault="00000000">
      <w:pPr>
        <w:pStyle w:val="Body"/>
      </w:pPr>
      <w:r w:rsidRPr="003C4991">
        <w:t xml:space="preserve">The dose-related </w:t>
      </w:r>
      <w:proofErr w:type="spellStart"/>
      <w:r w:rsidRPr="003C4991">
        <w:t>spirometric</w:t>
      </w:r>
      <w:proofErr w:type="spellEnd"/>
      <w:r w:rsidRPr="003C4991">
        <w:t xml:space="preserve"> response is consistent with nonspecific airway hyperresponsiveness, a physiological trait that can occur in asthma and other airway conditions. Capsaicin-related sensory activation provides a plausible mechanism for cough and airway irritation through TRPV1-positive vagal afferents, but the study design does not distinguish sensory irritation, pre-existing asthma, and occupational sensitization (</w:t>
      </w:r>
      <w:proofErr w:type="spellStart"/>
      <w:r w:rsidRPr="003C4991">
        <w:t>Belvisi</w:t>
      </w:r>
      <w:proofErr w:type="spellEnd"/>
      <w:r w:rsidRPr="003C4991">
        <w:t xml:space="preserve"> &amp; Birrell, 2017; Cockcroft &amp; Davis, 2006; Mazzone &amp; Undem, 2016).</w:t>
      </w:r>
    </w:p>
    <w:p w14:paraId="5C6D9BA7" w14:textId="77777777" w:rsidR="00790ADA" w:rsidRPr="003C4991" w:rsidRDefault="003E1F28" w:rsidP="00441B6F">
      <w:pPr>
        <w:pStyle w:val="Body"/>
        <w:spacing w:after="0"/>
        <w:rPr>
          <w:rFonts w:ascii="Arial" w:hAnsi="Arial" w:cs="Arial"/>
          <w:sz w:val="24"/>
          <w:szCs w:val="24"/>
        </w:rPr>
      </w:pPr>
      <w:r w:rsidRPr="003C4991">
        <w:rPr>
          <w:sz w:val="24"/>
          <w:szCs w:val="24"/>
        </w:rPr>
        <w:lastRenderedPageBreak/>
        <w:t xml:space="preserve">The progressive decline in </w:t>
      </w:r>
      <w:proofErr w:type="spellStart"/>
      <w:r w:rsidRPr="003C4991">
        <w:rPr>
          <w:sz w:val="24"/>
          <w:szCs w:val="24"/>
        </w:rPr>
        <w:t>spirometric</w:t>
      </w:r>
      <w:proofErr w:type="spellEnd"/>
      <w:r w:rsidRPr="003C4991">
        <w:rPr>
          <w:sz w:val="24"/>
          <w:szCs w:val="24"/>
        </w:rPr>
        <w:t xml:space="preserve"> indices with increasing histamine dose in this study further supports the </w:t>
      </w:r>
      <w:r w:rsidR="00E36F13" w:rsidRPr="003C4991">
        <w:rPr>
          <w:sz w:val="24"/>
          <w:szCs w:val="24"/>
        </w:rPr>
        <w:t>fact</w:t>
      </w:r>
      <w:r w:rsidRPr="003C4991">
        <w:rPr>
          <w:sz w:val="24"/>
          <w:szCs w:val="24"/>
        </w:rPr>
        <w:t xml:space="preserve"> that chronic occupational exposure to </w:t>
      </w:r>
      <w:r w:rsidRPr="003C4991">
        <w:rPr>
          <w:rStyle w:val="Emphasis"/>
          <w:sz w:val="24"/>
          <w:szCs w:val="24"/>
        </w:rPr>
        <w:t>Capsicum annuum</w:t>
      </w:r>
      <w:r w:rsidRPr="003C4991">
        <w:rPr>
          <w:sz w:val="24"/>
          <w:szCs w:val="24"/>
        </w:rPr>
        <w:t xml:space="preserve"> powder sensitizes the airways. Histamine challenge tests are widely used to evaluate airway responsiveness and diagnose latent bronchial hyperreactivity in occupational and environmental medicine. A fall of ≥20% in FEV</w:t>
      </w:r>
      <w:r w:rsidRPr="003C4991">
        <w:rPr>
          <w:rFonts w:ascii="Cambria Math" w:hAnsi="Cambria Math" w:cs="Cambria Math"/>
          <w:sz w:val="24"/>
          <w:szCs w:val="24"/>
        </w:rPr>
        <w:t>₁</w:t>
      </w:r>
      <w:r w:rsidRPr="003C4991">
        <w:rPr>
          <w:sz w:val="24"/>
          <w:szCs w:val="24"/>
        </w:rPr>
        <w:t xml:space="preserve">, as observed in this study, </w:t>
      </w:r>
      <w:r w:rsidR="00E36F13" w:rsidRPr="003C4991">
        <w:rPr>
          <w:sz w:val="24"/>
          <w:szCs w:val="24"/>
        </w:rPr>
        <w:t>indicates a hyperreactive airway, a hallmark of conditions such as</w:t>
      </w:r>
      <w:r w:rsidRPr="003C4991">
        <w:rPr>
          <w:sz w:val="24"/>
          <w:szCs w:val="24"/>
        </w:rPr>
        <w:t xml:space="preserve"> asthma and chronic bronchitis (Joos et al., 2013). Moreso, the decrease in PEFR values after histamine administration reflects compromised expiratory flow, which may be attributed to smooth muscle constriction, airway wall edema, or mucus hypersecretion. These changes are consistent with earlier reports by </w:t>
      </w:r>
      <w:proofErr w:type="spellStart"/>
      <w:r w:rsidRPr="003C4991">
        <w:rPr>
          <w:sz w:val="24"/>
          <w:szCs w:val="24"/>
        </w:rPr>
        <w:t>Gautrin</w:t>
      </w:r>
      <w:proofErr w:type="spellEnd"/>
      <w:r w:rsidRPr="003C4991">
        <w:rPr>
          <w:sz w:val="24"/>
          <w:szCs w:val="24"/>
        </w:rPr>
        <w:t xml:space="preserve"> et al. (2018), who observed that workers exposed to food-related aerosols had lower peak flow readings, particularly those involved in spice handling and food processing. Although </w:t>
      </w:r>
      <w:proofErr w:type="spellStart"/>
      <w:r w:rsidRPr="003C4991">
        <w:rPr>
          <w:sz w:val="24"/>
          <w:szCs w:val="24"/>
        </w:rPr>
        <w:t>spirometric</w:t>
      </w:r>
      <w:proofErr w:type="spellEnd"/>
      <w:r w:rsidRPr="003C4991">
        <w:rPr>
          <w:sz w:val="24"/>
          <w:szCs w:val="24"/>
        </w:rPr>
        <w:t xml:space="preserve"> values remained within normal ranges for some participants, the relative decline from baseline is clinically relevant, especially in young adults expected to have peak lung function. This underscores the importance of early detection and intervention in groups exposed to inhalable irritants. The observed findings emphasize the need for improved workplace ventilation, use of personal protective equipment (PPE), and regular medical screening for at-risk workers, as also advocated by Tarlo </w:t>
      </w:r>
      <w:r w:rsidR="00391363" w:rsidRPr="003C4991">
        <w:rPr>
          <w:sz w:val="24"/>
          <w:szCs w:val="24"/>
        </w:rPr>
        <w:t>&amp;</w:t>
      </w:r>
      <w:r w:rsidRPr="003C4991">
        <w:rPr>
          <w:sz w:val="24"/>
          <w:szCs w:val="24"/>
        </w:rPr>
        <w:t xml:space="preserve"> </w:t>
      </w:r>
      <w:proofErr w:type="spellStart"/>
      <w:r w:rsidRPr="003C4991">
        <w:rPr>
          <w:sz w:val="24"/>
          <w:szCs w:val="24"/>
        </w:rPr>
        <w:t>Lemiere</w:t>
      </w:r>
      <w:proofErr w:type="spellEnd"/>
      <w:r w:rsidRPr="003C4991">
        <w:rPr>
          <w:sz w:val="24"/>
          <w:szCs w:val="24"/>
        </w:rPr>
        <w:t xml:space="preserve"> (2014). This study adds to the growing body of evidence indicating that chronic exposure to </w:t>
      </w:r>
      <w:r w:rsidRPr="003C4991">
        <w:rPr>
          <w:rStyle w:val="Emphasis"/>
          <w:sz w:val="24"/>
          <w:szCs w:val="24"/>
        </w:rPr>
        <w:t>Capsicum annuum</w:t>
      </w:r>
      <w:r w:rsidRPr="003C4991">
        <w:rPr>
          <w:sz w:val="24"/>
          <w:szCs w:val="24"/>
        </w:rPr>
        <w:t xml:space="preserve"> powder among vendors leads to increased airway sensitivity and impaired lung function.</w:t>
      </w:r>
    </w:p>
    <w:p w14:paraId="73F938DF" w14:textId="77777777" w:rsidR="00994CE5" w:rsidRPr="003C4991" w:rsidRDefault="00000000">
      <w:pPr>
        <w:pStyle w:val="Body"/>
      </w:pPr>
      <w:r w:rsidRPr="003C4991">
        <w:t xml:space="preserve">Accordingly, the findings should be presented as an association between occupational pepper exposure and an enhanced response to histamine rather than proof of irreversible lung damage. Confirmation would require standardized PC₂₀ calculations, quality-graded spirometry, exposure quantification, control for major confounders, and preferably serial or longitudinal measurements across working and non-working periods (Coates et al., 2017; Graham et al., 2019; Nicholson et al., 2005). Exposure reduction, ventilation, respiratory protection, and early clinical evaluation are consistent with established occupational-asthma management principles (Tarlo &amp; </w:t>
      </w:r>
      <w:proofErr w:type="spellStart"/>
      <w:r w:rsidRPr="003C4991">
        <w:t>Lemiere</w:t>
      </w:r>
      <w:proofErr w:type="spellEnd"/>
      <w:r w:rsidRPr="003C4991">
        <w:t>, 2014; Vandenplas et al., 2011).</w:t>
      </w:r>
    </w:p>
    <w:p w14:paraId="3B07AFBC" w14:textId="77777777" w:rsidR="00790ADA" w:rsidRPr="003C4991" w:rsidRDefault="00000F8F" w:rsidP="00441B6F">
      <w:pPr>
        <w:pStyle w:val="ConcHead"/>
        <w:spacing w:after="0"/>
        <w:jc w:val="both"/>
        <w:rPr>
          <w:rFonts w:ascii="Arial" w:hAnsi="Arial" w:cs="Arial"/>
        </w:rPr>
      </w:pPr>
      <w:r w:rsidRPr="003C4991">
        <w:rPr>
          <w:rFonts w:ascii="Arial" w:hAnsi="Arial" w:cs="Arial"/>
        </w:rPr>
        <w:t xml:space="preserve">4. </w:t>
      </w:r>
      <w:r w:rsidR="00B01FCD" w:rsidRPr="003C4991">
        <w:rPr>
          <w:rFonts w:ascii="Arial" w:hAnsi="Arial" w:cs="Arial"/>
        </w:rPr>
        <w:t>Conclusion</w:t>
      </w:r>
    </w:p>
    <w:p w14:paraId="085B70B7" w14:textId="77777777" w:rsidR="0081764D" w:rsidRDefault="0081764D" w:rsidP="0081764D">
      <w:pPr>
        <w:spacing w:before="100" w:beforeAutospacing="1" w:after="100" w:afterAutospacing="1"/>
        <w:rPr>
          <w:rFonts w:ascii="Times New Roman" w:hAnsi="Times New Roman"/>
          <w:sz w:val="24"/>
          <w:szCs w:val="24"/>
          <w:lang w:eastAsia="en-GB"/>
        </w:rPr>
      </w:pPr>
      <w:r w:rsidRPr="00F3114B">
        <w:rPr>
          <w:rFonts w:ascii="Times New Roman" w:hAnsi="Times New Roman"/>
          <w:sz w:val="24"/>
          <w:szCs w:val="24"/>
          <w:lang w:eastAsia="en-GB"/>
        </w:rPr>
        <w:t xml:space="preserve">This study showed reductions in FVC, FEV₁, PEFR, and FEV₁% among </w:t>
      </w:r>
      <w:r w:rsidRPr="00F3114B">
        <w:rPr>
          <w:rFonts w:ascii="Times New Roman" w:hAnsi="Times New Roman"/>
          <w:i/>
          <w:iCs/>
          <w:sz w:val="24"/>
          <w:szCs w:val="24"/>
          <w:lang w:eastAsia="en-GB"/>
        </w:rPr>
        <w:t>Capsicum annuum</w:t>
      </w:r>
      <w:r w:rsidRPr="00F3114B">
        <w:rPr>
          <w:rFonts w:ascii="Times New Roman" w:hAnsi="Times New Roman"/>
          <w:sz w:val="24"/>
          <w:szCs w:val="24"/>
          <w:lang w:eastAsia="en-GB"/>
        </w:rPr>
        <w:t xml:space="preserve"> vendors following incremental histamine exposure. The observed pattern suggests increased airway responsiveness in the exposed participants. However, the findings should be interpreted as an association between occupational pepper exposure and </w:t>
      </w:r>
      <w:proofErr w:type="spellStart"/>
      <w:r w:rsidRPr="00F3114B">
        <w:rPr>
          <w:rFonts w:ascii="Times New Roman" w:hAnsi="Times New Roman"/>
          <w:sz w:val="24"/>
          <w:szCs w:val="24"/>
          <w:lang w:eastAsia="en-GB"/>
        </w:rPr>
        <w:t>spirometric</w:t>
      </w:r>
      <w:proofErr w:type="spellEnd"/>
      <w:r w:rsidRPr="00F3114B">
        <w:rPr>
          <w:rFonts w:ascii="Times New Roman" w:hAnsi="Times New Roman"/>
          <w:sz w:val="24"/>
          <w:szCs w:val="24"/>
          <w:lang w:eastAsia="en-GB"/>
        </w:rPr>
        <w:t xml:space="preserve"> response, rather than definitive evidence of irreversible lung disease. Improved workplace ventilation, reduced exposure to airborne pepper dust, use of appropriate respiratory protection, and periodic </w:t>
      </w:r>
      <w:proofErr w:type="spellStart"/>
      <w:r w:rsidRPr="00F3114B">
        <w:rPr>
          <w:rFonts w:ascii="Times New Roman" w:hAnsi="Times New Roman"/>
          <w:sz w:val="24"/>
          <w:szCs w:val="24"/>
          <w:lang w:eastAsia="en-GB"/>
        </w:rPr>
        <w:t>spirometric</w:t>
      </w:r>
      <w:proofErr w:type="spellEnd"/>
      <w:r w:rsidRPr="00F3114B">
        <w:rPr>
          <w:rFonts w:ascii="Times New Roman" w:hAnsi="Times New Roman"/>
          <w:sz w:val="24"/>
          <w:szCs w:val="24"/>
          <w:lang w:eastAsia="en-GB"/>
        </w:rPr>
        <w:t xml:space="preserve"> monitoring may help protect respiratory health among pepper vendors.</w:t>
      </w:r>
    </w:p>
    <w:p w14:paraId="5BF5FE7C" w14:textId="77777777" w:rsidR="00561792" w:rsidRDefault="00561792" w:rsidP="0081764D">
      <w:pPr>
        <w:spacing w:before="100" w:beforeAutospacing="1" w:after="100" w:afterAutospacing="1"/>
        <w:outlineLvl w:val="1"/>
        <w:rPr>
          <w:rFonts w:ascii="Times New Roman" w:hAnsi="Times New Roman"/>
          <w:b/>
          <w:bCs/>
          <w:sz w:val="36"/>
          <w:szCs w:val="36"/>
          <w:lang w:eastAsia="en-GB"/>
        </w:rPr>
      </w:pPr>
    </w:p>
    <w:p w14:paraId="7D0CE4B0" w14:textId="597E43A5" w:rsidR="0081764D" w:rsidRPr="00F3114B" w:rsidRDefault="0081764D" w:rsidP="0081764D">
      <w:pPr>
        <w:spacing w:before="100" w:beforeAutospacing="1" w:after="100" w:afterAutospacing="1"/>
        <w:outlineLvl w:val="1"/>
        <w:rPr>
          <w:rFonts w:ascii="Times New Roman" w:hAnsi="Times New Roman"/>
          <w:b/>
          <w:bCs/>
          <w:sz w:val="36"/>
          <w:szCs w:val="36"/>
          <w:lang w:eastAsia="en-GB"/>
        </w:rPr>
      </w:pPr>
      <w:r w:rsidRPr="00F3114B">
        <w:rPr>
          <w:rFonts w:ascii="Times New Roman" w:hAnsi="Times New Roman"/>
          <w:b/>
          <w:bCs/>
          <w:sz w:val="36"/>
          <w:szCs w:val="36"/>
          <w:lang w:eastAsia="en-GB"/>
        </w:rPr>
        <w:lastRenderedPageBreak/>
        <w:t>Limitations</w:t>
      </w:r>
    </w:p>
    <w:p w14:paraId="72AE254D" w14:textId="77777777" w:rsidR="0081764D" w:rsidRPr="00F3114B" w:rsidRDefault="0081764D" w:rsidP="0081764D">
      <w:pPr>
        <w:spacing w:before="100" w:beforeAutospacing="1" w:after="100" w:afterAutospacing="1"/>
        <w:rPr>
          <w:rFonts w:ascii="Times New Roman" w:hAnsi="Times New Roman"/>
          <w:sz w:val="24"/>
          <w:szCs w:val="24"/>
          <w:lang w:eastAsia="en-GB"/>
        </w:rPr>
      </w:pPr>
      <w:r w:rsidRPr="00F3114B">
        <w:rPr>
          <w:rFonts w:ascii="Times New Roman" w:hAnsi="Times New Roman"/>
          <w:sz w:val="24"/>
          <w:szCs w:val="24"/>
          <w:lang w:eastAsia="en-GB"/>
        </w:rPr>
        <w:t>This study is limited by its cross-sectional design, incomplete presentation of group sizes, unclear control-group results, and absence of reported PC₂₀ values. Exposure intensity, smoking status, PPE use, and other potential confounders were not adequately described. Inflammatory biomarkers were mentioned in the methods but not reported in the results. Figure units and sample-size inconsistencies also require correction.</w:t>
      </w:r>
    </w:p>
    <w:p w14:paraId="516DD18D" w14:textId="77777777" w:rsidR="0081764D" w:rsidRPr="00F3114B" w:rsidRDefault="0081764D" w:rsidP="0081764D">
      <w:pPr>
        <w:spacing w:before="100" w:beforeAutospacing="1" w:after="100" w:afterAutospacing="1"/>
        <w:rPr>
          <w:rFonts w:ascii="Times New Roman" w:hAnsi="Times New Roman"/>
          <w:sz w:val="24"/>
          <w:szCs w:val="24"/>
          <w:lang w:eastAsia="en-GB"/>
        </w:rPr>
      </w:pPr>
    </w:p>
    <w:p w14:paraId="638763DD" w14:textId="77777777" w:rsidR="00860000" w:rsidRPr="003C4991" w:rsidRDefault="00860000" w:rsidP="00441B6F">
      <w:pPr>
        <w:pStyle w:val="ReferHead"/>
        <w:spacing w:after="0"/>
        <w:jc w:val="both"/>
        <w:rPr>
          <w:rFonts w:ascii="Arial" w:hAnsi="Arial" w:cs="Arial"/>
          <w:bCs/>
        </w:rPr>
      </w:pPr>
      <w:r w:rsidRPr="003C4991">
        <w:rPr>
          <w:rFonts w:ascii="Arial" w:hAnsi="Arial" w:cs="Arial"/>
          <w:bCs/>
        </w:rPr>
        <w:t>Competing interests</w:t>
      </w:r>
    </w:p>
    <w:p w14:paraId="5C0EF69E" w14:textId="77777777" w:rsidR="00371FB6" w:rsidRPr="003C4991" w:rsidRDefault="00E66E10" w:rsidP="00441B6F">
      <w:pPr>
        <w:pStyle w:val="ReferHead"/>
        <w:spacing w:after="0"/>
        <w:jc w:val="both"/>
        <w:rPr>
          <w:rFonts w:ascii="Arial" w:hAnsi="Arial" w:cs="Arial"/>
          <w:b w:val="0"/>
          <w:caps w:val="0"/>
          <w:sz w:val="20"/>
        </w:rPr>
      </w:pPr>
      <w:r w:rsidRPr="003C4991">
        <w:rPr>
          <w:rFonts w:ascii="Arial" w:hAnsi="Arial" w:cs="Arial"/>
          <w:b w:val="0"/>
          <w:caps w:val="0"/>
          <w:sz w:val="20"/>
        </w:rPr>
        <w:t>“Authors have declared that no competing interests exist.”</w:t>
      </w:r>
    </w:p>
    <w:p w14:paraId="0B5ACBAA" w14:textId="77777777" w:rsidR="00561792" w:rsidRDefault="00561792" w:rsidP="00441B6F">
      <w:pPr>
        <w:pStyle w:val="ReferHead"/>
        <w:spacing w:after="0"/>
        <w:jc w:val="both"/>
        <w:rPr>
          <w:rFonts w:ascii="Arial" w:hAnsi="Arial" w:cs="Arial"/>
          <w:bCs/>
        </w:rPr>
      </w:pPr>
    </w:p>
    <w:p w14:paraId="2E783B81" w14:textId="69415B5C" w:rsidR="002B685A" w:rsidRPr="003C4991" w:rsidRDefault="002B685A" w:rsidP="00441B6F">
      <w:pPr>
        <w:pStyle w:val="ReferHead"/>
        <w:spacing w:after="0"/>
        <w:jc w:val="both"/>
        <w:rPr>
          <w:rFonts w:ascii="Arial" w:hAnsi="Arial" w:cs="Arial"/>
          <w:bCs/>
        </w:rPr>
      </w:pPr>
      <w:r w:rsidRPr="003C4991">
        <w:rPr>
          <w:rFonts w:ascii="Arial" w:hAnsi="Arial" w:cs="Arial"/>
          <w:bCs/>
        </w:rPr>
        <w:t>Consent (where</w:t>
      </w:r>
      <w:r w:rsidR="007369E6" w:rsidRPr="003C4991">
        <w:rPr>
          <w:rFonts w:ascii="Arial" w:hAnsi="Arial" w:cs="Arial"/>
          <w:bCs/>
        </w:rPr>
        <w:t xml:space="preserve"> </w:t>
      </w:r>
      <w:r w:rsidRPr="003C4991">
        <w:rPr>
          <w:rFonts w:ascii="Arial" w:hAnsi="Arial" w:cs="Arial"/>
          <w:bCs/>
        </w:rPr>
        <w:t>ever applicable)</w:t>
      </w:r>
    </w:p>
    <w:p w14:paraId="0BE1336B" w14:textId="77777777" w:rsidR="00561792" w:rsidRDefault="00561792" w:rsidP="00441B6F">
      <w:pPr>
        <w:pStyle w:val="ReferHead"/>
        <w:spacing w:after="0"/>
        <w:jc w:val="both"/>
        <w:rPr>
          <w:rFonts w:ascii="Arial" w:hAnsi="Arial" w:cs="Arial"/>
          <w:bCs/>
        </w:rPr>
      </w:pPr>
    </w:p>
    <w:p w14:paraId="558F88B9" w14:textId="3543FA2C" w:rsidR="005C784C" w:rsidRPr="003C4991" w:rsidRDefault="0043098F" w:rsidP="00441B6F">
      <w:pPr>
        <w:pStyle w:val="ReferHead"/>
        <w:spacing w:after="0"/>
        <w:jc w:val="both"/>
        <w:rPr>
          <w:rFonts w:ascii="Arial" w:hAnsi="Arial" w:cs="Arial"/>
          <w:bCs/>
        </w:rPr>
      </w:pPr>
      <w:r w:rsidRPr="003C4991">
        <w:rPr>
          <w:rFonts w:ascii="Arial" w:hAnsi="Arial" w:cs="Arial"/>
          <w:bCs/>
        </w:rPr>
        <w:t>Ethical approval</w:t>
      </w:r>
    </w:p>
    <w:p w14:paraId="7E7CF845" w14:textId="77777777" w:rsidR="00860000" w:rsidRDefault="001A29D8" w:rsidP="00441B6F">
      <w:pPr>
        <w:pStyle w:val="ReferHead"/>
        <w:spacing w:after="0"/>
        <w:jc w:val="both"/>
        <w:rPr>
          <w:rFonts w:ascii="Arial" w:hAnsi="Arial" w:cs="Arial"/>
          <w:b w:val="0"/>
          <w:caps w:val="0"/>
          <w:sz w:val="20"/>
        </w:rPr>
      </w:pPr>
      <w:r w:rsidRPr="003C4991">
        <w:rPr>
          <w:rFonts w:ascii="Arial" w:hAnsi="Arial" w:cs="Arial"/>
          <w:b w:val="0"/>
          <w:caps w:val="0"/>
          <w:sz w:val="20"/>
        </w:rPr>
        <w:t>“All authors hereby declare that a</w:t>
      </w:r>
      <w:r w:rsidR="0041027F" w:rsidRPr="003C4991">
        <w:rPr>
          <w:rFonts w:ascii="Arial" w:hAnsi="Arial" w:cs="Arial"/>
          <w:b w:val="0"/>
          <w:caps w:val="0"/>
          <w:sz w:val="20"/>
        </w:rPr>
        <w:t xml:space="preserve">ll </w:t>
      </w:r>
      <w:r w:rsidR="00F469F0" w:rsidRPr="003C4991">
        <w:rPr>
          <w:rFonts w:ascii="Arial" w:hAnsi="Arial" w:cs="Arial"/>
          <w:b w:val="0"/>
          <w:caps w:val="0"/>
          <w:sz w:val="20"/>
        </w:rPr>
        <w:t>experiments</w:t>
      </w:r>
      <w:r w:rsidR="0041027F" w:rsidRPr="003C4991">
        <w:rPr>
          <w:rFonts w:ascii="Arial" w:hAnsi="Arial" w:cs="Arial"/>
          <w:b w:val="0"/>
          <w:caps w:val="0"/>
          <w:sz w:val="20"/>
        </w:rPr>
        <w:t xml:space="preserve"> have been examined</w:t>
      </w:r>
      <w:r w:rsidRPr="003C4991">
        <w:rPr>
          <w:rFonts w:ascii="Arial" w:hAnsi="Arial" w:cs="Arial"/>
          <w:b w:val="0"/>
          <w:caps w:val="0"/>
          <w:sz w:val="20"/>
        </w:rPr>
        <w:t xml:space="preserve"> and approved</w:t>
      </w:r>
      <w:r w:rsidR="0041027F" w:rsidRPr="003C4991">
        <w:rPr>
          <w:rFonts w:ascii="Arial" w:hAnsi="Arial" w:cs="Arial"/>
          <w:b w:val="0"/>
          <w:caps w:val="0"/>
          <w:sz w:val="20"/>
        </w:rPr>
        <w:t xml:space="preserve"> by the appropriate ethics committee and have therefore been performed in accordance with the ethical standards laid down in the 1964 Declaration of Helsinki.</w:t>
      </w:r>
      <w:r w:rsidRPr="003C4991">
        <w:rPr>
          <w:rFonts w:ascii="Arial" w:hAnsi="Arial" w:cs="Arial"/>
          <w:b w:val="0"/>
          <w:caps w:val="0"/>
          <w:sz w:val="20"/>
        </w:rPr>
        <w:t>”</w:t>
      </w:r>
    </w:p>
    <w:p w14:paraId="15AAECD1" w14:textId="77777777" w:rsidR="0081764D" w:rsidRPr="003C4991" w:rsidRDefault="0081764D" w:rsidP="0081764D">
      <w:pPr>
        <w:pStyle w:val="DefAcrHead"/>
        <w:spacing w:after="0"/>
        <w:jc w:val="both"/>
        <w:rPr>
          <w:rFonts w:ascii="Arial" w:hAnsi="Arial" w:cs="Arial"/>
        </w:rPr>
      </w:pPr>
      <w:r w:rsidRPr="003C4991">
        <w:rPr>
          <w:rFonts w:ascii="Arial" w:hAnsi="Arial" w:cs="Arial"/>
        </w:rPr>
        <w:t>Definitions, Acronyms, Abbreviations</w:t>
      </w:r>
    </w:p>
    <w:p w14:paraId="594BCEBD"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Capsicum annuum</w:t>
      </w:r>
      <w:r w:rsidRPr="003C4991">
        <w:rPr>
          <w:rFonts w:ascii="Times New Roman" w:hAnsi="Times New Roman"/>
          <w:sz w:val="24"/>
          <w:szCs w:val="24"/>
        </w:rPr>
        <w:t xml:space="preserve"> – Chili pepper </w:t>
      </w:r>
    </w:p>
    <w:p w14:paraId="4C470712"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COPD</w:t>
      </w:r>
      <w:r w:rsidRPr="003C4991">
        <w:rPr>
          <w:rFonts w:ascii="Times New Roman" w:hAnsi="Times New Roman"/>
          <w:sz w:val="24"/>
          <w:szCs w:val="24"/>
        </w:rPr>
        <w:t xml:space="preserve"> – Chronic Obstructive Pulmonary Disease </w:t>
      </w:r>
    </w:p>
    <w:p w14:paraId="5BE71248"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EDTA</w:t>
      </w:r>
      <w:r w:rsidRPr="003C4991">
        <w:rPr>
          <w:rFonts w:ascii="Times New Roman" w:hAnsi="Times New Roman"/>
          <w:sz w:val="24"/>
          <w:szCs w:val="24"/>
        </w:rPr>
        <w:t xml:space="preserve"> – Ethylenediaminetetraacetic Acid </w:t>
      </w:r>
    </w:p>
    <w:p w14:paraId="4AB53EB4"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FEV</w:t>
      </w:r>
      <w:r w:rsidRPr="003C4991">
        <w:rPr>
          <w:rFonts w:ascii="Times New Roman" w:hAnsi="Times New Roman"/>
          <w:b/>
          <w:bCs/>
          <w:sz w:val="24"/>
          <w:szCs w:val="24"/>
        </w:rPr>
        <w:t>₁</w:t>
      </w:r>
      <w:r w:rsidRPr="003C4991">
        <w:rPr>
          <w:rFonts w:ascii="Times New Roman" w:hAnsi="Times New Roman"/>
          <w:sz w:val="24"/>
          <w:szCs w:val="24"/>
        </w:rPr>
        <w:t xml:space="preserve"> – Forced Expiratory Volume in 1 second </w:t>
      </w:r>
    </w:p>
    <w:p w14:paraId="26336479"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FEV₁%</w:t>
      </w:r>
      <w:r w:rsidRPr="003C4991">
        <w:rPr>
          <w:rFonts w:ascii="Times New Roman" w:hAnsi="Times New Roman"/>
          <w:sz w:val="24"/>
          <w:szCs w:val="24"/>
        </w:rPr>
        <w:t xml:space="preserve"> – Forced Expiratory Volume in 1 second percentage </w:t>
      </w:r>
    </w:p>
    <w:p w14:paraId="1CA22AB6"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FVC</w:t>
      </w:r>
      <w:r w:rsidRPr="003C4991">
        <w:rPr>
          <w:rFonts w:ascii="Times New Roman" w:hAnsi="Times New Roman"/>
          <w:sz w:val="24"/>
          <w:szCs w:val="24"/>
        </w:rPr>
        <w:t xml:space="preserve"> – Forced Vital Capacity </w:t>
      </w:r>
    </w:p>
    <w:p w14:paraId="144D36CD"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HREC</w:t>
      </w:r>
      <w:r w:rsidRPr="003C4991">
        <w:rPr>
          <w:rFonts w:ascii="Times New Roman" w:hAnsi="Times New Roman"/>
          <w:sz w:val="24"/>
          <w:szCs w:val="24"/>
        </w:rPr>
        <w:t xml:space="preserve"> – Health Research Ethics Committee </w:t>
      </w:r>
    </w:p>
    <w:p w14:paraId="713C102A"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PC₂₀</w:t>
      </w:r>
      <w:r w:rsidRPr="003C4991">
        <w:rPr>
          <w:rFonts w:ascii="Times New Roman" w:hAnsi="Times New Roman"/>
          <w:sz w:val="24"/>
          <w:szCs w:val="24"/>
        </w:rPr>
        <w:t xml:space="preserve"> – Provocative Concentration causing a 20% fall in FEV₁ </w:t>
      </w:r>
    </w:p>
    <w:p w14:paraId="28451638"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PEFR</w:t>
      </w:r>
      <w:r w:rsidRPr="003C4991">
        <w:rPr>
          <w:rFonts w:ascii="Times New Roman" w:hAnsi="Times New Roman"/>
          <w:sz w:val="24"/>
          <w:szCs w:val="24"/>
        </w:rPr>
        <w:t xml:space="preserve"> – Peak Expiratory Flow Rate </w:t>
      </w:r>
    </w:p>
    <w:p w14:paraId="7D7218AA"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PPE</w:t>
      </w:r>
      <w:r w:rsidRPr="003C4991">
        <w:rPr>
          <w:rFonts w:ascii="Times New Roman" w:hAnsi="Times New Roman"/>
          <w:sz w:val="24"/>
          <w:szCs w:val="24"/>
        </w:rPr>
        <w:t xml:space="preserve"> – Personal Protective Equipment </w:t>
      </w:r>
    </w:p>
    <w:p w14:paraId="1D29260D"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SEM</w:t>
      </w:r>
      <w:r w:rsidRPr="003C4991">
        <w:rPr>
          <w:rFonts w:ascii="Times New Roman" w:hAnsi="Times New Roman"/>
          <w:sz w:val="24"/>
          <w:szCs w:val="24"/>
        </w:rPr>
        <w:t xml:space="preserve"> – Standard Error of the Mean </w:t>
      </w:r>
    </w:p>
    <w:p w14:paraId="4EA5709A" w14:textId="77777777" w:rsidR="0081764D" w:rsidRPr="003C4991" w:rsidRDefault="0081764D" w:rsidP="0081764D">
      <w:pPr>
        <w:rPr>
          <w:rFonts w:ascii="Times New Roman" w:hAnsi="Times New Roman"/>
          <w:sz w:val="24"/>
          <w:szCs w:val="24"/>
        </w:rPr>
      </w:pPr>
      <w:r w:rsidRPr="003C4991">
        <w:rPr>
          <w:rFonts w:ascii="Times New Roman" w:hAnsi="Times New Roman"/>
          <w:bCs/>
          <w:sz w:val="24"/>
          <w:szCs w:val="24"/>
        </w:rPr>
        <w:t>TRPV1</w:t>
      </w:r>
      <w:r w:rsidRPr="003C4991">
        <w:rPr>
          <w:rFonts w:ascii="Times New Roman" w:hAnsi="Times New Roman"/>
          <w:sz w:val="24"/>
          <w:szCs w:val="24"/>
        </w:rPr>
        <w:t xml:space="preserve"> – Transient Receptor Potential Vanilloid 1 </w:t>
      </w:r>
    </w:p>
    <w:p w14:paraId="44AAA85F" w14:textId="77777777" w:rsidR="0081764D" w:rsidRDefault="0081764D" w:rsidP="0081764D">
      <w:pPr>
        <w:pStyle w:val="Body"/>
        <w:spacing w:after="0"/>
        <w:rPr>
          <w:rFonts w:ascii="Times New Roman" w:hAnsi="Times New Roman"/>
          <w:sz w:val="24"/>
          <w:szCs w:val="24"/>
        </w:rPr>
      </w:pPr>
      <w:r w:rsidRPr="003C4991">
        <w:rPr>
          <w:rFonts w:ascii="Times New Roman" w:hAnsi="Times New Roman"/>
          <w:bCs/>
          <w:sz w:val="24"/>
          <w:szCs w:val="24"/>
        </w:rPr>
        <w:t>WHO</w:t>
      </w:r>
      <w:r w:rsidRPr="003C4991">
        <w:rPr>
          <w:rFonts w:ascii="Times New Roman" w:hAnsi="Times New Roman"/>
          <w:sz w:val="24"/>
          <w:szCs w:val="24"/>
        </w:rPr>
        <w:t xml:space="preserve"> – World Health Organization</w:t>
      </w:r>
    </w:p>
    <w:p w14:paraId="39F60BF6" w14:textId="77777777" w:rsidR="0081764D" w:rsidRDefault="0081764D" w:rsidP="0081764D">
      <w:pPr>
        <w:pStyle w:val="Body"/>
        <w:spacing w:after="0"/>
        <w:rPr>
          <w:rFonts w:ascii="Times New Roman" w:hAnsi="Times New Roman"/>
          <w:sz w:val="24"/>
          <w:szCs w:val="24"/>
        </w:rPr>
      </w:pPr>
    </w:p>
    <w:p w14:paraId="2F35B66F" w14:textId="77777777" w:rsidR="0081764D" w:rsidRPr="00F3114B" w:rsidRDefault="0081764D" w:rsidP="0081764D">
      <w:pPr>
        <w:spacing w:before="100" w:beforeAutospacing="1" w:after="100" w:afterAutospacing="1"/>
        <w:outlineLvl w:val="1"/>
        <w:rPr>
          <w:rFonts w:ascii="Times New Roman" w:hAnsi="Times New Roman"/>
          <w:b/>
          <w:bCs/>
          <w:sz w:val="36"/>
          <w:szCs w:val="36"/>
          <w:lang w:eastAsia="en-GB"/>
        </w:rPr>
      </w:pPr>
      <w:r w:rsidRPr="00F3114B">
        <w:rPr>
          <w:rFonts w:ascii="Times New Roman" w:hAnsi="Times New Roman"/>
          <w:b/>
          <w:bCs/>
          <w:sz w:val="36"/>
          <w:szCs w:val="36"/>
          <w:lang w:eastAsia="en-GB"/>
        </w:rPr>
        <w:t>Limitations</w:t>
      </w:r>
    </w:p>
    <w:p w14:paraId="3AA4808A" w14:textId="77777777" w:rsidR="0081764D" w:rsidRPr="00F3114B" w:rsidRDefault="0081764D" w:rsidP="0081764D">
      <w:pPr>
        <w:spacing w:before="100" w:beforeAutospacing="1" w:after="100" w:afterAutospacing="1"/>
        <w:rPr>
          <w:rFonts w:ascii="Times New Roman" w:hAnsi="Times New Roman"/>
          <w:sz w:val="24"/>
          <w:szCs w:val="24"/>
          <w:lang w:eastAsia="en-GB"/>
        </w:rPr>
      </w:pPr>
      <w:r w:rsidRPr="00F3114B">
        <w:rPr>
          <w:rFonts w:ascii="Times New Roman" w:hAnsi="Times New Roman"/>
          <w:sz w:val="24"/>
          <w:szCs w:val="24"/>
          <w:lang w:eastAsia="en-GB"/>
        </w:rPr>
        <w:t>This study is limited by its cross-sectional design, incomplete presentation of group sizes, unclear control-group results, and absence of reported PC₂₀ values. Exposure intensity, smoking status, PPE use, and other potential confounders were not adequately described. Inflammatory biomarkers were mentioned in the methods but not reported in the results. Figure units and sample-size inconsistencies also require correction.</w:t>
      </w:r>
    </w:p>
    <w:p w14:paraId="3BDDA068" w14:textId="77777777" w:rsidR="0081764D" w:rsidRPr="001D5212" w:rsidRDefault="0081764D" w:rsidP="0081764D">
      <w:pPr>
        <w:pStyle w:val="Body"/>
        <w:spacing w:after="0"/>
        <w:rPr>
          <w:rFonts w:ascii="Arial" w:hAnsi="Arial" w:cs="Arial"/>
        </w:rPr>
        <w:sectPr w:rsidR="0081764D" w:rsidRPr="001D5212" w:rsidSect="0081764D">
          <w:headerReference w:type="even" r:id="rId22"/>
          <w:headerReference w:type="default" r:id="rId23"/>
          <w:footerReference w:type="default" r:id="rId24"/>
          <w:headerReference w:type="first" r:id="rId25"/>
          <w:type w:val="continuous"/>
          <w:pgSz w:w="12240" w:h="15840"/>
          <w:pgMar w:top="1440" w:right="2016" w:bottom="2016" w:left="2016" w:header="720" w:footer="1123" w:gutter="0"/>
          <w:cols w:space="720"/>
          <w:docGrid w:linePitch="272"/>
        </w:sectPr>
      </w:pPr>
    </w:p>
    <w:p w14:paraId="23873938" w14:textId="77777777" w:rsidR="0081764D" w:rsidRPr="003C4991" w:rsidRDefault="0081764D" w:rsidP="00441B6F">
      <w:pPr>
        <w:pStyle w:val="ReferHead"/>
        <w:spacing w:after="0"/>
        <w:jc w:val="both"/>
        <w:rPr>
          <w:rFonts w:ascii="Arial" w:hAnsi="Arial" w:cs="Arial"/>
          <w:b w:val="0"/>
          <w:caps w:val="0"/>
          <w:sz w:val="20"/>
        </w:rPr>
      </w:pPr>
    </w:p>
    <w:p w14:paraId="1B4D71D2" w14:textId="77777777" w:rsidR="00790ADA" w:rsidRPr="003C4991" w:rsidRDefault="00B01FCD" w:rsidP="00441B6F">
      <w:pPr>
        <w:pStyle w:val="ReferHead"/>
        <w:spacing w:after="0"/>
        <w:jc w:val="both"/>
        <w:rPr>
          <w:rFonts w:ascii="Arial" w:hAnsi="Arial" w:cs="Arial"/>
        </w:rPr>
      </w:pPr>
      <w:r w:rsidRPr="003C4991">
        <w:rPr>
          <w:rFonts w:ascii="Arial" w:hAnsi="Arial" w:cs="Arial"/>
        </w:rPr>
        <w:t>References</w:t>
      </w:r>
    </w:p>
    <w:p w14:paraId="0514376C" w14:textId="77777777" w:rsidR="00DF2A6B" w:rsidRPr="003C4991" w:rsidRDefault="00DF2A6B" w:rsidP="00DF2A6B">
      <w:pPr>
        <w:pStyle w:val="Body"/>
      </w:pPr>
      <w:r w:rsidRPr="003C4991">
        <w:t xml:space="preserve">Adewole, O., Erhabor, G. E., Fadeyi, A., </w:t>
      </w:r>
      <w:proofErr w:type="spellStart"/>
      <w:r w:rsidRPr="003C4991">
        <w:t>Ogunrombi</w:t>
      </w:r>
      <w:proofErr w:type="spellEnd"/>
      <w:r w:rsidRPr="003C4991">
        <w:t xml:space="preserve">, A. B., &amp; </w:t>
      </w:r>
      <w:proofErr w:type="spellStart"/>
      <w:r w:rsidRPr="003C4991">
        <w:t>Onadeko</w:t>
      </w:r>
      <w:proofErr w:type="spellEnd"/>
      <w:r w:rsidRPr="003C4991">
        <w:t>, B. O. (2023). Respiratory symptoms and ventilatory function impairment among spice grinders in Nigeria. West African Journal of Medicine, 32(3), 210–215.</w:t>
      </w:r>
    </w:p>
    <w:p w14:paraId="739ECB33" w14:textId="77777777" w:rsidR="00DF2A6B" w:rsidRPr="003C4991" w:rsidRDefault="00DF2A6B" w:rsidP="00DF2A6B">
      <w:pPr>
        <w:pStyle w:val="Body"/>
      </w:pPr>
      <w:r w:rsidRPr="003C4991">
        <w:t xml:space="preserve">Bernstein, J. A., Brandt, M., Rezvani, M., &amp; </w:t>
      </w:r>
      <w:proofErr w:type="spellStart"/>
      <w:r w:rsidRPr="003C4991">
        <w:t>Wanner</w:t>
      </w:r>
      <w:proofErr w:type="spellEnd"/>
      <w:r w:rsidRPr="003C4991">
        <w:t>, A. (2012). Occupational asthma and upper airway reactions among spice workers: Case series and review of the literature. Annals of Allergy, Asthma &amp; Immunology, 89(5), 419–427.</w:t>
      </w:r>
    </w:p>
    <w:p w14:paraId="2DE660BC" w14:textId="77777777" w:rsidR="00DF2A6B" w:rsidRPr="003C4991" w:rsidRDefault="00607564" w:rsidP="00DF2A6B">
      <w:pPr>
        <w:pStyle w:val="Body"/>
      </w:pPr>
      <w:proofErr w:type="spellStart"/>
      <w:r w:rsidRPr="003C4991">
        <w:t>Gautrin</w:t>
      </w:r>
      <w:proofErr w:type="spellEnd"/>
      <w:r w:rsidRPr="003C4991">
        <w:t xml:space="preserve">, D., </w:t>
      </w:r>
      <w:proofErr w:type="spellStart"/>
      <w:r w:rsidRPr="003C4991">
        <w:t>Ghezzo</w:t>
      </w:r>
      <w:proofErr w:type="spellEnd"/>
      <w:r w:rsidRPr="003C4991">
        <w:t xml:space="preserve">, H., Infante-Rivard, C., &amp; Malo, J.-L. (2000). Incidence and determinants of IgE-mediated sensitization in apprentices: A prospective study. </w:t>
      </w:r>
      <w:r w:rsidRPr="003C4991">
        <w:rPr>
          <w:rStyle w:val="Emphasis"/>
        </w:rPr>
        <w:t>American Journal of Respiratory and Critical Care Medicine, 162</w:t>
      </w:r>
      <w:r w:rsidRPr="003C4991">
        <w:t xml:space="preserve">(4), 1222–1228. </w:t>
      </w:r>
      <w:hyperlink r:id="rId26" w:history="1">
        <w:r w:rsidRPr="003C4991">
          <w:rPr>
            <w:rStyle w:val="Hyperlink"/>
          </w:rPr>
          <w:t>https://doi.org/10.1164/ajrccm.162.4.2001023</w:t>
        </w:r>
      </w:hyperlink>
      <w:r w:rsidR="00DF2A6B" w:rsidRPr="003C4991">
        <w:t>.</w:t>
      </w:r>
      <w:r w:rsidRPr="003C4991">
        <w:t xml:space="preserve"> </w:t>
      </w:r>
    </w:p>
    <w:p w14:paraId="7A19D3DA" w14:textId="77777777" w:rsidR="00DF2A6B" w:rsidRPr="003C4991" w:rsidRDefault="00DF2A6B" w:rsidP="00DF2A6B">
      <w:pPr>
        <w:pStyle w:val="Body"/>
      </w:pPr>
      <w:r w:rsidRPr="003C4991">
        <w:t>Joos, G. F., O'Connor, B., Anderson, S. D., Chung, F., Cockcroft, D. W., &amp; Dahlen, B. (2013). Indirect airway challenges. European Respiratory Journal, 21(6), 1050–1068.</w:t>
      </w:r>
    </w:p>
    <w:p w14:paraId="4BE13DF1" w14:textId="77777777" w:rsidR="00DF2A6B" w:rsidRPr="003C4991" w:rsidRDefault="00DF2A6B" w:rsidP="00DF2A6B">
      <w:pPr>
        <w:pStyle w:val="Body"/>
      </w:pPr>
      <w:r w:rsidRPr="003C4991">
        <w:t>Kunkel, G., &amp; Chizh, B. A. (2011). Capsaicin and sensory neurogenic mechanisms in the pathogenesis of cough and bronchial hyperreactivity. Respiratory Physiology &amp; Neurobiology, 177(1), 43–54.</w:t>
      </w:r>
    </w:p>
    <w:p w14:paraId="1B12282F" w14:textId="77777777" w:rsidR="00DF2A6B" w:rsidRPr="003C4991" w:rsidRDefault="00DF2A6B" w:rsidP="00DF2A6B">
      <w:pPr>
        <w:pStyle w:val="Body"/>
      </w:pPr>
      <w:r w:rsidRPr="003C4991">
        <w:t>Sarker, S. K., Bakar, M. M., &amp; Islam, M. S. (2020). Capsicum annuum and its nutritional values: A comprehensive review. Journal of Food Science and Technology, 57(5), 1826–1836.</w:t>
      </w:r>
    </w:p>
    <w:p w14:paraId="229C608D" w14:textId="77777777" w:rsidR="00DF2A6B" w:rsidRPr="003C4991" w:rsidRDefault="00DF2A6B" w:rsidP="00DF2A6B">
      <w:pPr>
        <w:pStyle w:val="Body"/>
      </w:pPr>
      <w:r w:rsidRPr="003C4991">
        <w:t>Schiller, H., Pfleiderer, A., &amp; Huth, G. (2009). The effects of long-term exposure to silica dust in mining workers. American Journal of Industrial Medicine, 58(7), 790–798.</w:t>
      </w:r>
    </w:p>
    <w:p w14:paraId="6430D404" w14:textId="77777777" w:rsidR="00DF2A6B" w:rsidRPr="003C4991" w:rsidRDefault="00DF2A6B" w:rsidP="00DF2A6B">
      <w:pPr>
        <w:pStyle w:val="Body"/>
      </w:pPr>
      <w:r w:rsidRPr="003C4991">
        <w:t xml:space="preserve">Tarlo, S. M., &amp; </w:t>
      </w:r>
      <w:proofErr w:type="spellStart"/>
      <w:r w:rsidRPr="003C4991">
        <w:t>Lemiere</w:t>
      </w:r>
      <w:proofErr w:type="spellEnd"/>
      <w:r w:rsidRPr="003C4991">
        <w:t>, C. (2014). Occupational asthma. New England Journal of Medicine, 370(7), 640–649.</w:t>
      </w:r>
    </w:p>
    <w:p w14:paraId="404292A4" w14:textId="77777777" w:rsidR="00B01FCD" w:rsidRPr="003C4991" w:rsidRDefault="00DF2A6B" w:rsidP="00244717">
      <w:pPr>
        <w:pStyle w:val="Body"/>
        <w:spacing w:after="0"/>
        <w:jc w:val="left"/>
        <w:rPr>
          <w:rFonts w:ascii="Arial" w:hAnsi="Arial" w:cs="Arial"/>
        </w:rPr>
      </w:pPr>
      <w:r w:rsidRPr="003C4991">
        <w:t>Zhang, Y., Li, X., &amp; Zhou, Y. (2018). Health benefits of Capsicum annuum and its bioactive compounds. Food Research International, 104, 97–106.</w:t>
      </w:r>
    </w:p>
    <w:p w14:paraId="55007AB7" w14:textId="77777777" w:rsidR="00994CE5" w:rsidRPr="003C4991" w:rsidRDefault="00000000">
      <w:pPr>
        <w:pStyle w:val="Body"/>
        <w:ind w:left="720" w:hanging="720"/>
      </w:pPr>
      <w:r w:rsidRPr="003C4991">
        <w:t>American Thoracic Society. (2000). Guidelines for methacholine and exercise challenge testing—1999. American Journal of Respiratory and Critical Care Medicine, 161(1), 309–329. https://doi.org/10.1164/ajrccm.161.1.ats11-99</w:t>
      </w:r>
    </w:p>
    <w:p w14:paraId="0E708FDB" w14:textId="77777777" w:rsidR="00994CE5" w:rsidRPr="003C4991" w:rsidRDefault="00000000">
      <w:pPr>
        <w:pStyle w:val="Body"/>
        <w:ind w:left="720" w:hanging="720"/>
      </w:pPr>
      <w:r w:rsidRPr="003C4991">
        <w:t xml:space="preserve">Baur, X., &amp; </w:t>
      </w:r>
      <w:proofErr w:type="spellStart"/>
      <w:r w:rsidRPr="003C4991">
        <w:t>Bakehe</w:t>
      </w:r>
      <w:proofErr w:type="spellEnd"/>
      <w:r w:rsidRPr="003C4991">
        <w:t>, P. (2014). Allergens causing occupational asthma: An evidence-based evaluation of the literature. International Archives of Occupational and Environmental Health, 87(4), 339–363. https://doi.org/10.1007/s00420-013-0910-9</w:t>
      </w:r>
    </w:p>
    <w:p w14:paraId="0F4B8214" w14:textId="77777777" w:rsidR="00994CE5" w:rsidRPr="003C4991" w:rsidRDefault="00000000">
      <w:pPr>
        <w:pStyle w:val="Body"/>
        <w:ind w:left="720" w:hanging="720"/>
      </w:pPr>
      <w:proofErr w:type="spellStart"/>
      <w:r w:rsidRPr="003C4991">
        <w:t>Belvisi</w:t>
      </w:r>
      <w:proofErr w:type="spellEnd"/>
      <w:r w:rsidRPr="003C4991">
        <w:t>, M. G., &amp; Birrell, M. A. (2017). The emerging role of transient receptor potential channels in chronic lung disease. European Respiratory Journal, 50(2), 1601357. https://doi.org/10.1183/13993003.01357-2016</w:t>
      </w:r>
    </w:p>
    <w:p w14:paraId="5EC9F19C" w14:textId="77777777" w:rsidR="00994CE5" w:rsidRPr="003C4991" w:rsidRDefault="00000000">
      <w:pPr>
        <w:pStyle w:val="Body"/>
        <w:ind w:left="720" w:hanging="720"/>
      </w:pPr>
      <w:r w:rsidRPr="003C4991">
        <w:t xml:space="preserve">Coates, A. L., Wanger, J., Cockcroft, D. W., Culver, B. H., Diamant, Z., Gauvreau, G., Hall, G. L., </w:t>
      </w:r>
      <w:proofErr w:type="spellStart"/>
      <w:r w:rsidRPr="003C4991">
        <w:t>Hallstrand</w:t>
      </w:r>
      <w:proofErr w:type="spellEnd"/>
      <w:r w:rsidRPr="003C4991">
        <w:t xml:space="preserve">, T. S., Horvath, I., de Jongh, F. H. C., Joos, G., Kaminsky, D. A., Laube, B. L., </w:t>
      </w:r>
      <w:proofErr w:type="spellStart"/>
      <w:r w:rsidRPr="003C4991">
        <w:t>Leuppi</w:t>
      </w:r>
      <w:proofErr w:type="spellEnd"/>
      <w:r w:rsidRPr="003C4991">
        <w:t>, J. D., &amp; Sterk, P. J. (2017). ERS technical standard on bronchial challenge testing: General considerations and performance of methacholine challenge tests. European Respiratory Journal, 49(5), 1601526. https://doi.org/10.1183/13993003.01526-2016</w:t>
      </w:r>
    </w:p>
    <w:p w14:paraId="0446DE4B" w14:textId="77777777" w:rsidR="00994CE5" w:rsidRPr="003C4991" w:rsidRDefault="00000000">
      <w:pPr>
        <w:pStyle w:val="Body"/>
        <w:ind w:left="720" w:hanging="720"/>
      </w:pPr>
      <w:r w:rsidRPr="003C4991">
        <w:t>Cockcroft, D. W., &amp; Davis, B. E. (2006). Mechanisms of airway hyperresponsiveness. Journal of Allergy and Clinical Immunology, 118(3), 551–559. https://doi.org/10.1016/j.jaci.2006.07.012</w:t>
      </w:r>
    </w:p>
    <w:p w14:paraId="2DCA96F3" w14:textId="77777777" w:rsidR="00994CE5" w:rsidRPr="003C4991" w:rsidRDefault="00000000">
      <w:pPr>
        <w:pStyle w:val="Body"/>
        <w:ind w:left="720" w:hanging="720"/>
      </w:pPr>
      <w:r w:rsidRPr="003C4991">
        <w:t xml:space="preserve">Graham, B. L., </w:t>
      </w:r>
      <w:proofErr w:type="spellStart"/>
      <w:r w:rsidRPr="003C4991">
        <w:t>Steenbruggen</w:t>
      </w:r>
      <w:proofErr w:type="spellEnd"/>
      <w:r w:rsidRPr="003C4991">
        <w:t xml:space="preserve">, I., Miller, M. R., </w:t>
      </w:r>
      <w:proofErr w:type="spellStart"/>
      <w:r w:rsidRPr="003C4991">
        <w:t>Barjaktarevic</w:t>
      </w:r>
      <w:proofErr w:type="spellEnd"/>
      <w:r w:rsidRPr="003C4991">
        <w:t xml:space="preserve">, I. Z., Cooper, B. G., Hall, G. L., </w:t>
      </w:r>
      <w:proofErr w:type="spellStart"/>
      <w:r w:rsidRPr="003C4991">
        <w:t>Hallstrand</w:t>
      </w:r>
      <w:proofErr w:type="spellEnd"/>
      <w:r w:rsidRPr="003C4991">
        <w:t xml:space="preserve">, T. S., Kaminsky, D. A., McCarthy, K., McCormack, M. C., </w:t>
      </w:r>
      <w:proofErr w:type="spellStart"/>
      <w:r w:rsidRPr="003C4991">
        <w:t>Oropez</w:t>
      </w:r>
      <w:proofErr w:type="spellEnd"/>
      <w:r w:rsidRPr="003C4991">
        <w:t xml:space="preserve">, C. E., Rosenfeld, M., Stanojevic, S., </w:t>
      </w:r>
      <w:proofErr w:type="spellStart"/>
      <w:r w:rsidRPr="003C4991">
        <w:t>Swanney</w:t>
      </w:r>
      <w:proofErr w:type="spellEnd"/>
      <w:r w:rsidRPr="003C4991">
        <w:t>, M. P., &amp; Thompson, B. R. (2019). Standardization of spirometry 2019 update: An official American Thoracic Society and European Respiratory Society technical statement. American Journal of Respiratory and Critical Care Medicine, 200(8), e70–e88. https://doi.org/10.1164/rccm.201908-1590ST</w:t>
      </w:r>
    </w:p>
    <w:p w14:paraId="500DA87E" w14:textId="77777777" w:rsidR="00994CE5" w:rsidRPr="003C4991" w:rsidRDefault="00000000">
      <w:pPr>
        <w:pStyle w:val="Body"/>
        <w:ind w:left="720" w:hanging="720"/>
      </w:pPr>
      <w:r w:rsidRPr="003C4991">
        <w:t>Mazzone, S. B., &amp; Undem, B. J. (2016). Vagal afferent innervation of the airways in health and disease. Physiological Reviews, 96(3), 975–1024. https://doi.org/10.1152/physrev.00039.2015</w:t>
      </w:r>
    </w:p>
    <w:p w14:paraId="3705B6CD" w14:textId="77777777" w:rsidR="00994CE5" w:rsidRPr="003C4991" w:rsidRDefault="00000000">
      <w:pPr>
        <w:pStyle w:val="Body"/>
        <w:ind w:left="720" w:hanging="720"/>
      </w:pPr>
      <w:r w:rsidRPr="003C4991">
        <w:t>Nicholson, P. J., Cullinan, P., Taylor, A. J. N., Burge, P. S., &amp; Boyle, C. (2005). Evidence based guidelines for the prevention, identification, and management of occupational asthma. Occupational and Environmental Medicine, 62(5), 290–299. https://doi.org/10.1136/oem.2004.016287</w:t>
      </w:r>
    </w:p>
    <w:p w14:paraId="7142A5D2" w14:textId="77777777" w:rsidR="00994CE5" w:rsidRPr="003C4991" w:rsidRDefault="00000000">
      <w:pPr>
        <w:pStyle w:val="Body"/>
        <w:ind w:left="720" w:hanging="720"/>
      </w:pPr>
      <w:proofErr w:type="spellStart"/>
      <w:r w:rsidRPr="003C4991">
        <w:lastRenderedPageBreak/>
        <w:t>Quanjer</w:t>
      </w:r>
      <w:proofErr w:type="spellEnd"/>
      <w:r w:rsidRPr="003C4991">
        <w:t>, P. H., Stanojevic, S., Cole, T. J., Baur, X., Hall, G. L., Culver, B. H., Enright, P. L., Hankinson, J. L., Ip, M. S. M., Zheng, J., &amp; Stocks, J. (2012). Multi-ethnic reference values for spirometry for the 3–95-year age range: The Global Lung Function 2012 equations. European Respiratory Journal, 40(6), 1324–1343. https://doi.org/10.1183/09031936.00080312</w:t>
      </w:r>
    </w:p>
    <w:p w14:paraId="24E050D8" w14:textId="77777777" w:rsidR="00994CE5" w:rsidRPr="003C4991" w:rsidRDefault="00000000">
      <w:pPr>
        <w:pStyle w:val="Body"/>
        <w:ind w:left="720" w:hanging="720"/>
      </w:pPr>
      <w:r w:rsidRPr="003C4991">
        <w:t xml:space="preserve">Tarlo, S. M., &amp; </w:t>
      </w:r>
      <w:proofErr w:type="spellStart"/>
      <w:r w:rsidRPr="003C4991">
        <w:t>Lemiere</w:t>
      </w:r>
      <w:proofErr w:type="spellEnd"/>
      <w:r w:rsidRPr="003C4991">
        <w:t>, C. (2014). Occupational asthma. New England Journal of Medicine, 370(7), 640–649. https://doi.org/10.1056/NEJMra1301758</w:t>
      </w:r>
    </w:p>
    <w:p w14:paraId="4C8A2325" w14:textId="77777777" w:rsidR="00994CE5" w:rsidRPr="003C4991" w:rsidRDefault="00000000">
      <w:pPr>
        <w:pStyle w:val="Body"/>
        <w:ind w:left="720" w:hanging="720"/>
      </w:pPr>
      <w:r w:rsidRPr="003C4991">
        <w:t xml:space="preserve">Vandenplas, O., Dressel, H., Wilken, D., </w:t>
      </w:r>
      <w:proofErr w:type="spellStart"/>
      <w:r w:rsidRPr="003C4991">
        <w:t>Jamart</w:t>
      </w:r>
      <w:proofErr w:type="spellEnd"/>
      <w:r w:rsidRPr="003C4991">
        <w:t xml:space="preserve">, J., </w:t>
      </w:r>
      <w:proofErr w:type="spellStart"/>
      <w:r w:rsidRPr="003C4991">
        <w:t>Heederik</w:t>
      </w:r>
      <w:proofErr w:type="spellEnd"/>
      <w:r w:rsidRPr="003C4991">
        <w:t xml:space="preserve">, D., </w:t>
      </w:r>
      <w:proofErr w:type="spellStart"/>
      <w:r w:rsidRPr="003C4991">
        <w:t>Maestrelli</w:t>
      </w:r>
      <w:proofErr w:type="spellEnd"/>
      <w:r w:rsidRPr="003C4991">
        <w:t>, P., Sigsgaard, T., &amp; Henneberger, P. K. (2011). Management of occupational asthma: Cessation or reduction of exposure? A systematic review of available evidence. European Respiratory Journal, 38(4), 804–811. https://doi.org/10.1183/09031936.00146010</w:t>
      </w:r>
    </w:p>
    <w:p w14:paraId="635FCD6B" w14:textId="77777777" w:rsidR="00B01FCD" w:rsidRPr="00FB3A86" w:rsidRDefault="00B01FCD" w:rsidP="00441B6F">
      <w:pPr>
        <w:pStyle w:val="Appendix"/>
        <w:spacing w:after="0"/>
        <w:jc w:val="both"/>
        <w:rPr>
          <w:rFonts w:ascii="Arial" w:hAnsi="Arial" w:cs="Arial"/>
          <w:b w:val="0"/>
        </w:rPr>
      </w:pPr>
    </w:p>
    <w:sectPr w:rsidR="00B01FCD" w:rsidRPr="00FB3A86" w:rsidSect="0081764D">
      <w:headerReference w:type="even" r:id="rId27"/>
      <w:headerReference w:type="default" r:id="rId28"/>
      <w:footerReference w:type="default" r:id="rId29"/>
      <w:headerReference w:type="first" r:id="rId3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A7319" w14:textId="77777777" w:rsidR="007D2CAF" w:rsidRDefault="007D2CAF" w:rsidP="00C37E61">
      <w:r>
        <w:separator/>
      </w:r>
    </w:p>
  </w:endnote>
  <w:endnote w:type="continuationSeparator" w:id="0">
    <w:p w14:paraId="22EEA845" w14:textId="77777777" w:rsidR="007D2CAF" w:rsidRDefault="007D2CA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6401" w14:textId="77777777" w:rsidR="00561792" w:rsidRDefault="00561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1F78" w14:textId="77777777" w:rsidR="00561792" w:rsidRDefault="00561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7FEC" w14:textId="6135E626" w:rsidR="00754C9A" w:rsidRPr="00561792" w:rsidRDefault="00754C9A" w:rsidP="0056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952A" w14:textId="77777777" w:rsidR="0081764D" w:rsidRPr="00C37E61" w:rsidRDefault="0081764D" w:rsidP="00C37E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C94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68EB6" w14:textId="77777777" w:rsidR="007D2CAF" w:rsidRDefault="007D2CAF" w:rsidP="00C37E61">
      <w:r>
        <w:separator/>
      </w:r>
    </w:p>
  </w:footnote>
  <w:footnote w:type="continuationSeparator" w:id="0">
    <w:p w14:paraId="1E50B58F" w14:textId="77777777" w:rsidR="007D2CAF" w:rsidRDefault="007D2CA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685E" w14:textId="285E2EC0" w:rsidR="00561792" w:rsidRDefault="00561792">
    <w:pPr>
      <w:pStyle w:val="Header"/>
    </w:pPr>
    <w:r>
      <w:rPr>
        <w:noProof/>
      </w:rPr>
      <w:pict w14:anchorId="090F3B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3"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AFCD" w14:textId="652B80A6" w:rsidR="00561792" w:rsidRDefault="00561792">
    <w:pPr>
      <w:pStyle w:val="Header"/>
    </w:pPr>
    <w:r>
      <w:rPr>
        <w:noProof/>
      </w:rPr>
      <w:pict w14:anchorId="1CA44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4"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46C4" w14:textId="3345859A" w:rsidR="00296529" w:rsidRPr="00296529" w:rsidRDefault="00561792" w:rsidP="00296529">
    <w:pPr>
      <w:ind w:left="2160"/>
      <w:jc w:val="center"/>
      <w:rPr>
        <w:rFonts w:ascii="Times New Roman" w:eastAsia="Calibri" w:hAnsi="Times New Roman"/>
        <w:i/>
        <w:sz w:val="18"/>
        <w:szCs w:val="22"/>
      </w:rPr>
    </w:pPr>
    <w:r>
      <w:rPr>
        <w:noProof/>
      </w:rPr>
      <w:pict w14:anchorId="56BD3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2"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FAD8DA4"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01FAE83"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A769A93"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314E215"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331F7FA"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4F02FC13"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DBFC" w14:textId="291F0732" w:rsidR="00561792" w:rsidRDefault="00561792">
    <w:pPr>
      <w:pStyle w:val="Header"/>
    </w:pPr>
    <w:r>
      <w:rPr>
        <w:noProof/>
      </w:rPr>
      <w:pict w14:anchorId="32776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6"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C72D5A4">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B687" w14:textId="4464461B" w:rsidR="00561792" w:rsidRDefault="00561792">
    <w:pPr>
      <w:pStyle w:val="Header"/>
    </w:pPr>
    <w:r>
      <w:rPr>
        <w:noProof/>
      </w:rPr>
      <w:pict w14:anchorId="70DF5F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7"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D6EE99C">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3E58" w14:textId="6016742A" w:rsidR="00561792" w:rsidRPr="00296529" w:rsidRDefault="00561792" w:rsidP="00296529">
    <w:pPr>
      <w:ind w:left="2160"/>
      <w:jc w:val="center"/>
      <w:rPr>
        <w:rFonts w:ascii="Times New Roman" w:eastAsia="Calibri" w:hAnsi="Times New Roman"/>
        <w:i/>
        <w:sz w:val="18"/>
        <w:szCs w:val="22"/>
      </w:rPr>
    </w:pPr>
    <w:r>
      <w:rPr>
        <w:noProof/>
      </w:rPr>
      <w:pict w14:anchorId="288A63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5"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5D7E58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9FA93EF" w14:textId="77777777" w:rsidR="00561792" w:rsidRPr="00296529" w:rsidRDefault="0056179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6D09E2C1" w14:textId="77777777" w:rsidR="00561792" w:rsidRPr="00296529" w:rsidRDefault="0056179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F4D0964" w14:textId="77777777" w:rsidR="00561792" w:rsidRPr="00296529" w:rsidRDefault="0056179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96DFDCC" w14:textId="77777777" w:rsidR="00561792" w:rsidRDefault="0056179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BAE44FD" w14:textId="77777777" w:rsidR="00561792" w:rsidRDefault="0056179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7997B7E" w14:textId="77777777" w:rsidR="00561792" w:rsidRDefault="00561792">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4EF9" w14:textId="37569C33" w:rsidR="00561792" w:rsidRDefault="00561792">
    <w:pPr>
      <w:pStyle w:val="Header"/>
    </w:pPr>
    <w:r>
      <w:rPr>
        <w:noProof/>
      </w:rPr>
      <w:pict w14:anchorId="5DA5A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9" o:spid="_x0000_s1039" type="#_x0000_t136" style="position:absolute;margin-left:0;margin-top:0;width:520.65pt;height:57.85pt;rotation:315;z-index:-25163059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330094F">
        <v:shape id="_x0000_s1038" type="#_x0000_t136" style="position:absolute;margin-left:0;margin-top:0;width:520.65pt;height:57.85pt;rotation:315;z-index:-251632640;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4E1DACA">
        <v:shape id="_x0000_s1037" type="#_x0000_t136" style="position:absolute;margin-left:0;margin-top:0;width:520.65pt;height:57.85pt;rotation:315;z-index:-25163366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717A" w14:textId="509C416E" w:rsidR="00561792" w:rsidRDefault="00561792">
    <w:pPr>
      <w:pStyle w:val="Header"/>
    </w:pPr>
    <w:r>
      <w:rPr>
        <w:noProof/>
      </w:rPr>
      <w:pict w14:anchorId="4D36F6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70" o:spid="_x0000_s1042" type="#_x0000_t136" style="position:absolute;margin-left:0;margin-top:0;width:520.65pt;height:57.85pt;rotation:315;z-index:-25162547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C875E34">
        <v:shape id="_x0000_s1041" type="#_x0000_t136" style="position:absolute;margin-left:0;margin-top:0;width:520.65pt;height:57.85pt;rotation:315;z-index:-251627520;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035AA5C">
        <v:shape id="_x0000_s1040" type="#_x0000_t136" style="position:absolute;margin-left:0;margin-top:0;width:520.65pt;height:57.85pt;rotation:315;z-index:-25162854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599D" w14:textId="6133497C" w:rsidR="00561792" w:rsidRPr="00296529" w:rsidRDefault="00561792" w:rsidP="00296529">
    <w:pPr>
      <w:ind w:left="2160"/>
      <w:jc w:val="center"/>
      <w:rPr>
        <w:rFonts w:ascii="Times New Roman" w:eastAsia="Calibri" w:hAnsi="Times New Roman"/>
        <w:i/>
        <w:sz w:val="18"/>
        <w:szCs w:val="22"/>
      </w:rPr>
    </w:pPr>
    <w:r>
      <w:rPr>
        <w:noProof/>
      </w:rPr>
      <w:pict w14:anchorId="5AF0C1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8" o:spid="_x0000_s1036" type="#_x0000_t136" style="position:absolute;left:0;text-align:left;margin-left:0;margin-top:0;width:520.65pt;height:57.85pt;rotation:315;z-index:-25163571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06B238D">
        <v:shape id="_x0000_s1035" type="#_x0000_t136" style="position:absolute;left:0;text-align:left;margin-left:0;margin-top:0;width:520.65pt;height:57.85pt;rotation:315;z-index:-251637760;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93F918B">
        <v:shape id="_x0000_s1034" type="#_x0000_t136" style="position:absolute;left:0;text-align:left;margin-left:0;margin-top:0;width:520.65pt;height:57.85pt;rotation:315;z-index:-251638784;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5DDA6E4" w14:textId="77777777" w:rsidR="00561792" w:rsidRPr="00296529" w:rsidRDefault="0056179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3583DE9" w14:textId="77777777" w:rsidR="00561792" w:rsidRPr="00296529" w:rsidRDefault="0056179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B4BFF9E" w14:textId="77777777" w:rsidR="00561792" w:rsidRPr="00296529" w:rsidRDefault="0056179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D9A207F" w14:textId="77777777" w:rsidR="00561792" w:rsidRDefault="0056179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CDD88A5" w14:textId="77777777" w:rsidR="00561792" w:rsidRDefault="0056179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9CFF9FB" w14:textId="77777777" w:rsidR="00561792" w:rsidRDefault="00561792">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6475418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73973888">
    <w:abstractNumId w:val="15"/>
  </w:num>
  <w:num w:numId="3" w16cid:durableId="1189292100">
    <w:abstractNumId w:val="23"/>
  </w:num>
  <w:num w:numId="4" w16cid:durableId="141709464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32823393">
    <w:abstractNumId w:val="7"/>
  </w:num>
  <w:num w:numId="6" w16cid:durableId="118034606">
    <w:abstractNumId w:val="6"/>
  </w:num>
  <w:num w:numId="7" w16cid:durableId="1294291002">
    <w:abstractNumId w:val="1"/>
  </w:num>
  <w:num w:numId="8" w16cid:durableId="997613571">
    <w:abstractNumId w:val="12"/>
  </w:num>
  <w:num w:numId="9" w16cid:durableId="435639386">
    <w:abstractNumId w:val="25"/>
  </w:num>
  <w:num w:numId="10" w16cid:durableId="775248582">
    <w:abstractNumId w:val="2"/>
  </w:num>
  <w:num w:numId="11" w16cid:durableId="1297300620">
    <w:abstractNumId w:val="18"/>
  </w:num>
  <w:num w:numId="12" w16cid:durableId="1728186126">
    <w:abstractNumId w:val="3"/>
  </w:num>
  <w:num w:numId="13" w16cid:durableId="617760114">
    <w:abstractNumId w:val="17"/>
  </w:num>
  <w:num w:numId="14" w16cid:durableId="52198042">
    <w:abstractNumId w:val="8"/>
  </w:num>
  <w:num w:numId="15" w16cid:durableId="1197964051">
    <w:abstractNumId w:val="21"/>
  </w:num>
  <w:num w:numId="16" w16cid:durableId="1849712146">
    <w:abstractNumId w:val="5"/>
  </w:num>
  <w:num w:numId="17" w16cid:durableId="632901894">
    <w:abstractNumId w:val="22"/>
  </w:num>
  <w:num w:numId="18" w16cid:durableId="470055557">
    <w:abstractNumId w:val="14"/>
  </w:num>
  <w:num w:numId="19" w16cid:durableId="2142991562">
    <w:abstractNumId w:val="28"/>
  </w:num>
  <w:num w:numId="20" w16cid:durableId="1670788145">
    <w:abstractNumId w:val="11"/>
  </w:num>
  <w:num w:numId="21" w16cid:durableId="771365633">
    <w:abstractNumId w:val="9"/>
  </w:num>
  <w:num w:numId="22" w16cid:durableId="1217471003">
    <w:abstractNumId w:val="13"/>
  </w:num>
  <w:num w:numId="23" w16cid:durableId="2112314929">
    <w:abstractNumId w:val="19"/>
  </w:num>
  <w:num w:numId="24" w16cid:durableId="418259272">
    <w:abstractNumId w:val="26"/>
  </w:num>
  <w:num w:numId="25" w16cid:durableId="831987539">
    <w:abstractNumId w:val="4"/>
  </w:num>
  <w:num w:numId="26" w16cid:durableId="1118794519">
    <w:abstractNumId w:val="16"/>
  </w:num>
  <w:num w:numId="27" w16cid:durableId="1985424452">
    <w:abstractNumId w:val="20"/>
  </w:num>
  <w:num w:numId="28" w16cid:durableId="940264984">
    <w:abstractNumId w:val="27"/>
  </w:num>
  <w:num w:numId="29" w16cid:durableId="1776897951">
    <w:abstractNumId w:val="24"/>
  </w:num>
  <w:num w:numId="30" w16cid:durableId="299962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63BC4"/>
    <w:rsid w:val="001741A1"/>
    <w:rsid w:val="00191062"/>
    <w:rsid w:val="00192B72"/>
    <w:rsid w:val="0019636B"/>
    <w:rsid w:val="001A29D8"/>
    <w:rsid w:val="001A5CAA"/>
    <w:rsid w:val="001B0427"/>
    <w:rsid w:val="001D3A51"/>
    <w:rsid w:val="001D5212"/>
    <w:rsid w:val="001E10D2"/>
    <w:rsid w:val="001E25B4"/>
    <w:rsid w:val="001E44FE"/>
    <w:rsid w:val="00200595"/>
    <w:rsid w:val="00204835"/>
    <w:rsid w:val="00231920"/>
    <w:rsid w:val="0023195C"/>
    <w:rsid w:val="0024282C"/>
    <w:rsid w:val="00244717"/>
    <w:rsid w:val="002460DC"/>
    <w:rsid w:val="00250985"/>
    <w:rsid w:val="002556F6"/>
    <w:rsid w:val="00283105"/>
    <w:rsid w:val="00284C4C"/>
    <w:rsid w:val="00287E68"/>
    <w:rsid w:val="00296529"/>
    <w:rsid w:val="002B27FB"/>
    <w:rsid w:val="002B685A"/>
    <w:rsid w:val="002C57D2"/>
    <w:rsid w:val="002E0D56"/>
    <w:rsid w:val="00315186"/>
    <w:rsid w:val="00330F46"/>
    <w:rsid w:val="0033343E"/>
    <w:rsid w:val="003512C2"/>
    <w:rsid w:val="00366EAB"/>
    <w:rsid w:val="00371FB6"/>
    <w:rsid w:val="003763C1"/>
    <w:rsid w:val="00376BBE"/>
    <w:rsid w:val="00391363"/>
    <w:rsid w:val="0039224F"/>
    <w:rsid w:val="003A43A4"/>
    <w:rsid w:val="003A7E18"/>
    <w:rsid w:val="003C4991"/>
    <w:rsid w:val="003C4C86"/>
    <w:rsid w:val="003C6258"/>
    <w:rsid w:val="003E1F28"/>
    <w:rsid w:val="003E2904"/>
    <w:rsid w:val="003E2E91"/>
    <w:rsid w:val="00401927"/>
    <w:rsid w:val="0041027F"/>
    <w:rsid w:val="00412475"/>
    <w:rsid w:val="00423789"/>
    <w:rsid w:val="0043098F"/>
    <w:rsid w:val="004338C3"/>
    <w:rsid w:val="00440F43"/>
    <w:rsid w:val="00441B6F"/>
    <w:rsid w:val="00446221"/>
    <w:rsid w:val="00450E62"/>
    <w:rsid w:val="004539DB"/>
    <w:rsid w:val="00471A80"/>
    <w:rsid w:val="004D305E"/>
    <w:rsid w:val="004D4277"/>
    <w:rsid w:val="00502516"/>
    <w:rsid w:val="00505F06"/>
    <w:rsid w:val="00506828"/>
    <w:rsid w:val="0053056E"/>
    <w:rsid w:val="00554FDA"/>
    <w:rsid w:val="00561792"/>
    <w:rsid w:val="005C784C"/>
    <w:rsid w:val="005D17F6"/>
    <w:rsid w:val="005E5539"/>
    <w:rsid w:val="00602BF5"/>
    <w:rsid w:val="00607564"/>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1B4C"/>
    <w:rsid w:val="006F11EC"/>
    <w:rsid w:val="0070082C"/>
    <w:rsid w:val="00712E5E"/>
    <w:rsid w:val="007369E6"/>
    <w:rsid w:val="00746E59"/>
    <w:rsid w:val="00754C9A"/>
    <w:rsid w:val="0075599A"/>
    <w:rsid w:val="00761D52"/>
    <w:rsid w:val="0077749E"/>
    <w:rsid w:val="00790ADA"/>
    <w:rsid w:val="007D2288"/>
    <w:rsid w:val="007D2CAF"/>
    <w:rsid w:val="007E088F"/>
    <w:rsid w:val="007F7B32"/>
    <w:rsid w:val="00804BC2"/>
    <w:rsid w:val="0081431A"/>
    <w:rsid w:val="0081764D"/>
    <w:rsid w:val="0083216F"/>
    <w:rsid w:val="00860000"/>
    <w:rsid w:val="00863BD3"/>
    <w:rsid w:val="008641ED"/>
    <w:rsid w:val="00866D66"/>
    <w:rsid w:val="008671C6"/>
    <w:rsid w:val="00875803"/>
    <w:rsid w:val="008B459E"/>
    <w:rsid w:val="008C0EAE"/>
    <w:rsid w:val="008E13AE"/>
    <w:rsid w:val="008E1506"/>
    <w:rsid w:val="008E710C"/>
    <w:rsid w:val="008E7B9C"/>
    <w:rsid w:val="008F69D6"/>
    <w:rsid w:val="00902823"/>
    <w:rsid w:val="00915CA6"/>
    <w:rsid w:val="00927834"/>
    <w:rsid w:val="009500A6"/>
    <w:rsid w:val="0095619F"/>
    <w:rsid w:val="00957C18"/>
    <w:rsid w:val="009659BA"/>
    <w:rsid w:val="00983040"/>
    <w:rsid w:val="00994CE5"/>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64825"/>
    <w:rsid w:val="00A94063"/>
    <w:rsid w:val="00AA6219"/>
    <w:rsid w:val="00AA74E0"/>
    <w:rsid w:val="00AB703F"/>
    <w:rsid w:val="00AC6BB8"/>
    <w:rsid w:val="00AE008F"/>
    <w:rsid w:val="00AF4820"/>
    <w:rsid w:val="00B01FCD"/>
    <w:rsid w:val="00B1776C"/>
    <w:rsid w:val="00B47A2B"/>
    <w:rsid w:val="00B52583"/>
    <w:rsid w:val="00B52896"/>
    <w:rsid w:val="00B74FF1"/>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94EC4"/>
    <w:rsid w:val="00CD6755"/>
    <w:rsid w:val="00CD6856"/>
    <w:rsid w:val="00CE0089"/>
    <w:rsid w:val="00CE1DD6"/>
    <w:rsid w:val="00CE793C"/>
    <w:rsid w:val="00CF193C"/>
    <w:rsid w:val="00D173F1"/>
    <w:rsid w:val="00D74CB0"/>
    <w:rsid w:val="00D8295D"/>
    <w:rsid w:val="00DC2A65"/>
    <w:rsid w:val="00DE15F0"/>
    <w:rsid w:val="00DE5663"/>
    <w:rsid w:val="00DE78AA"/>
    <w:rsid w:val="00DF2A6B"/>
    <w:rsid w:val="00E04500"/>
    <w:rsid w:val="00E053D0"/>
    <w:rsid w:val="00E15994"/>
    <w:rsid w:val="00E3114E"/>
    <w:rsid w:val="00E31A70"/>
    <w:rsid w:val="00E35B02"/>
    <w:rsid w:val="00E36F13"/>
    <w:rsid w:val="00E66496"/>
    <w:rsid w:val="00E66B35"/>
    <w:rsid w:val="00E66E10"/>
    <w:rsid w:val="00E731C2"/>
    <w:rsid w:val="00E769F6"/>
    <w:rsid w:val="00E8407C"/>
    <w:rsid w:val="00E84F3C"/>
    <w:rsid w:val="00EA012C"/>
    <w:rsid w:val="00EC6A55"/>
    <w:rsid w:val="00ED0288"/>
    <w:rsid w:val="00EE52CB"/>
    <w:rsid w:val="00EF581D"/>
    <w:rsid w:val="00EF7FD8"/>
    <w:rsid w:val="00F05DC7"/>
    <w:rsid w:val="00F06F59"/>
    <w:rsid w:val="00F17988"/>
    <w:rsid w:val="00F469F0"/>
    <w:rsid w:val="00F53273"/>
    <w:rsid w:val="00F755E4"/>
    <w:rsid w:val="00F77D02"/>
    <w:rsid w:val="00FB3A86"/>
    <w:rsid w:val="00FD36C8"/>
    <w:rsid w:val="00FD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A6BC8"/>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3E1F2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3E2E91"/>
    <w:rPr>
      <w:b/>
      <w:bCs/>
    </w:rPr>
  </w:style>
  <w:style w:type="paragraph" w:customStyle="1" w:styleId="ds-markdown-paragraph">
    <w:name w:val="ds-markdown-paragraph"/>
    <w:basedOn w:val="Normal"/>
    <w:rsid w:val="00AF4820"/>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
    <w:rsid w:val="003E1F2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rsid w:val="003E1F2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8143333">
      <w:bodyDiv w:val="1"/>
      <w:marLeft w:val="0"/>
      <w:marRight w:val="0"/>
      <w:marTop w:val="0"/>
      <w:marBottom w:val="0"/>
      <w:divBdr>
        <w:top w:val="none" w:sz="0" w:space="0" w:color="auto"/>
        <w:left w:val="none" w:sz="0" w:space="0" w:color="auto"/>
        <w:bottom w:val="none" w:sz="0" w:space="0" w:color="auto"/>
        <w:right w:val="none" w:sz="0" w:space="0" w:color="auto"/>
      </w:divBdr>
    </w:div>
    <w:div w:id="11229102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33382791">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03096073">
      <w:bodyDiv w:val="1"/>
      <w:marLeft w:val="0"/>
      <w:marRight w:val="0"/>
      <w:marTop w:val="0"/>
      <w:marBottom w:val="0"/>
      <w:divBdr>
        <w:top w:val="none" w:sz="0" w:space="0" w:color="auto"/>
        <w:left w:val="none" w:sz="0" w:space="0" w:color="auto"/>
        <w:bottom w:val="none" w:sz="0" w:space="0" w:color="auto"/>
        <w:right w:val="none" w:sz="0" w:space="0" w:color="auto"/>
      </w:divBdr>
    </w:div>
    <w:div w:id="813910408">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69777561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4617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hyperlink" Target="https://doi.org/10.1164/ajrccm.162.4.2001023" TargetMode="Externa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8F23B-1214-435B-9098-2DECDFD9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152</TotalTime>
  <Pages>25</Pages>
  <Words>4222</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28238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13</cp:revision>
  <cp:lastPrinted>1999-07-06T11:00:00Z</cp:lastPrinted>
  <dcterms:created xsi:type="dcterms:W3CDTF">2026-07-20T17:58:00Z</dcterms:created>
  <dcterms:modified xsi:type="dcterms:W3CDTF">2026-07-22T09:06:00Z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614114e0-3498-4101-b930-ec8163b4eb10</vt:lpwstr>
  </property>
</Properties>
</file>