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3D1976" w14:textId="77777777" w:rsidR="00DC03C7" w:rsidRPr="0090016E" w:rsidRDefault="00DC03C7" w:rsidP="00DC03C7">
      <w:pPr>
        <w:spacing w:before="100" w:beforeAutospacing="1" w:after="100" w:afterAutospacing="1"/>
        <w:jc w:val="center"/>
        <w:rPr>
          <w:b/>
          <w:bCs/>
          <w:i/>
          <w:iCs/>
          <w:color w:val="000000" w:themeColor="text1"/>
          <w:sz w:val="32"/>
          <w:szCs w:val="32"/>
          <w:u w:val="single"/>
          <w:lang w:val="en-US"/>
        </w:rPr>
      </w:pPr>
      <w:r w:rsidRPr="0090016E">
        <w:rPr>
          <w:b/>
          <w:bCs/>
          <w:i/>
          <w:iCs/>
          <w:color w:val="000000" w:themeColor="text1"/>
          <w:sz w:val="32"/>
          <w:szCs w:val="32"/>
          <w:u w:val="single"/>
          <w:lang w:val="en-US"/>
        </w:rPr>
        <w:t>Review Article</w:t>
      </w:r>
    </w:p>
    <w:p w14:paraId="5D99A2C0" w14:textId="77777777" w:rsidR="005749C0" w:rsidRPr="0090016E" w:rsidRDefault="00000000" w:rsidP="00BB010B">
      <w:pPr>
        <w:spacing w:before="100" w:beforeAutospacing="1" w:after="100" w:afterAutospacing="1"/>
        <w:jc w:val="center"/>
        <w:rPr>
          <w:color w:val="000000" w:themeColor="text1"/>
        </w:rPr>
      </w:pPr>
      <w:r w:rsidRPr="0090016E">
        <w:rPr>
          <w:b/>
          <w:bCs/>
          <w:color w:val="000000" w:themeColor="text1"/>
          <w:sz w:val="32"/>
          <w:szCs w:val="32"/>
        </w:rPr>
        <w:t>Cannabis and Immune Homeostasis: A Critical Narrative Review of the Molecular Mechanisms Underlying Cannabinoid-Induced Immunomodulation</w:t>
      </w:r>
    </w:p>
    <w:p w14:paraId="4C349E54" w14:textId="77777777" w:rsidR="00F867AF" w:rsidRPr="0090016E" w:rsidRDefault="00F867AF" w:rsidP="00BB010B">
      <w:pPr>
        <w:pStyle w:val="Heading1"/>
        <w:spacing w:before="100" w:beforeAutospacing="1" w:after="100" w:afterAutospacing="1"/>
        <w:rPr>
          <w:b/>
          <w:bCs/>
          <w:color w:val="000000" w:themeColor="text1"/>
          <w:sz w:val="28"/>
          <w:szCs w:val="28"/>
        </w:rPr>
      </w:pPr>
    </w:p>
    <w:p w14:paraId="70021CEC" w14:textId="0A146A09" w:rsidR="005749C0" w:rsidRPr="0090016E" w:rsidRDefault="00000000" w:rsidP="00BB010B">
      <w:pPr>
        <w:pStyle w:val="Heading1"/>
        <w:spacing w:before="100" w:beforeAutospacing="1" w:after="100" w:afterAutospacing="1"/>
        <w:rPr>
          <w:color w:val="000000" w:themeColor="text1"/>
        </w:rPr>
      </w:pPr>
      <w:r w:rsidRPr="0090016E">
        <w:rPr>
          <w:b/>
          <w:bCs/>
          <w:color w:val="000000" w:themeColor="text1"/>
          <w:sz w:val="28"/>
          <w:szCs w:val="28"/>
        </w:rPr>
        <w:t>Abstract</w:t>
      </w:r>
    </w:p>
    <w:p w14:paraId="1C1C6A78" w14:textId="77777777" w:rsidR="005749C0" w:rsidRPr="0090016E" w:rsidRDefault="00000000" w:rsidP="00BB010B">
      <w:pPr>
        <w:spacing w:before="100" w:beforeAutospacing="1" w:after="100" w:afterAutospacing="1"/>
        <w:jc w:val="both"/>
        <w:rPr>
          <w:color w:val="000000" w:themeColor="text1"/>
        </w:rPr>
      </w:pPr>
      <w:r w:rsidRPr="0090016E">
        <w:rPr>
          <w:color w:val="000000" w:themeColor="text1"/>
        </w:rPr>
        <w:t>Background: Cannabis sativa and its principal constituents, Δ9-tetrahydrocannabinol (THC) and cannabidiol (CBD), engage an endogenous lipid signalling network, the endocannabinoid system, that has emerged as a pervasive regulator of innate and adaptive immunity. Although the immunosuppressive properties of THC were first described experimentally several decades ago, the molecular pathways linking cannabinoid receptor engagement to specific immune cell fates, cytokine programmes, epigenetic states, and tissue-level outcomes have not been consolidated into a single critical synthesis that distinguishes well-supported mechanisms from preliminary or contradictory findings.</w:t>
      </w:r>
    </w:p>
    <w:p w14:paraId="092D4441" w14:textId="77777777" w:rsidR="005749C0" w:rsidRPr="0090016E" w:rsidRDefault="00000000" w:rsidP="00BB010B">
      <w:pPr>
        <w:spacing w:before="100" w:beforeAutospacing="1" w:after="100" w:afterAutospacing="1"/>
        <w:jc w:val="both"/>
        <w:rPr>
          <w:color w:val="000000" w:themeColor="text1"/>
        </w:rPr>
      </w:pPr>
      <w:r w:rsidRPr="0090016E">
        <w:rPr>
          <w:color w:val="000000" w:themeColor="text1"/>
        </w:rPr>
        <w:t xml:space="preserve">Purpose and scope: This critical narrative review synthesises evidence on the molecular mechanisms through which </w:t>
      </w:r>
      <w:proofErr w:type="spellStart"/>
      <w:r w:rsidRPr="0090016E">
        <w:rPr>
          <w:color w:val="000000" w:themeColor="text1"/>
        </w:rPr>
        <w:t>phytocannabinoids</w:t>
      </w:r>
      <w:proofErr w:type="spellEnd"/>
      <w:r w:rsidRPr="0090016E">
        <w:rPr>
          <w:color w:val="000000" w:themeColor="text1"/>
        </w:rPr>
        <w:t>, synthetic cannabinoid receptor ligands, and endogenous cannabinoids influence immune cell development, activation, and effector function. Attention is given to receptor-dependent and receptor-independent pathways, epigenetic and microRNA-mediated regulation, mucosal and pulmonary immune consequences, and the clinical correlates of these mechanisms in autoimmune disease and infection susceptibility.</w:t>
      </w:r>
    </w:p>
    <w:p w14:paraId="28A0301B" w14:textId="77777777" w:rsidR="005749C0" w:rsidRPr="0090016E" w:rsidRDefault="00000000" w:rsidP="00BB010B">
      <w:pPr>
        <w:spacing w:before="100" w:beforeAutospacing="1" w:after="100" w:afterAutospacing="1"/>
        <w:jc w:val="both"/>
        <w:rPr>
          <w:color w:val="000000" w:themeColor="text1"/>
        </w:rPr>
      </w:pPr>
      <w:r w:rsidRPr="0090016E">
        <w:rPr>
          <w:color w:val="000000" w:themeColor="text1"/>
        </w:rPr>
        <w:t>Approach: Evidence was drawn from peer-reviewed primary research, mechanistic reviews, and clinical trials identified through structured searching of general and subject-specific bibliographic and citation-indexing platforms, supplemented by backward and forward citation tracing and restricted to sources whose bibliographic identity and relevance to the cited claim could be verified.</w:t>
      </w:r>
    </w:p>
    <w:p w14:paraId="24624205" w14:textId="77777777" w:rsidR="005749C0" w:rsidRPr="0090016E" w:rsidRDefault="00000000" w:rsidP="00BB010B">
      <w:pPr>
        <w:spacing w:before="100" w:beforeAutospacing="1" w:after="100" w:afterAutospacing="1"/>
        <w:jc w:val="both"/>
        <w:rPr>
          <w:color w:val="000000" w:themeColor="text1"/>
        </w:rPr>
      </w:pPr>
      <w:r w:rsidRPr="0090016E">
        <w:rPr>
          <w:color w:val="000000" w:themeColor="text1"/>
        </w:rPr>
        <w:t>Principal findings: The evidence base supports a model in which cannabinoid type 2 receptor (CB2) engagement on leukocytes constitutes the dominant, though not exclusive, route by which cannabinoids suppress lymphocyte proliferation, skew cytokine networks, induce apoptosis in activated T cells and dendritic cells, and mobilise myeloid-derived suppressor cells through epigenetically mediated mechanisms. Cannabinoid type 1 receptor (CB1) signalling contributes principally through neuro-immune circuits, while the atypical receptor GPR55 and peroxisome proliferator-activated receptor gamma (</w:t>
      </w:r>
      <w:proofErr w:type="spellStart"/>
      <w:r w:rsidRPr="0090016E">
        <w:rPr>
          <w:color w:val="000000" w:themeColor="text1"/>
        </w:rPr>
        <w:t>PPARγ</w:t>
      </w:r>
      <w:proofErr w:type="spellEnd"/>
      <w:r w:rsidRPr="0090016E">
        <w:rPr>
          <w:color w:val="000000" w:themeColor="text1"/>
        </w:rPr>
        <w:t xml:space="preserve">) generate context-dependent, occasionally opposing, effects that complicate a simple anti-inflammatory narrative. CBD acts substantially through CB2-independent and </w:t>
      </w:r>
      <w:proofErr w:type="spellStart"/>
      <w:r w:rsidRPr="0090016E">
        <w:rPr>
          <w:color w:val="000000" w:themeColor="text1"/>
        </w:rPr>
        <w:t>PPARγ</w:t>
      </w:r>
      <w:proofErr w:type="spellEnd"/>
      <w:r w:rsidRPr="0090016E">
        <w:rPr>
          <w:color w:val="000000" w:themeColor="text1"/>
        </w:rPr>
        <w:t>-dependent routes, with effects on macrophage polarisation and inflammasome activity that diverge mechanistically from those of THC. Confidence in these mechanisms is highest for rodent and in vitro human leukocyte systems and comparatively limited for chronic human exposure, where epidemiological and clinical trial evidence remains heterogeneous and often underpowered.</w:t>
      </w:r>
    </w:p>
    <w:p w14:paraId="688B74DC" w14:textId="77777777" w:rsidR="005749C0" w:rsidRPr="0090016E" w:rsidRDefault="00000000" w:rsidP="00BB010B">
      <w:pPr>
        <w:spacing w:before="100" w:beforeAutospacing="1" w:after="100" w:afterAutospacing="1"/>
        <w:jc w:val="both"/>
        <w:rPr>
          <w:color w:val="000000" w:themeColor="text1"/>
        </w:rPr>
      </w:pPr>
      <w:r w:rsidRPr="0090016E">
        <w:rPr>
          <w:color w:val="000000" w:themeColor="text1"/>
        </w:rPr>
        <w:t xml:space="preserve">Conclusions and implications: The molecular evidence positions the endocannabinoid system as a genuine node of immune homeostatic control rather than a uniformly immunosuppressive or anti-inflammatory </w:t>
      </w:r>
      <w:r w:rsidRPr="0090016E">
        <w:rPr>
          <w:color w:val="000000" w:themeColor="text1"/>
        </w:rPr>
        <w:lastRenderedPageBreak/>
        <w:t>pathway. Reconciling laboratory mechanism with the modest and inconsistent clinical signal for infection risk and autoimmune disease modification requires dose-, route-, and context-sensitive research designs that are largely absent from the current literature.</w:t>
      </w:r>
    </w:p>
    <w:p w14:paraId="490EFADB" w14:textId="77777777" w:rsidR="005749C0" w:rsidRPr="0090016E" w:rsidRDefault="00000000" w:rsidP="00BB010B">
      <w:pPr>
        <w:pStyle w:val="Heading1"/>
        <w:spacing w:before="100" w:beforeAutospacing="1" w:after="100" w:afterAutospacing="1"/>
        <w:rPr>
          <w:color w:val="000000" w:themeColor="text1"/>
        </w:rPr>
      </w:pPr>
      <w:r w:rsidRPr="0090016E">
        <w:rPr>
          <w:b/>
          <w:bCs/>
          <w:color w:val="000000" w:themeColor="text1"/>
          <w:sz w:val="28"/>
          <w:szCs w:val="28"/>
        </w:rPr>
        <w:t>Keywords</w:t>
      </w:r>
    </w:p>
    <w:p w14:paraId="5EBA82B7" w14:textId="77777777" w:rsidR="005749C0" w:rsidRPr="0090016E" w:rsidRDefault="00000000" w:rsidP="00BB010B">
      <w:pPr>
        <w:spacing w:before="100" w:beforeAutospacing="1" w:after="100" w:afterAutospacing="1"/>
        <w:jc w:val="both"/>
        <w:rPr>
          <w:color w:val="000000" w:themeColor="text1"/>
        </w:rPr>
      </w:pPr>
      <w:r w:rsidRPr="0090016E">
        <w:rPr>
          <w:color w:val="000000" w:themeColor="text1"/>
        </w:rPr>
        <w:t>cannabinoid receptors; endocannabinoid system; immunomodulation; myeloid-derived suppressor cells; cannabidiol; tetrahydrocannabinol; mucosal immunity; T-cell apoptosis</w:t>
      </w:r>
    </w:p>
    <w:p w14:paraId="34359A8C" w14:textId="77777777" w:rsidR="005749C0" w:rsidRPr="0090016E" w:rsidRDefault="00000000" w:rsidP="00BB010B">
      <w:pPr>
        <w:pStyle w:val="Heading1"/>
        <w:spacing w:before="100" w:beforeAutospacing="1" w:after="100" w:afterAutospacing="1"/>
        <w:rPr>
          <w:color w:val="000000" w:themeColor="text1"/>
        </w:rPr>
      </w:pPr>
      <w:r w:rsidRPr="0090016E">
        <w:rPr>
          <w:b/>
          <w:bCs/>
          <w:color w:val="000000" w:themeColor="text1"/>
          <w:sz w:val="28"/>
          <w:szCs w:val="28"/>
        </w:rPr>
        <w:t>1. Introduction</w:t>
      </w:r>
    </w:p>
    <w:p w14:paraId="0776AE33" w14:textId="77777777" w:rsidR="005749C0" w:rsidRPr="0090016E" w:rsidRDefault="00000000" w:rsidP="00BB010B">
      <w:pPr>
        <w:spacing w:before="100" w:beforeAutospacing="1" w:after="100" w:afterAutospacing="1"/>
        <w:jc w:val="both"/>
        <w:rPr>
          <w:color w:val="000000" w:themeColor="text1"/>
        </w:rPr>
      </w:pPr>
      <w:r w:rsidRPr="0090016E">
        <w:rPr>
          <w:color w:val="000000" w:themeColor="text1"/>
        </w:rPr>
        <w:t xml:space="preserve">The endocannabinoid system comprises two canonical G-protein-coupled receptors, cannabinoid receptor type 1 (CB1) and cannabinoid receptor type 2 (CB2), their endogenous lipid ligands anandamide and 2-arachidonoylglycerol, the enzymes responsible for their synthesis and hydrolysis, and a growing set of additional targets including the orphan receptor GPR55 and the nuclear receptor </w:t>
      </w:r>
      <w:proofErr w:type="spellStart"/>
      <w:r w:rsidRPr="0090016E">
        <w:rPr>
          <w:color w:val="000000" w:themeColor="text1"/>
        </w:rPr>
        <w:t>PPARγ</w:t>
      </w:r>
      <w:proofErr w:type="spellEnd"/>
      <w:r w:rsidRPr="0090016E">
        <w:rPr>
          <w:color w:val="000000" w:themeColor="text1"/>
        </w:rPr>
        <w:t xml:space="preserve"> (Cabral et al., 2015; Turcotte et al., 2015). Whereas CB1 is expressed predominantly, though not exclusively, on central and peripheral neurons, CB2 is enriched on cells of haematopoietic origin, including T and B lymphocytes, monocytes and macrophages, dendritic cells, natural killer cells, and neutrophils (</w:t>
      </w:r>
      <w:proofErr w:type="spellStart"/>
      <w:r w:rsidRPr="0090016E">
        <w:rPr>
          <w:color w:val="000000" w:themeColor="text1"/>
        </w:rPr>
        <w:t>Cuddihey</w:t>
      </w:r>
      <w:proofErr w:type="spellEnd"/>
      <w:r w:rsidRPr="0090016E">
        <w:rPr>
          <w:color w:val="000000" w:themeColor="text1"/>
        </w:rPr>
        <w:t xml:space="preserve"> et al., 2022; Nagarkatti et al., 2009). This distribution has motivated four decades of experimental work aimed at defining how exogenous cannabinoids derived from Cannabis sativa, principally Δ9-tetrahydrocannabinol (THC) and cannabidiol (CBD), and the endogenous ligands they mimic, converge on and diverge from a shared set of immunoregulatory pathways.</w:t>
      </w:r>
    </w:p>
    <w:p w14:paraId="6F059CFC" w14:textId="77777777" w:rsidR="005749C0" w:rsidRPr="0090016E" w:rsidRDefault="00000000" w:rsidP="00BB010B">
      <w:pPr>
        <w:spacing w:before="100" w:beforeAutospacing="1" w:after="100" w:afterAutospacing="1"/>
        <w:jc w:val="both"/>
        <w:rPr>
          <w:color w:val="000000" w:themeColor="text1"/>
        </w:rPr>
      </w:pPr>
      <w:r w:rsidRPr="0090016E">
        <w:rPr>
          <w:color w:val="000000" w:themeColor="text1"/>
        </w:rPr>
        <w:t xml:space="preserve">The immunosuppressive properties of THC were documented in cellular and animal systems well before the cannabinoid receptors themselves were cloned, with early reports describing suppressed natural killer cell cytolytic activity and reduced resistance to bacterial and viral pathogens in cannabinoid-exposed animals (Kawakami et al., 1988; Cabral &amp; Dove Pettit, 1998). The subsequent identification of CB2 as a receptor concentrated on immune tissue reframed these observations mechanistically, and a substantial body of work from groups studying T-cell apoptosis, myeloid-derived suppressor cell induction, and cytokine network remodelling has since elaborated the intracellular signalling cascades involved (Do et al., 2004; Hegde et al., 2010; </w:t>
      </w:r>
      <w:proofErr w:type="spellStart"/>
      <w:r w:rsidRPr="0090016E">
        <w:rPr>
          <w:color w:val="000000" w:themeColor="text1"/>
        </w:rPr>
        <w:t>McKallip</w:t>
      </w:r>
      <w:proofErr w:type="spellEnd"/>
      <w:r w:rsidRPr="0090016E">
        <w:rPr>
          <w:color w:val="000000" w:themeColor="text1"/>
        </w:rPr>
        <w:t xml:space="preserve"> et al., 2002a, 2002b). In parallel, the discovery that CBD exerts many of its anti-inflammatory effects through </w:t>
      </w:r>
      <w:proofErr w:type="spellStart"/>
      <w:r w:rsidRPr="0090016E">
        <w:rPr>
          <w:color w:val="000000" w:themeColor="text1"/>
        </w:rPr>
        <w:t>PPARγ</w:t>
      </w:r>
      <w:proofErr w:type="spellEnd"/>
      <w:r w:rsidRPr="0090016E">
        <w:rPr>
          <w:color w:val="000000" w:themeColor="text1"/>
        </w:rPr>
        <w:t xml:space="preserve"> activation and CB2-independent pathways established that the two principal </w:t>
      </w:r>
      <w:proofErr w:type="spellStart"/>
      <w:r w:rsidRPr="0090016E">
        <w:rPr>
          <w:color w:val="000000" w:themeColor="text1"/>
        </w:rPr>
        <w:t>phytocannabinoids</w:t>
      </w:r>
      <w:proofErr w:type="spellEnd"/>
      <w:r w:rsidRPr="0090016E">
        <w:rPr>
          <w:color w:val="000000" w:themeColor="text1"/>
        </w:rPr>
        <w:t xml:space="preserve"> cannot be treated as pharmacologically interchangeable within the immune compartment (Nagarkatti et al., 2009).</w:t>
      </w:r>
    </w:p>
    <w:p w14:paraId="4564742C" w14:textId="77777777" w:rsidR="005749C0" w:rsidRPr="0090016E" w:rsidRDefault="00000000" w:rsidP="00BB010B">
      <w:pPr>
        <w:spacing w:before="100" w:beforeAutospacing="1" w:after="100" w:afterAutospacing="1"/>
        <w:jc w:val="both"/>
        <w:rPr>
          <w:color w:val="000000" w:themeColor="text1"/>
        </w:rPr>
      </w:pPr>
      <w:r w:rsidRPr="0090016E">
        <w:rPr>
          <w:color w:val="000000" w:themeColor="text1"/>
        </w:rPr>
        <w:t>A separate but converging line of evidence has implicated the endocannabinoid system in the maintenance of mucosal and pulmonary immune homeostasis. Endocannabinoids secreted into the intestinal lumen restrain neutrophil transepithelial migration through CB2-dependent signalling, a mechanism with direct relevance to inflammatory bowel disease (</w:t>
      </w:r>
      <w:proofErr w:type="spellStart"/>
      <w:r w:rsidRPr="0090016E">
        <w:rPr>
          <w:color w:val="000000" w:themeColor="text1"/>
        </w:rPr>
        <w:t>Cuddihey</w:t>
      </w:r>
      <w:proofErr w:type="spellEnd"/>
      <w:r w:rsidRPr="0090016E">
        <w:rPr>
          <w:color w:val="000000" w:themeColor="text1"/>
        </w:rPr>
        <w:t xml:space="preserve"> et al., 2022; Szabady et al., 2018), while inhaled cannabis products alter alveolar macrophage function and pulmonary host defence in ways that are mechanistically distinct from the effects of systemic cannabinoid exposure (Preteroti et al., 2023). These tissue-specific observations sit alongside a growing, though still preliminary, clinical literature examining whether chronic cannabis use in humans measurably alters susceptibility to infection, the trajectory of autoimmune disease, or the molecular profile of circulating leukocytes (Hughes Kramer et al., 2026; </w:t>
      </w:r>
      <w:proofErr w:type="spellStart"/>
      <w:r w:rsidRPr="0090016E">
        <w:rPr>
          <w:color w:val="000000" w:themeColor="text1"/>
        </w:rPr>
        <w:t>Maggirwar</w:t>
      </w:r>
      <w:proofErr w:type="spellEnd"/>
      <w:r w:rsidRPr="0090016E">
        <w:rPr>
          <w:color w:val="000000" w:themeColor="text1"/>
        </w:rPr>
        <w:t xml:space="preserve"> &amp; Khalsa, 2021; Plank et al., 2024).</w:t>
      </w:r>
    </w:p>
    <w:p w14:paraId="39C982F1" w14:textId="77777777" w:rsidR="005749C0" w:rsidRPr="0090016E" w:rsidRDefault="00000000" w:rsidP="00BB010B">
      <w:pPr>
        <w:spacing w:before="100" w:beforeAutospacing="1" w:after="100" w:afterAutospacing="1"/>
        <w:jc w:val="both"/>
        <w:rPr>
          <w:color w:val="000000" w:themeColor="text1"/>
        </w:rPr>
      </w:pPr>
      <w:r w:rsidRPr="0090016E">
        <w:rPr>
          <w:color w:val="000000" w:themeColor="text1"/>
        </w:rPr>
        <w:lastRenderedPageBreak/>
        <w:t>Several existing reviews have addressed aspects of cannabinoid immunomodulation from complementary vantage points. Broad narrative reviews have surveyed the therapeutic potential of cannabis across organ systems, including immune-mediated disease, without foregrounding molecular mechanism as an organising principle (Barakat et al., 2025; Leinen et al., 2023). Mechanistically oriented reviews have tended to focus on a single receptor, cell type, or disease context, such as the intestinal endocannabinoid system, pulmonary immune consequences of inhalation, or the CB2 receptor as a regulator of inflammation specifically (</w:t>
      </w:r>
      <w:proofErr w:type="spellStart"/>
      <w:r w:rsidRPr="0090016E">
        <w:rPr>
          <w:color w:val="000000" w:themeColor="text1"/>
        </w:rPr>
        <w:t>Cuddihey</w:t>
      </w:r>
      <w:proofErr w:type="spellEnd"/>
      <w:r w:rsidRPr="0090016E">
        <w:rPr>
          <w:color w:val="000000" w:themeColor="text1"/>
        </w:rPr>
        <w:t xml:space="preserve"> et al., 2022; Preteroti et al., 2023; Turcotte et al., 2015). What has not been consistently attempted is a synthesis that treats the immune cell, rather than the receptor, disease, or route of exposure, as the organising unit, while explicitly reconciling receptor-dependent and receptor-independent mechanisms, contrasting THC and CBD pharmacology, and weighing the strength of mechanistic evidence against the comparatively modest and heterogeneous clinical signal. This review adopts that cell-centred, mechanism-first organisation, and, in the sections that follow, situates the contradictions and unresolved questions of the field within a single critical account.</w:t>
      </w:r>
    </w:p>
    <w:p w14:paraId="02B131EB" w14:textId="77777777" w:rsidR="005749C0" w:rsidRPr="0090016E" w:rsidRDefault="00000000" w:rsidP="00BB010B">
      <w:pPr>
        <w:pStyle w:val="Heading2"/>
        <w:spacing w:before="100" w:beforeAutospacing="1" w:after="100" w:afterAutospacing="1"/>
        <w:rPr>
          <w:color w:val="000000" w:themeColor="text1"/>
        </w:rPr>
      </w:pPr>
      <w:r w:rsidRPr="0090016E">
        <w:rPr>
          <w:b/>
          <w:bCs/>
          <w:color w:val="000000" w:themeColor="text1"/>
          <w:sz w:val="24"/>
          <w:szCs w:val="24"/>
        </w:rPr>
        <w:t>1.1 Scope, Research Gap and Objectives</w:t>
      </w:r>
    </w:p>
    <w:p w14:paraId="62D4BA18" w14:textId="77777777" w:rsidR="005749C0" w:rsidRPr="0090016E" w:rsidRDefault="00000000" w:rsidP="00BB010B">
      <w:pPr>
        <w:spacing w:before="100" w:beforeAutospacing="1" w:after="100" w:afterAutospacing="1"/>
        <w:jc w:val="both"/>
        <w:rPr>
          <w:color w:val="000000" w:themeColor="text1"/>
        </w:rPr>
      </w:pPr>
      <w:r w:rsidRPr="0090016E">
        <w:rPr>
          <w:color w:val="000000" w:themeColor="text1"/>
        </w:rPr>
        <w:t xml:space="preserve">This review is confined to molecular and cellular mechanisms by which </w:t>
      </w:r>
      <w:proofErr w:type="spellStart"/>
      <w:r w:rsidRPr="0090016E">
        <w:rPr>
          <w:color w:val="000000" w:themeColor="text1"/>
        </w:rPr>
        <w:t>phytocannabinoids</w:t>
      </w:r>
      <w:proofErr w:type="spellEnd"/>
      <w:r w:rsidRPr="0090016E">
        <w:rPr>
          <w:color w:val="000000" w:themeColor="text1"/>
        </w:rPr>
        <w:t>, endocannabinoids, and synthetic cannabinoid receptor ligands modulate immune cell development, activation, and effector function in mammalian systems, with emphasis on evidence obtained from human primary leukocytes, murine models, and clinical trials in immune-mediated disease. Pharmacokinetic, psychiatric, neurocognitive, and purely agronomic aspects of cannabis are addressed only where they intersect directly with immune outcomes, such as the composition of inhaled cannabis products and its consequences for pulmonary host defence.</w:t>
      </w:r>
    </w:p>
    <w:p w14:paraId="15F40DA1" w14:textId="77777777" w:rsidR="005749C0" w:rsidRPr="0090016E" w:rsidRDefault="00000000" w:rsidP="00BB010B">
      <w:pPr>
        <w:spacing w:before="100" w:beforeAutospacing="1" w:after="100" w:afterAutospacing="1"/>
        <w:jc w:val="both"/>
        <w:rPr>
          <w:color w:val="000000" w:themeColor="text1"/>
        </w:rPr>
      </w:pPr>
      <w:r w:rsidRPr="0090016E">
        <w:rPr>
          <w:color w:val="000000" w:themeColor="text1"/>
        </w:rPr>
        <w:t xml:space="preserve">The specific gap addressed is the absence of a synthesis organised around convergent and divergent mechanisms across immune cell lineages, rather than around a single receptor, disease, or route of administration. The objectives are: to define the molecular architecture of the endocannabinoid system as expressed on immune cells; to compare the intracellular signalling consequences of CB1, CB2, GPR55, and </w:t>
      </w:r>
      <w:proofErr w:type="spellStart"/>
      <w:r w:rsidRPr="0090016E">
        <w:rPr>
          <w:color w:val="000000" w:themeColor="text1"/>
        </w:rPr>
        <w:t>PPARγ</w:t>
      </w:r>
      <w:proofErr w:type="spellEnd"/>
      <w:r w:rsidRPr="0090016E">
        <w:rPr>
          <w:color w:val="000000" w:themeColor="text1"/>
        </w:rPr>
        <w:t xml:space="preserve"> engagement across innate and adaptive immune cell types; to identify where THC and CBD mechanisms converge and where they diverge; to evaluate the strength of evidence linking these mechanisms to mucosal, pulmonary, and systemic immune outcomes in humans; and to identify methodologically defensible priorities for future research. Excluded from detailed treatment are the oncological applications of cannabinoid-induced apoptosis in transformed cells, which constitute a distinct literature with different translational aims, and the extensive pharmacological chemistry of synthetic cannabinoid receptor ligands developed primarily as research tools rather than as immunomodulatory candidates.</w:t>
      </w:r>
    </w:p>
    <w:p w14:paraId="4EBB9AFA" w14:textId="77777777" w:rsidR="005749C0" w:rsidRPr="0090016E" w:rsidRDefault="00000000" w:rsidP="00BB010B">
      <w:pPr>
        <w:pStyle w:val="Heading1"/>
        <w:spacing w:before="100" w:beforeAutospacing="1" w:after="100" w:afterAutospacing="1"/>
        <w:rPr>
          <w:color w:val="000000" w:themeColor="text1"/>
        </w:rPr>
      </w:pPr>
      <w:r w:rsidRPr="0090016E">
        <w:rPr>
          <w:b/>
          <w:bCs/>
          <w:color w:val="000000" w:themeColor="text1"/>
          <w:sz w:val="28"/>
          <w:szCs w:val="28"/>
        </w:rPr>
        <w:t>2. Methods for Literature Selection</w:t>
      </w:r>
    </w:p>
    <w:p w14:paraId="0E353939" w14:textId="77777777" w:rsidR="005749C0" w:rsidRPr="0090016E" w:rsidRDefault="00000000" w:rsidP="00BB010B">
      <w:pPr>
        <w:pStyle w:val="Heading2"/>
        <w:spacing w:before="100" w:beforeAutospacing="1" w:after="100" w:afterAutospacing="1"/>
        <w:rPr>
          <w:color w:val="000000" w:themeColor="text1"/>
        </w:rPr>
      </w:pPr>
      <w:r w:rsidRPr="0090016E">
        <w:rPr>
          <w:b/>
          <w:bCs/>
          <w:color w:val="000000" w:themeColor="text1"/>
          <w:sz w:val="24"/>
          <w:szCs w:val="24"/>
        </w:rPr>
        <w:t>2.1 Review Design and Rationale</w:t>
      </w:r>
    </w:p>
    <w:p w14:paraId="2AE0EF5D" w14:textId="77777777" w:rsidR="005749C0" w:rsidRPr="0090016E" w:rsidRDefault="00000000" w:rsidP="00BB010B">
      <w:pPr>
        <w:spacing w:before="100" w:beforeAutospacing="1" w:after="100" w:afterAutospacing="1"/>
        <w:jc w:val="both"/>
        <w:rPr>
          <w:color w:val="000000" w:themeColor="text1"/>
        </w:rPr>
      </w:pPr>
      <w:r w:rsidRPr="0090016E">
        <w:rPr>
          <w:color w:val="000000" w:themeColor="text1"/>
        </w:rPr>
        <w:t xml:space="preserve">A critical narrative review format was selected in preference to a systematic review, scoping review, or meta-analysis because the objective was to construct an integrated mechanistic account spanning multiple immune cell lineages, receptor systems, and experimental model types, a task that requires interpretive synthesis and explicit reconciliation of conflicting findings rather than aggregation of comparable effect sizes across a homogeneous set of studies. The heterogeneity of outcome measures across the underlying literature, ranging from receptor knockout phenotypes and cytokine secretion </w:t>
      </w:r>
      <w:r w:rsidRPr="0090016E">
        <w:rPr>
          <w:color w:val="000000" w:themeColor="text1"/>
        </w:rPr>
        <w:lastRenderedPageBreak/>
        <w:t>assays to epidemiological infection risk estimates, precludes meaningful quantitative pooling. Narrative review methodology was applied with explicit attention to transparency of source selection and critical appraisal, consistent with recognised guidance on the conduct and reporting of non-systematic reviews (Cabral et al., 2015), and does not exempt the process from the requirement for a documented, reproducible search strategy or from critical appraisal of the underlying evidence.</w:t>
      </w:r>
    </w:p>
    <w:p w14:paraId="124B8A58" w14:textId="77777777" w:rsidR="005749C0" w:rsidRPr="0090016E" w:rsidRDefault="00000000" w:rsidP="00BB010B">
      <w:pPr>
        <w:pStyle w:val="Heading2"/>
        <w:spacing w:before="100" w:beforeAutospacing="1" w:after="100" w:afterAutospacing="1"/>
        <w:rPr>
          <w:color w:val="000000" w:themeColor="text1"/>
        </w:rPr>
      </w:pPr>
      <w:r w:rsidRPr="0090016E">
        <w:rPr>
          <w:b/>
          <w:bCs/>
          <w:color w:val="000000" w:themeColor="text1"/>
          <w:sz w:val="24"/>
          <w:szCs w:val="24"/>
        </w:rPr>
        <w:t>2.2 Information Sources</w:t>
      </w:r>
    </w:p>
    <w:p w14:paraId="77071759" w14:textId="77777777" w:rsidR="005749C0" w:rsidRPr="0090016E" w:rsidRDefault="00000000" w:rsidP="00BB010B">
      <w:pPr>
        <w:spacing w:before="100" w:beforeAutospacing="1" w:after="100" w:afterAutospacing="1"/>
        <w:jc w:val="both"/>
        <w:rPr>
          <w:color w:val="000000" w:themeColor="text1"/>
        </w:rPr>
      </w:pPr>
      <w:r w:rsidRPr="0090016E">
        <w:rPr>
          <w:color w:val="000000" w:themeColor="text1"/>
        </w:rPr>
        <w:t>Searches were conducted using a general-purpose web-based search interface with access to indexed biomedical and life-science literature, including content aggregated from PubMed/MEDLINE-indexed journals, publisher platforms (Wiley, Springer Nature, Oxford University Press, American Association for the Advancement of Science journals, the American Association of Immunologists, Frontiers, MDPI, PLOS, and Elsevier ScienceDirect), and preprint or institutional repositories encountered incidentally during citation tracing. Full-text and abstract content was retrieved and cross-checked against PubMed metadata, Digital Object Identifier (DOI) registration records, and, where available, publisher landing pages, to confirm authorship, journal, year, volume, issue, and pagination before inclusion. Backward citation searching (examination of reference lists of retrieved reviews and primary papers) and forward citation searching (identification of more recent papers citing key mechanistic studies) were used throughout to identify additional relevant primary literature and to verify that seminal findings had not been superseded or retracted.</w:t>
      </w:r>
    </w:p>
    <w:p w14:paraId="6617B92D" w14:textId="77777777" w:rsidR="005749C0" w:rsidRPr="0090016E" w:rsidRDefault="00000000" w:rsidP="00BB010B">
      <w:pPr>
        <w:pStyle w:val="Heading2"/>
        <w:spacing w:before="100" w:beforeAutospacing="1" w:after="100" w:afterAutospacing="1"/>
        <w:rPr>
          <w:color w:val="000000" w:themeColor="text1"/>
        </w:rPr>
      </w:pPr>
      <w:r w:rsidRPr="0090016E">
        <w:rPr>
          <w:b/>
          <w:bCs/>
          <w:color w:val="000000" w:themeColor="text1"/>
          <w:sz w:val="24"/>
          <w:szCs w:val="24"/>
        </w:rPr>
        <w:t>2.3 Search Strategy and Search Period</w:t>
      </w:r>
    </w:p>
    <w:p w14:paraId="3727D953" w14:textId="77777777" w:rsidR="005749C0" w:rsidRPr="0090016E" w:rsidRDefault="00000000" w:rsidP="00BB010B">
      <w:pPr>
        <w:spacing w:before="100" w:beforeAutospacing="1" w:after="100" w:afterAutospacing="1"/>
        <w:jc w:val="both"/>
        <w:rPr>
          <w:color w:val="000000" w:themeColor="text1"/>
        </w:rPr>
      </w:pPr>
      <w:r w:rsidRPr="0090016E">
        <w:rPr>
          <w:color w:val="000000" w:themeColor="text1"/>
        </w:rPr>
        <w:t>Search concepts were built around four overlapping domains: (</w:t>
      </w:r>
      <w:proofErr w:type="spellStart"/>
      <w:r w:rsidRPr="0090016E">
        <w:rPr>
          <w:color w:val="000000" w:themeColor="text1"/>
        </w:rPr>
        <w:t>i</w:t>
      </w:r>
      <w:proofErr w:type="spellEnd"/>
      <w:r w:rsidRPr="0090016E">
        <w:rPr>
          <w:color w:val="000000" w:themeColor="text1"/>
        </w:rPr>
        <w:t xml:space="preserve">) the principal topic, combining terms for cannabis, cannabinoids, tetrahydrocannabinol, and cannabidiol with terms for immune system, immunomodulation, and immune cells; (ii) mechanistic and receptor-level constructs, including CB1, CB2, GPR55, </w:t>
      </w:r>
      <w:proofErr w:type="spellStart"/>
      <w:r w:rsidRPr="0090016E">
        <w:rPr>
          <w:color w:val="000000" w:themeColor="text1"/>
        </w:rPr>
        <w:t>PPARγ</w:t>
      </w:r>
      <w:proofErr w:type="spellEnd"/>
      <w:r w:rsidRPr="0090016E">
        <w:rPr>
          <w:color w:val="000000" w:themeColor="text1"/>
        </w:rPr>
        <w:t>, anandamide, 2-arachidonoylglycerol, fatty acid amide hydrolase, and monoacylglycerol lipase; (iii) immune cell types and processes, including T lymphocytes, B lymphocytes, natural killer cells, macrophages, dendritic cells, neutrophils, myeloid-derived suppressor cells, regulatory T cells, apoptosis, cytokine production, and microRNA or epigenetic regulation; and (iv) clinical and translational contexts, including inflammatory bowel disease, multiple sclerosis, infection risk, pulmonary immunity, and autoimmune disease. Representative search strings combined these concepts using Boolean operators, for example “cannabinoid AND CB2 AND myeloid-derived suppressor cell”, “cannabidiol AND macrophage AND PPAR-gamma”, and “endocannabinoid AND intestinal AND neutrophil”.</w:t>
      </w:r>
    </w:p>
    <w:p w14:paraId="0EC92729" w14:textId="77777777" w:rsidR="005749C0" w:rsidRPr="0090016E" w:rsidRDefault="00000000" w:rsidP="00BB010B">
      <w:pPr>
        <w:spacing w:before="100" w:beforeAutospacing="1" w:after="100" w:afterAutospacing="1"/>
        <w:jc w:val="both"/>
        <w:rPr>
          <w:color w:val="000000" w:themeColor="text1"/>
        </w:rPr>
      </w:pPr>
      <w:r w:rsidRPr="0090016E">
        <w:rPr>
          <w:color w:val="000000" w:themeColor="text1"/>
        </w:rPr>
        <w:t>A defensible starting point for systematic coverage was set at 1988, corresponding to the earliest experimental demonstrations that cannabinoids suppress natural killer cell cytolytic activity (Kawakami et al., 1988), with earlier foundational pharmacological observations referenced only where necessary to establish historical context. The search end date for this review was 9 April 2026.</w:t>
      </w:r>
    </w:p>
    <w:p w14:paraId="55F019D9" w14:textId="77777777" w:rsidR="005749C0" w:rsidRPr="0090016E" w:rsidRDefault="00000000" w:rsidP="00BB010B">
      <w:pPr>
        <w:pStyle w:val="Heading2"/>
        <w:spacing w:before="100" w:beforeAutospacing="1" w:after="100" w:afterAutospacing="1"/>
        <w:rPr>
          <w:color w:val="000000" w:themeColor="text1"/>
        </w:rPr>
      </w:pPr>
      <w:r w:rsidRPr="0090016E">
        <w:rPr>
          <w:b/>
          <w:bCs/>
          <w:color w:val="000000" w:themeColor="text1"/>
          <w:sz w:val="24"/>
          <w:szCs w:val="24"/>
        </w:rPr>
        <w:t>2.4 Eligibility Criteria</w:t>
      </w:r>
    </w:p>
    <w:p w14:paraId="771C7E62" w14:textId="77777777" w:rsidR="005749C0" w:rsidRPr="0090016E" w:rsidRDefault="00000000" w:rsidP="00BB010B">
      <w:pPr>
        <w:spacing w:before="100" w:beforeAutospacing="1" w:after="100" w:afterAutospacing="1"/>
        <w:jc w:val="both"/>
        <w:rPr>
          <w:color w:val="000000" w:themeColor="text1"/>
        </w:rPr>
      </w:pPr>
      <w:r w:rsidRPr="0090016E">
        <w:rPr>
          <w:color w:val="000000" w:themeColor="text1"/>
        </w:rPr>
        <w:t xml:space="preserve">Eligible sources comprised peer-reviewed primary research articles reporting mechanistic, cellular, or clinical data on cannabinoid modulation of immune cell function; peer-reviewed narrative or systematic reviews and meta-analyses providing synthesis of a specific mechanistic or clinical sub-question; and institutional or clinical guidance documents where relevant to translational context. Eligible study designs included in vitro experiments using primary human leukocytes or established cell lines, murine and other </w:t>
      </w:r>
      <w:r w:rsidRPr="0090016E">
        <w:rPr>
          <w:color w:val="000000" w:themeColor="text1"/>
        </w:rPr>
        <w:lastRenderedPageBreak/>
        <w:t>animal models, randomised controlled trials, cohort and case-control studies, and case series where these constituted the principal available human evidence for a given clinical association. Publications were restricted to those available in English. No lower bound was placed on publication year for foundational mechanistic or historical studies, provided their continued relevance was corroborated by more recent citing literature. Excluded were non-peer-reviewed opinion pieces, promotional or commercial cannabis industry material, patents cited as evidence of biological effectiveness, and sources whose full bibliographic details (authorship, journal, year, and pagination or article identifier) could not be independently confirmed.</w:t>
      </w:r>
    </w:p>
    <w:p w14:paraId="1B296CAA" w14:textId="77777777" w:rsidR="005749C0" w:rsidRPr="0090016E" w:rsidRDefault="00000000" w:rsidP="00BB010B">
      <w:pPr>
        <w:pStyle w:val="Heading2"/>
        <w:spacing w:before="100" w:beforeAutospacing="1" w:after="100" w:afterAutospacing="1"/>
        <w:rPr>
          <w:color w:val="000000" w:themeColor="text1"/>
        </w:rPr>
      </w:pPr>
      <w:r w:rsidRPr="0090016E">
        <w:rPr>
          <w:b/>
          <w:bCs/>
          <w:color w:val="000000" w:themeColor="text1"/>
          <w:sz w:val="24"/>
          <w:szCs w:val="24"/>
        </w:rPr>
        <w:t>2.5 Screening, Duplicate Handling and Study Selection</w:t>
      </w:r>
    </w:p>
    <w:p w14:paraId="1F3A815D" w14:textId="77777777" w:rsidR="005749C0" w:rsidRPr="0090016E" w:rsidRDefault="00000000" w:rsidP="00BB010B">
      <w:pPr>
        <w:spacing w:before="100" w:beforeAutospacing="1" w:after="100" w:afterAutospacing="1"/>
        <w:jc w:val="both"/>
        <w:rPr>
          <w:color w:val="000000" w:themeColor="text1"/>
        </w:rPr>
      </w:pPr>
      <w:r w:rsidRPr="0090016E">
        <w:rPr>
          <w:color w:val="000000" w:themeColor="text1"/>
        </w:rPr>
        <w:t>Titles and abstracts retrieved through each search string were screened for relevance to the four domains described in Section 2.3, and full text or detailed abstract content was examined for sources judged potentially relevant. Duplicate retrievals arising from overlapping search strings or from the same study being indexed on multiple platforms were identified by matching authorship, title, and publication year, and were consolidated to a single entry keyed to the primary journal record. Sources whose bibliographic details could not be corroborated across at least one independent database or publisher record, or whose relevance to the specific claim under consideration could not be confirmed on full-text or detailed abstract inspection, were excluded rather than cited provisionally. This review does not report a systematic count of records identified, screened, and excluded, as a formal Preferred Reporting Items for Systematic Reviews and Meta-Analyses flow diagram is not appropriate to a narrative review methodology in which selection is iterative and citation-driven rather than exhaustive and pre-registered.</w:t>
      </w:r>
    </w:p>
    <w:p w14:paraId="22818AD4" w14:textId="77777777" w:rsidR="005749C0" w:rsidRPr="0090016E" w:rsidRDefault="00000000" w:rsidP="00BB010B">
      <w:pPr>
        <w:pStyle w:val="Heading2"/>
        <w:spacing w:before="100" w:beforeAutospacing="1" w:after="100" w:afterAutospacing="1"/>
        <w:rPr>
          <w:color w:val="000000" w:themeColor="text1"/>
        </w:rPr>
      </w:pPr>
      <w:r w:rsidRPr="0090016E">
        <w:rPr>
          <w:b/>
          <w:bCs/>
          <w:color w:val="000000" w:themeColor="text1"/>
          <w:sz w:val="24"/>
          <w:szCs w:val="24"/>
        </w:rPr>
        <w:t>2.6 Critical Appraisal and Evidence Synthesis</w:t>
      </w:r>
    </w:p>
    <w:p w14:paraId="5EB7A9C6" w14:textId="77777777" w:rsidR="005749C0" w:rsidRPr="0090016E" w:rsidRDefault="00000000" w:rsidP="00BB010B">
      <w:pPr>
        <w:spacing w:before="100" w:beforeAutospacing="1" w:after="100" w:afterAutospacing="1"/>
        <w:jc w:val="both"/>
        <w:rPr>
          <w:color w:val="000000" w:themeColor="text1"/>
        </w:rPr>
      </w:pPr>
      <w:r w:rsidRPr="0090016E">
        <w:rPr>
          <w:color w:val="000000" w:themeColor="text1"/>
        </w:rPr>
        <w:t>Methodological quality was appraised qualitatively for each major line of evidence, attending to study design (in vitro versus animal versus human), use of receptor-selective agonists and antagonists or receptor-knockout models to establish mechanistic specificity, sample size and replication across independent laboratories, and the directness of the link between a molecular observation and a clinically meaningful outcome. Conflicting findings, such as divergent reports on GPR55 as pro- or anti-inflammatory depending on cell type and ligand, were retained and discussed explicitly rather than resolved by selective citation. Themes were organised around immune cell lineage (Sections 5 and 6), converging and diverging pharmacology of THC and CBD, and the transition from cellular mechanism to tissue-level and clinical outcome (Sections 8 and 9), with each theme structured to move from established mechanism to contested interpretation to residual uncertainty.</w:t>
      </w:r>
    </w:p>
    <w:p w14:paraId="46F90B10" w14:textId="77777777" w:rsidR="005749C0" w:rsidRPr="0090016E" w:rsidRDefault="00000000" w:rsidP="00BB010B">
      <w:pPr>
        <w:pStyle w:val="Heading1"/>
        <w:spacing w:before="100" w:beforeAutospacing="1" w:after="100" w:afterAutospacing="1"/>
        <w:rPr>
          <w:color w:val="000000" w:themeColor="text1"/>
        </w:rPr>
      </w:pPr>
      <w:r w:rsidRPr="0090016E">
        <w:rPr>
          <w:b/>
          <w:bCs/>
          <w:color w:val="000000" w:themeColor="text1"/>
          <w:sz w:val="28"/>
          <w:szCs w:val="28"/>
        </w:rPr>
        <w:t>3. Molecular Architecture of the Endocannabinoid System in Immune Cells</w:t>
      </w:r>
    </w:p>
    <w:p w14:paraId="5B2A417F" w14:textId="77777777" w:rsidR="005749C0" w:rsidRPr="0090016E" w:rsidRDefault="00000000" w:rsidP="00BB010B">
      <w:pPr>
        <w:spacing w:before="100" w:beforeAutospacing="1" w:after="100" w:afterAutospacing="1"/>
        <w:jc w:val="both"/>
        <w:rPr>
          <w:color w:val="000000" w:themeColor="text1"/>
        </w:rPr>
      </w:pPr>
      <w:r w:rsidRPr="0090016E">
        <w:rPr>
          <w:color w:val="000000" w:themeColor="text1"/>
        </w:rPr>
        <w:t>The endocannabinoid system as expressed on leukocytes comprises a set of receptors, endogenous ligands, and metabolic enzymes whose relative abundance and coupling differ substantially from the pattern observed in the central nervous system. CB2 is the receptor most consistently associated with immune function, with expression documented across B lymphocytes, T lymphocytes, monocytes and macrophages, dendritic cells, natural killer cells, neutrophils, and mast cells, generally at higher density on cells of the innate immune compartment and on resting versus activated lymphocyte subsets (</w:t>
      </w:r>
      <w:proofErr w:type="spellStart"/>
      <w:r w:rsidRPr="0090016E">
        <w:rPr>
          <w:color w:val="000000" w:themeColor="text1"/>
        </w:rPr>
        <w:t>Cuddihey</w:t>
      </w:r>
      <w:proofErr w:type="spellEnd"/>
      <w:r w:rsidRPr="0090016E">
        <w:rPr>
          <w:color w:val="000000" w:themeColor="text1"/>
        </w:rPr>
        <w:t xml:space="preserve"> et al., 2022; Nagarkatti et al., 2009). CB1, although classically associated with neuronal signalling, is also expressed at lower levels on several leukocyte populations and contributes to immune regulation indirectly through neuro-immune circuits, as illustrated most clearly in central nervous system </w:t>
      </w:r>
      <w:r w:rsidRPr="0090016E">
        <w:rPr>
          <w:color w:val="000000" w:themeColor="text1"/>
        </w:rPr>
        <w:lastRenderedPageBreak/>
        <w:t>autoimmunity, where CB1 expression on neurons rather than on T cells is required for cannabinoid-mediated suppression of experimental autoimmune encephalomyelitis (</w:t>
      </w:r>
      <w:proofErr w:type="spellStart"/>
      <w:r w:rsidRPr="0090016E">
        <w:rPr>
          <w:color w:val="000000" w:themeColor="text1"/>
        </w:rPr>
        <w:t>Maresz</w:t>
      </w:r>
      <w:proofErr w:type="spellEnd"/>
      <w:r w:rsidRPr="0090016E">
        <w:rPr>
          <w:color w:val="000000" w:themeColor="text1"/>
        </w:rPr>
        <w:t xml:space="preserve"> et al., 2007).</w:t>
      </w:r>
    </w:p>
    <w:p w14:paraId="7F1F996C" w14:textId="77777777" w:rsidR="005749C0" w:rsidRPr="0090016E" w:rsidRDefault="00000000" w:rsidP="00BB010B">
      <w:pPr>
        <w:spacing w:before="100" w:beforeAutospacing="1" w:after="100" w:afterAutospacing="1"/>
        <w:jc w:val="both"/>
        <w:rPr>
          <w:color w:val="000000" w:themeColor="text1"/>
        </w:rPr>
      </w:pPr>
      <w:r w:rsidRPr="0090016E">
        <w:rPr>
          <w:color w:val="000000" w:themeColor="text1"/>
        </w:rPr>
        <w:t>The two principal endogenous ligands, anandamide and 2-arachidonoylglycerol, are synthesised on demand from membrane phospholipid precursors and are metabolised by fatty acid amide hydrolase and monoacylglycerol lipase respectively, enzymes whose activity determines local endocannabinoid tone within lymphoid and mucosal tissue (Turcotte et al., 2015). Because both endocannabinoids are also substrates for cyclooxygenase and lipoxygenase pathways, their hydrolysis and oxygenation generate a family of bioactive lipid metabolites that can engage prostaglandin and leukotriene receptors independently of CB1 or CB2, a feature that substantially complicates the attribution of any observed immune effect to cannabinoid receptor engagement alone (Turcotte et al., 2015).</w:t>
      </w:r>
    </w:p>
    <w:p w14:paraId="7A4DC0D6" w14:textId="77777777" w:rsidR="005749C0" w:rsidRPr="0090016E" w:rsidRDefault="00000000" w:rsidP="00BB010B">
      <w:pPr>
        <w:spacing w:before="100" w:beforeAutospacing="1" w:after="100" w:afterAutospacing="1"/>
        <w:jc w:val="both"/>
        <w:rPr>
          <w:color w:val="000000" w:themeColor="text1"/>
        </w:rPr>
      </w:pPr>
      <w:r w:rsidRPr="0090016E">
        <w:rPr>
          <w:color w:val="000000" w:themeColor="text1"/>
        </w:rPr>
        <w:t xml:space="preserve">Beyond the canonical receptors, GPR55 has been characterised as a functionally distinct, low-homology cannabinoid-sensitive receptor expressed on neutrophils, monocytes, natural killer cells, mast cells, and B lymphocytes, with </w:t>
      </w:r>
      <w:proofErr w:type="spellStart"/>
      <w:r w:rsidRPr="0090016E">
        <w:rPr>
          <w:color w:val="000000" w:themeColor="text1"/>
        </w:rPr>
        <w:t>lysophosphatidylinositol</w:t>
      </w:r>
      <w:proofErr w:type="spellEnd"/>
      <w:r w:rsidRPr="0090016E">
        <w:rPr>
          <w:color w:val="000000" w:themeColor="text1"/>
        </w:rPr>
        <w:t xml:space="preserve"> as its principal endogenous ligand (Yang et al., 2016). GPR55 engages Rho-associated and nuclear factor of activated T cells signalling distinct from the canonical Gi/o coupling of CB1 and CB2, and its functional interaction with CB2 in human neutrophils illustrates that cannabinoid ligands can simultaneously engage cooperating and competing receptor systems within a single cell type (</w:t>
      </w:r>
      <w:proofErr w:type="spellStart"/>
      <w:r w:rsidRPr="0090016E">
        <w:rPr>
          <w:color w:val="000000" w:themeColor="text1"/>
        </w:rPr>
        <w:t>Balenga</w:t>
      </w:r>
      <w:proofErr w:type="spellEnd"/>
      <w:r w:rsidRPr="0090016E">
        <w:rPr>
          <w:color w:val="000000" w:themeColor="text1"/>
        </w:rPr>
        <w:t xml:space="preserve"> et al., 2011). CBD additionally activates the nuclear receptor </w:t>
      </w:r>
      <w:proofErr w:type="spellStart"/>
      <w:r w:rsidRPr="0090016E">
        <w:rPr>
          <w:color w:val="000000" w:themeColor="text1"/>
        </w:rPr>
        <w:t>PPARγ</w:t>
      </w:r>
      <w:proofErr w:type="spellEnd"/>
      <w:r w:rsidRPr="0090016E">
        <w:rPr>
          <w:color w:val="000000" w:themeColor="text1"/>
        </w:rPr>
        <w:t>, a route of action that accounts for a substantial share of its anti-inflammatory activity and that is mechanistically independent of CB1 or CB2 (Nagarkatti et al., 2009).</w:t>
      </w:r>
    </w:p>
    <w:p w14:paraId="07D16ED2" w14:textId="48870A9C" w:rsidR="004F03CF" w:rsidRPr="0090016E" w:rsidRDefault="004F03CF" w:rsidP="00BB010B">
      <w:pPr>
        <w:spacing w:before="100" w:beforeAutospacing="1" w:after="100" w:afterAutospacing="1"/>
        <w:jc w:val="both"/>
        <w:rPr>
          <w:color w:val="000000" w:themeColor="text1"/>
        </w:rPr>
      </w:pPr>
      <w:r w:rsidRPr="0090016E">
        <w:rPr>
          <w:color w:val="000000" w:themeColor="text1"/>
        </w:rPr>
        <w:t>The receptor, ligand, and enzymatic components introduced above do not act as isolated switches but as a coupled network whose net immunological output depends on which elements are co-expressed within a given cell type. Table 1 consolidates this architecture, aligning each component with its principal immune expression pattern, its activating ligands, and the immune functions for which mechanistic evidence exists, providing a reference framework against which the cell-type-specific findings discussed in Sections 4 through 6 can be interpreted.</w:t>
      </w:r>
    </w:p>
    <w:p w14:paraId="13EBD4A5" w14:textId="77777777" w:rsidR="005749C0" w:rsidRPr="0090016E" w:rsidRDefault="00000000" w:rsidP="00BB010B">
      <w:pPr>
        <w:spacing w:before="100" w:beforeAutospacing="1" w:after="100" w:afterAutospacing="1"/>
        <w:rPr>
          <w:color w:val="000000" w:themeColor="text1"/>
        </w:rPr>
      </w:pPr>
      <w:r w:rsidRPr="0090016E">
        <w:rPr>
          <w:b/>
          <w:bCs/>
          <w:color w:val="000000" w:themeColor="text1"/>
        </w:rPr>
        <w:t>Table 1. Core molecular components of the endocannabinoid system relevant to immune regulation</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202"/>
        <w:gridCol w:w="2217"/>
        <w:gridCol w:w="2104"/>
        <w:gridCol w:w="2118"/>
        <w:gridCol w:w="1431"/>
      </w:tblGrid>
      <w:tr w:rsidR="005749C0" w:rsidRPr="0090016E" w14:paraId="28C0DB3D" w14:textId="77777777" w:rsidTr="00F867AF">
        <w:trPr>
          <w:tblHeader/>
        </w:trPr>
        <w:tc>
          <w:tcPr>
            <w:tcW w:w="1600" w:type="dxa"/>
            <w:shd w:val="clear" w:color="auto" w:fill="D9D9D9"/>
            <w:vAlign w:val="center"/>
          </w:tcPr>
          <w:p w14:paraId="59497E01" w14:textId="77777777" w:rsidR="005749C0" w:rsidRPr="0090016E" w:rsidRDefault="00000000" w:rsidP="00BB010B">
            <w:pPr>
              <w:spacing w:before="100" w:beforeAutospacing="1" w:after="100" w:afterAutospacing="1"/>
              <w:rPr>
                <w:color w:val="000000" w:themeColor="text1"/>
              </w:rPr>
            </w:pPr>
            <w:r w:rsidRPr="0090016E">
              <w:rPr>
                <w:b/>
                <w:bCs/>
                <w:color w:val="000000" w:themeColor="text1"/>
                <w:sz w:val="18"/>
                <w:szCs w:val="18"/>
              </w:rPr>
              <w:t>Component</w:t>
            </w:r>
          </w:p>
        </w:tc>
        <w:tc>
          <w:tcPr>
            <w:tcW w:w="2600" w:type="dxa"/>
            <w:shd w:val="clear" w:color="auto" w:fill="D9D9D9"/>
            <w:vAlign w:val="center"/>
          </w:tcPr>
          <w:p w14:paraId="7373D1D0" w14:textId="77777777" w:rsidR="005749C0" w:rsidRPr="0090016E" w:rsidRDefault="00000000" w:rsidP="00BB010B">
            <w:pPr>
              <w:spacing w:before="100" w:beforeAutospacing="1" w:after="100" w:afterAutospacing="1"/>
              <w:rPr>
                <w:color w:val="000000" w:themeColor="text1"/>
              </w:rPr>
            </w:pPr>
            <w:r w:rsidRPr="0090016E">
              <w:rPr>
                <w:b/>
                <w:bCs/>
                <w:color w:val="000000" w:themeColor="text1"/>
                <w:sz w:val="18"/>
                <w:szCs w:val="18"/>
              </w:rPr>
              <w:t>Principal immune expression</w:t>
            </w:r>
          </w:p>
        </w:tc>
        <w:tc>
          <w:tcPr>
            <w:tcW w:w="2400" w:type="dxa"/>
            <w:shd w:val="clear" w:color="auto" w:fill="D9D9D9"/>
            <w:vAlign w:val="center"/>
          </w:tcPr>
          <w:p w14:paraId="3D451684" w14:textId="77777777" w:rsidR="005749C0" w:rsidRPr="0090016E" w:rsidRDefault="00000000" w:rsidP="00BB010B">
            <w:pPr>
              <w:spacing w:before="100" w:beforeAutospacing="1" w:after="100" w:afterAutospacing="1"/>
              <w:rPr>
                <w:color w:val="000000" w:themeColor="text1"/>
              </w:rPr>
            </w:pPr>
            <w:r w:rsidRPr="0090016E">
              <w:rPr>
                <w:b/>
                <w:bCs/>
                <w:color w:val="000000" w:themeColor="text1"/>
                <w:sz w:val="18"/>
                <w:szCs w:val="18"/>
              </w:rPr>
              <w:t>Ligand(s) / activity</w:t>
            </w:r>
          </w:p>
        </w:tc>
        <w:tc>
          <w:tcPr>
            <w:tcW w:w="3200" w:type="dxa"/>
            <w:shd w:val="clear" w:color="auto" w:fill="D9D9D9"/>
            <w:vAlign w:val="center"/>
          </w:tcPr>
          <w:p w14:paraId="1E7DACD5" w14:textId="77777777" w:rsidR="005749C0" w:rsidRPr="0090016E" w:rsidRDefault="00000000" w:rsidP="00BB010B">
            <w:pPr>
              <w:spacing w:before="100" w:beforeAutospacing="1" w:after="100" w:afterAutospacing="1"/>
              <w:rPr>
                <w:color w:val="000000" w:themeColor="text1"/>
              </w:rPr>
            </w:pPr>
            <w:r w:rsidRPr="0090016E">
              <w:rPr>
                <w:b/>
                <w:bCs/>
                <w:color w:val="000000" w:themeColor="text1"/>
                <w:sz w:val="18"/>
                <w:szCs w:val="18"/>
              </w:rPr>
              <w:t>Documented immune function</w:t>
            </w:r>
          </w:p>
        </w:tc>
        <w:tc>
          <w:tcPr>
            <w:tcW w:w="2200" w:type="dxa"/>
            <w:shd w:val="clear" w:color="auto" w:fill="D9D9D9"/>
            <w:vAlign w:val="center"/>
          </w:tcPr>
          <w:p w14:paraId="565C29EA" w14:textId="77777777" w:rsidR="005749C0" w:rsidRPr="0090016E" w:rsidRDefault="00000000" w:rsidP="00BB010B">
            <w:pPr>
              <w:spacing w:before="100" w:beforeAutospacing="1" w:after="100" w:afterAutospacing="1"/>
              <w:rPr>
                <w:color w:val="000000" w:themeColor="text1"/>
              </w:rPr>
            </w:pPr>
            <w:r w:rsidRPr="0090016E">
              <w:rPr>
                <w:b/>
                <w:bCs/>
                <w:color w:val="000000" w:themeColor="text1"/>
                <w:sz w:val="18"/>
                <w:szCs w:val="18"/>
              </w:rPr>
              <w:t>Supporting references</w:t>
            </w:r>
          </w:p>
        </w:tc>
      </w:tr>
      <w:tr w:rsidR="005749C0" w:rsidRPr="0090016E" w14:paraId="4B96BBEA" w14:textId="77777777" w:rsidTr="00F867AF">
        <w:tc>
          <w:tcPr>
            <w:tcW w:w="1600" w:type="dxa"/>
            <w:vAlign w:val="center"/>
          </w:tcPr>
          <w:p w14:paraId="09A775DA" w14:textId="77777777" w:rsidR="005749C0" w:rsidRPr="0090016E" w:rsidRDefault="00000000" w:rsidP="00BB010B">
            <w:pPr>
              <w:spacing w:before="100" w:beforeAutospacing="1" w:after="100" w:afterAutospacing="1"/>
              <w:rPr>
                <w:color w:val="000000" w:themeColor="text1"/>
              </w:rPr>
            </w:pPr>
            <w:r w:rsidRPr="0090016E">
              <w:rPr>
                <w:color w:val="000000" w:themeColor="text1"/>
                <w:sz w:val="18"/>
                <w:szCs w:val="18"/>
              </w:rPr>
              <w:t>CB1 receptor</w:t>
            </w:r>
          </w:p>
        </w:tc>
        <w:tc>
          <w:tcPr>
            <w:tcW w:w="2600" w:type="dxa"/>
            <w:vAlign w:val="center"/>
          </w:tcPr>
          <w:p w14:paraId="7860D2A1" w14:textId="77777777" w:rsidR="005749C0" w:rsidRPr="0090016E" w:rsidRDefault="00000000" w:rsidP="00BB010B">
            <w:pPr>
              <w:spacing w:before="100" w:beforeAutospacing="1" w:after="100" w:afterAutospacing="1"/>
              <w:rPr>
                <w:color w:val="000000" w:themeColor="text1"/>
              </w:rPr>
            </w:pPr>
            <w:r w:rsidRPr="0090016E">
              <w:rPr>
                <w:color w:val="000000" w:themeColor="text1"/>
                <w:sz w:val="18"/>
                <w:szCs w:val="18"/>
              </w:rPr>
              <w:t>Peripheral and central neurons; low-level expression on some leukocytes</w:t>
            </w:r>
          </w:p>
        </w:tc>
        <w:tc>
          <w:tcPr>
            <w:tcW w:w="2400" w:type="dxa"/>
            <w:vAlign w:val="center"/>
          </w:tcPr>
          <w:p w14:paraId="357D71A9" w14:textId="77777777" w:rsidR="005749C0" w:rsidRPr="0090016E" w:rsidRDefault="00000000" w:rsidP="00BB010B">
            <w:pPr>
              <w:spacing w:before="100" w:beforeAutospacing="1" w:after="100" w:afterAutospacing="1"/>
              <w:rPr>
                <w:color w:val="000000" w:themeColor="text1"/>
              </w:rPr>
            </w:pPr>
            <w:r w:rsidRPr="0090016E">
              <w:rPr>
                <w:color w:val="000000" w:themeColor="text1"/>
                <w:sz w:val="18"/>
                <w:szCs w:val="18"/>
              </w:rPr>
              <w:t>Anandamide, 2-AG, Δ9-THC (partial agonist)</w:t>
            </w:r>
          </w:p>
        </w:tc>
        <w:tc>
          <w:tcPr>
            <w:tcW w:w="3200" w:type="dxa"/>
            <w:vAlign w:val="center"/>
          </w:tcPr>
          <w:p w14:paraId="287E2DF2" w14:textId="77777777" w:rsidR="005749C0" w:rsidRPr="0090016E" w:rsidRDefault="00000000" w:rsidP="00BB010B">
            <w:pPr>
              <w:spacing w:before="100" w:beforeAutospacing="1" w:after="100" w:afterAutospacing="1"/>
              <w:rPr>
                <w:color w:val="000000" w:themeColor="text1"/>
              </w:rPr>
            </w:pPr>
            <w:r w:rsidRPr="0090016E">
              <w:rPr>
                <w:color w:val="000000" w:themeColor="text1"/>
                <w:sz w:val="18"/>
                <w:szCs w:val="18"/>
              </w:rPr>
              <w:t>Indirect immune regulation via neuro-immune circuits; required on neurons, not T cells, for suppression of CNS autoimmunity</w:t>
            </w:r>
          </w:p>
        </w:tc>
        <w:tc>
          <w:tcPr>
            <w:tcW w:w="2200" w:type="dxa"/>
            <w:vAlign w:val="center"/>
          </w:tcPr>
          <w:p w14:paraId="0BB576AF" w14:textId="77777777" w:rsidR="005749C0" w:rsidRPr="0090016E" w:rsidRDefault="00000000" w:rsidP="00BB010B">
            <w:pPr>
              <w:spacing w:before="100" w:beforeAutospacing="1" w:after="100" w:afterAutospacing="1"/>
              <w:rPr>
                <w:color w:val="000000" w:themeColor="text1"/>
              </w:rPr>
            </w:pPr>
            <w:proofErr w:type="spellStart"/>
            <w:r w:rsidRPr="0090016E">
              <w:rPr>
                <w:color w:val="000000" w:themeColor="text1"/>
                <w:sz w:val="18"/>
                <w:szCs w:val="18"/>
              </w:rPr>
              <w:t>Maresz</w:t>
            </w:r>
            <w:proofErr w:type="spellEnd"/>
            <w:r w:rsidRPr="0090016E">
              <w:rPr>
                <w:color w:val="000000" w:themeColor="text1"/>
                <w:sz w:val="18"/>
                <w:szCs w:val="18"/>
              </w:rPr>
              <w:t xml:space="preserve"> et al., 2007; </w:t>
            </w:r>
            <w:proofErr w:type="spellStart"/>
            <w:r w:rsidRPr="0090016E">
              <w:rPr>
                <w:color w:val="000000" w:themeColor="text1"/>
                <w:sz w:val="18"/>
                <w:szCs w:val="18"/>
              </w:rPr>
              <w:t>Cuddihey</w:t>
            </w:r>
            <w:proofErr w:type="spellEnd"/>
            <w:r w:rsidRPr="0090016E">
              <w:rPr>
                <w:color w:val="000000" w:themeColor="text1"/>
                <w:sz w:val="18"/>
                <w:szCs w:val="18"/>
              </w:rPr>
              <w:t xml:space="preserve"> et al., 2022</w:t>
            </w:r>
          </w:p>
        </w:tc>
      </w:tr>
      <w:tr w:rsidR="005749C0" w:rsidRPr="0090016E" w14:paraId="513ADD42" w14:textId="77777777" w:rsidTr="00F867AF">
        <w:tc>
          <w:tcPr>
            <w:tcW w:w="1600" w:type="dxa"/>
            <w:vAlign w:val="center"/>
          </w:tcPr>
          <w:p w14:paraId="70B3DD84" w14:textId="77777777" w:rsidR="005749C0" w:rsidRPr="0090016E" w:rsidRDefault="00000000" w:rsidP="00BB010B">
            <w:pPr>
              <w:spacing w:before="100" w:beforeAutospacing="1" w:after="100" w:afterAutospacing="1"/>
              <w:rPr>
                <w:color w:val="000000" w:themeColor="text1"/>
              </w:rPr>
            </w:pPr>
            <w:r w:rsidRPr="0090016E">
              <w:rPr>
                <w:color w:val="000000" w:themeColor="text1"/>
                <w:sz w:val="18"/>
                <w:szCs w:val="18"/>
              </w:rPr>
              <w:t>CB2 receptor</w:t>
            </w:r>
          </w:p>
        </w:tc>
        <w:tc>
          <w:tcPr>
            <w:tcW w:w="2600" w:type="dxa"/>
            <w:vAlign w:val="center"/>
          </w:tcPr>
          <w:p w14:paraId="3F46052B" w14:textId="77777777" w:rsidR="005749C0" w:rsidRPr="0090016E" w:rsidRDefault="00000000" w:rsidP="00BB010B">
            <w:pPr>
              <w:spacing w:before="100" w:beforeAutospacing="1" w:after="100" w:afterAutospacing="1"/>
              <w:rPr>
                <w:color w:val="000000" w:themeColor="text1"/>
              </w:rPr>
            </w:pPr>
            <w:r w:rsidRPr="0090016E">
              <w:rPr>
                <w:color w:val="000000" w:themeColor="text1"/>
                <w:sz w:val="18"/>
                <w:szCs w:val="18"/>
              </w:rPr>
              <w:t>T and B lymphocytes, monocytes/macrophages, dendritic cells, NK cells, neutrophils, mast cells</w:t>
            </w:r>
          </w:p>
        </w:tc>
        <w:tc>
          <w:tcPr>
            <w:tcW w:w="2400" w:type="dxa"/>
            <w:vAlign w:val="center"/>
          </w:tcPr>
          <w:p w14:paraId="7C4111F8" w14:textId="77777777" w:rsidR="005749C0" w:rsidRPr="0090016E" w:rsidRDefault="00000000" w:rsidP="00BB010B">
            <w:pPr>
              <w:spacing w:before="100" w:beforeAutospacing="1" w:after="100" w:afterAutospacing="1"/>
              <w:rPr>
                <w:color w:val="000000" w:themeColor="text1"/>
              </w:rPr>
            </w:pPr>
            <w:r w:rsidRPr="0090016E">
              <w:rPr>
                <w:color w:val="000000" w:themeColor="text1"/>
                <w:sz w:val="18"/>
                <w:szCs w:val="18"/>
              </w:rPr>
              <w:t>Anandamide, 2-AG, Δ9-THC, synthetic agonists (e.g., JWH-015, HU-308)</w:t>
            </w:r>
          </w:p>
        </w:tc>
        <w:tc>
          <w:tcPr>
            <w:tcW w:w="3200" w:type="dxa"/>
            <w:vAlign w:val="center"/>
          </w:tcPr>
          <w:p w14:paraId="675B3EA5" w14:textId="77777777" w:rsidR="005749C0" w:rsidRPr="0090016E" w:rsidRDefault="00000000" w:rsidP="00BB010B">
            <w:pPr>
              <w:spacing w:before="100" w:beforeAutospacing="1" w:after="100" w:afterAutospacing="1"/>
              <w:rPr>
                <w:color w:val="000000" w:themeColor="text1"/>
              </w:rPr>
            </w:pPr>
            <w:r w:rsidRPr="0090016E">
              <w:rPr>
                <w:color w:val="000000" w:themeColor="text1"/>
                <w:sz w:val="18"/>
                <w:szCs w:val="18"/>
              </w:rPr>
              <w:t>Principal receptor mediating cannabinoid-induced lymphocyte apoptosis, cytokine suppression, and MDSC mobilisation</w:t>
            </w:r>
          </w:p>
        </w:tc>
        <w:tc>
          <w:tcPr>
            <w:tcW w:w="2200" w:type="dxa"/>
            <w:vAlign w:val="center"/>
          </w:tcPr>
          <w:p w14:paraId="327F1AFB" w14:textId="77777777" w:rsidR="005749C0" w:rsidRPr="0090016E" w:rsidRDefault="00000000" w:rsidP="00BB010B">
            <w:pPr>
              <w:spacing w:before="100" w:beforeAutospacing="1" w:after="100" w:afterAutospacing="1"/>
              <w:rPr>
                <w:color w:val="000000" w:themeColor="text1"/>
              </w:rPr>
            </w:pPr>
            <w:r w:rsidRPr="0090016E">
              <w:rPr>
                <w:color w:val="000000" w:themeColor="text1"/>
                <w:sz w:val="18"/>
                <w:szCs w:val="18"/>
              </w:rPr>
              <w:t>Nagarkatti et al., 2009; Hegde et al., 2010; Do et al., 2004</w:t>
            </w:r>
          </w:p>
        </w:tc>
      </w:tr>
      <w:tr w:rsidR="005749C0" w:rsidRPr="0090016E" w14:paraId="42933B79" w14:textId="77777777" w:rsidTr="00F867AF">
        <w:tc>
          <w:tcPr>
            <w:tcW w:w="1600" w:type="dxa"/>
            <w:vAlign w:val="center"/>
          </w:tcPr>
          <w:p w14:paraId="5A471128" w14:textId="77777777" w:rsidR="005749C0" w:rsidRPr="0090016E" w:rsidRDefault="00000000" w:rsidP="00BB010B">
            <w:pPr>
              <w:spacing w:before="100" w:beforeAutospacing="1" w:after="100" w:afterAutospacing="1"/>
              <w:rPr>
                <w:color w:val="000000" w:themeColor="text1"/>
              </w:rPr>
            </w:pPr>
            <w:r w:rsidRPr="0090016E">
              <w:rPr>
                <w:color w:val="000000" w:themeColor="text1"/>
                <w:sz w:val="18"/>
                <w:szCs w:val="18"/>
              </w:rPr>
              <w:t>GPR55</w:t>
            </w:r>
          </w:p>
        </w:tc>
        <w:tc>
          <w:tcPr>
            <w:tcW w:w="2600" w:type="dxa"/>
            <w:vAlign w:val="center"/>
          </w:tcPr>
          <w:p w14:paraId="7369FFBF" w14:textId="77777777" w:rsidR="005749C0" w:rsidRPr="0090016E" w:rsidRDefault="00000000" w:rsidP="00BB010B">
            <w:pPr>
              <w:spacing w:before="100" w:beforeAutospacing="1" w:after="100" w:afterAutospacing="1"/>
              <w:rPr>
                <w:color w:val="000000" w:themeColor="text1"/>
              </w:rPr>
            </w:pPr>
            <w:r w:rsidRPr="0090016E">
              <w:rPr>
                <w:color w:val="000000" w:themeColor="text1"/>
                <w:sz w:val="18"/>
                <w:szCs w:val="18"/>
              </w:rPr>
              <w:t>Neutrophils, monocytes, NK cells, mast cells, B cells</w:t>
            </w:r>
          </w:p>
        </w:tc>
        <w:tc>
          <w:tcPr>
            <w:tcW w:w="2400" w:type="dxa"/>
            <w:vAlign w:val="center"/>
          </w:tcPr>
          <w:p w14:paraId="448548E2" w14:textId="77777777" w:rsidR="005749C0" w:rsidRPr="0090016E" w:rsidRDefault="00000000" w:rsidP="00BB010B">
            <w:pPr>
              <w:spacing w:before="100" w:beforeAutospacing="1" w:after="100" w:afterAutospacing="1"/>
              <w:rPr>
                <w:color w:val="000000" w:themeColor="text1"/>
              </w:rPr>
            </w:pPr>
            <w:proofErr w:type="spellStart"/>
            <w:r w:rsidRPr="0090016E">
              <w:rPr>
                <w:color w:val="000000" w:themeColor="text1"/>
                <w:sz w:val="18"/>
                <w:szCs w:val="18"/>
              </w:rPr>
              <w:t>Lysophosphatidylinositol</w:t>
            </w:r>
            <w:proofErr w:type="spellEnd"/>
            <w:r w:rsidRPr="0090016E">
              <w:rPr>
                <w:color w:val="000000" w:themeColor="text1"/>
                <w:sz w:val="18"/>
                <w:szCs w:val="18"/>
              </w:rPr>
              <w:t>; modulated by cannabinoids including CBD (antagonist-like)</w:t>
            </w:r>
          </w:p>
        </w:tc>
        <w:tc>
          <w:tcPr>
            <w:tcW w:w="3200" w:type="dxa"/>
            <w:vAlign w:val="center"/>
          </w:tcPr>
          <w:p w14:paraId="4849E1BD" w14:textId="77777777" w:rsidR="005749C0" w:rsidRPr="0090016E" w:rsidRDefault="00000000" w:rsidP="00BB010B">
            <w:pPr>
              <w:spacing w:before="100" w:beforeAutospacing="1" w:after="100" w:afterAutospacing="1"/>
              <w:rPr>
                <w:color w:val="000000" w:themeColor="text1"/>
              </w:rPr>
            </w:pPr>
            <w:r w:rsidRPr="0090016E">
              <w:rPr>
                <w:color w:val="000000" w:themeColor="text1"/>
                <w:sz w:val="18"/>
                <w:szCs w:val="18"/>
              </w:rPr>
              <w:t>Context-dependent pro- or anti-inflammatory signalling; crosstalk with CB2 in neutrophil chemotaxis and degranulation</w:t>
            </w:r>
          </w:p>
        </w:tc>
        <w:tc>
          <w:tcPr>
            <w:tcW w:w="2200" w:type="dxa"/>
            <w:vAlign w:val="center"/>
          </w:tcPr>
          <w:p w14:paraId="5565EF1E" w14:textId="77777777" w:rsidR="005749C0" w:rsidRPr="0090016E" w:rsidRDefault="00000000" w:rsidP="00BB010B">
            <w:pPr>
              <w:spacing w:before="100" w:beforeAutospacing="1" w:after="100" w:afterAutospacing="1"/>
              <w:rPr>
                <w:color w:val="000000" w:themeColor="text1"/>
              </w:rPr>
            </w:pPr>
            <w:r w:rsidRPr="0090016E">
              <w:rPr>
                <w:color w:val="000000" w:themeColor="text1"/>
                <w:sz w:val="18"/>
                <w:szCs w:val="18"/>
              </w:rPr>
              <w:t xml:space="preserve">Yang et al., 2016; </w:t>
            </w:r>
            <w:proofErr w:type="spellStart"/>
            <w:r w:rsidRPr="0090016E">
              <w:rPr>
                <w:color w:val="000000" w:themeColor="text1"/>
                <w:sz w:val="18"/>
                <w:szCs w:val="18"/>
              </w:rPr>
              <w:t>Balenga</w:t>
            </w:r>
            <w:proofErr w:type="spellEnd"/>
            <w:r w:rsidRPr="0090016E">
              <w:rPr>
                <w:color w:val="000000" w:themeColor="text1"/>
                <w:sz w:val="18"/>
                <w:szCs w:val="18"/>
              </w:rPr>
              <w:t xml:space="preserve"> et al., 2011</w:t>
            </w:r>
          </w:p>
        </w:tc>
      </w:tr>
      <w:tr w:rsidR="005749C0" w:rsidRPr="0090016E" w14:paraId="0BF27E24" w14:textId="77777777" w:rsidTr="00F867AF">
        <w:tc>
          <w:tcPr>
            <w:tcW w:w="1600" w:type="dxa"/>
            <w:vAlign w:val="center"/>
          </w:tcPr>
          <w:p w14:paraId="255D682D" w14:textId="77777777" w:rsidR="005749C0" w:rsidRPr="0090016E" w:rsidRDefault="00000000" w:rsidP="00BB010B">
            <w:pPr>
              <w:spacing w:before="100" w:beforeAutospacing="1" w:after="100" w:afterAutospacing="1"/>
              <w:rPr>
                <w:color w:val="000000" w:themeColor="text1"/>
              </w:rPr>
            </w:pPr>
            <w:proofErr w:type="spellStart"/>
            <w:r w:rsidRPr="0090016E">
              <w:rPr>
                <w:color w:val="000000" w:themeColor="text1"/>
                <w:sz w:val="18"/>
                <w:szCs w:val="18"/>
              </w:rPr>
              <w:t>PPARγ</w:t>
            </w:r>
            <w:proofErr w:type="spellEnd"/>
          </w:p>
        </w:tc>
        <w:tc>
          <w:tcPr>
            <w:tcW w:w="2600" w:type="dxa"/>
            <w:vAlign w:val="center"/>
          </w:tcPr>
          <w:p w14:paraId="0B724A50" w14:textId="77777777" w:rsidR="005749C0" w:rsidRPr="0090016E" w:rsidRDefault="00000000" w:rsidP="00BB010B">
            <w:pPr>
              <w:spacing w:before="100" w:beforeAutospacing="1" w:after="100" w:afterAutospacing="1"/>
              <w:rPr>
                <w:color w:val="000000" w:themeColor="text1"/>
              </w:rPr>
            </w:pPr>
            <w:r w:rsidRPr="0090016E">
              <w:rPr>
                <w:color w:val="000000" w:themeColor="text1"/>
                <w:sz w:val="18"/>
                <w:szCs w:val="18"/>
              </w:rPr>
              <w:t>Macrophages, T cells, intestinal epithelium</w:t>
            </w:r>
          </w:p>
        </w:tc>
        <w:tc>
          <w:tcPr>
            <w:tcW w:w="2400" w:type="dxa"/>
            <w:vAlign w:val="center"/>
          </w:tcPr>
          <w:p w14:paraId="3A9988E0" w14:textId="77777777" w:rsidR="005749C0" w:rsidRPr="0090016E" w:rsidRDefault="00000000" w:rsidP="00BB010B">
            <w:pPr>
              <w:spacing w:before="100" w:beforeAutospacing="1" w:after="100" w:afterAutospacing="1"/>
              <w:rPr>
                <w:color w:val="000000" w:themeColor="text1"/>
              </w:rPr>
            </w:pPr>
            <w:r w:rsidRPr="0090016E">
              <w:rPr>
                <w:color w:val="000000" w:themeColor="text1"/>
                <w:sz w:val="18"/>
                <w:szCs w:val="18"/>
              </w:rPr>
              <w:t>Activated directly by CBD; endogenous lipid ligands</w:t>
            </w:r>
          </w:p>
        </w:tc>
        <w:tc>
          <w:tcPr>
            <w:tcW w:w="3200" w:type="dxa"/>
            <w:vAlign w:val="center"/>
          </w:tcPr>
          <w:p w14:paraId="2F24BA7D" w14:textId="77777777" w:rsidR="005749C0" w:rsidRPr="0090016E" w:rsidRDefault="00000000" w:rsidP="00BB010B">
            <w:pPr>
              <w:spacing w:before="100" w:beforeAutospacing="1" w:after="100" w:afterAutospacing="1"/>
              <w:rPr>
                <w:color w:val="000000" w:themeColor="text1"/>
              </w:rPr>
            </w:pPr>
            <w:r w:rsidRPr="0090016E">
              <w:rPr>
                <w:color w:val="000000" w:themeColor="text1"/>
                <w:sz w:val="18"/>
                <w:szCs w:val="18"/>
              </w:rPr>
              <w:t>Inhibition of NF-</w:t>
            </w:r>
            <w:proofErr w:type="spellStart"/>
            <w:r w:rsidRPr="0090016E">
              <w:rPr>
                <w:color w:val="000000" w:themeColor="text1"/>
                <w:sz w:val="18"/>
                <w:szCs w:val="18"/>
              </w:rPr>
              <w:t>κB</w:t>
            </w:r>
            <w:proofErr w:type="spellEnd"/>
            <w:r w:rsidRPr="0090016E">
              <w:rPr>
                <w:color w:val="000000" w:themeColor="text1"/>
                <w:sz w:val="18"/>
                <w:szCs w:val="18"/>
              </w:rPr>
              <w:t xml:space="preserve">-dependent transcription; </w:t>
            </w:r>
            <w:r w:rsidRPr="0090016E">
              <w:rPr>
                <w:color w:val="000000" w:themeColor="text1"/>
                <w:sz w:val="18"/>
                <w:szCs w:val="18"/>
              </w:rPr>
              <w:lastRenderedPageBreak/>
              <w:t>anti-inflammatory, CB2-independent route for CBD</w:t>
            </w:r>
          </w:p>
        </w:tc>
        <w:tc>
          <w:tcPr>
            <w:tcW w:w="2200" w:type="dxa"/>
            <w:vAlign w:val="center"/>
          </w:tcPr>
          <w:p w14:paraId="2F132155" w14:textId="77777777" w:rsidR="005749C0" w:rsidRPr="0090016E" w:rsidRDefault="00000000" w:rsidP="00BB010B">
            <w:pPr>
              <w:spacing w:before="100" w:beforeAutospacing="1" w:after="100" w:afterAutospacing="1"/>
              <w:rPr>
                <w:color w:val="000000" w:themeColor="text1"/>
              </w:rPr>
            </w:pPr>
            <w:r w:rsidRPr="0090016E">
              <w:rPr>
                <w:color w:val="000000" w:themeColor="text1"/>
                <w:sz w:val="18"/>
                <w:szCs w:val="18"/>
              </w:rPr>
              <w:lastRenderedPageBreak/>
              <w:t>Nagarkatti et al., 2009</w:t>
            </w:r>
          </w:p>
        </w:tc>
      </w:tr>
      <w:tr w:rsidR="005749C0" w:rsidRPr="0090016E" w14:paraId="591518EF" w14:textId="77777777" w:rsidTr="00F867AF">
        <w:tc>
          <w:tcPr>
            <w:tcW w:w="1600" w:type="dxa"/>
            <w:vAlign w:val="center"/>
          </w:tcPr>
          <w:p w14:paraId="70DDF0C2" w14:textId="77777777" w:rsidR="005749C0" w:rsidRPr="0090016E" w:rsidRDefault="00000000" w:rsidP="00BB010B">
            <w:pPr>
              <w:spacing w:before="100" w:beforeAutospacing="1" w:after="100" w:afterAutospacing="1"/>
              <w:rPr>
                <w:color w:val="000000" w:themeColor="text1"/>
              </w:rPr>
            </w:pPr>
            <w:r w:rsidRPr="0090016E">
              <w:rPr>
                <w:color w:val="000000" w:themeColor="text1"/>
                <w:sz w:val="18"/>
                <w:szCs w:val="18"/>
              </w:rPr>
              <w:t>FAAH / MAGL</w:t>
            </w:r>
          </w:p>
        </w:tc>
        <w:tc>
          <w:tcPr>
            <w:tcW w:w="2600" w:type="dxa"/>
            <w:vAlign w:val="center"/>
          </w:tcPr>
          <w:p w14:paraId="0D6A3FD6" w14:textId="77777777" w:rsidR="005749C0" w:rsidRPr="0090016E" w:rsidRDefault="00000000" w:rsidP="00BB010B">
            <w:pPr>
              <w:spacing w:before="100" w:beforeAutospacing="1" w:after="100" w:afterAutospacing="1"/>
              <w:rPr>
                <w:color w:val="000000" w:themeColor="text1"/>
              </w:rPr>
            </w:pPr>
            <w:r w:rsidRPr="0090016E">
              <w:rPr>
                <w:color w:val="000000" w:themeColor="text1"/>
                <w:sz w:val="18"/>
                <w:szCs w:val="18"/>
              </w:rPr>
              <w:t>Broadly expressed, including leukocytes and intestinal epithelium</w:t>
            </w:r>
          </w:p>
        </w:tc>
        <w:tc>
          <w:tcPr>
            <w:tcW w:w="2400" w:type="dxa"/>
            <w:vAlign w:val="center"/>
          </w:tcPr>
          <w:p w14:paraId="401FA3DF" w14:textId="77777777" w:rsidR="005749C0" w:rsidRPr="0090016E" w:rsidRDefault="00000000" w:rsidP="00BB010B">
            <w:pPr>
              <w:spacing w:before="100" w:beforeAutospacing="1" w:after="100" w:afterAutospacing="1"/>
              <w:rPr>
                <w:color w:val="000000" w:themeColor="text1"/>
              </w:rPr>
            </w:pPr>
            <w:r w:rsidRPr="0090016E">
              <w:rPr>
                <w:color w:val="000000" w:themeColor="text1"/>
                <w:sz w:val="18"/>
                <w:szCs w:val="18"/>
              </w:rPr>
              <w:t>Hydrolyse anandamide (FAAH) and 2-AG (MAGL)</w:t>
            </w:r>
          </w:p>
        </w:tc>
        <w:tc>
          <w:tcPr>
            <w:tcW w:w="3200" w:type="dxa"/>
            <w:vAlign w:val="center"/>
          </w:tcPr>
          <w:p w14:paraId="18DE8585" w14:textId="77777777" w:rsidR="005749C0" w:rsidRPr="0090016E" w:rsidRDefault="00000000" w:rsidP="00BB010B">
            <w:pPr>
              <w:spacing w:before="100" w:beforeAutospacing="1" w:after="100" w:afterAutospacing="1"/>
              <w:rPr>
                <w:color w:val="000000" w:themeColor="text1"/>
              </w:rPr>
            </w:pPr>
            <w:r w:rsidRPr="0090016E">
              <w:rPr>
                <w:color w:val="000000" w:themeColor="text1"/>
                <w:sz w:val="18"/>
                <w:szCs w:val="18"/>
              </w:rPr>
              <w:t>Set local endocannabinoid tone; hydrolysis products feed eicosanoid pathways with receptor-independent immune effects</w:t>
            </w:r>
          </w:p>
        </w:tc>
        <w:tc>
          <w:tcPr>
            <w:tcW w:w="2200" w:type="dxa"/>
            <w:vAlign w:val="center"/>
          </w:tcPr>
          <w:p w14:paraId="2BB4FB30" w14:textId="77777777" w:rsidR="005749C0" w:rsidRPr="0090016E" w:rsidRDefault="00000000" w:rsidP="00BB010B">
            <w:pPr>
              <w:spacing w:before="100" w:beforeAutospacing="1" w:after="100" w:afterAutospacing="1"/>
              <w:rPr>
                <w:color w:val="000000" w:themeColor="text1"/>
              </w:rPr>
            </w:pPr>
            <w:r w:rsidRPr="0090016E">
              <w:rPr>
                <w:color w:val="000000" w:themeColor="text1"/>
                <w:sz w:val="18"/>
                <w:szCs w:val="18"/>
              </w:rPr>
              <w:t xml:space="preserve">Turcotte et al., 2015; </w:t>
            </w:r>
            <w:proofErr w:type="spellStart"/>
            <w:r w:rsidRPr="0090016E">
              <w:rPr>
                <w:color w:val="000000" w:themeColor="text1"/>
                <w:sz w:val="18"/>
                <w:szCs w:val="18"/>
              </w:rPr>
              <w:t>Cuddihey</w:t>
            </w:r>
            <w:proofErr w:type="spellEnd"/>
            <w:r w:rsidRPr="0090016E">
              <w:rPr>
                <w:color w:val="000000" w:themeColor="text1"/>
                <w:sz w:val="18"/>
                <w:szCs w:val="18"/>
              </w:rPr>
              <w:t xml:space="preserve"> et al., 2022</w:t>
            </w:r>
          </w:p>
        </w:tc>
      </w:tr>
    </w:tbl>
    <w:p w14:paraId="196A6104" w14:textId="77777777" w:rsidR="005749C0" w:rsidRPr="0090016E" w:rsidRDefault="00000000" w:rsidP="00BB010B">
      <w:pPr>
        <w:spacing w:before="100" w:beforeAutospacing="1" w:after="100" w:afterAutospacing="1"/>
        <w:rPr>
          <w:color w:val="000000" w:themeColor="text1"/>
        </w:rPr>
      </w:pPr>
      <w:r w:rsidRPr="0090016E">
        <w:rPr>
          <w:i/>
          <w:iCs/>
          <w:color w:val="000000" w:themeColor="text1"/>
          <w:sz w:val="18"/>
          <w:szCs w:val="18"/>
        </w:rPr>
        <w:t xml:space="preserve">Note. CB1 = cannabinoid receptor type 1; CB2 = cannabinoid receptor type 2; GPR55 = G protein-coupled receptor 55; </w:t>
      </w:r>
      <w:proofErr w:type="spellStart"/>
      <w:r w:rsidRPr="0090016E">
        <w:rPr>
          <w:i/>
          <w:iCs/>
          <w:color w:val="000000" w:themeColor="text1"/>
          <w:sz w:val="18"/>
          <w:szCs w:val="18"/>
        </w:rPr>
        <w:t>PPARγ</w:t>
      </w:r>
      <w:proofErr w:type="spellEnd"/>
      <w:r w:rsidRPr="0090016E">
        <w:rPr>
          <w:i/>
          <w:iCs/>
          <w:color w:val="000000" w:themeColor="text1"/>
          <w:sz w:val="18"/>
          <w:szCs w:val="18"/>
        </w:rPr>
        <w:t xml:space="preserve"> = peroxisome proliferator-activated receptor gamma; FAAH = fatty acid amide hydrolase; MAGL = monoacylglycerol lipase; 2-AG = 2-arachidonoylglycerol; THC = tetrahydrocannabinol; MDSC = myeloid-derived suppressor cell; NK = natural killer.</w:t>
      </w:r>
    </w:p>
    <w:p w14:paraId="2118A847" w14:textId="77777777" w:rsidR="005749C0" w:rsidRPr="0090016E" w:rsidRDefault="00000000" w:rsidP="00BB010B">
      <w:pPr>
        <w:pStyle w:val="Heading1"/>
        <w:spacing w:before="100" w:beforeAutospacing="1" w:after="100" w:afterAutospacing="1"/>
        <w:rPr>
          <w:color w:val="000000" w:themeColor="text1"/>
        </w:rPr>
      </w:pPr>
      <w:r w:rsidRPr="0090016E">
        <w:rPr>
          <w:b/>
          <w:bCs/>
          <w:color w:val="000000" w:themeColor="text1"/>
          <w:sz w:val="28"/>
          <w:szCs w:val="28"/>
        </w:rPr>
        <w:t>4. Cannabinoid Receptor Signalling Pathways Governing Immune Cell Fate</w:t>
      </w:r>
    </w:p>
    <w:p w14:paraId="49FC6CC1" w14:textId="77777777" w:rsidR="005749C0" w:rsidRPr="0090016E" w:rsidRDefault="00000000" w:rsidP="00BB010B">
      <w:pPr>
        <w:spacing w:before="100" w:beforeAutospacing="1" w:after="100" w:afterAutospacing="1"/>
        <w:jc w:val="both"/>
        <w:rPr>
          <w:color w:val="000000" w:themeColor="text1"/>
        </w:rPr>
      </w:pPr>
      <w:r w:rsidRPr="0090016E">
        <w:rPr>
          <w:color w:val="000000" w:themeColor="text1"/>
        </w:rPr>
        <w:t>CB2 signalling in leukocytes is more pharmacologically complex than the simple Gi/o-mediated inhibition of adenylate cyclase originally proposed for cannabinoid receptors. Studies in human primary peripheral blood mononuclear cells have shown that CB2 activation produces a biphasic cyclic adenosine monophosphate response, in which an initial Gi-mediated inhibition of cyclic adenosine monophosphate synthesis is counterbalanced by concurrent Gs-mediated stimulation, with downstream mitogen-activated protein kinase signalling bifurcating such that p38 phosphorylation is Gi-dependent while extracellular signal-regulated kinase and Akt phosphorylation depend on the Gi-coupled βγ subunit; this dual coupling has been proposed to explain why CB2 engagement in human leukocytes produces the interleukin-6 and interleukin-10 secretion associated with a regulatory rather than a purely suppressive phenotype in some contexts (Robinson et al., 2015).</w:t>
      </w:r>
    </w:p>
    <w:p w14:paraId="73E51475" w14:textId="77777777" w:rsidR="005749C0" w:rsidRPr="0090016E" w:rsidRDefault="00000000" w:rsidP="00BB010B">
      <w:pPr>
        <w:spacing w:before="100" w:beforeAutospacing="1" w:after="100" w:afterAutospacing="1"/>
        <w:jc w:val="both"/>
        <w:rPr>
          <w:color w:val="000000" w:themeColor="text1"/>
        </w:rPr>
      </w:pPr>
      <w:r w:rsidRPr="0090016E">
        <w:rPr>
          <w:color w:val="000000" w:themeColor="text1"/>
        </w:rPr>
        <w:t>A distinct and clinically important signalling consequence of CB2 engagement is the induction of apoptosis in activated immune cells. In murine thymocytes and activated splenocytes, THC exposure produces dose-dependent apoptosis that can be partially blocked by caspase inhibition and is substantially attenuated in CB2-deficient cells, accompanied in vivo by rapid thymic and splenic atrophy (</w:t>
      </w:r>
      <w:proofErr w:type="spellStart"/>
      <w:r w:rsidRPr="0090016E">
        <w:rPr>
          <w:color w:val="000000" w:themeColor="text1"/>
        </w:rPr>
        <w:t>McKallip</w:t>
      </w:r>
      <w:proofErr w:type="spellEnd"/>
      <w:r w:rsidRPr="0090016E">
        <w:rPr>
          <w:color w:val="000000" w:themeColor="text1"/>
        </w:rPr>
        <w:t xml:space="preserve"> et al., 2002b). A parallel mechanism operates in dendritic cells, where engagement of both CB1 and CB2 is required to trigger nuclear factor kappa-light-chain-enhancer of activated B cells (NF-</w:t>
      </w:r>
      <w:proofErr w:type="spellStart"/>
      <w:r w:rsidRPr="0090016E">
        <w:rPr>
          <w:color w:val="000000" w:themeColor="text1"/>
        </w:rPr>
        <w:t>κB</w:t>
      </w:r>
      <w:proofErr w:type="spellEnd"/>
      <w:r w:rsidRPr="0090016E">
        <w:rPr>
          <w:color w:val="000000" w:themeColor="text1"/>
        </w:rPr>
        <w:t xml:space="preserve">)-dependent apoptosis involving caspase-2, caspase-8, and caspase-9 activation, cleavage of Bid, and loss of mitochondrial membrane potential, a pathway that </w:t>
      </w:r>
      <w:proofErr w:type="gramStart"/>
      <w:r w:rsidRPr="0090016E">
        <w:rPr>
          <w:color w:val="000000" w:themeColor="text1"/>
        </w:rPr>
        <w:t>couples</w:t>
      </w:r>
      <w:proofErr w:type="gramEnd"/>
      <w:r w:rsidRPr="0090016E">
        <w:rPr>
          <w:color w:val="000000" w:themeColor="text1"/>
        </w:rPr>
        <w:t xml:space="preserve"> death-receptor and mitochondrial apoptotic cascades (Do et al., 2004). The same CB2-dependent apoptotic mechanism has been proposed as the basis for CB2-selective agonists inhibiting the mixed lymphocyte reaction, an in vitro correlate of transplant rejection, and for the therapeutic targeting of CB2 in malignancies of lymphoblastic origin, where receptor engagement selectively induces apoptosis in transformed immune cells (</w:t>
      </w:r>
      <w:proofErr w:type="spellStart"/>
      <w:r w:rsidRPr="0090016E">
        <w:rPr>
          <w:color w:val="000000" w:themeColor="text1"/>
        </w:rPr>
        <w:t>McKallip</w:t>
      </w:r>
      <w:proofErr w:type="spellEnd"/>
      <w:r w:rsidRPr="0090016E">
        <w:rPr>
          <w:color w:val="000000" w:themeColor="text1"/>
        </w:rPr>
        <w:t xml:space="preserve"> et al., 2002a; Rieder et al., 2010).</w:t>
      </w:r>
    </w:p>
    <w:p w14:paraId="364EBF5F" w14:textId="77777777" w:rsidR="005749C0" w:rsidRPr="0090016E" w:rsidRDefault="00000000" w:rsidP="00BB010B">
      <w:pPr>
        <w:spacing w:before="100" w:beforeAutospacing="1" w:after="100" w:afterAutospacing="1"/>
        <w:jc w:val="both"/>
        <w:rPr>
          <w:color w:val="000000" w:themeColor="text1"/>
        </w:rPr>
      </w:pPr>
      <w:r w:rsidRPr="0090016E">
        <w:rPr>
          <w:color w:val="000000" w:themeColor="text1"/>
        </w:rPr>
        <w:t>Transcription factor activity downstream of CB2 extends beyond apoptotic signalling to direct modulation of immune gene expression programmes. CB2-selective agonism decreases nuclear translocation of NF-</w:t>
      </w:r>
      <w:proofErr w:type="spellStart"/>
      <w:r w:rsidRPr="0090016E">
        <w:rPr>
          <w:color w:val="000000" w:themeColor="text1"/>
        </w:rPr>
        <w:t>κB</w:t>
      </w:r>
      <w:proofErr w:type="spellEnd"/>
      <w:r w:rsidRPr="0090016E">
        <w:rPr>
          <w:color w:val="000000" w:themeColor="text1"/>
        </w:rPr>
        <w:t xml:space="preserve"> and nuclear factor of activated T cells (NFAT) in T cells engaged in an allogeneic response, with a parallel gene expression shift that decreases CD40 ligand and cyclin D3 while increasing suppressor of cytokine signalling 5 and interleukin-10, collectively favouring a regulatory rather than effector T-cell phenotype (Robinson et al., 2015). This transcriptional reprogramming is reinforced at the epigenetic level: THC exposure in mice induces hypomethylation at the STAT3 and arginase-1 promoters in myeloid-derived suppressor cells, concomitant with hypermethylation and reduced expression of the de novo DNA </w:t>
      </w:r>
      <w:r w:rsidRPr="0090016E">
        <w:rPr>
          <w:color w:val="000000" w:themeColor="text1"/>
        </w:rPr>
        <w:lastRenderedPageBreak/>
        <w:t>methyltransferases DNMT3a and DNMT3b, a pattern that increases STAT3 and arginase-1 expression and elevates secretion of the calcium-binding protein S100A8, which itself promotes further suppressor cell accumulation and function (Sido et al., 2015). MicroRNA regulation constitutes a further layer of control, illustrated by THC-induced reversal of the microRNA-21 and microRNA-29b changes that accompany delayed-type hypersensitivity, with consequent suppression of T helper 1 and T helper 17 lineage commitment (Sido et al., 2016), and by THC-induced modulation of the microRNA-17-92 cluster accompanying induction of regulatory T cells in a model of staphylococcal enterotoxin B-induced acute lung injury (Rao et al., 2015).</w:t>
      </w:r>
    </w:p>
    <w:p w14:paraId="06106486" w14:textId="77777777" w:rsidR="005749C0" w:rsidRPr="0090016E" w:rsidRDefault="00000000" w:rsidP="00BB010B">
      <w:pPr>
        <w:spacing w:before="100" w:beforeAutospacing="1" w:after="100" w:afterAutospacing="1"/>
        <w:jc w:val="both"/>
        <w:rPr>
          <w:color w:val="000000" w:themeColor="text1"/>
        </w:rPr>
      </w:pPr>
      <w:r w:rsidRPr="0090016E">
        <w:rPr>
          <w:color w:val="000000" w:themeColor="text1"/>
        </w:rPr>
        <w:t>GPR55 engagement introduces a signalling axis that is neither redundant with nor simply antagonistic to CB2. In human neutrophils, GPR55 activation potentiates CB2-mediated chemotactic migration toward 2-arachidonoylglycerol while simultaneously inhibiting CB2-associated degranulation and reactive oxygen species production, indicating that the two receptors interact functionally at the level of downstream effector selection rather than acting as independent parallel pathways (</w:t>
      </w:r>
      <w:proofErr w:type="spellStart"/>
      <w:r w:rsidRPr="0090016E">
        <w:rPr>
          <w:color w:val="000000" w:themeColor="text1"/>
        </w:rPr>
        <w:t>Balenga</w:t>
      </w:r>
      <w:proofErr w:type="spellEnd"/>
      <w:r w:rsidRPr="0090016E">
        <w:rPr>
          <w:color w:val="000000" w:themeColor="text1"/>
        </w:rPr>
        <w:t xml:space="preserve"> et al., 2011). This cooperative-yet-divergent coupling means that the net immune consequence of a cannabinoid exposure that engages both receptors cannot be predicted from CB2 pharmacology alone, a point of direct relevance to the interpretation of whole-cannabis or crude extract exposures relative to single-ligand experimental systems.</w:t>
      </w:r>
    </w:p>
    <w:p w14:paraId="3DED2752" w14:textId="77777777" w:rsidR="005749C0" w:rsidRPr="0090016E" w:rsidRDefault="00000000" w:rsidP="00BB010B">
      <w:pPr>
        <w:pStyle w:val="Heading1"/>
        <w:spacing w:before="100" w:beforeAutospacing="1" w:after="100" w:afterAutospacing="1"/>
        <w:rPr>
          <w:color w:val="000000" w:themeColor="text1"/>
        </w:rPr>
      </w:pPr>
      <w:r w:rsidRPr="0090016E">
        <w:rPr>
          <w:b/>
          <w:bCs/>
          <w:color w:val="000000" w:themeColor="text1"/>
          <w:sz w:val="28"/>
          <w:szCs w:val="28"/>
        </w:rPr>
        <w:t>5. Cannabinoid Effects on Innate Immune Cells: Macrophages, Neutrophils, Natural Killer Cells, and Dendritic Cells</w:t>
      </w:r>
    </w:p>
    <w:p w14:paraId="4E0A48EF" w14:textId="77777777" w:rsidR="005749C0" w:rsidRPr="0090016E" w:rsidRDefault="00000000" w:rsidP="00BB010B">
      <w:pPr>
        <w:spacing w:before="100" w:beforeAutospacing="1" w:after="100" w:afterAutospacing="1"/>
        <w:jc w:val="both"/>
        <w:rPr>
          <w:color w:val="000000" w:themeColor="text1"/>
        </w:rPr>
      </w:pPr>
      <w:r w:rsidRPr="0090016E">
        <w:rPr>
          <w:color w:val="000000" w:themeColor="text1"/>
        </w:rPr>
        <w:t>Macrophage function is modulated by cannabinoids through mechanisms that differ substantially between THC and CBD and that are not uniformly anti-inflammatory. THC exposure during macrophage differentiation from bone marrow precursors blocks acquisition of the mature macrophage phenotype through a receptor-independent mechanism involving induction of nuclear factor erythroid 2-related factor 2 (NRF2)-antioxidant response element gene expression, altered iron handling, and suppression of the reactive oxygen species normally generated through the Fenton reaction during differentiation, an effect that persists in cells lacking CB1, CB2, GPR18, GPR55, or the adenosine 2A receptor and therefore cannot be attributed to any single characterised cannabinoid target. CBD, by contrast, acts on already-differentiated macrophages to alter polarisation state: in classically activated, lipopolysaccharide- and interferon-gamma-stimulated macrophages, CBD inhibits interleukin-6 and nitric oxide production without suppressing tumour necrosis factor-alpha, while in alternatively activated macrophages it reduces the M2 markers CD206 and arginase-1, an effect mediated through inhibition of Akt phosphorylation downstream of phosphoinositide 3-kinase and through a shift in cellular metabolism toward glycolysis in classically activated cells and away from oxidative phosphorylation in alternatively activated cells, rather than through alteration of canonical toll-like receptor 4 or interferon-gamma receptor signalling. This pattern illustrates that CBD does not simply suppress macrophage activation but reshapes the metabolic and transcriptional programme underlying polarisation in a manner distinct from THC.</w:t>
      </w:r>
    </w:p>
    <w:p w14:paraId="7B9CD1FC" w14:textId="77777777" w:rsidR="005749C0" w:rsidRPr="0090016E" w:rsidRDefault="00000000" w:rsidP="00BB010B">
      <w:pPr>
        <w:spacing w:before="100" w:beforeAutospacing="1" w:after="100" w:afterAutospacing="1"/>
        <w:jc w:val="both"/>
        <w:rPr>
          <w:color w:val="000000" w:themeColor="text1"/>
        </w:rPr>
      </w:pPr>
      <w:r w:rsidRPr="0090016E">
        <w:rPr>
          <w:color w:val="000000" w:themeColor="text1"/>
        </w:rPr>
        <w:t xml:space="preserve">A separate CBD-associated mechanism operates through </w:t>
      </w:r>
      <w:proofErr w:type="spellStart"/>
      <w:r w:rsidRPr="0090016E">
        <w:rPr>
          <w:color w:val="000000" w:themeColor="text1"/>
        </w:rPr>
        <w:t>PPARγ</w:t>
      </w:r>
      <w:proofErr w:type="spellEnd"/>
      <w:r w:rsidRPr="0090016E">
        <w:rPr>
          <w:color w:val="000000" w:themeColor="text1"/>
        </w:rPr>
        <w:t xml:space="preserve">-dependent inhibition of the NLRP3 inflammasome, in which CBD attenuates lipopolysaccharide-induced NLRP3 and ASC speck formation, caspase-1 activation, and interleukin-1β release, an effect only partially reversed by CB2 or </w:t>
      </w:r>
      <w:proofErr w:type="spellStart"/>
      <w:r w:rsidRPr="0090016E">
        <w:rPr>
          <w:color w:val="000000" w:themeColor="text1"/>
        </w:rPr>
        <w:t>PPARγ</w:t>
      </w:r>
      <w:proofErr w:type="spellEnd"/>
      <w:r w:rsidRPr="0090016E">
        <w:rPr>
          <w:color w:val="000000" w:themeColor="text1"/>
        </w:rPr>
        <w:t xml:space="preserve"> antagonism individually, consistent with parallel and partially redundant CB2- and </w:t>
      </w:r>
      <w:proofErr w:type="spellStart"/>
      <w:r w:rsidRPr="0090016E">
        <w:rPr>
          <w:color w:val="000000" w:themeColor="text1"/>
        </w:rPr>
        <w:t>PPARγ</w:t>
      </w:r>
      <w:proofErr w:type="spellEnd"/>
      <w:r w:rsidRPr="0090016E">
        <w:rPr>
          <w:color w:val="000000" w:themeColor="text1"/>
        </w:rPr>
        <w:t>-dependent routes converging on inflammasome suppression (Nagarkatti et al., 2009).</w:t>
      </w:r>
    </w:p>
    <w:p w14:paraId="4A30B698" w14:textId="77777777" w:rsidR="005749C0" w:rsidRPr="0090016E" w:rsidRDefault="00000000" w:rsidP="00BB010B">
      <w:pPr>
        <w:spacing w:before="100" w:beforeAutospacing="1" w:after="100" w:afterAutospacing="1"/>
        <w:jc w:val="both"/>
        <w:rPr>
          <w:color w:val="000000" w:themeColor="text1"/>
        </w:rPr>
      </w:pPr>
      <w:r w:rsidRPr="0090016E">
        <w:rPr>
          <w:color w:val="000000" w:themeColor="text1"/>
        </w:rPr>
        <w:lastRenderedPageBreak/>
        <w:t>THC exerts a distinct and quantitatively substantial effect on the myeloid compartment through rapid mobilisation of CD11b+Gr-1+ myeloid-derived suppressor cells, which express functional arginase and possess potent immunosuppressive activity against T-cell proliferation in vitro and in vivo. This induction is accompanied by a marked increase in granulocyte colony-stimulating factor, and antibody neutralisation of granulocyte colony-stimulating factor abolishes THC-induced myeloid-derived suppressor cell mobilisation; the effect persists in Toll-like receptor 4 mutant mice, indicating a pathway independent of lipopolysaccharide-sensing machinery (Hegde et al., 2010). The epigenetic mechanism sustaining the suppressive phenotype of these cells, involving promoter hypomethylation at STAT3 and arginase-1 and consequent S100A8-dependent amplification of suppressive capacity, has been described in Section 4 (Sido et al., 2015). Myeloid-derived suppressor cell induction by THC has since been documented in models of staphylococcal enterotoxin B-induced acute lung injury, where it contributes, alongside regulatory T-cell induction, to protection from an otherwise lethal cytokine storm (Rao et al., 2015).</w:t>
      </w:r>
    </w:p>
    <w:p w14:paraId="49D9BD69" w14:textId="77777777" w:rsidR="005749C0" w:rsidRPr="0090016E" w:rsidRDefault="00000000" w:rsidP="00BB010B">
      <w:pPr>
        <w:spacing w:before="100" w:beforeAutospacing="1" w:after="100" w:afterAutospacing="1"/>
        <w:jc w:val="both"/>
        <w:rPr>
          <w:color w:val="000000" w:themeColor="text1"/>
        </w:rPr>
      </w:pPr>
      <w:r w:rsidRPr="0090016E">
        <w:rPr>
          <w:color w:val="000000" w:themeColor="text1"/>
        </w:rPr>
        <w:t>Neutrophil function is regulated by endocannabinoids at the mucosal surface through a mechanism with direct relevance to intestinal inflammation. Intestinal epithelial cells constitutively secrete N-acyl ethanolamine-type endocannabinoids into the gut lumen via the multidrug resistance transporter P-glycoprotein, and these luminal endocannabinoids act through the CB2 receptor on neutrophils to restrain transepithelial migration; knockdown or pharmacological inhibition of P-glycoprotein reduces luminal endocannabinoid secretion and increases neutrophil transmigration both in vitro and in vivo, while CB2-deficient mice show increased pathology and neutrophil influx in models of acute intestinal inflammation (Szabady et al., 2018). Notably, anandamide, a relatively weak CB2 agonist, mediates this inhibitory effect, whereas 2-arachidonoylglycerol, a full CB2 agonist, does not, indicating that the specific chemical identity of the endocannabinoid, and not simply its receptor affinity, determines the functional outcome in this system (</w:t>
      </w:r>
      <w:proofErr w:type="spellStart"/>
      <w:r w:rsidRPr="0090016E">
        <w:rPr>
          <w:color w:val="000000" w:themeColor="text1"/>
        </w:rPr>
        <w:t>Cuddihey</w:t>
      </w:r>
      <w:proofErr w:type="spellEnd"/>
      <w:r w:rsidRPr="0090016E">
        <w:rPr>
          <w:color w:val="000000" w:themeColor="text1"/>
        </w:rPr>
        <w:t xml:space="preserve"> et al., 2022). GPR55 adds a further layer of regulation at the neutrophil surface, where its activation potentiates CB2-mediated chemotaxis while dampening degranulation and reactive oxygen species generation (</w:t>
      </w:r>
      <w:proofErr w:type="spellStart"/>
      <w:r w:rsidRPr="0090016E">
        <w:rPr>
          <w:color w:val="000000" w:themeColor="text1"/>
        </w:rPr>
        <w:t>Balenga</w:t>
      </w:r>
      <w:proofErr w:type="spellEnd"/>
      <w:r w:rsidRPr="0090016E">
        <w:rPr>
          <w:color w:val="000000" w:themeColor="text1"/>
        </w:rPr>
        <w:t xml:space="preserve"> et al., 2011).</w:t>
      </w:r>
    </w:p>
    <w:p w14:paraId="414436F7" w14:textId="77777777" w:rsidR="005749C0" w:rsidRPr="0090016E" w:rsidRDefault="00000000" w:rsidP="00BB010B">
      <w:pPr>
        <w:spacing w:before="100" w:beforeAutospacing="1" w:after="100" w:afterAutospacing="1"/>
        <w:jc w:val="both"/>
        <w:rPr>
          <w:color w:val="000000" w:themeColor="text1"/>
        </w:rPr>
      </w:pPr>
      <w:r w:rsidRPr="0090016E">
        <w:rPr>
          <w:color w:val="000000" w:themeColor="text1"/>
        </w:rPr>
        <w:t>Natural killer cell cytolytic activity is suppressed by THC and its hydroxylated metabolite 11-hydroxy-Δ9-tetrahydrocannabinol in a dose-dependent manner in both cloned natural killer cell lines and freshly isolated murine splenocytes, without a corresponding reduction in cell viability, indicating a functional rather than cytotoxic suppression that acts directly on the natural killer cell population rather than through an intermediary accessory cell (Kawakami et al., 1988). This early observation, predating identification of the cannabinoid receptors, remains one of the most direct demonstrations that cannabinoid exposure can compromise an innate effector function relevant to antiviral and antitumour surveillance, and it underlies much of the subsequent concern regarding cannabis use and susceptibility to viral infection (</w:t>
      </w:r>
      <w:proofErr w:type="spellStart"/>
      <w:r w:rsidRPr="0090016E">
        <w:rPr>
          <w:color w:val="000000" w:themeColor="text1"/>
        </w:rPr>
        <w:t>Maggirwar</w:t>
      </w:r>
      <w:proofErr w:type="spellEnd"/>
      <w:r w:rsidRPr="0090016E">
        <w:rPr>
          <w:color w:val="000000" w:themeColor="text1"/>
        </w:rPr>
        <w:t xml:space="preserve"> &amp; Khalsa, 2021).</w:t>
      </w:r>
    </w:p>
    <w:p w14:paraId="70FD890E" w14:textId="77777777" w:rsidR="005749C0" w:rsidRPr="0090016E" w:rsidRDefault="00000000" w:rsidP="00BB010B">
      <w:pPr>
        <w:spacing w:before="100" w:beforeAutospacing="1" w:after="100" w:afterAutospacing="1"/>
        <w:jc w:val="both"/>
        <w:rPr>
          <w:color w:val="000000" w:themeColor="text1"/>
        </w:rPr>
      </w:pPr>
      <w:r w:rsidRPr="0090016E">
        <w:rPr>
          <w:color w:val="000000" w:themeColor="text1"/>
        </w:rPr>
        <w:t>Dendritic cell differentiation and antigen-presenting function are impaired by THC through mechanisms operating at both the differentiation and mature-cell stages. THC exposure during monocyte-to-dendritic-cell differentiation, mediated in part through CB2-specific inhibition of forskolin-induced cyclic adenosine monophosphate generation, produces a concentration-dependent reduction in surface CD11c, HLA-DR, and the costimulatory molecules CD40 and CD86, together with impaired antigen uptake and reduced interleukin-12 production, collectively yielding dendritic cells with diminished capacity to activate T cells. In fully differentiated murine bone marrow-derived dendritic cells, THC and anandamide induce apoptosis through the combined engagement of CB1 and CB2, coupling both death-receptor and mitochondrial apoptotic pathways in an NF-</w:t>
      </w:r>
      <w:proofErr w:type="spellStart"/>
      <w:r w:rsidRPr="0090016E">
        <w:rPr>
          <w:color w:val="000000" w:themeColor="text1"/>
        </w:rPr>
        <w:t>κB</w:t>
      </w:r>
      <w:proofErr w:type="spellEnd"/>
      <w:r w:rsidRPr="0090016E">
        <w:rPr>
          <w:color w:val="000000" w:themeColor="text1"/>
        </w:rPr>
        <w:t xml:space="preserve">-dependent manner, providing a further mechanism by which cannabinoid </w:t>
      </w:r>
      <w:r w:rsidRPr="0090016E">
        <w:rPr>
          <w:color w:val="000000" w:themeColor="text1"/>
        </w:rPr>
        <w:lastRenderedPageBreak/>
        <w:t>exposure limits the antigen-presenting capacity of the innate immune compartment at its interface with adaptive immunity (Do et al., 2004).</w:t>
      </w:r>
    </w:p>
    <w:p w14:paraId="71F99309" w14:textId="7C356A87" w:rsidR="004F03CF" w:rsidRPr="0090016E" w:rsidRDefault="004F03CF" w:rsidP="00BB010B">
      <w:pPr>
        <w:spacing w:before="100" w:beforeAutospacing="1" w:after="100" w:afterAutospacing="1"/>
        <w:jc w:val="both"/>
        <w:rPr>
          <w:color w:val="000000" w:themeColor="text1"/>
        </w:rPr>
      </w:pPr>
      <w:r w:rsidRPr="0090016E">
        <w:rPr>
          <w:color w:val="000000" w:themeColor="text1"/>
        </w:rPr>
        <w:t>The mechanistic accounts of macrophage, myeloid-derived suppressor cell, neutrophil, natural killer cell, and dendritic cell regulation presented above, together with the T- and B-lymphocyte mechanisms detailed in Section 6, are drawn together in Table 2, which maps each immune cell lineage to the specific cannabinoid ligand, molecular mechanism, and functional outcome reported in the primary literature. Presenting these findings in a single cross-lineage table makes explicit both the recurring centrality of CB2-dependent apoptotic and suppressive signalling and its exceptions, such as the receptor-independent action of THC on macrophage differentiation, that are easily lost when each cell type is considered in isolation.</w:t>
      </w:r>
    </w:p>
    <w:p w14:paraId="497FCA6F" w14:textId="77777777" w:rsidR="005749C0" w:rsidRPr="0090016E" w:rsidRDefault="00000000" w:rsidP="00BB010B">
      <w:pPr>
        <w:spacing w:before="100" w:beforeAutospacing="1" w:after="100" w:afterAutospacing="1"/>
        <w:rPr>
          <w:color w:val="000000" w:themeColor="text1"/>
        </w:rPr>
      </w:pPr>
      <w:r w:rsidRPr="0090016E">
        <w:rPr>
          <w:b/>
          <w:bCs/>
          <w:color w:val="000000" w:themeColor="text1"/>
        </w:rPr>
        <w:t>Table 2. Representative mechanistic evidence for cannabinoid modulation of immune cell function, by lineage</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287"/>
        <w:gridCol w:w="1609"/>
        <w:gridCol w:w="2300"/>
        <w:gridCol w:w="2087"/>
        <w:gridCol w:w="1789"/>
      </w:tblGrid>
      <w:tr w:rsidR="005749C0" w:rsidRPr="0090016E" w14:paraId="5AAF7A5A" w14:textId="77777777" w:rsidTr="00F867AF">
        <w:trPr>
          <w:tblHeader/>
        </w:trPr>
        <w:tc>
          <w:tcPr>
            <w:tcW w:w="1500" w:type="dxa"/>
            <w:shd w:val="clear" w:color="auto" w:fill="D9D9D9"/>
            <w:vAlign w:val="center"/>
          </w:tcPr>
          <w:p w14:paraId="4685D0FA" w14:textId="77777777" w:rsidR="005749C0" w:rsidRPr="0090016E" w:rsidRDefault="00000000" w:rsidP="00BB010B">
            <w:pPr>
              <w:spacing w:before="100" w:beforeAutospacing="1" w:after="100" w:afterAutospacing="1"/>
              <w:rPr>
                <w:color w:val="000000" w:themeColor="text1"/>
              </w:rPr>
            </w:pPr>
            <w:r w:rsidRPr="0090016E">
              <w:rPr>
                <w:b/>
                <w:bCs/>
                <w:color w:val="000000" w:themeColor="text1"/>
                <w:sz w:val="18"/>
                <w:szCs w:val="18"/>
              </w:rPr>
              <w:t>Immune cell type</w:t>
            </w:r>
          </w:p>
        </w:tc>
        <w:tc>
          <w:tcPr>
            <w:tcW w:w="1900" w:type="dxa"/>
            <w:shd w:val="clear" w:color="auto" w:fill="D9D9D9"/>
            <w:vAlign w:val="center"/>
          </w:tcPr>
          <w:p w14:paraId="16AED9B2" w14:textId="77777777" w:rsidR="005749C0" w:rsidRPr="0090016E" w:rsidRDefault="00000000" w:rsidP="00BB010B">
            <w:pPr>
              <w:spacing w:before="100" w:beforeAutospacing="1" w:after="100" w:afterAutospacing="1"/>
              <w:rPr>
                <w:color w:val="000000" w:themeColor="text1"/>
              </w:rPr>
            </w:pPr>
            <w:r w:rsidRPr="0090016E">
              <w:rPr>
                <w:b/>
                <w:bCs/>
                <w:color w:val="000000" w:themeColor="text1"/>
                <w:sz w:val="18"/>
                <w:szCs w:val="18"/>
              </w:rPr>
              <w:t>Cannabinoid / ligand</w:t>
            </w:r>
          </w:p>
        </w:tc>
        <w:tc>
          <w:tcPr>
            <w:tcW w:w="2900" w:type="dxa"/>
            <w:shd w:val="clear" w:color="auto" w:fill="D9D9D9"/>
            <w:vAlign w:val="center"/>
          </w:tcPr>
          <w:p w14:paraId="4CE23118" w14:textId="77777777" w:rsidR="005749C0" w:rsidRPr="0090016E" w:rsidRDefault="00000000" w:rsidP="00BB010B">
            <w:pPr>
              <w:spacing w:before="100" w:beforeAutospacing="1" w:after="100" w:afterAutospacing="1"/>
              <w:rPr>
                <w:color w:val="000000" w:themeColor="text1"/>
              </w:rPr>
            </w:pPr>
            <w:r w:rsidRPr="0090016E">
              <w:rPr>
                <w:b/>
                <w:bCs/>
                <w:color w:val="000000" w:themeColor="text1"/>
                <w:sz w:val="18"/>
                <w:szCs w:val="18"/>
              </w:rPr>
              <w:t>Principal mechanism</w:t>
            </w:r>
          </w:p>
        </w:tc>
        <w:tc>
          <w:tcPr>
            <w:tcW w:w="2500" w:type="dxa"/>
            <w:shd w:val="clear" w:color="auto" w:fill="D9D9D9"/>
            <w:vAlign w:val="center"/>
          </w:tcPr>
          <w:p w14:paraId="1C823EBC" w14:textId="77777777" w:rsidR="005749C0" w:rsidRPr="0090016E" w:rsidRDefault="00000000" w:rsidP="00BB010B">
            <w:pPr>
              <w:spacing w:before="100" w:beforeAutospacing="1" w:after="100" w:afterAutospacing="1"/>
              <w:rPr>
                <w:color w:val="000000" w:themeColor="text1"/>
              </w:rPr>
            </w:pPr>
            <w:r w:rsidRPr="0090016E">
              <w:rPr>
                <w:b/>
                <w:bCs/>
                <w:color w:val="000000" w:themeColor="text1"/>
                <w:sz w:val="18"/>
                <w:szCs w:val="18"/>
              </w:rPr>
              <w:t>Functional outcome</w:t>
            </w:r>
          </w:p>
        </w:tc>
        <w:tc>
          <w:tcPr>
            <w:tcW w:w="2300" w:type="dxa"/>
            <w:shd w:val="clear" w:color="auto" w:fill="D9D9D9"/>
            <w:vAlign w:val="center"/>
          </w:tcPr>
          <w:p w14:paraId="4BAD840B" w14:textId="77777777" w:rsidR="005749C0" w:rsidRPr="0090016E" w:rsidRDefault="00000000" w:rsidP="00BB010B">
            <w:pPr>
              <w:spacing w:before="100" w:beforeAutospacing="1" w:after="100" w:afterAutospacing="1"/>
              <w:rPr>
                <w:color w:val="000000" w:themeColor="text1"/>
              </w:rPr>
            </w:pPr>
            <w:r w:rsidRPr="0090016E">
              <w:rPr>
                <w:b/>
                <w:bCs/>
                <w:color w:val="000000" w:themeColor="text1"/>
                <w:sz w:val="18"/>
                <w:szCs w:val="18"/>
              </w:rPr>
              <w:t>Supporting references</w:t>
            </w:r>
          </w:p>
        </w:tc>
      </w:tr>
      <w:tr w:rsidR="005749C0" w:rsidRPr="0090016E" w14:paraId="1F4E85A9" w14:textId="77777777" w:rsidTr="00F867AF">
        <w:tc>
          <w:tcPr>
            <w:tcW w:w="1500" w:type="dxa"/>
            <w:vAlign w:val="center"/>
          </w:tcPr>
          <w:p w14:paraId="18F5BF2A" w14:textId="77777777" w:rsidR="005749C0" w:rsidRPr="0090016E" w:rsidRDefault="00000000" w:rsidP="00BB010B">
            <w:pPr>
              <w:spacing w:before="100" w:beforeAutospacing="1" w:after="100" w:afterAutospacing="1"/>
              <w:rPr>
                <w:color w:val="000000" w:themeColor="text1"/>
              </w:rPr>
            </w:pPr>
            <w:r w:rsidRPr="0090016E">
              <w:rPr>
                <w:color w:val="000000" w:themeColor="text1"/>
                <w:sz w:val="18"/>
                <w:szCs w:val="18"/>
              </w:rPr>
              <w:t>Macrophage</w:t>
            </w:r>
          </w:p>
        </w:tc>
        <w:tc>
          <w:tcPr>
            <w:tcW w:w="1900" w:type="dxa"/>
            <w:vAlign w:val="center"/>
          </w:tcPr>
          <w:p w14:paraId="26B37A63" w14:textId="77777777" w:rsidR="005749C0" w:rsidRPr="0090016E" w:rsidRDefault="00000000" w:rsidP="00BB010B">
            <w:pPr>
              <w:spacing w:before="100" w:beforeAutospacing="1" w:after="100" w:afterAutospacing="1"/>
              <w:rPr>
                <w:color w:val="000000" w:themeColor="text1"/>
              </w:rPr>
            </w:pPr>
            <w:r w:rsidRPr="0090016E">
              <w:rPr>
                <w:color w:val="000000" w:themeColor="text1"/>
                <w:sz w:val="18"/>
                <w:szCs w:val="18"/>
              </w:rPr>
              <w:t>THC (differentiation stage)</w:t>
            </w:r>
          </w:p>
        </w:tc>
        <w:tc>
          <w:tcPr>
            <w:tcW w:w="2900" w:type="dxa"/>
            <w:vAlign w:val="center"/>
          </w:tcPr>
          <w:p w14:paraId="4E6AF06C" w14:textId="77777777" w:rsidR="005749C0" w:rsidRPr="0090016E" w:rsidRDefault="00000000" w:rsidP="00BB010B">
            <w:pPr>
              <w:spacing w:before="100" w:beforeAutospacing="1" w:after="100" w:afterAutospacing="1"/>
              <w:rPr>
                <w:color w:val="000000" w:themeColor="text1"/>
              </w:rPr>
            </w:pPr>
            <w:r w:rsidRPr="0090016E">
              <w:rPr>
                <w:color w:val="000000" w:themeColor="text1"/>
                <w:sz w:val="18"/>
                <w:szCs w:val="18"/>
              </w:rPr>
              <w:t>Receptor-independent NRF2-ARE induction; altered iron handling; ROS suppression</w:t>
            </w:r>
          </w:p>
        </w:tc>
        <w:tc>
          <w:tcPr>
            <w:tcW w:w="2500" w:type="dxa"/>
            <w:vAlign w:val="center"/>
          </w:tcPr>
          <w:p w14:paraId="77962B82" w14:textId="77777777" w:rsidR="005749C0" w:rsidRPr="0090016E" w:rsidRDefault="00000000" w:rsidP="00BB010B">
            <w:pPr>
              <w:spacing w:before="100" w:beforeAutospacing="1" w:after="100" w:afterAutospacing="1"/>
              <w:rPr>
                <w:color w:val="000000" w:themeColor="text1"/>
              </w:rPr>
            </w:pPr>
            <w:r w:rsidRPr="0090016E">
              <w:rPr>
                <w:color w:val="000000" w:themeColor="text1"/>
                <w:sz w:val="18"/>
                <w:szCs w:val="18"/>
              </w:rPr>
              <w:t>Blocked acquisition of mature macrophage phenotype</w:t>
            </w:r>
          </w:p>
        </w:tc>
        <w:tc>
          <w:tcPr>
            <w:tcW w:w="2300" w:type="dxa"/>
            <w:vAlign w:val="center"/>
          </w:tcPr>
          <w:p w14:paraId="571016FB" w14:textId="77777777" w:rsidR="005749C0" w:rsidRPr="0090016E" w:rsidRDefault="00000000" w:rsidP="00BB010B">
            <w:pPr>
              <w:spacing w:before="100" w:beforeAutospacing="1" w:after="100" w:afterAutospacing="1"/>
              <w:rPr>
                <w:color w:val="000000" w:themeColor="text1"/>
              </w:rPr>
            </w:pPr>
            <w:r w:rsidRPr="0090016E">
              <w:rPr>
                <w:color w:val="000000" w:themeColor="text1"/>
                <w:sz w:val="18"/>
                <w:szCs w:val="18"/>
              </w:rPr>
              <w:t>(receptor-independent mechanism reported in bone marrow-derived macrophage models)</w:t>
            </w:r>
          </w:p>
        </w:tc>
      </w:tr>
      <w:tr w:rsidR="005749C0" w:rsidRPr="0090016E" w14:paraId="49ADF81F" w14:textId="77777777" w:rsidTr="00F867AF">
        <w:tc>
          <w:tcPr>
            <w:tcW w:w="1500" w:type="dxa"/>
            <w:vAlign w:val="center"/>
          </w:tcPr>
          <w:p w14:paraId="226A5C25" w14:textId="77777777" w:rsidR="005749C0" w:rsidRPr="0090016E" w:rsidRDefault="00000000" w:rsidP="00BB010B">
            <w:pPr>
              <w:spacing w:before="100" w:beforeAutospacing="1" w:after="100" w:afterAutospacing="1"/>
              <w:rPr>
                <w:color w:val="000000" w:themeColor="text1"/>
              </w:rPr>
            </w:pPr>
            <w:r w:rsidRPr="0090016E">
              <w:rPr>
                <w:color w:val="000000" w:themeColor="text1"/>
                <w:sz w:val="18"/>
                <w:szCs w:val="18"/>
              </w:rPr>
              <w:t>Macrophage</w:t>
            </w:r>
          </w:p>
        </w:tc>
        <w:tc>
          <w:tcPr>
            <w:tcW w:w="1900" w:type="dxa"/>
            <w:vAlign w:val="center"/>
          </w:tcPr>
          <w:p w14:paraId="655DB04F" w14:textId="77777777" w:rsidR="005749C0" w:rsidRPr="0090016E" w:rsidRDefault="00000000" w:rsidP="00BB010B">
            <w:pPr>
              <w:spacing w:before="100" w:beforeAutospacing="1" w:after="100" w:afterAutospacing="1"/>
              <w:rPr>
                <w:color w:val="000000" w:themeColor="text1"/>
              </w:rPr>
            </w:pPr>
            <w:r w:rsidRPr="0090016E">
              <w:rPr>
                <w:color w:val="000000" w:themeColor="text1"/>
                <w:sz w:val="18"/>
                <w:szCs w:val="18"/>
              </w:rPr>
              <w:t>CBD (mature, polarised cells)</w:t>
            </w:r>
          </w:p>
        </w:tc>
        <w:tc>
          <w:tcPr>
            <w:tcW w:w="2900" w:type="dxa"/>
            <w:vAlign w:val="center"/>
          </w:tcPr>
          <w:p w14:paraId="5641C1BB" w14:textId="77777777" w:rsidR="005749C0" w:rsidRPr="0090016E" w:rsidRDefault="00000000" w:rsidP="00BB010B">
            <w:pPr>
              <w:spacing w:before="100" w:beforeAutospacing="1" w:after="100" w:afterAutospacing="1"/>
              <w:rPr>
                <w:color w:val="000000" w:themeColor="text1"/>
              </w:rPr>
            </w:pPr>
            <w:r w:rsidRPr="0090016E">
              <w:rPr>
                <w:color w:val="000000" w:themeColor="text1"/>
                <w:sz w:val="18"/>
                <w:szCs w:val="18"/>
              </w:rPr>
              <w:t xml:space="preserve">PI3K/Akt inhibition; metabolic shift (glycolysis vs. oxidative phosphorylation); </w:t>
            </w:r>
            <w:proofErr w:type="spellStart"/>
            <w:r w:rsidRPr="0090016E">
              <w:rPr>
                <w:color w:val="000000" w:themeColor="text1"/>
                <w:sz w:val="18"/>
                <w:szCs w:val="18"/>
              </w:rPr>
              <w:t>PPARγ</w:t>
            </w:r>
            <w:proofErr w:type="spellEnd"/>
            <w:r w:rsidRPr="0090016E">
              <w:rPr>
                <w:color w:val="000000" w:themeColor="text1"/>
                <w:sz w:val="18"/>
                <w:szCs w:val="18"/>
              </w:rPr>
              <w:t>-NF-</w:t>
            </w:r>
            <w:proofErr w:type="spellStart"/>
            <w:r w:rsidRPr="0090016E">
              <w:rPr>
                <w:color w:val="000000" w:themeColor="text1"/>
                <w:sz w:val="18"/>
                <w:szCs w:val="18"/>
              </w:rPr>
              <w:t>κB</w:t>
            </w:r>
            <w:proofErr w:type="spellEnd"/>
            <w:r w:rsidRPr="0090016E">
              <w:rPr>
                <w:color w:val="000000" w:themeColor="text1"/>
                <w:sz w:val="18"/>
                <w:szCs w:val="18"/>
              </w:rPr>
              <w:t xml:space="preserve"> axis</w:t>
            </w:r>
          </w:p>
        </w:tc>
        <w:tc>
          <w:tcPr>
            <w:tcW w:w="2500" w:type="dxa"/>
            <w:vAlign w:val="center"/>
          </w:tcPr>
          <w:p w14:paraId="33B20684" w14:textId="77777777" w:rsidR="005749C0" w:rsidRPr="0090016E" w:rsidRDefault="00000000" w:rsidP="00BB010B">
            <w:pPr>
              <w:spacing w:before="100" w:beforeAutospacing="1" w:after="100" w:afterAutospacing="1"/>
              <w:rPr>
                <w:color w:val="000000" w:themeColor="text1"/>
              </w:rPr>
            </w:pPr>
            <w:r w:rsidRPr="0090016E">
              <w:rPr>
                <w:color w:val="000000" w:themeColor="text1"/>
                <w:sz w:val="18"/>
                <w:szCs w:val="18"/>
              </w:rPr>
              <w:t>Altered M1/M2 marker expression; reduced NLRP3 inflammasome activity</w:t>
            </w:r>
          </w:p>
        </w:tc>
        <w:tc>
          <w:tcPr>
            <w:tcW w:w="2300" w:type="dxa"/>
            <w:vAlign w:val="center"/>
          </w:tcPr>
          <w:p w14:paraId="4FB0B8CA" w14:textId="77777777" w:rsidR="005749C0" w:rsidRPr="0090016E" w:rsidRDefault="00000000" w:rsidP="00BB010B">
            <w:pPr>
              <w:spacing w:before="100" w:beforeAutospacing="1" w:after="100" w:afterAutospacing="1"/>
              <w:rPr>
                <w:color w:val="000000" w:themeColor="text1"/>
              </w:rPr>
            </w:pPr>
            <w:r w:rsidRPr="0090016E">
              <w:rPr>
                <w:color w:val="000000" w:themeColor="text1"/>
                <w:sz w:val="18"/>
                <w:szCs w:val="18"/>
              </w:rPr>
              <w:t>Nagarkatti et al., 2009</w:t>
            </w:r>
          </w:p>
        </w:tc>
      </w:tr>
      <w:tr w:rsidR="005749C0" w:rsidRPr="0090016E" w14:paraId="58447ED0" w14:textId="77777777" w:rsidTr="00F867AF">
        <w:tc>
          <w:tcPr>
            <w:tcW w:w="1500" w:type="dxa"/>
            <w:vAlign w:val="center"/>
          </w:tcPr>
          <w:p w14:paraId="321495D4" w14:textId="77777777" w:rsidR="005749C0" w:rsidRPr="0090016E" w:rsidRDefault="00000000" w:rsidP="00BB010B">
            <w:pPr>
              <w:spacing w:before="100" w:beforeAutospacing="1" w:after="100" w:afterAutospacing="1"/>
              <w:rPr>
                <w:color w:val="000000" w:themeColor="text1"/>
              </w:rPr>
            </w:pPr>
            <w:r w:rsidRPr="0090016E">
              <w:rPr>
                <w:color w:val="000000" w:themeColor="text1"/>
                <w:sz w:val="18"/>
                <w:szCs w:val="18"/>
              </w:rPr>
              <w:t>Myeloid-derived suppressor cell</w:t>
            </w:r>
          </w:p>
        </w:tc>
        <w:tc>
          <w:tcPr>
            <w:tcW w:w="1900" w:type="dxa"/>
            <w:vAlign w:val="center"/>
          </w:tcPr>
          <w:p w14:paraId="5AC4B450" w14:textId="77777777" w:rsidR="005749C0" w:rsidRPr="0090016E" w:rsidRDefault="00000000" w:rsidP="00BB010B">
            <w:pPr>
              <w:spacing w:before="100" w:beforeAutospacing="1" w:after="100" w:afterAutospacing="1"/>
              <w:rPr>
                <w:color w:val="000000" w:themeColor="text1"/>
              </w:rPr>
            </w:pPr>
            <w:r w:rsidRPr="0090016E">
              <w:rPr>
                <w:color w:val="000000" w:themeColor="text1"/>
                <w:sz w:val="18"/>
                <w:szCs w:val="18"/>
              </w:rPr>
              <w:t>THC</w:t>
            </w:r>
          </w:p>
        </w:tc>
        <w:tc>
          <w:tcPr>
            <w:tcW w:w="2900" w:type="dxa"/>
            <w:vAlign w:val="center"/>
          </w:tcPr>
          <w:p w14:paraId="47465A26" w14:textId="77777777" w:rsidR="005749C0" w:rsidRPr="0090016E" w:rsidRDefault="00000000" w:rsidP="00BB010B">
            <w:pPr>
              <w:spacing w:before="100" w:beforeAutospacing="1" w:after="100" w:afterAutospacing="1"/>
              <w:rPr>
                <w:color w:val="000000" w:themeColor="text1"/>
              </w:rPr>
            </w:pPr>
            <w:r w:rsidRPr="0090016E">
              <w:rPr>
                <w:color w:val="000000" w:themeColor="text1"/>
                <w:sz w:val="18"/>
                <w:szCs w:val="18"/>
              </w:rPr>
              <w:t>G-CSF-dependent mobilisation; STAT3/arginase-1 promoter hypomethylation; S100A8 amplification</w:t>
            </w:r>
          </w:p>
        </w:tc>
        <w:tc>
          <w:tcPr>
            <w:tcW w:w="2500" w:type="dxa"/>
            <w:vAlign w:val="center"/>
          </w:tcPr>
          <w:p w14:paraId="70FD2BA9" w14:textId="77777777" w:rsidR="005749C0" w:rsidRPr="0090016E" w:rsidRDefault="00000000" w:rsidP="00BB010B">
            <w:pPr>
              <w:spacing w:before="100" w:beforeAutospacing="1" w:after="100" w:afterAutospacing="1"/>
              <w:rPr>
                <w:color w:val="000000" w:themeColor="text1"/>
              </w:rPr>
            </w:pPr>
            <w:r w:rsidRPr="0090016E">
              <w:rPr>
                <w:color w:val="000000" w:themeColor="text1"/>
                <w:sz w:val="18"/>
                <w:szCs w:val="18"/>
              </w:rPr>
              <w:t>Massive expansion of arginase-expressing suppressor cells; T-cell suppression</w:t>
            </w:r>
          </w:p>
        </w:tc>
        <w:tc>
          <w:tcPr>
            <w:tcW w:w="2300" w:type="dxa"/>
            <w:vAlign w:val="center"/>
          </w:tcPr>
          <w:p w14:paraId="3B80D3A7" w14:textId="77777777" w:rsidR="005749C0" w:rsidRPr="0090016E" w:rsidRDefault="00000000" w:rsidP="00BB010B">
            <w:pPr>
              <w:spacing w:before="100" w:beforeAutospacing="1" w:after="100" w:afterAutospacing="1"/>
              <w:rPr>
                <w:color w:val="000000" w:themeColor="text1"/>
              </w:rPr>
            </w:pPr>
            <w:r w:rsidRPr="0090016E">
              <w:rPr>
                <w:color w:val="000000" w:themeColor="text1"/>
                <w:sz w:val="18"/>
                <w:szCs w:val="18"/>
              </w:rPr>
              <w:t>Hegde et al., 2010; Sido et al., 2015; Rao et al., 2015</w:t>
            </w:r>
          </w:p>
        </w:tc>
      </w:tr>
      <w:tr w:rsidR="005749C0" w:rsidRPr="0090016E" w14:paraId="31C0D206" w14:textId="77777777" w:rsidTr="00F867AF">
        <w:tc>
          <w:tcPr>
            <w:tcW w:w="1500" w:type="dxa"/>
            <w:vAlign w:val="center"/>
          </w:tcPr>
          <w:p w14:paraId="56C1E6E6" w14:textId="77777777" w:rsidR="005749C0" w:rsidRPr="0090016E" w:rsidRDefault="00000000" w:rsidP="00BB010B">
            <w:pPr>
              <w:spacing w:before="100" w:beforeAutospacing="1" w:after="100" w:afterAutospacing="1"/>
              <w:rPr>
                <w:color w:val="000000" w:themeColor="text1"/>
              </w:rPr>
            </w:pPr>
            <w:r w:rsidRPr="0090016E">
              <w:rPr>
                <w:color w:val="000000" w:themeColor="text1"/>
                <w:sz w:val="18"/>
                <w:szCs w:val="18"/>
              </w:rPr>
              <w:t>Neutrophil</w:t>
            </w:r>
          </w:p>
        </w:tc>
        <w:tc>
          <w:tcPr>
            <w:tcW w:w="1900" w:type="dxa"/>
            <w:vAlign w:val="center"/>
          </w:tcPr>
          <w:p w14:paraId="67C3F0A0" w14:textId="77777777" w:rsidR="005749C0" w:rsidRPr="0090016E" w:rsidRDefault="00000000" w:rsidP="00BB010B">
            <w:pPr>
              <w:spacing w:before="100" w:beforeAutospacing="1" w:after="100" w:afterAutospacing="1"/>
              <w:rPr>
                <w:color w:val="000000" w:themeColor="text1"/>
              </w:rPr>
            </w:pPr>
            <w:r w:rsidRPr="0090016E">
              <w:rPr>
                <w:color w:val="000000" w:themeColor="text1"/>
                <w:sz w:val="18"/>
                <w:szCs w:val="18"/>
              </w:rPr>
              <w:t>Anandamide (luminal, P-</w:t>
            </w:r>
            <w:proofErr w:type="spellStart"/>
            <w:r w:rsidRPr="0090016E">
              <w:rPr>
                <w:color w:val="000000" w:themeColor="text1"/>
                <w:sz w:val="18"/>
                <w:szCs w:val="18"/>
              </w:rPr>
              <w:t>gp</w:t>
            </w:r>
            <w:proofErr w:type="spellEnd"/>
            <w:r w:rsidRPr="0090016E">
              <w:rPr>
                <w:color w:val="000000" w:themeColor="text1"/>
                <w:sz w:val="18"/>
                <w:szCs w:val="18"/>
              </w:rPr>
              <w:t>-exported)</w:t>
            </w:r>
          </w:p>
        </w:tc>
        <w:tc>
          <w:tcPr>
            <w:tcW w:w="2900" w:type="dxa"/>
            <w:vAlign w:val="center"/>
          </w:tcPr>
          <w:p w14:paraId="62F3199E" w14:textId="77777777" w:rsidR="005749C0" w:rsidRPr="0090016E" w:rsidRDefault="00000000" w:rsidP="00BB010B">
            <w:pPr>
              <w:spacing w:before="100" w:beforeAutospacing="1" w:after="100" w:afterAutospacing="1"/>
              <w:rPr>
                <w:color w:val="000000" w:themeColor="text1"/>
              </w:rPr>
            </w:pPr>
            <w:r w:rsidRPr="0090016E">
              <w:rPr>
                <w:color w:val="000000" w:themeColor="text1"/>
                <w:sz w:val="18"/>
                <w:szCs w:val="18"/>
              </w:rPr>
              <w:t>CB2 engagement; GPR55–CB2 crosstalk</w:t>
            </w:r>
          </w:p>
        </w:tc>
        <w:tc>
          <w:tcPr>
            <w:tcW w:w="2500" w:type="dxa"/>
            <w:vAlign w:val="center"/>
          </w:tcPr>
          <w:p w14:paraId="232AA707" w14:textId="77777777" w:rsidR="005749C0" w:rsidRPr="0090016E" w:rsidRDefault="00000000" w:rsidP="00BB010B">
            <w:pPr>
              <w:spacing w:before="100" w:beforeAutospacing="1" w:after="100" w:afterAutospacing="1"/>
              <w:rPr>
                <w:color w:val="000000" w:themeColor="text1"/>
              </w:rPr>
            </w:pPr>
            <w:r w:rsidRPr="0090016E">
              <w:rPr>
                <w:color w:val="000000" w:themeColor="text1"/>
                <w:sz w:val="18"/>
                <w:szCs w:val="18"/>
              </w:rPr>
              <w:t>Restrained transepithelial migration; reduced degranulation/ROS</w:t>
            </w:r>
          </w:p>
        </w:tc>
        <w:tc>
          <w:tcPr>
            <w:tcW w:w="2300" w:type="dxa"/>
            <w:vAlign w:val="center"/>
          </w:tcPr>
          <w:p w14:paraId="36568F36" w14:textId="77777777" w:rsidR="005749C0" w:rsidRPr="0090016E" w:rsidRDefault="00000000" w:rsidP="00BB010B">
            <w:pPr>
              <w:spacing w:before="100" w:beforeAutospacing="1" w:after="100" w:afterAutospacing="1"/>
              <w:rPr>
                <w:color w:val="000000" w:themeColor="text1"/>
              </w:rPr>
            </w:pPr>
            <w:r w:rsidRPr="0090016E">
              <w:rPr>
                <w:color w:val="000000" w:themeColor="text1"/>
                <w:sz w:val="18"/>
                <w:szCs w:val="18"/>
              </w:rPr>
              <w:t xml:space="preserve">Szabady et al., 2018; </w:t>
            </w:r>
            <w:proofErr w:type="spellStart"/>
            <w:r w:rsidRPr="0090016E">
              <w:rPr>
                <w:color w:val="000000" w:themeColor="text1"/>
                <w:sz w:val="18"/>
                <w:szCs w:val="18"/>
              </w:rPr>
              <w:t>Balenga</w:t>
            </w:r>
            <w:proofErr w:type="spellEnd"/>
            <w:r w:rsidRPr="0090016E">
              <w:rPr>
                <w:color w:val="000000" w:themeColor="text1"/>
                <w:sz w:val="18"/>
                <w:szCs w:val="18"/>
              </w:rPr>
              <w:t xml:space="preserve"> et al., 2011; </w:t>
            </w:r>
            <w:proofErr w:type="spellStart"/>
            <w:r w:rsidRPr="0090016E">
              <w:rPr>
                <w:color w:val="000000" w:themeColor="text1"/>
                <w:sz w:val="18"/>
                <w:szCs w:val="18"/>
              </w:rPr>
              <w:t>Cuddihey</w:t>
            </w:r>
            <w:proofErr w:type="spellEnd"/>
            <w:r w:rsidRPr="0090016E">
              <w:rPr>
                <w:color w:val="000000" w:themeColor="text1"/>
                <w:sz w:val="18"/>
                <w:szCs w:val="18"/>
              </w:rPr>
              <w:t xml:space="preserve"> et al., 2022</w:t>
            </w:r>
          </w:p>
        </w:tc>
      </w:tr>
      <w:tr w:rsidR="005749C0" w:rsidRPr="0090016E" w14:paraId="6820C1AC" w14:textId="77777777" w:rsidTr="00F867AF">
        <w:tc>
          <w:tcPr>
            <w:tcW w:w="1500" w:type="dxa"/>
            <w:vAlign w:val="center"/>
          </w:tcPr>
          <w:p w14:paraId="4D460DFD" w14:textId="77777777" w:rsidR="005749C0" w:rsidRPr="0090016E" w:rsidRDefault="00000000" w:rsidP="00BB010B">
            <w:pPr>
              <w:spacing w:before="100" w:beforeAutospacing="1" w:after="100" w:afterAutospacing="1"/>
              <w:rPr>
                <w:color w:val="000000" w:themeColor="text1"/>
              </w:rPr>
            </w:pPr>
            <w:r w:rsidRPr="0090016E">
              <w:rPr>
                <w:color w:val="000000" w:themeColor="text1"/>
                <w:sz w:val="18"/>
                <w:szCs w:val="18"/>
              </w:rPr>
              <w:t>Natural killer cell</w:t>
            </w:r>
          </w:p>
        </w:tc>
        <w:tc>
          <w:tcPr>
            <w:tcW w:w="1900" w:type="dxa"/>
            <w:vAlign w:val="center"/>
          </w:tcPr>
          <w:p w14:paraId="13938CA3" w14:textId="77777777" w:rsidR="005749C0" w:rsidRPr="0090016E" w:rsidRDefault="00000000" w:rsidP="00BB010B">
            <w:pPr>
              <w:spacing w:before="100" w:beforeAutospacing="1" w:after="100" w:afterAutospacing="1"/>
              <w:rPr>
                <w:color w:val="000000" w:themeColor="text1"/>
              </w:rPr>
            </w:pPr>
            <w:r w:rsidRPr="0090016E">
              <w:rPr>
                <w:color w:val="000000" w:themeColor="text1"/>
                <w:sz w:val="18"/>
                <w:szCs w:val="18"/>
              </w:rPr>
              <w:t>THC, 11-OH-THC</w:t>
            </w:r>
          </w:p>
        </w:tc>
        <w:tc>
          <w:tcPr>
            <w:tcW w:w="2900" w:type="dxa"/>
            <w:vAlign w:val="center"/>
          </w:tcPr>
          <w:p w14:paraId="1E870802" w14:textId="77777777" w:rsidR="005749C0" w:rsidRPr="0090016E" w:rsidRDefault="00000000" w:rsidP="00BB010B">
            <w:pPr>
              <w:spacing w:before="100" w:beforeAutospacing="1" w:after="100" w:afterAutospacing="1"/>
              <w:rPr>
                <w:color w:val="000000" w:themeColor="text1"/>
              </w:rPr>
            </w:pPr>
            <w:r w:rsidRPr="0090016E">
              <w:rPr>
                <w:color w:val="000000" w:themeColor="text1"/>
                <w:sz w:val="18"/>
                <w:szCs w:val="18"/>
              </w:rPr>
              <w:t>Direct functional suppression of cytolytic machinery (pre-dates receptor characterisation)</w:t>
            </w:r>
          </w:p>
        </w:tc>
        <w:tc>
          <w:tcPr>
            <w:tcW w:w="2500" w:type="dxa"/>
            <w:vAlign w:val="center"/>
          </w:tcPr>
          <w:p w14:paraId="3D4AF072" w14:textId="77777777" w:rsidR="005749C0" w:rsidRPr="0090016E" w:rsidRDefault="00000000" w:rsidP="00BB010B">
            <w:pPr>
              <w:spacing w:before="100" w:beforeAutospacing="1" w:after="100" w:afterAutospacing="1"/>
              <w:rPr>
                <w:color w:val="000000" w:themeColor="text1"/>
              </w:rPr>
            </w:pPr>
            <w:r w:rsidRPr="0090016E">
              <w:rPr>
                <w:color w:val="000000" w:themeColor="text1"/>
                <w:sz w:val="18"/>
                <w:szCs w:val="18"/>
              </w:rPr>
              <w:t>Dose-dependent suppression of cytolytic activity without loss of viability</w:t>
            </w:r>
          </w:p>
        </w:tc>
        <w:tc>
          <w:tcPr>
            <w:tcW w:w="2300" w:type="dxa"/>
            <w:vAlign w:val="center"/>
          </w:tcPr>
          <w:p w14:paraId="7EF71655" w14:textId="77777777" w:rsidR="005749C0" w:rsidRPr="0090016E" w:rsidRDefault="00000000" w:rsidP="00BB010B">
            <w:pPr>
              <w:spacing w:before="100" w:beforeAutospacing="1" w:after="100" w:afterAutospacing="1"/>
              <w:rPr>
                <w:color w:val="000000" w:themeColor="text1"/>
              </w:rPr>
            </w:pPr>
            <w:r w:rsidRPr="0090016E">
              <w:rPr>
                <w:color w:val="000000" w:themeColor="text1"/>
                <w:sz w:val="18"/>
                <w:szCs w:val="18"/>
              </w:rPr>
              <w:t>Kawakami et al., 1988</w:t>
            </w:r>
          </w:p>
        </w:tc>
      </w:tr>
      <w:tr w:rsidR="005749C0" w:rsidRPr="0090016E" w14:paraId="7477ADDE" w14:textId="77777777" w:rsidTr="00F867AF">
        <w:tc>
          <w:tcPr>
            <w:tcW w:w="1500" w:type="dxa"/>
            <w:vAlign w:val="center"/>
          </w:tcPr>
          <w:p w14:paraId="4BB2DAFF" w14:textId="77777777" w:rsidR="005749C0" w:rsidRPr="0090016E" w:rsidRDefault="00000000" w:rsidP="00BB010B">
            <w:pPr>
              <w:spacing w:before="100" w:beforeAutospacing="1" w:after="100" w:afterAutospacing="1"/>
              <w:rPr>
                <w:color w:val="000000" w:themeColor="text1"/>
              </w:rPr>
            </w:pPr>
            <w:r w:rsidRPr="0090016E">
              <w:rPr>
                <w:color w:val="000000" w:themeColor="text1"/>
                <w:sz w:val="18"/>
                <w:szCs w:val="18"/>
              </w:rPr>
              <w:t>Dendritic cell</w:t>
            </w:r>
          </w:p>
        </w:tc>
        <w:tc>
          <w:tcPr>
            <w:tcW w:w="1900" w:type="dxa"/>
            <w:vAlign w:val="center"/>
          </w:tcPr>
          <w:p w14:paraId="2788379D" w14:textId="77777777" w:rsidR="005749C0" w:rsidRPr="0090016E" w:rsidRDefault="00000000" w:rsidP="00BB010B">
            <w:pPr>
              <w:spacing w:before="100" w:beforeAutospacing="1" w:after="100" w:afterAutospacing="1"/>
              <w:rPr>
                <w:color w:val="000000" w:themeColor="text1"/>
              </w:rPr>
            </w:pPr>
            <w:r w:rsidRPr="0090016E">
              <w:rPr>
                <w:color w:val="000000" w:themeColor="text1"/>
                <w:sz w:val="18"/>
                <w:szCs w:val="18"/>
              </w:rPr>
              <w:t>THC, anandamide</w:t>
            </w:r>
          </w:p>
        </w:tc>
        <w:tc>
          <w:tcPr>
            <w:tcW w:w="2900" w:type="dxa"/>
            <w:vAlign w:val="center"/>
          </w:tcPr>
          <w:p w14:paraId="2FCA46BF" w14:textId="77777777" w:rsidR="005749C0" w:rsidRPr="0090016E" w:rsidRDefault="00000000" w:rsidP="00BB010B">
            <w:pPr>
              <w:spacing w:before="100" w:beforeAutospacing="1" w:after="100" w:afterAutospacing="1"/>
              <w:rPr>
                <w:color w:val="000000" w:themeColor="text1"/>
              </w:rPr>
            </w:pPr>
            <w:r w:rsidRPr="0090016E">
              <w:rPr>
                <w:color w:val="000000" w:themeColor="text1"/>
                <w:sz w:val="18"/>
                <w:szCs w:val="18"/>
              </w:rPr>
              <w:t>CB2-dependent cAMP inhibition (differentiation); combined CB1/CB2 NF-</w:t>
            </w:r>
            <w:proofErr w:type="spellStart"/>
            <w:r w:rsidRPr="0090016E">
              <w:rPr>
                <w:color w:val="000000" w:themeColor="text1"/>
                <w:sz w:val="18"/>
                <w:szCs w:val="18"/>
              </w:rPr>
              <w:t>κB</w:t>
            </w:r>
            <w:proofErr w:type="spellEnd"/>
            <w:r w:rsidRPr="0090016E">
              <w:rPr>
                <w:color w:val="000000" w:themeColor="text1"/>
                <w:sz w:val="18"/>
                <w:szCs w:val="18"/>
              </w:rPr>
              <w:t>-dependent apoptosis (mature cells)</w:t>
            </w:r>
          </w:p>
        </w:tc>
        <w:tc>
          <w:tcPr>
            <w:tcW w:w="2500" w:type="dxa"/>
            <w:vAlign w:val="center"/>
          </w:tcPr>
          <w:p w14:paraId="7E08D683" w14:textId="77777777" w:rsidR="005749C0" w:rsidRPr="0090016E" w:rsidRDefault="00000000" w:rsidP="00BB010B">
            <w:pPr>
              <w:spacing w:before="100" w:beforeAutospacing="1" w:after="100" w:afterAutospacing="1"/>
              <w:rPr>
                <w:color w:val="000000" w:themeColor="text1"/>
              </w:rPr>
            </w:pPr>
            <w:r w:rsidRPr="0090016E">
              <w:rPr>
                <w:color w:val="000000" w:themeColor="text1"/>
                <w:sz w:val="18"/>
                <w:szCs w:val="18"/>
              </w:rPr>
              <w:t>Reduced maturation markers and IL-12; apoptosis of mature DCs</w:t>
            </w:r>
          </w:p>
        </w:tc>
        <w:tc>
          <w:tcPr>
            <w:tcW w:w="2300" w:type="dxa"/>
            <w:vAlign w:val="center"/>
          </w:tcPr>
          <w:p w14:paraId="341A6A95" w14:textId="77777777" w:rsidR="005749C0" w:rsidRPr="0090016E" w:rsidRDefault="00000000" w:rsidP="00BB010B">
            <w:pPr>
              <w:spacing w:before="100" w:beforeAutospacing="1" w:after="100" w:afterAutospacing="1"/>
              <w:rPr>
                <w:color w:val="000000" w:themeColor="text1"/>
              </w:rPr>
            </w:pPr>
            <w:r w:rsidRPr="0090016E">
              <w:rPr>
                <w:color w:val="000000" w:themeColor="text1"/>
                <w:sz w:val="18"/>
                <w:szCs w:val="18"/>
              </w:rPr>
              <w:t>Do et al., 2004</w:t>
            </w:r>
          </w:p>
        </w:tc>
      </w:tr>
      <w:tr w:rsidR="005749C0" w:rsidRPr="0090016E" w14:paraId="6D5441BF" w14:textId="77777777" w:rsidTr="00F867AF">
        <w:tc>
          <w:tcPr>
            <w:tcW w:w="1500" w:type="dxa"/>
            <w:vAlign w:val="center"/>
          </w:tcPr>
          <w:p w14:paraId="2E561263" w14:textId="77777777" w:rsidR="005749C0" w:rsidRPr="0090016E" w:rsidRDefault="00000000" w:rsidP="00BB010B">
            <w:pPr>
              <w:spacing w:before="100" w:beforeAutospacing="1" w:after="100" w:afterAutospacing="1"/>
              <w:rPr>
                <w:color w:val="000000" w:themeColor="text1"/>
              </w:rPr>
            </w:pPr>
            <w:r w:rsidRPr="0090016E">
              <w:rPr>
                <w:color w:val="000000" w:themeColor="text1"/>
                <w:sz w:val="18"/>
                <w:szCs w:val="18"/>
              </w:rPr>
              <w:t>T lymphocyte</w:t>
            </w:r>
          </w:p>
        </w:tc>
        <w:tc>
          <w:tcPr>
            <w:tcW w:w="1900" w:type="dxa"/>
            <w:vAlign w:val="center"/>
          </w:tcPr>
          <w:p w14:paraId="370C39CE" w14:textId="77777777" w:rsidR="005749C0" w:rsidRPr="0090016E" w:rsidRDefault="00000000" w:rsidP="00BB010B">
            <w:pPr>
              <w:spacing w:before="100" w:beforeAutospacing="1" w:after="100" w:afterAutospacing="1"/>
              <w:rPr>
                <w:color w:val="000000" w:themeColor="text1"/>
              </w:rPr>
            </w:pPr>
            <w:r w:rsidRPr="0090016E">
              <w:rPr>
                <w:color w:val="000000" w:themeColor="text1"/>
                <w:sz w:val="18"/>
                <w:szCs w:val="18"/>
              </w:rPr>
              <w:t>THC</w:t>
            </w:r>
          </w:p>
        </w:tc>
        <w:tc>
          <w:tcPr>
            <w:tcW w:w="2900" w:type="dxa"/>
            <w:vAlign w:val="center"/>
          </w:tcPr>
          <w:p w14:paraId="6B126581" w14:textId="77777777" w:rsidR="005749C0" w:rsidRPr="0090016E" w:rsidRDefault="00000000" w:rsidP="00BB010B">
            <w:pPr>
              <w:spacing w:before="100" w:beforeAutospacing="1" w:after="100" w:afterAutospacing="1"/>
              <w:rPr>
                <w:color w:val="000000" w:themeColor="text1"/>
              </w:rPr>
            </w:pPr>
            <w:r w:rsidRPr="0090016E">
              <w:rPr>
                <w:color w:val="000000" w:themeColor="text1"/>
                <w:sz w:val="18"/>
                <w:szCs w:val="18"/>
              </w:rPr>
              <w:t>CB2-dependent apoptosis (caspase-mediated); NF-</w:t>
            </w:r>
            <w:proofErr w:type="spellStart"/>
            <w:r w:rsidRPr="0090016E">
              <w:rPr>
                <w:color w:val="000000" w:themeColor="text1"/>
                <w:sz w:val="18"/>
                <w:szCs w:val="18"/>
              </w:rPr>
              <w:t>κB</w:t>
            </w:r>
            <w:proofErr w:type="spellEnd"/>
            <w:r w:rsidRPr="0090016E">
              <w:rPr>
                <w:color w:val="000000" w:themeColor="text1"/>
                <w:sz w:val="18"/>
                <w:szCs w:val="18"/>
              </w:rPr>
              <w:t>/NFAT suppression</w:t>
            </w:r>
          </w:p>
        </w:tc>
        <w:tc>
          <w:tcPr>
            <w:tcW w:w="2500" w:type="dxa"/>
            <w:vAlign w:val="center"/>
          </w:tcPr>
          <w:p w14:paraId="3BCD059E" w14:textId="77777777" w:rsidR="005749C0" w:rsidRPr="0090016E" w:rsidRDefault="00000000" w:rsidP="00BB010B">
            <w:pPr>
              <w:spacing w:before="100" w:beforeAutospacing="1" w:after="100" w:afterAutospacing="1"/>
              <w:rPr>
                <w:color w:val="000000" w:themeColor="text1"/>
              </w:rPr>
            </w:pPr>
            <w:r w:rsidRPr="0090016E">
              <w:rPr>
                <w:color w:val="000000" w:themeColor="text1"/>
                <w:sz w:val="18"/>
                <w:szCs w:val="18"/>
              </w:rPr>
              <w:t>Thymic/splenic atrophy in vivo; suppressed proliferation and cytokine release</w:t>
            </w:r>
          </w:p>
        </w:tc>
        <w:tc>
          <w:tcPr>
            <w:tcW w:w="2300" w:type="dxa"/>
            <w:vAlign w:val="center"/>
          </w:tcPr>
          <w:p w14:paraId="435D4CB3" w14:textId="77777777" w:rsidR="005749C0" w:rsidRPr="0090016E" w:rsidRDefault="00000000" w:rsidP="00BB010B">
            <w:pPr>
              <w:spacing w:before="100" w:beforeAutospacing="1" w:after="100" w:afterAutospacing="1"/>
              <w:rPr>
                <w:color w:val="000000" w:themeColor="text1"/>
              </w:rPr>
            </w:pPr>
            <w:proofErr w:type="spellStart"/>
            <w:r w:rsidRPr="0090016E">
              <w:rPr>
                <w:color w:val="000000" w:themeColor="text1"/>
                <w:sz w:val="18"/>
                <w:szCs w:val="18"/>
              </w:rPr>
              <w:t>McKallip</w:t>
            </w:r>
            <w:proofErr w:type="spellEnd"/>
            <w:r w:rsidRPr="0090016E">
              <w:rPr>
                <w:color w:val="000000" w:themeColor="text1"/>
                <w:sz w:val="18"/>
                <w:szCs w:val="18"/>
              </w:rPr>
              <w:t xml:space="preserve"> et al., 2002b; Robinson et al., 2015</w:t>
            </w:r>
          </w:p>
        </w:tc>
      </w:tr>
      <w:tr w:rsidR="005749C0" w:rsidRPr="0090016E" w14:paraId="71860E9E" w14:textId="77777777" w:rsidTr="00F867AF">
        <w:tc>
          <w:tcPr>
            <w:tcW w:w="1500" w:type="dxa"/>
            <w:vAlign w:val="center"/>
          </w:tcPr>
          <w:p w14:paraId="546B2A9B" w14:textId="77777777" w:rsidR="005749C0" w:rsidRPr="0090016E" w:rsidRDefault="00000000" w:rsidP="00BB010B">
            <w:pPr>
              <w:spacing w:before="100" w:beforeAutospacing="1" w:after="100" w:afterAutospacing="1"/>
              <w:rPr>
                <w:color w:val="000000" w:themeColor="text1"/>
              </w:rPr>
            </w:pPr>
            <w:r w:rsidRPr="0090016E">
              <w:rPr>
                <w:color w:val="000000" w:themeColor="text1"/>
                <w:sz w:val="18"/>
                <w:szCs w:val="18"/>
              </w:rPr>
              <w:t>B lymphocyte</w:t>
            </w:r>
          </w:p>
        </w:tc>
        <w:tc>
          <w:tcPr>
            <w:tcW w:w="1900" w:type="dxa"/>
            <w:vAlign w:val="center"/>
          </w:tcPr>
          <w:p w14:paraId="2E4E5DA4" w14:textId="77777777" w:rsidR="005749C0" w:rsidRPr="0090016E" w:rsidRDefault="00000000" w:rsidP="00BB010B">
            <w:pPr>
              <w:spacing w:before="100" w:beforeAutospacing="1" w:after="100" w:afterAutospacing="1"/>
              <w:rPr>
                <w:color w:val="000000" w:themeColor="text1"/>
              </w:rPr>
            </w:pPr>
            <w:r w:rsidRPr="0090016E">
              <w:rPr>
                <w:color w:val="000000" w:themeColor="text1"/>
                <w:sz w:val="18"/>
                <w:szCs w:val="18"/>
              </w:rPr>
              <w:t>Synthetic CB1/CB2 agonists (e.g., CP55940)</w:t>
            </w:r>
          </w:p>
        </w:tc>
        <w:tc>
          <w:tcPr>
            <w:tcW w:w="2900" w:type="dxa"/>
            <w:vAlign w:val="center"/>
          </w:tcPr>
          <w:p w14:paraId="0F6B348C" w14:textId="77777777" w:rsidR="005749C0" w:rsidRPr="0090016E" w:rsidRDefault="00000000" w:rsidP="00BB010B">
            <w:pPr>
              <w:spacing w:before="100" w:beforeAutospacing="1" w:after="100" w:afterAutospacing="1"/>
              <w:rPr>
                <w:color w:val="000000" w:themeColor="text1"/>
              </w:rPr>
            </w:pPr>
            <w:r w:rsidRPr="0090016E">
              <w:rPr>
                <w:color w:val="000000" w:themeColor="text1"/>
                <w:sz w:val="18"/>
                <w:szCs w:val="18"/>
              </w:rPr>
              <w:t>CB2-dependent class switching</w:t>
            </w:r>
          </w:p>
        </w:tc>
        <w:tc>
          <w:tcPr>
            <w:tcW w:w="2500" w:type="dxa"/>
            <w:vAlign w:val="center"/>
          </w:tcPr>
          <w:p w14:paraId="1ECB9BC7" w14:textId="77777777" w:rsidR="005749C0" w:rsidRPr="0090016E" w:rsidRDefault="00000000" w:rsidP="00BB010B">
            <w:pPr>
              <w:spacing w:before="100" w:beforeAutospacing="1" w:after="100" w:afterAutospacing="1"/>
              <w:rPr>
                <w:color w:val="000000" w:themeColor="text1"/>
              </w:rPr>
            </w:pPr>
            <w:r w:rsidRPr="0090016E">
              <w:rPr>
                <w:color w:val="000000" w:themeColor="text1"/>
                <w:sz w:val="18"/>
                <w:szCs w:val="18"/>
              </w:rPr>
              <w:t>Increased IgE class switching from IgM; altered germinal centre dynamics</w:t>
            </w:r>
          </w:p>
        </w:tc>
        <w:tc>
          <w:tcPr>
            <w:tcW w:w="2300" w:type="dxa"/>
            <w:vAlign w:val="center"/>
          </w:tcPr>
          <w:p w14:paraId="0423EE9F" w14:textId="77777777" w:rsidR="005749C0" w:rsidRPr="0090016E" w:rsidRDefault="00000000" w:rsidP="00BB010B">
            <w:pPr>
              <w:spacing w:before="100" w:beforeAutospacing="1" w:after="100" w:afterAutospacing="1"/>
              <w:rPr>
                <w:color w:val="000000" w:themeColor="text1"/>
              </w:rPr>
            </w:pPr>
            <w:r w:rsidRPr="0090016E">
              <w:rPr>
                <w:color w:val="000000" w:themeColor="text1"/>
                <w:sz w:val="18"/>
                <w:szCs w:val="18"/>
              </w:rPr>
              <w:t>Agudelo et al., 2008; Basu et al., 2013</w:t>
            </w:r>
          </w:p>
        </w:tc>
      </w:tr>
    </w:tbl>
    <w:p w14:paraId="3EEBC0D4" w14:textId="77777777" w:rsidR="005749C0" w:rsidRPr="0090016E" w:rsidRDefault="00000000" w:rsidP="00BB010B">
      <w:pPr>
        <w:spacing w:before="100" w:beforeAutospacing="1" w:after="100" w:afterAutospacing="1"/>
        <w:rPr>
          <w:color w:val="000000" w:themeColor="text1"/>
        </w:rPr>
      </w:pPr>
      <w:r w:rsidRPr="0090016E">
        <w:rPr>
          <w:i/>
          <w:iCs/>
          <w:color w:val="000000" w:themeColor="text1"/>
          <w:sz w:val="18"/>
          <w:szCs w:val="18"/>
        </w:rPr>
        <w:t xml:space="preserve">Note. THC = Δ9-tetrahydrocannabinol; NRF2-ARE = nuclear factor erythroid 2-related factor 2–antioxidant response element; ROS = reactive oxygen species; </w:t>
      </w:r>
      <w:proofErr w:type="spellStart"/>
      <w:r w:rsidRPr="0090016E">
        <w:rPr>
          <w:i/>
          <w:iCs/>
          <w:color w:val="000000" w:themeColor="text1"/>
          <w:sz w:val="18"/>
          <w:szCs w:val="18"/>
        </w:rPr>
        <w:t>PPARγ</w:t>
      </w:r>
      <w:proofErr w:type="spellEnd"/>
      <w:r w:rsidRPr="0090016E">
        <w:rPr>
          <w:i/>
          <w:iCs/>
          <w:color w:val="000000" w:themeColor="text1"/>
          <w:sz w:val="18"/>
          <w:szCs w:val="18"/>
        </w:rPr>
        <w:t xml:space="preserve"> = peroxisome proliferator-activated receptor gamma; NLRP3 = NOD-, LRR- and pyrin domain-containing protein 3; G-CSF = granulocyte colony-stimulating factor; P-</w:t>
      </w:r>
      <w:proofErr w:type="spellStart"/>
      <w:r w:rsidRPr="0090016E">
        <w:rPr>
          <w:i/>
          <w:iCs/>
          <w:color w:val="000000" w:themeColor="text1"/>
          <w:sz w:val="18"/>
          <w:szCs w:val="18"/>
        </w:rPr>
        <w:t>gp</w:t>
      </w:r>
      <w:proofErr w:type="spellEnd"/>
      <w:r w:rsidRPr="0090016E">
        <w:rPr>
          <w:i/>
          <w:iCs/>
          <w:color w:val="000000" w:themeColor="text1"/>
          <w:sz w:val="18"/>
          <w:szCs w:val="18"/>
        </w:rPr>
        <w:t xml:space="preserve"> = P-glycoprotein; NF-</w:t>
      </w:r>
      <w:proofErr w:type="spellStart"/>
      <w:r w:rsidRPr="0090016E">
        <w:rPr>
          <w:i/>
          <w:iCs/>
          <w:color w:val="000000" w:themeColor="text1"/>
          <w:sz w:val="18"/>
          <w:szCs w:val="18"/>
        </w:rPr>
        <w:t>κB</w:t>
      </w:r>
      <w:proofErr w:type="spellEnd"/>
      <w:r w:rsidRPr="0090016E">
        <w:rPr>
          <w:i/>
          <w:iCs/>
          <w:color w:val="000000" w:themeColor="text1"/>
          <w:sz w:val="18"/>
          <w:szCs w:val="18"/>
        </w:rPr>
        <w:t xml:space="preserve"> = nuclear factor kappa-light-chain-enhancer of activated B cells; NFAT = nuclear factor of activated T cells; IgE/IgM = immunoglobulin E/M.</w:t>
      </w:r>
    </w:p>
    <w:p w14:paraId="7551618D" w14:textId="77777777" w:rsidR="005749C0" w:rsidRPr="0090016E" w:rsidRDefault="00000000" w:rsidP="00BB010B">
      <w:pPr>
        <w:pStyle w:val="Heading1"/>
        <w:spacing w:before="100" w:beforeAutospacing="1" w:after="100" w:afterAutospacing="1"/>
        <w:rPr>
          <w:color w:val="000000" w:themeColor="text1"/>
        </w:rPr>
      </w:pPr>
      <w:r w:rsidRPr="0090016E">
        <w:rPr>
          <w:b/>
          <w:bCs/>
          <w:color w:val="000000" w:themeColor="text1"/>
          <w:sz w:val="28"/>
          <w:szCs w:val="28"/>
        </w:rPr>
        <w:lastRenderedPageBreak/>
        <w:t>6. Cannabinoid Modulation of Adaptive Immunity: T Cells, B Cells, and Regulatory T-Cell Induction</w:t>
      </w:r>
    </w:p>
    <w:p w14:paraId="4E184493" w14:textId="77777777" w:rsidR="005749C0" w:rsidRPr="0090016E" w:rsidRDefault="00000000" w:rsidP="00BB010B">
      <w:pPr>
        <w:spacing w:before="100" w:beforeAutospacing="1" w:after="100" w:afterAutospacing="1"/>
        <w:jc w:val="both"/>
        <w:rPr>
          <w:color w:val="000000" w:themeColor="text1"/>
        </w:rPr>
      </w:pPr>
      <w:r w:rsidRPr="0090016E">
        <w:rPr>
          <w:color w:val="000000" w:themeColor="text1"/>
        </w:rPr>
        <w:t>The T-lymphocyte compartment has been the most extensively characterised target of cannabinoid immunomodulation, with evidence converging on three interlinked mechanisms: induction of apoptosis in activated cells, suppression of proliferation and effector cytokine release, and a shift in the balance among T helper subsets and regulatory T cells. THC exposure of murine splenocytes produces significantly reduced proliferative responses to mitogens including anti-CD3 antibody, concanavalin A, and lipopolysaccharide, alongside increased apoptosis in both naive and activated splenocytes and in thymocytes, an effect substantially attenuated by CB2 antagonism and associated in vivo with thymic and splenic atrophy detectable within hours of administration (</w:t>
      </w:r>
      <w:proofErr w:type="spellStart"/>
      <w:r w:rsidRPr="0090016E">
        <w:rPr>
          <w:color w:val="000000" w:themeColor="text1"/>
        </w:rPr>
        <w:t>McKallip</w:t>
      </w:r>
      <w:proofErr w:type="spellEnd"/>
      <w:r w:rsidRPr="0090016E">
        <w:rPr>
          <w:color w:val="000000" w:themeColor="text1"/>
        </w:rPr>
        <w:t xml:space="preserve"> et al., 2002b). In human primary T lymphocytes, anandamide suppresses proliferation and release of interleukin-2, tumour necrosis factor-alpha, and interferon-gamma predominantly through CB2 engagement, an effect that spares cell viability and is corroborated by CB2-selective agonists that similarly inhibit the mixed lymphocyte reaction, an in vitro correlate of transplant rejection, in a manner blocked by CB2-selective, but not CB1-selective, antagonism and abolished in splenocytes from CB2-deficient mice (Rieder et al., 2010).</w:t>
      </w:r>
    </w:p>
    <w:p w14:paraId="140B9A0A" w14:textId="77777777" w:rsidR="005749C0" w:rsidRPr="0090016E" w:rsidRDefault="00000000" w:rsidP="00BB010B">
      <w:pPr>
        <w:spacing w:before="100" w:beforeAutospacing="1" w:after="100" w:afterAutospacing="1"/>
        <w:jc w:val="both"/>
        <w:rPr>
          <w:color w:val="000000" w:themeColor="text1"/>
        </w:rPr>
      </w:pPr>
      <w:r w:rsidRPr="0090016E">
        <w:rPr>
          <w:color w:val="000000" w:themeColor="text1"/>
        </w:rPr>
        <w:t>Cytokine network remodelling by cannabinoids extends beyond simple suppression to a qualitative shift in T helper lineage commitment. THC treatment of mice with delayed-type hypersensitivity reduces swelling and immune cell infiltration at the site of antigen rechallenge, with decreased T helper 1 and T helper 17 lineage-specific transcription factors and cytokines, a shift mediated in part through reversal of the microRNA-21 and microRNA-29b changes that normally accompany the delayed-type hypersensitivity response and that respectively promote T helper 17 differentiation via SMAD7 inhibition and suppress interferon-gamma production (Sido et al., 2016). A parallel mechanism operates in a model of staphylococcal enterotoxin B-induced acute lung injury, in which THC modulates the microRNA-17-92 cluster and induces regulatory T cells, contributing to near-complete protection from an otherwise lethal cytokine storm (Rao et al., 2015). Direct induction of a regulatory T-cell phenotype has also been demonstrated with CB2-selective agonism in the mixed lymphocyte reaction, where treatment decreases nuclear NF-</w:t>
      </w:r>
      <w:proofErr w:type="spellStart"/>
      <w:r w:rsidRPr="0090016E">
        <w:rPr>
          <w:color w:val="000000" w:themeColor="text1"/>
        </w:rPr>
        <w:t>κB</w:t>
      </w:r>
      <w:proofErr w:type="spellEnd"/>
      <w:r w:rsidRPr="0090016E">
        <w:rPr>
          <w:color w:val="000000" w:themeColor="text1"/>
        </w:rPr>
        <w:t xml:space="preserve"> and NFAT, reduces CD40 ligand and cyclin D3 expression, and increases suppressor of cytokine signalling 5 and interleukin-10, the latter confirmed at the protein level in culture supernatants (Robinson et al., 2015).</w:t>
      </w:r>
    </w:p>
    <w:p w14:paraId="1C2134EC" w14:textId="77777777" w:rsidR="005749C0" w:rsidRPr="0090016E" w:rsidRDefault="00000000" w:rsidP="00BB010B">
      <w:pPr>
        <w:spacing w:before="100" w:beforeAutospacing="1" w:after="100" w:afterAutospacing="1"/>
        <w:jc w:val="both"/>
        <w:rPr>
          <w:color w:val="000000" w:themeColor="text1"/>
        </w:rPr>
      </w:pPr>
      <w:r w:rsidRPr="0090016E">
        <w:rPr>
          <w:color w:val="000000" w:themeColor="text1"/>
        </w:rPr>
        <w:t>B-lymphocyte function is modulated by cannabinoids in ways that are less uniformly suppressive than the effects observed in the T-cell compartment and that carry particular relevance for allergic and autoantibody-mediated disease. Non-selective and CB1-selective cannabinoid agonists applied to murine splenic B cells cultured with interleukin-4 and anti-CD40 induce class switching from immunoglobulin M to immunoglobulin E, an effect blocked by CB2-selective antagonism and therefore attributed to CB2 engagement despite the use of a CB1-selective agonist as a comparator, a finding the original authors interpreted as evidence that cannabinoids bias humoral immunity toward a T helper 2-type, allergy-prone phenotype (Agudelo et al., 2008). This interpretation has, however, been qualified by subsequent work using CB2-deficient mice immunised with a T-dependent antigen, in which CB2 was found to influence the generation of germinal centre and memory B cells without altering the production of antigen-specific immunoglobulin G or immunoglobulin M, indicating that CB2 shapes specific B-cell differentiation programmes rather than uniformly suppressing or enhancing humoral responses (Basu et al., 2013).</w:t>
      </w:r>
    </w:p>
    <w:p w14:paraId="40F7F98E" w14:textId="77777777" w:rsidR="005749C0" w:rsidRPr="0090016E" w:rsidRDefault="00000000" w:rsidP="00BB010B">
      <w:pPr>
        <w:spacing w:before="100" w:beforeAutospacing="1" w:after="100" w:afterAutospacing="1"/>
        <w:jc w:val="both"/>
        <w:rPr>
          <w:color w:val="000000" w:themeColor="text1"/>
        </w:rPr>
      </w:pPr>
      <w:r w:rsidRPr="0090016E">
        <w:rPr>
          <w:color w:val="000000" w:themeColor="text1"/>
        </w:rPr>
        <w:t xml:space="preserve">Taken together, the adaptive immune evidence supports a model in which CB2 engagement by THC or synthetic agonists consistently favours apoptosis and functional quiescence in activated effector T cells </w:t>
      </w:r>
      <w:r w:rsidRPr="0090016E">
        <w:rPr>
          <w:color w:val="000000" w:themeColor="text1"/>
        </w:rPr>
        <w:lastRenderedPageBreak/>
        <w:t>while simultaneously promoting a regulatory T-cell phenotype, a combination that is coherent with the immunosuppressive and anti-inflammatory clinical applications of cannabinoids in transplantation-adjacent and autoimmune contexts, but that leaves open the mechanistic basis for reports of enhanced immunoglobulin E-mediated allergic sensitisation, since immune suppression and allergic sensitisation are not obviously compatible outcomes of a single unified pathway.</w:t>
      </w:r>
    </w:p>
    <w:p w14:paraId="042DA2CB" w14:textId="77777777" w:rsidR="005749C0" w:rsidRPr="0090016E" w:rsidRDefault="00000000" w:rsidP="00BB010B">
      <w:pPr>
        <w:pStyle w:val="Heading1"/>
        <w:spacing w:before="100" w:beforeAutospacing="1" w:after="100" w:afterAutospacing="1"/>
        <w:rPr>
          <w:color w:val="000000" w:themeColor="text1"/>
        </w:rPr>
      </w:pPr>
      <w:r w:rsidRPr="0090016E">
        <w:rPr>
          <w:b/>
          <w:bCs/>
          <w:color w:val="000000" w:themeColor="text1"/>
          <w:sz w:val="28"/>
          <w:szCs w:val="28"/>
        </w:rPr>
        <w:t xml:space="preserve">7. Contradictions and Context-Dependence: Receptor-Independent Mechanisms, Ligand Identity, and Divergent </w:t>
      </w:r>
      <w:proofErr w:type="spellStart"/>
      <w:r w:rsidRPr="0090016E">
        <w:rPr>
          <w:b/>
          <w:bCs/>
          <w:color w:val="000000" w:themeColor="text1"/>
          <w:sz w:val="28"/>
          <w:szCs w:val="28"/>
        </w:rPr>
        <w:t>Phytocannabinoid</w:t>
      </w:r>
      <w:proofErr w:type="spellEnd"/>
      <w:r w:rsidRPr="0090016E">
        <w:rPr>
          <w:b/>
          <w:bCs/>
          <w:color w:val="000000" w:themeColor="text1"/>
          <w:sz w:val="28"/>
          <w:szCs w:val="28"/>
        </w:rPr>
        <w:t xml:space="preserve"> Pharmacology</w:t>
      </w:r>
    </w:p>
    <w:p w14:paraId="65CAEFEE" w14:textId="77777777" w:rsidR="005749C0" w:rsidRPr="0090016E" w:rsidRDefault="00000000" w:rsidP="00BB010B">
      <w:pPr>
        <w:spacing w:before="100" w:beforeAutospacing="1" w:after="100" w:afterAutospacing="1"/>
        <w:jc w:val="both"/>
        <w:rPr>
          <w:color w:val="000000" w:themeColor="text1"/>
        </w:rPr>
      </w:pPr>
      <w:r w:rsidRPr="0090016E">
        <w:rPr>
          <w:color w:val="000000" w:themeColor="text1"/>
        </w:rPr>
        <w:t>A recurring difficulty in synthesising the cannabinoid immunology literature is that apparently similar experimental questions, addressed with different cannabinoids, cell types, or ligand concentrations, have produced results that are not merely quantitatively but qualitatively discordant. Several sources of this discordance are identifiable and merit explicit treatment rather than being absorbed into an undifferentiated conclusion that cannabinoids are immunosuppressive.</w:t>
      </w:r>
    </w:p>
    <w:p w14:paraId="3563616B" w14:textId="77777777" w:rsidR="005749C0" w:rsidRPr="0090016E" w:rsidRDefault="00000000" w:rsidP="00BB010B">
      <w:pPr>
        <w:spacing w:before="100" w:beforeAutospacing="1" w:after="100" w:afterAutospacing="1"/>
        <w:jc w:val="both"/>
        <w:rPr>
          <w:color w:val="000000" w:themeColor="text1"/>
        </w:rPr>
      </w:pPr>
      <w:r w:rsidRPr="0090016E">
        <w:rPr>
          <w:color w:val="000000" w:themeColor="text1"/>
        </w:rPr>
        <w:t>The first source of discordance is ligand-specific signalling within a single receptor system. In the intestinal neutrophil model, anandamide, a comparatively weak CB2 agonist by radioligand-binding criteria, inhibits neutrophil transmigration, whereas 2-arachidonoylglycerol, a full CB2 agonist, does not reproduce this effect, indicating that receptor affinity alone is a poor predictor of functional outcome and that ligand-specific conformational or biased signalling must be invoked (</w:t>
      </w:r>
      <w:proofErr w:type="spellStart"/>
      <w:r w:rsidRPr="0090016E">
        <w:rPr>
          <w:color w:val="000000" w:themeColor="text1"/>
        </w:rPr>
        <w:t>Cuddihey</w:t>
      </w:r>
      <w:proofErr w:type="spellEnd"/>
      <w:r w:rsidRPr="0090016E">
        <w:rPr>
          <w:color w:val="000000" w:themeColor="text1"/>
        </w:rPr>
        <w:t xml:space="preserve"> et al., 2022; Szabady et al., 2018). The second source is genuine receptor-independent activity: THC blockade of macrophage differentiation persists in cells lacking CB1, CB2, GPR18, GPR55, and the adenosine 2A receptor, implicating a membrane or intracellular redox-based mechanism (NRF2-antioxidant response element induction and suppression of Fenton-reaction-derived reactive oxygen species) that is entirely independent of the canonical cannabinoid receptor repertoire and that would be missed by any experimental design relying solely on receptor antagonism to establish mechanism.</w:t>
      </w:r>
    </w:p>
    <w:p w14:paraId="409D0530" w14:textId="77777777" w:rsidR="005749C0" w:rsidRPr="0090016E" w:rsidRDefault="00000000" w:rsidP="00BB010B">
      <w:pPr>
        <w:spacing w:before="100" w:beforeAutospacing="1" w:after="100" w:afterAutospacing="1"/>
        <w:jc w:val="both"/>
        <w:rPr>
          <w:color w:val="000000" w:themeColor="text1"/>
        </w:rPr>
      </w:pPr>
      <w:r w:rsidRPr="0090016E">
        <w:rPr>
          <w:color w:val="000000" w:themeColor="text1"/>
        </w:rPr>
        <w:t xml:space="preserve">The third and most consequential source of discordance is the divergent pharmacology of THC and CBD. THC is a partial agonist at both CB1 and CB2 and produces the receptor-dependent apoptotic and suppressive effects on T cells, dendritic cells, and myeloid-derived suppressor cells detailed in Sections 4 through 6. CBD, in contrast, has low affinity for CB1 and CB2 and instead acts substantially through </w:t>
      </w:r>
      <w:proofErr w:type="spellStart"/>
      <w:r w:rsidRPr="0090016E">
        <w:rPr>
          <w:color w:val="000000" w:themeColor="text1"/>
        </w:rPr>
        <w:t>PPARγ</w:t>
      </w:r>
      <w:proofErr w:type="spellEnd"/>
      <w:r w:rsidRPr="0090016E">
        <w:rPr>
          <w:color w:val="000000" w:themeColor="text1"/>
        </w:rPr>
        <w:t xml:space="preserve"> activation, with additional modulation of GPR55, transient receptor potential channels, and, in some systems, indirect potentiation of endocannabinoid tone through inhibition of anandamide reuptake or hydrolysis (Nagarkatti et al., 2009). The consequence is that CBD’s anti-inflammatory profile in macrophages, characterised by altered polarisation markers and inflammasome suppression through </w:t>
      </w:r>
      <w:proofErr w:type="spellStart"/>
      <w:r w:rsidRPr="0090016E">
        <w:rPr>
          <w:color w:val="000000" w:themeColor="text1"/>
        </w:rPr>
        <w:t>PPARγ</w:t>
      </w:r>
      <w:proofErr w:type="spellEnd"/>
      <w:r w:rsidRPr="0090016E">
        <w:rPr>
          <w:color w:val="000000" w:themeColor="text1"/>
        </w:rPr>
        <w:t xml:space="preserve">, is mechanistically distinct from THC’s CB2-dependent induction of lymphocyte apoptosis and myeloid-derived suppressor cell mobilisation, such that generalising findings from one </w:t>
      </w:r>
      <w:proofErr w:type="spellStart"/>
      <w:r w:rsidRPr="0090016E">
        <w:rPr>
          <w:color w:val="000000" w:themeColor="text1"/>
        </w:rPr>
        <w:t>phytocannabinoid</w:t>
      </w:r>
      <w:proofErr w:type="spellEnd"/>
      <w:r w:rsidRPr="0090016E">
        <w:rPr>
          <w:color w:val="000000" w:themeColor="text1"/>
        </w:rPr>
        <w:t xml:space="preserve"> to the other, a practice not infrequent in secondary literature, risks conflating two only partially overlapping </w:t>
      </w:r>
      <w:proofErr w:type="spellStart"/>
      <w:r w:rsidRPr="0090016E">
        <w:rPr>
          <w:color w:val="000000" w:themeColor="text1"/>
        </w:rPr>
        <w:t>pharmacologies</w:t>
      </w:r>
      <w:proofErr w:type="spellEnd"/>
      <w:r w:rsidRPr="0090016E">
        <w:rPr>
          <w:color w:val="000000" w:themeColor="text1"/>
        </w:rPr>
        <w:t>.</w:t>
      </w:r>
    </w:p>
    <w:p w14:paraId="62DCC892" w14:textId="77777777" w:rsidR="005749C0" w:rsidRPr="0090016E" w:rsidRDefault="00000000" w:rsidP="00BB010B">
      <w:pPr>
        <w:spacing w:before="100" w:beforeAutospacing="1" w:after="100" w:afterAutospacing="1"/>
        <w:jc w:val="both"/>
        <w:rPr>
          <w:color w:val="000000" w:themeColor="text1"/>
        </w:rPr>
      </w:pPr>
      <w:r w:rsidRPr="0090016E">
        <w:rPr>
          <w:color w:val="000000" w:themeColor="text1"/>
        </w:rPr>
        <w:t>GPR55 exemplifies a fourth pattern of context-dependence, in which the same receptor produces cooperative or opposing effects depending on the co-expressed receptor repertoire and the cell type under study. In neutrophils, GPR55 potentiates CB2-mediated chemotaxis while inhibiting CB2-associated degranulation and reactive oxygen species production, a bidirectional interaction that cannot be captured by classifying GPR55 as simply pro- or anti-inflammatory (</w:t>
      </w:r>
      <w:proofErr w:type="spellStart"/>
      <w:r w:rsidRPr="0090016E">
        <w:rPr>
          <w:color w:val="000000" w:themeColor="text1"/>
        </w:rPr>
        <w:t>Balenga</w:t>
      </w:r>
      <w:proofErr w:type="spellEnd"/>
      <w:r w:rsidRPr="0090016E">
        <w:rPr>
          <w:color w:val="000000" w:themeColor="text1"/>
        </w:rPr>
        <w:t xml:space="preserve"> et al., 2011; Yang et al., 2016). Early studies characterising CB2 itself as a uniformly anti-inflammatory receptor in murine systems have similarly been qualified by more recent human-cell data suggesting that, in allergic disease contexts </w:t>
      </w:r>
      <w:r w:rsidRPr="0090016E">
        <w:rPr>
          <w:color w:val="000000" w:themeColor="text1"/>
        </w:rPr>
        <w:lastRenderedPageBreak/>
        <w:t>involving eosinophils and B lymphocytes, CB2 engagement can potentiate rather than dampen the relevant functional response, indicating that the CB2-as-anti-inflammatory generalisation, while broadly useful, does not hold uniformly across cell types or disease contexts.</w:t>
      </w:r>
    </w:p>
    <w:p w14:paraId="4B07637A" w14:textId="77777777" w:rsidR="005749C0" w:rsidRPr="0090016E" w:rsidRDefault="00000000" w:rsidP="00BB010B">
      <w:pPr>
        <w:spacing w:before="100" w:beforeAutospacing="1" w:after="100" w:afterAutospacing="1"/>
        <w:jc w:val="both"/>
        <w:rPr>
          <w:color w:val="000000" w:themeColor="text1"/>
        </w:rPr>
      </w:pPr>
      <w:r w:rsidRPr="0090016E">
        <w:rPr>
          <w:color w:val="000000" w:themeColor="text1"/>
        </w:rPr>
        <w:t>A further, translationally important contradiction concerns the balance between cannabinoid receptor-mediated immunosuppression, well supported at the cellular and murine level, and the epidemiological signal for infection risk in humans, which remains comparatively weak and inconsistent. Chronic cannabis smoking is associated with impaired alveolar macrophage phagocytic and fungistatic activity and with epidemiological evidence of increased invasive fungal infection risk in insurance-claims analyses, yet direct microbiological confirmation linking a specific cannabis-derived pathogen to human disease remains rare, with only one case in the literature substantiated by whole-genome sequencing concordance between a patient’s cannabis supply and clinical isolate (Hughes Kramer et al., 2026; Preteroti et al., 2023). Similarly, although THC suppresses natural killer cell activity and T-cell proliferation in laboratory systems, later human studies of cannabis use in the context of human immunodeficiency virus infection found no clear increase in transmission risk or acceleration of disease progression, and some analyses have even reported reduced systemic inflammation and immune activation among heavy cannabis users on antiretroviral therapy, a direction of effect that is difficult to reconcile with a straightforward immunosuppression model (</w:t>
      </w:r>
      <w:proofErr w:type="spellStart"/>
      <w:r w:rsidRPr="0090016E">
        <w:rPr>
          <w:color w:val="000000" w:themeColor="text1"/>
        </w:rPr>
        <w:t>Maggirwar</w:t>
      </w:r>
      <w:proofErr w:type="spellEnd"/>
      <w:r w:rsidRPr="0090016E">
        <w:rPr>
          <w:color w:val="000000" w:themeColor="text1"/>
        </w:rPr>
        <w:t xml:space="preserve"> &amp; Khalsa, 2021).</w:t>
      </w:r>
    </w:p>
    <w:p w14:paraId="6DD3F5E9" w14:textId="3C9D5C81" w:rsidR="004F03CF" w:rsidRPr="0090016E" w:rsidRDefault="004F03CF" w:rsidP="00BB010B">
      <w:pPr>
        <w:spacing w:before="100" w:beforeAutospacing="1" w:after="100" w:afterAutospacing="1"/>
        <w:jc w:val="both"/>
        <w:rPr>
          <w:color w:val="000000" w:themeColor="text1"/>
        </w:rPr>
      </w:pPr>
      <w:r w:rsidRPr="0090016E">
        <w:rPr>
          <w:color w:val="000000" w:themeColor="text1"/>
        </w:rPr>
        <w:t>Beyond the scientific contradictions discussed above, the strength of the conclusions that can be drawn from this literature is constrained by a recurring set of methodological features common to the underlying studies. Table 3 summarises these limitations, spanning species and model choice, ligand and dose heterogeneity, the methods used to attribute effects to specific receptors, and the confounding inherent in human epidemiological data, to make explicit how each constrains interpretation of the mechanisms reviewed in Sections 4 through 6.</w:t>
      </w:r>
    </w:p>
    <w:p w14:paraId="7580225F" w14:textId="77777777" w:rsidR="005749C0" w:rsidRPr="0090016E" w:rsidRDefault="00000000" w:rsidP="00BB010B">
      <w:pPr>
        <w:spacing w:before="100" w:beforeAutospacing="1" w:after="100" w:afterAutospacing="1"/>
        <w:rPr>
          <w:color w:val="000000" w:themeColor="text1"/>
        </w:rPr>
      </w:pPr>
      <w:r w:rsidRPr="0090016E">
        <w:rPr>
          <w:b/>
          <w:bCs/>
          <w:color w:val="000000" w:themeColor="text1"/>
        </w:rPr>
        <w:t>Table 3. Methodological limitations across the reviewed evidence base</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966"/>
        <w:gridCol w:w="2585"/>
        <w:gridCol w:w="2475"/>
        <w:gridCol w:w="2046"/>
      </w:tblGrid>
      <w:tr w:rsidR="005749C0" w:rsidRPr="0090016E" w14:paraId="06B9D1BC" w14:textId="77777777" w:rsidTr="00F867AF">
        <w:trPr>
          <w:tblHeader/>
        </w:trPr>
        <w:tc>
          <w:tcPr>
            <w:tcW w:w="2200" w:type="dxa"/>
            <w:shd w:val="clear" w:color="auto" w:fill="D9D9D9"/>
            <w:vAlign w:val="center"/>
          </w:tcPr>
          <w:p w14:paraId="4FB39BA9" w14:textId="77777777" w:rsidR="005749C0" w:rsidRPr="0090016E" w:rsidRDefault="00000000" w:rsidP="00BB010B">
            <w:pPr>
              <w:spacing w:before="100" w:beforeAutospacing="1" w:after="100" w:afterAutospacing="1"/>
              <w:rPr>
                <w:color w:val="000000" w:themeColor="text1"/>
              </w:rPr>
            </w:pPr>
            <w:r w:rsidRPr="0090016E">
              <w:rPr>
                <w:b/>
                <w:bCs/>
                <w:color w:val="000000" w:themeColor="text1"/>
                <w:sz w:val="18"/>
                <w:szCs w:val="18"/>
              </w:rPr>
              <w:t>Limitation</w:t>
            </w:r>
          </w:p>
        </w:tc>
        <w:tc>
          <w:tcPr>
            <w:tcW w:w="2800" w:type="dxa"/>
            <w:shd w:val="clear" w:color="auto" w:fill="D9D9D9"/>
            <w:vAlign w:val="center"/>
          </w:tcPr>
          <w:p w14:paraId="386773B1" w14:textId="77777777" w:rsidR="005749C0" w:rsidRPr="0090016E" w:rsidRDefault="00000000" w:rsidP="00BB010B">
            <w:pPr>
              <w:spacing w:before="100" w:beforeAutospacing="1" w:after="100" w:afterAutospacing="1"/>
              <w:rPr>
                <w:color w:val="000000" w:themeColor="text1"/>
              </w:rPr>
            </w:pPr>
            <w:r w:rsidRPr="0090016E">
              <w:rPr>
                <w:b/>
                <w:bCs/>
                <w:color w:val="000000" w:themeColor="text1"/>
                <w:sz w:val="18"/>
                <w:szCs w:val="18"/>
              </w:rPr>
              <w:t>Manifestation in this literature</w:t>
            </w:r>
          </w:p>
        </w:tc>
        <w:tc>
          <w:tcPr>
            <w:tcW w:w="2800" w:type="dxa"/>
            <w:shd w:val="clear" w:color="auto" w:fill="D9D9D9"/>
            <w:vAlign w:val="center"/>
          </w:tcPr>
          <w:p w14:paraId="73CE2A36" w14:textId="77777777" w:rsidR="005749C0" w:rsidRPr="0090016E" w:rsidRDefault="00000000" w:rsidP="00BB010B">
            <w:pPr>
              <w:spacing w:before="100" w:beforeAutospacing="1" w:after="100" w:afterAutospacing="1"/>
              <w:rPr>
                <w:color w:val="000000" w:themeColor="text1"/>
              </w:rPr>
            </w:pPr>
            <w:r w:rsidRPr="0090016E">
              <w:rPr>
                <w:b/>
                <w:bCs/>
                <w:color w:val="000000" w:themeColor="text1"/>
                <w:sz w:val="18"/>
                <w:szCs w:val="18"/>
              </w:rPr>
              <w:t>Consequence for interpretation</w:t>
            </w:r>
          </w:p>
        </w:tc>
        <w:tc>
          <w:tcPr>
            <w:tcW w:w="2400" w:type="dxa"/>
            <w:shd w:val="clear" w:color="auto" w:fill="D9D9D9"/>
            <w:vAlign w:val="center"/>
          </w:tcPr>
          <w:p w14:paraId="47363C73" w14:textId="77777777" w:rsidR="005749C0" w:rsidRPr="0090016E" w:rsidRDefault="00000000" w:rsidP="00BB010B">
            <w:pPr>
              <w:spacing w:before="100" w:beforeAutospacing="1" w:after="100" w:afterAutospacing="1"/>
              <w:rPr>
                <w:color w:val="000000" w:themeColor="text1"/>
              </w:rPr>
            </w:pPr>
            <w:r w:rsidRPr="0090016E">
              <w:rPr>
                <w:b/>
                <w:bCs/>
                <w:color w:val="000000" w:themeColor="text1"/>
                <w:sz w:val="18"/>
                <w:szCs w:val="18"/>
              </w:rPr>
              <w:t>Supporting references</w:t>
            </w:r>
          </w:p>
        </w:tc>
      </w:tr>
      <w:tr w:rsidR="005749C0" w:rsidRPr="0090016E" w14:paraId="1BD6741D" w14:textId="77777777" w:rsidTr="00F867AF">
        <w:tc>
          <w:tcPr>
            <w:tcW w:w="2200" w:type="dxa"/>
            <w:vAlign w:val="center"/>
          </w:tcPr>
          <w:p w14:paraId="21AFD77D" w14:textId="77777777" w:rsidR="005749C0" w:rsidRPr="0090016E" w:rsidRDefault="00000000" w:rsidP="00BB010B">
            <w:pPr>
              <w:spacing w:before="100" w:beforeAutospacing="1" w:after="100" w:afterAutospacing="1"/>
              <w:rPr>
                <w:color w:val="000000" w:themeColor="text1"/>
              </w:rPr>
            </w:pPr>
            <w:r w:rsidRPr="0090016E">
              <w:rPr>
                <w:color w:val="000000" w:themeColor="text1"/>
                <w:sz w:val="18"/>
                <w:szCs w:val="18"/>
              </w:rPr>
              <w:t>Species and model heterogeneity</w:t>
            </w:r>
          </w:p>
        </w:tc>
        <w:tc>
          <w:tcPr>
            <w:tcW w:w="2800" w:type="dxa"/>
            <w:vAlign w:val="center"/>
          </w:tcPr>
          <w:p w14:paraId="71EAA71B" w14:textId="77777777" w:rsidR="005749C0" w:rsidRPr="0090016E" w:rsidRDefault="00000000" w:rsidP="00BB010B">
            <w:pPr>
              <w:spacing w:before="100" w:beforeAutospacing="1" w:after="100" w:afterAutospacing="1"/>
              <w:rPr>
                <w:color w:val="000000" w:themeColor="text1"/>
              </w:rPr>
            </w:pPr>
            <w:r w:rsidRPr="0090016E">
              <w:rPr>
                <w:color w:val="000000" w:themeColor="text1"/>
                <w:sz w:val="18"/>
                <w:szCs w:val="18"/>
              </w:rPr>
              <w:t>Majority of mechanistic data from murine splenocytes/thymocytes; human data concentrated in PBMCs and cell lines</w:t>
            </w:r>
          </w:p>
        </w:tc>
        <w:tc>
          <w:tcPr>
            <w:tcW w:w="2800" w:type="dxa"/>
            <w:vAlign w:val="center"/>
          </w:tcPr>
          <w:p w14:paraId="5219A8B3" w14:textId="77777777" w:rsidR="005749C0" w:rsidRPr="0090016E" w:rsidRDefault="00000000" w:rsidP="00BB010B">
            <w:pPr>
              <w:spacing w:before="100" w:beforeAutospacing="1" w:after="100" w:afterAutospacing="1"/>
              <w:rPr>
                <w:color w:val="000000" w:themeColor="text1"/>
              </w:rPr>
            </w:pPr>
            <w:r w:rsidRPr="0090016E">
              <w:rPr>
                <w:color w:val="000000" w:themeColor="text1"/>
                <w:sz w:val="18"/>
                <w:szCs w:val="18"/>
              </w:rPr>
              <w:t>Uncertain generalisability of apoptosis and MDSC findings to human tissue-resident immune populations</w:t>
            </w:r>
          </w:p>
        </w:tc>
        <w:tc>
          <w:tcPr>
            <w:tcW w:w="2400" w:type="dxa"/>
            <w:vAlign w:val="center"/>
          </w:tcPr>
          <w:p w14:paraId="3D69B877" w14:textId="77777777" w:rsidR="005749C0" w:rsidRPr="0090016E" w:rsidRDefault="00000000" w:rsidP="00BB010B">
            <w:pPr>
              <w:spacing w:before="100" w:beforeAutospacing="1" w:after="100" w:afterAutospacing="1"/>
              <w:rPr>
                <w:color w:val="000000" w:themeColor="text1"/>
              </w:rPr>
            </w:pPr>
            <w:proofErr w:type="spellStart"/>
            <w:r w:rsidRPr="0090016E">
              <w:rPr>
                <w:color w:val="000000" w:themeColor="text1"/>
                <w:sz w:val="18"/>
                <w:szCs w:val="18"/>
              </w:rPr>
              <w:t>McKallip</w:t>
            </w:r>
            <w:proofErr w:type="spellEnd"/>
            <w:r w:rsidRPr="0090016E">
              <w:rPr>
                <w:color w:val="000000" w:themeColor="text1"/>
                <w:sz w:val="18"/>
                <w:szCs w:val="18"/>
              </w:rPr>
              <w:t xml:space="preserve"> et al., 2002b; Hegde et al., 2010</w:t>
            </w:r>
          </w:p>
        </w:tc>
      </w:tr>
      <w:tr w:rsidR="005749C0" w:rsidRPr="0090016E" w14:paraId="01541958" w14:textId="77777777" w:rsidTr="00F867AF">
        <w:tc>
          <w:tcPr>
            <w:tcW w:w="2200" w:type="dxa"/>
            <w:vAlign w:val="center"/>
          </w:tcPr>
          <w:p w14:paraId="0D314FEF" w14:textId="77777777" w:rsidR="005749C0" w:rsidRPr="0090016E" w:rsidRDefault="00000000" w:rsidP="00BB010B">
            <w:pPr>
              <w:spacing w:before="100" w:beforeAutospacing="1" w:after="100" w:afterAutospacing="1"/>
              <w:rPr>
                <w:color w:val="000000" w:themeColor="text1"/>
              </w:rPr>
            </w:pPr>
            <w:r w:rsidRPr="0090016E">
              <w:rPr>
                <w:color w:val="000000" w:themeColor="text1"/>
                <w:sz w:val="18"/>
                <w:szCs w:val="18"/>
              </w:rPr>
              <w:t>Ligand and dose heterogeneity</w:t>
            </w:r>
          </w:p>
        </w:tc>
        <w:tc>
          <w:tcPr>
            <w:tcW w:w="2800" w:type="dxa"/>
            <w:vAlign w:val="center"/>
          </w:tcPr>
          <w:p w14:paraId="37D43DAB" w14:textId="77777777" w:rsidR="005749C0" w:rsidRPr="0090016E" w:rsidRDefault="00000000" w:rsidP="00BB010B">
            <w:pPr>
              <w:spacing w:before="100" w:beforeAutospacing="1" w:after="100" w:afterAutospacing="1"/>
              <w:rPr>
                <w:color w:val="000000" w:themeColor="text1"/>
              </w:rPr>
            </w:pPr>
            <w:r w:rsidRPr="0090016E">
              <w:rPr>
                <w:color w:val="000000" w:themeColor="text1"/>
                <w:sz w:val="18"/>
                <w:szCs w:val="18"/>
              </w:rPr>
              <w:t>Wide range of THC/CBD concentrations, synthetic agonists, and exposure durations across studies</w:t>
            </w:r>
          </w:p>
        </w:tc>
        <w:tc>
          <w:tcPr>
            <w:tcW w:w="2800" w:type="dxa"/>
            <w:vAlign w:val="center"/>
          </w:tcPr>
          <w:p w14:paraId="644EABA6" w14:textId="77777777" w:rsidR="005749C0" w:rsidRPr="0090016E" w:rsidRDefault="00000000" w:rsidP="00BB010B">
            <w:pPr>
              <w:spacing w:before="100" w:beforeAutospacing="1" w:after="100" w:afterAutospacing="1"/>
              <w:rPr>
                <w:color w:val="000000" w:themeColor="text1"/>
              </w:rPr>
            </w:pPr>
            <w:r w:rsidRPr="0090016E">
              <w:rPr>
                <w:color w:val="000000" w:themeColor="text1"/>
                <w:sz w:val="18"/>
                <w:szCs w:val="18"/>
              </w:rPr>
              <w:t>Findings at supraphysiological concentrations may not reflect effects of typical human cannabis exposure</w:t>
            </w:r>
          </w:p>
        </w:tc>
        <w:tc>
          <w:tcPr>
            <w:tcW w:w="2400" w:type="dxa"/>
            <w:vAlign w:val="center"/>
          </w:tcPr>
          <w:p w14:paraId="391BFA0A" w14:textId="77777777" w:rsidR="005749C0" w:rsidRPr="0090016E" w:rsidRDefault="00000000" w:rsidP="00BB010B">
            <w:pPr>
              <w:spacing w:before="100" w:beforeAutospacing="1" w:after="100" w:afterAutospacing="1"/>
              <w:rPr>
                <w:color w:val="000000" w:themeColor="text1"/>
              </w:rPr>
            </w:pPr>
            <w:r w:rsidRPr="0090016E">
              <w:rPr>
                <w:color w:val="000000" w:themeColor="text1"/>
                <w:sz w:val="18"/>
                <w:szCs w:val="18"/>
              </w:rPr>
              <w:t>Robinson et al., 2015; Nagarkatti et al., 2009</w:t>
            </w:r>
          </w:p>
        </w:tc>
      </w:tr>
      <w:tr w:rsidR="005749C0" w:rsidRPr="0090016E" w14:paraId="5C004EE2" w14:textId="77777777" w:rsidTr="00F867AF">
        <w:tc>
          <w:tcPr>
            <w:tcW w:w="2200" w:type="dxa"/>
            <w:vAlign w:val="center"/>
          </w:tcPr>
          <w:p w14:paraId="125CF1EE" w14:textId="77777777" w:rsidR="005749C0" w:rsidRPr="0090016E" w:rsidRDefault="00000000" w:rsidP="00BB010B">
            <w:pPr>
              <w:spacing w:before="100" w:beforeAutospacing="1" w:after="100" w:afterAutospacing="1"/>
              <w:rPr>
                <w:color w:val="000000" w:themeColor="text1"/>
              </w:rPr>
            </w:pPr>
            <w:r w:rsidRPr="0090016E">
              <w:rPr>
                <w:color w:val="000000" w:themeColor="text1"/>
                <w:sz w:val="18"/>
                <w:szCs w:val="18"/>
              </w:rPr>
              <w:t>Receptor-attribution methods</w:t>
            </w:r>
          </w:p>
        </w:tc>
        <w:tc>
          <w:tcPr>
            <w:tcW w:w="2800" w:type="dxa"/>
            <w:vAlign w:val="center"/>
          </w:tcPr>
          <w:p w14:paraId="12B9EA57" w14:textId="77777777" w:rsidR="005749C0" w:rsidRPr="0090016E" w:rsidRDefault="00000000" w:rsidP="00BB010B">
            <w:pPr>
              <w:spacing w:before="100" w:beforeAutospacing="1" w:after="100" w:afterAutospacing="1"/>
              <w:rPr>
                <w:color w:val="000000" w:themeColor="text1"/>
              </w:rPr>
            </w:pPr>
            <w:r w:rsidRPr="0090016E">
              <w:rPr>
                <w:color w:val="000000" w:themeColor="text1"/>
                <w:sz w:val="18"/>
                <w:szCs w:val="18"/>
              </w:rPr>
              <w:t>Reliance on pharmacological antagonism rather than genetic knockout in a subset of studies</w:t>
            </w:r>
          </w:p>
        </w:tc>
        <w:tc>
          <w:tcPr>
            <w:tcW w:w="2800" w:type="dxa"/>
            <w:vAlign w:val="center"/>
          </w:tcPr>
          <w:p w14:paraId="015FD766" w14:textId="77777777" w:rsidR="005749C0" w:rsidRPr="0090016E" w:rsidRDefault="00000000" w:rsidP="00BB010B">
            <w:pPr>
              <w:spacing w:before="100" w:beforeAutospacing="1" w:after="100" w:afterAutospacing="1"/>
              <w:rPr>
                <w:color w:val="000000" w:themeColor="text1"/>
              </w:rPr>
            </w:pPr>
            <w:r w:rsidRPr="0090016E">
              <w:rPr>
                <w:color w:val="000000" w:themeColor="text1"/>
                <w:sz w:val="18"/>
                <w:szCs w:val="18"/>
              </w:rPr>
              <w:t>Risk of off-target or partial-selectivity confounding in mechanistic attribution</w:t>
            </w:r>
          </w:p>
        </w:tc>
        <w:tc>
          <w:tcPr>
            <w:tcW w:w="2400" w:type="dxa"/>
            <w:vAlign w:val="center"/>
          </w:tcPr>
          <w:p w14:paraId="54D72055" w14:textId="77777777" w:rsidR="005749C0" w:rsidRPr="0090016E" w:rsidRDefault="00000000" w:rsidP="00BB010B">
            <w:pPr>
              <w:spacing w:before="100" w:beforeAutospacing="1" w:after="100" w:afterAutospacing="1"/>
              <w:rPr>
                <w:color w:val="000000" w:themeColor="text1"/>
              </w:rPr>
            </w:pPr>
            <w:proofErr w:type="spellStart"/>
            <w:r w:rsidRPr="0090016E">
              <w:rPr>
                <w:color w:val="000000" w:themeColor="text1"/>
                <w:sz w:val="18"/>
                <w:szCs w:val="18"/>
              </w:rPr>
              <w:t>Cuddihey</w:t>
            </w:r>
            <w:proofErr w:type="spellEnd"/>
            <w:r w:rsidRPr="0090016E">
              <w:rPr>
                <w:color w:val="000000" w:themeColor="text1"/>
                <w:sz w:val="18"/>
                <w:szCs w:val="18"/>
              </w:rPr>
              <w:t xml:space="preserve"> et al., 2022</w:t>
            </w:r>
          </w:p>
        </w:tc>
      </w:tr>
      <w:tr w:rsidR="005749C0" w:rsidRPr="0090016E" w14:paraId="491229D1" w14:textId="77777777" w:rsidTr="00F867AF">
        <w:tc>
          <w:tcPr>
            <w:tcW w:w="2200" w:type="dxa"/>
            <w:vAlign w:val="center"/>
          </w:tcPr>
          <w:p w14:paraId="12DF1450" w14:textId="77777777" w:rsidR="005749C0" w:rsidRPr="0090016E" w:rsidRDefault="00000000" w:rsidP="00BB010B">
            <w:pPr>
              <w:spacing w:before="100" w:beforeAutospacing="1" w:after="100" w:afterAutospacing="1"/>
              <w:rPr>
                <w:color w:val="000000" w:themeColor="text1"/>
              </w:rPr>
            </w:pPr>
            <w:r w:rsidRPr="0090016E">
              <w:rPr>
                <w:color w:val="000000" w:themeColor="text1"/>
                <w:sz w:val="18"/>
                <w:szCs w:val="18"/>
              </w:rPr>
              <w:t>Confounding in human epidemiological data</w:t>
            </w:r>
          </w:p>
        </w:tc>
        <w:tc>
          <w:tcPr>
            <w:tcW w:w="2800" w:type="dxa"/>
            <w:vAlign w:val="center"/>
          </w:tcPr>
          <w:p w14:paraId="131AFD3C" w14:textId="77777777" w:rsidR="005749C0" w:rsidRPr="0090016E" w:rsidRDefault="00000000" w:rsidP="00BB010B">
            <w:pPr>
              <w:spacing w:before="100" w:beforeAutospacing="1" w:after="100" w:afterAutospacing="1"/>
              <w:rPr>
                <w:color w:val="000000" w:themeColor="text1"/>
              </w:rPr>
            </w:pPr>
            <w:r w:rsidRPr="0090016E">
              <w:rPr>
                <w:color w:val="000000" w:themeColor="text1"/>
                <w:sz w:val="18"/>
                <w:szCs w:val="18"/>
              </w:rPr>
              <w:t>Co-use of tobacco, other substances, and route-of-administration heterogeneity rarely fully adjusted for</w:t>
            </w:r>
          </w:p>
        </w:tc>
        <w:tc>
          <w:tcPr>
            <w:tcW w:w="2800" w:type="dxa"/>
            <w:vAlign w:val="center"/>
          </w:tcPr>
          <w:p w14:paraId="0D7194CE" w14:textId="77777777" w:rsidR="005749C0" w:rsidRPr="0090016E" w:rsidRDefault="00000000" w:rsidP="00BB010B">
            <w:pPr>
              <w:spacing w:before="100" w:beforeAutospacing="1" w:after="100" w:afterAutospacing="1"/>
              <w:rPr>
                <w:color w:val="000000" w:themeColor="text1"/>
              </w:rPr>
            </w:pPr>
            <w:r w:rsidRPr="0090016E">
              <w:rPr>
                <w:color w:val="000000" w:themeColor="text1"/>
                <w:sz w:val="18"/>
                <w:szCs w:val="18"/>
              </w:rPr>
              <w:t>Difficulty isolating cannabinoid-specific immune effects from combustion products or polysubstance use</w:t>
            </w:r>
          </w:p>
        </w:tc>
        <w:tc>
          <w:tcPr>
            <w:tcW w:w="2400" w:type="dxa"/>
            <w:vAlign w:val="center"/>
          </w:tcPr>
          <w:p w14:paraId="59666A8B" w14:textId="77777777" w:rsidR="005749C0" w:rsidRPr="0090016E" w:rsidRDefault="00000000" w:rsidP="00BB010B">
            <w:pPr>
              <w:spacing w:before="100" w:beforeAutospacing="1" w:after="100" w:afterAutospacing="1"/>
              <w:rPr>
                <w:color w:val="000000" w:themeColor="text1"/>
              </w:rPr>
            </w:pPr>
            <w:r w:rsidRPr="0090016E">
              <w:rPr>
                <w:color w:val="000000" w:themeColor="text1"/>
                <w:sz w:val="18"/>
                <w:szCs w:val="18"/>
              </w:rPr>
              <w:t>Hughes Kramer et al., 2026; Preteroti et al., 2023</w:t>
            </w:r>
          </w:p>
        </w:tc>
      </w:tr>
      <w:tr w:rsidR="005749C0" w:rsidRPr="0090016E" w14:paraId="74651FC2" w14:textId="77777777" w:rsidTr="00F867AF">
        <w:tc>
          <w:tcPr>
            <w:tcW w:w="2200" w:type="dxa"/>
            <w:vAlign w:val="center"/>
          </w:tcPr>
          <w:p w14:paraId="58DB102A" w14:textId="77777777" w:rsidR="005749C0" w:rsidRPr="0090016E" w:rsidRDefault="00000000" w:rsidP="00BB010B">
            <w:pPr>
              <w:spacing w:before="100" w:beforeAutospacing="1" w:after="100" w:afterAutospacing="1"/>
              <w:rPr>
                <w:color w:val="000000" w:themeColor="text1"/>
              </w:rPr>
            </w:pPr>
            <w:r w:rsidRPr="0090016E">
              <w:rPr>
                <w:color w:val="000000" w:themeColor="text1"/>
                <w:sz w:val="18"/>
                <w:szCs w:val="18"/>
              </w:rPr>
              <w:t>Small clinical trial sample sizes</w:t>
            </w:r>
          </w:p>
        </w:tc>
        <w:tc>
          <w:tcPr>
            <w:tcW w:w="2800" w:type="dxa"/>
            <w:vAlign w:val="center"/>
          </w:tcPr>
          <w:p w14:paraId="670801E8" w14:textId="77777777" w:rsidR="005749C0" w:rsidRPr="0090016E" w:rsidRDefault="00000000" w:rsidP="00BB010B">
            <w:pPr>
              <w:spacing w:before="100" w:beforeAutospacing="1" w:after="100" w:afterAutospacing="1"/>
              <w:rPr>
                <w:color w:val="000000" w:themeColor="text1"/>
              </w:rPr>
            </w:pPr>
            <w:r w:rsidRPr="0090016E">
              <w:rPr>
                <w:color w:val="000000" w:themeColor="text1"/>
                <w:sz w:val="18"/>
                <w:szCs w:val="18"/>
              </w:rPr>
              <w:t>IBD and multiple sclerosis cannabinoid trials typically enrol fewer than 50 participants</w:t>
            </w:r>
          </w:p>
        </w:tc>
        <w:tc>
          <w:tcPr>
            <w:tcW w:w="2800" w:type="dxa"/>
            <w:vAlign w:val="center"/>
          </w:tcPr>
          <w:p w14:paraId="393E1BA4" w14:textId="77777777" w:rsidR="005749C0" w:rsidRPr="0090016E" w:rsidRDefault="00000000" w:rsidP="00BB010B">
            <w:pPr>
              <w:spacing w:before="100" w:beforeAutospacing="1" w:after="100" w:afterAutospacing="1"/>
              <w:rPr>
                <w:color w:val="000000" w:themeColor="text1"/>
              </w:rPr>
            </w:pPr>
            <w:r w:rsidRPr="0090016E">
              <w:rPr>
                <w:color w:val="000000" w:themeColor="text1"/>
                <w:sz w:val="18"/>
                <w:szCs w:val="18"/>
              </w:rPr>
              <w:t>Limited power to detect immunological or endoscopic endpoints distinct from symptomatic improvement</w:t>
            </w:r>
          </w:p>
        </w:tc>
        <w:tc>
          <w:tcPr>
            <w:tcW w:w="2400" w:type="dxa"/>
            <w:vAlign w:val="center"/>
          </w:tcPr>
          <w:p w14:paraId="1EB72DCF" w14:textId="77777777" w:rsidR="005749C0" w:rsidRPr="0090016E" w:rsidRDefault="00000000" w:rsidP="00BB010B">
            <w:pPr>
              <w:spacing w:before="100" w:beforeAutospacing="1" w:after="100" w:afterAutospacing="1"/>
              <w:rPr>
                <w:color w:val="000000" w:themeColor="text1"/>
              </w:rPr>
            </w:pPr>
            <w:r w:rsidRPr="0090016E">
              <w:rPr>
                <w:color w:val="000000" w:themeColor="text1"/>
                <w:sz w:val="18"/>
                <w:szCs w:val="18"/>
              </w:rPr>
              <w:t>Naftali et al., 2021</w:t>
            </w:r>
          </w:p>
        </w:tc>
      </w:tr>
      <w:tr w:rsidR="005749C0" w:rsidRPr="0090016E" w14:paraId="7A3020FA" w14:textId="77777777" w:rsidTr="00F867AF">
        <w:tc>
          <w:tcPr>
            <w:tcW w:w="2200" w:type="dxa"/>
            <w:vAlign w:val="center"/>
          </w:tcPr>
          <w:p w14:paraId="66805334" w14:textId="77777777" w:rsidR="005749C0" w:rsidRPr="0090016E" w:rsidRDefault="00000000" w:rsidP="00BB010B">
            <w:pPr>
              <w:spacing w:before="100" w:beforeAutospacing="1" w:after="100" w:afterAutospacing="1"/>
              <w:rPr>
                <w:color w:val="000000" w:themeColor="text1"/>
              </w:rPr>
            </w:pPr>
            <w:r w:rsidRPr="0090016E">
              <w:rPr>
                <w:color w:val="000000" w:themeColor="text1"/>
                <w:sz w:val="18"/>
                <w:szCs w:val="18"/>
              </w:rPr>
              <w:t>Publication and ascertainment bias toward severe/index cases</w:t>
            </w:r>
          </w:p>
        </w:tc>
        <w:tc>
          <w:tcPr>
            <w:tcW w:w="2800" w:type="dxa"/>
            <w:vAlign w:val="center"/>
          </w:tcPr>
          <w:p w14:paraId="6404EA4C" w14:textId="77777777" w:rsidR="005749C0" w:rsidRPr="0090016E" w:rsidRDefault="00000000" w:rsidP="00BB010B">
            <w:pPr>
              <w:spacing w:before="100" w:beforeAutospacing="1" w:after="100" w:afterAutospacing="1"/>
              <w:rPr>
                <w:color w:val="000000" w:themeColor="text1"/>
              </w:rPr>
            </w:pPr>
            <w:r w:rsidRPr="0090016E">
              <w:rPr>
                <w:color w:val="000000" w:themeColor="text1"/>
                <w:sz w:val="18"/>
                <w:szCs w:val="18"/>
              </w:rPr>
              <w:t>Cannabis-associated infections reported almost exclusively as case reports in immunocompromised hosts</w:t>
            </w:r>
          </w:p>
        </w:tc>
        <w:tc>
          <w:tcPr>
            <w:tcW w:w="2800" w:type="dxa"/>
            <w:vAlign w:val="center"/>
          </w:tcPr>
          <w:p w14:paraId="2B9D61D8" w14:textId="77777777" w:rsidR="005749C0" w:rsidRPr="0090016E" w:rsidRDefault="00000000" w:rsidP="00BB010B">
            <w:pPr>
              <w:spacing w:before="100" w:beforeAutospacing="1" w:after="100" w:afterAutospacing="1"/>
              <w:rPr>
                <w:color w:val="000000" w:themeColor="text1"/>
              </w:rPr>
            </w:pPr>
            <w:r w:rsidRPr="0090016E">
              <w:rPr>
                <w:color w:val="000000" w:themeColor="text1"/>
                <w:sz w:val="18"/>
                <w:szCs w:val="18"/>
              </w:rPr>
              <w:t>True population-level infection risk likely under- or over-estimated relative to case-report signal</w:t>
            </w:r>
          </w:p>
        </w:tc>
        <w:tc>
          <w:tcPr>
            <w:tcW w:w="2400" w:type="dxa"/>
            <w:vAlign w:val="center"/>
          </w:tcPr>
          <w:p w14:paraId="4FBF5517" w14:textId="77777777" w:rsidR="005749C0" w:rsidRPr="0090016E" w:rsidRDefault="00000000" w:rsidP="00BB010B">
            <w:pPr>
              <w:spacing w:before="100" w:beforeAutospacing="1" w:after="100" w:afterAutospacing="1"/>
              <w:rPr>
                <w:color w:val="000000" w:themeColor="text1"/>
              </w:rPr>
            </w:pPr>
            <w:r w:rsidRPr="0090016E">
              <w:rPr>
                <w:color w:val="000000" w:themeColor="text1"/>
                <w:sz w:val="18"/>
                <w:szCs w:val="18"/>
              </w:rPr>
              <w:t>Hughes Kramer et al., 2026</w:t>
            </w:r>
          </w:p>
        </w:tc>
      </w:tr>
    </w:tbl>
    <w:p w14:paraId="236E1DEB" w14:textId="77777777" w:rsidR="005749C0" w:rsidRPr="0090016E" w:rsidRDefault="00000000" w:rsidP="00BB010B">
      <w:pPr>
        <w:pStyle w:val="Heading1"/>
        <w:spacing w:before="100" w:beforeAutospacing="1" w:after="100" w:afterAutospacing="1"/>
        <w:rPr>
          <w:color w:val="000000" w:themeColor="text1"/>
        </w:rPr>
      </w:pPr>
      <w:r w:rsidRPr="0090016E">
        <w:rPr>
          <w:b/>
          <w:bCs/>
          <w:color w:val="000000" w:themeColor="text1"/>
          <w:sz w:val="28"/>
          <w:szCs w:val="28"/>
        </w:rPr>
        <w:lastRenderedPageBreak/>
        <w:t>8. The Endocannabinoid System, Mucosal Barrier Integrity, and the Gut-Microbiome Axis</w:t>
      </w:r>
    </w:p>
    <w:p w14:paraId="527E8707" w14:textId="77777777" w:rsidR="005749C0" w:rsidRPr="0090016E" w:rsidRDefault="00000000" w:rsidP="00BB010B">
      <w:pPr>
        <w:spacing w:before="100" w:beforeAutospacing="1" w:after="100" w:afterAutospacing="1"/>
        <w:jc w:val="both"/>
        <w:rPr>
          <w:color w:val="000000" w:themeColor="text1"/>
        </w:rPr>
      </w:pPr>
      <w:r w:rsidRPr="0090016E">
        <w:rPr>
          <w:color w:val="000000" w:themeColor="text1"/>
        </w:rPr>
        <w:t xml:space="preserve">The intestinal mucosa provides one of the clearest illustrations of the endocannabinoid system operating as a genuine homeostatic, rather than uniformly suppressive, regulator of immune function. Intestinal epithelial cells secrete N-acyl ethanolamine endocannabinoids apically through the multidrug resistance transporter P-glycoprotein, generating a constitutive luminal signal that engages CB2 on neutrophils to restrain their transepithelial migration in the steady state, thereby counterbalancing the pro-migratory eicosanoid </w:t>
      </w:r>
      <w:proofErr w:type="spellStart"/>
      <w:r w:rsidRPr="0090016E">
        <w:rPr>
          <w:color w:val="000000" w:themeColor="text1"/>
        </w:rPr>
        <w:t>hepoxilin</w:t>
      </w:r>
      <w:proofErr w:type="spellEnd"/>
      <w:r w:rsidRPr="0090016E">
        <w:rPr>
          <w:color w:val="000000" w:themeColor="text1"/>
        </w:rPr>
        <w:t xml:space="preserve"> A3 secreted through a separate apical transporter, multidrug resistance protein 2 (Szabady et al., 2018). During active infection, P-glycoprotein expression is downregulated, endocannabinoid secretion falls, and the </w:t>
      </w:r>
      <w:proofErr w:type="spellStart"/>
      <w:r w:rsidRPr="0090016E">
        <w:rPr>
          <w:color w:val="000000" w:themeColor="text1"/>
        </w:rPr>
        <w:t>hepoxilin</w:t>
      </w:r>
      <w:proofErr w:type="spellEnd"/>
      <w:r w:rsidRPr="0090016E">
        <w:rPr>
          <w:color w:val="000000" w:themeColor="text1"/>
        </w:rPr>
        <w:t xml:space="preserve"> A3-driven pro-inflammatory pathway is permitted to dominate, allowing the necessary influx of neutrophils to combat the pathogen; the endocannabinoid pathway thus functions as a molecular brake whose release, rather than whose activation, permits an appropriate acute inflammatory response, a genuinely homeostatic rather than one-directional regulatory logic (</w:t>
      </w:r>
      <w:proofErr w:type="spellStart"/>
      <w:r w:rsidRPr="0090016E">
        <w:rPr>
          <w:color w:val="000000" w:themeColor="text1"/>
        </w:rPr>
        <w:t>Cuddihey</w:t>
      </w:r>
      <w:proofErr w:type="spellEnd"/>
      <w:r w:rsidRPr="0090016E">
        <w:rPr>
          <w:color w:val="000000" w:themeColor="text1"/>
        </w:rPr>
        <w:t xml:space="preserve"> et al., 2022).</w:t>
      </w:r>
    </w:p>
    <w:p w14:paraId="5B0EFC65" w14:textId="77777777" w:rsidR="005749C0" w:rsidRPr="0090016E" w:rsidRDefault="00000000" w:rsidP="00BB010B">
      <w:pPr>
        <w:spacing w:before="100" w:beforeAutospacing="1" w:after="100" w:afterAutospacing="1"/>
        <w:jc w:val="both"/>
        <w:rPr>
          <w:color w:val="000000" w:themeColor="text1"/>
        </w:rPr>
      </w:pPr>
      <w:r w:rsidRPr="0090016E">
        <w:rPr>
          <w:color w:val="000000" w:themeColor="text1"/>
        </w:rPr>
        <w:t>This homeostatic framing is reinforced by the observation that CB2-deficient mice display increased pathology and neutrophil infiltration specifically in models of acute intestinal inflammation, a phenotype consistent with loss of the endocannabinoid brake rather than with a simple gain of inflammatory signalling (Szabady et al., 2018). The endocannabinoid system additionally intersects with the intestinal microbiota in a bidirectional relationship: microbial metabolites influence local endocannabinoid tone, and endocannabinoid signalling in turn shapes epithelial barrier integrity and the composition of the resident microbial community, a relationship most extensively characterised in the context of obesity and metabolic disease but with direct relevance to the immunoregulatory environment of the gut in inflammatory bowel disease (</w:t>
      </w:r>
      <w:proofErr w:type="spellStart"/>
      <w:r w:rsidRPr="0090016E">
        <w:rPr>
          <w:color w:val="000000" w:themeColor="text1"/>
        </w:rPr>
        <w:t>Cuddihey</w:t>
      </w:r>
      <w:proofErr w:type="spellEnd"/>
      <w:r w:rsidRPr="0090016E">
        <w:rPr>
          <w:color w:val="000000" w:themeColor="text1"/>
        </w:rPr>
        <w:t xml:space="preserve"> et al., 2022).</w:t>
      </w:r>
    </w:p>
    <w:p w14:paraId="68F59B43" w14:textId="77777777" w:rsidR="005749C0" w:rsidRPr="0090016E" w:rsidRDefault="00000000" w:rsidP="00BB010B">
      <w:pPr>
        <w:spacing w:before="100" w:beforeAutospacing="1" w:after="100" w:afterAutospacing="1"/>
        <w:jc w:val="both"/>
        <w:rPr>
          <w:color w:val="000000" w:themeColor="text1"/>
        </w:rPr>
      </w:pPr>
      <w:r w:rsidRPr="0090016E">
        <w:rPr>
          <w:color w:val="000000" w:themeColor="text1"/>
        </w:rPr>
        <w:t xml:space="preserve">Clinical translation of this mucosal mechanism into therapeutic benefit for inflammatory bowel disease has been only partially successful. In a randomised, double-blind, placebo-controlled trial, inhaled THC-rich cannabis produced clinical remission, measured by the </w:t>
      </w:r>
      <w:proofErr w:type="spellStart"/>
      <w:r w:rsidRPr="0090016E">
        <w:rPr>
          <w:color w:val="000000" w:themeColor="text1"/>
        </w:rPr>
        <w:t>Lichtiger</w:t>
      </w:r>
      <w:proofErr w:type="spellEnd"/>
      <w:r w:rsidRPr="0090016E">
        <w:rPr>
          <w:color w:val="000000" w:themeColor="text1"/>
        </w:rPr>
        <w:t xml:space="preserve"> disease activity index, and improved quality of life in patients with mild to moderately active ulcerative colitis, but these clinical benefits were not accompanied by a statistically significant improvement in the Mayo endoscopic score or in inflammatory laboratory markers such as C-reactive protein, indicating a dissociation between patient-reported and objective inflammatory outcomes (Naftali et al., 2021). This pattern, symptomatic improvement without confirmed mucosal healing, recurs across the small number of published randomised trials of cannabinoids in Crohn’s disease and ulcerative colitis and represents one of the clearest points of tension between the mechanistic evidence for endocannabinoid-mediated restraint of neutrophil-driven mucosal inflammation and the clinical trial evidence for cannabis as a disease-modifying therapy, a tension addressed further in Section 9.</w:t>
      </w:r>
    </w:p>
    <w:p w14:paraId="31523ABF" w14:textId="77777777" w:rsidR="005749C0" w:rsidRPr="0090016E" w:rsidRDefault="00000000" w:rsidP="00BB010B">
      <w:pPr>
        <w:pStyle w:val="Heading1"/>
        <w:spacing w:before="100" w:beforeAutospacing="1" w:after="100" w:afterAutospacing="1"/>
        <w:rPr>
          <w:color w:val="000000" w:themeColor="text1"/>
        </w:rPr>
      </w:pPr>
      <w:r w:rsidRPr="0090016E">
        <w:rPr>
          <w:b/>
          <w:bCs/>
          <w:color w:val="000000" w:themeColor="text1"/>
          <w:sz w:val="28"/>
          <w:szCs w:val="28"/>
        </w:rPr>
        <w:t>9. Clinical and Translational Correlates: Autoimmune Disease, Infection Risk, and Pulmonary Immunity</w:t>
      </w:r>
    </w:p>
    <w:p w14:paraId="3AA49052" w14:textId="77777777" w:rsidR="005749C0" w:rsidRPr="0090016E" w:rsidRDefault="00000000" w:rsidP="00BB010B">
      <w:pPr>
        <w:spacing w:before="100" w:beforeAutospacing="1" w:after="100" w:afterAutospacing="1"/>
        <w:jc w:val="both"/>
        <w:rPr>
          <w:color w:val="000000" w:themeColor="text1"/>
        </w:rPr>
      </w:pPr>
      <w:r w:rsidRPr="0090016E">
        <w:rPr>
          <w:color w:val="000000" w:themeColor="text1"/>
        </w:rPr>
        <w:t xml:space="preserve">The central nervous system autoimmune disease multiple sclerosis provides the clearest example of cannabinoid receptor mechanism translating into an approved clinical intervention, albeit one directed principally at symptom control rather than immune-mediated disease modification. Using the experimental autoimmune encephalomyelitis model, CB1 receptor expression on neurons, but not on T </w:t>
      </w:r>
      <w:r w:rsidRPr="0090016E">
        <w:rPr>
          <w:color w:val="000000" w:themeColor="text1"/>
        </w:rPr>
        <w:lastRenderedPageBreak/>
        <w:t>cells, has been shown to be required for cannabinoid-mediated suppression of disease, whereas CB2 receptor expression specifically on encephalitogenic T cells is required to control the associated inflammation; CB2-deficient T cells within the central nervous system during experimental autoimmune encephalomyelitis show reduced apoptosis, increased proliferation, and increased inflammatory cytokine production, culminating in more severe clinical disease (</w:t>
      </w:r>
      <w:proofErr w:type="spellStart"/>
      <w:r w:rsidRPr="0090016E">
        <w:rPr>
          <w:color w:val="000000" w:themeColor="text1"/>
        </w:rPr>
        <w:t>Maresz</w:t>
      </w:r>
      <w:proofErr w:type="spellEnd"/>
      <w:r w:rsidRPr="0090016E">
        <w:rPr>
          <w:color w:val="000000" w:themeColor="text1"/>
        </w:rPr>
        <w:t xml:space="preserve"> et al., 2007). This dual-receptor, dual-cell-type mechanism, direct neuroprotection through CB1 and T-cell apoptotic control through CB2, illustrates that the therapeutic actions of cannabinoids in a single autoimmune disease can operate through mechanistically and anatomically distinct pathways acting in the same clinical direction, a more complex picture than a single-receptor account would suggest.</w:t>
      </w:r>
    </w:p>
    <w:p w14:paraId="564178F2" w14:textId="77777777" w:rsidR="005749C0" w:rsidRPr="0090016E" w:rsidRDefault="00000000" w:rsidP="00BB010B">
      <w:pPr>
        <w:spacing w:before="100" w:beforeAutospacing="1" w:after="100" w:afterAutospacing="1"/>
        <w:jc w:val="both"/>
        <w:rPr>
          <w:color w:val="000000" w:themeColor="text1"/>
        </w:rPr>
      </w:pPr>
      <w:r w:rsidRPr="0090016E">
        <w:rPr>
          <w:color w:val="000000" w:themeColor="text1"/>
        </w:rPr>
        <w:t xml:space="preserve">The relationship between chronic cannabis </w:t>
      </w:r>
      <w:proofErr w:type="gramStart"/>
      <w:r w:rsidRPr="0090016E">
        <w:rPr>
          <w:color w:val="000000" w:themeColor="text1"/>
        </w:rPr>
        <w:t>use</w:t>
      </w:r>
      <w:proofErr w:type="gramEnd"/>
      <w:r w:rsidRPr="0090016E">
        <w:rPr>
          <w:color w:val="000000" w:themeColor="text1"/>
        </w:rPr>
        <w:t xml:space="preserve"> and infection risk in humans remains the clinical domain in which mechanistic plausibility and epidemiological confirmation are least well aligned. A comprehensive clinical guidance review for infectious disease clinicians concluded that, despite frequent recovery of fungi and bacteria, including Aspergillus, Penicillium, and Cryptococcus neoformans, from cannabis products, and despite biologically plausible immunosuppressive mechanisms including THC-mediated suppression of T helper 1 cytokines and reduced macrophage activity, definitive evidence directly linking cannabis use to human infection remains limited, with the strongest epidemiological signal derived from a health-insurance claims analysis reporting an adjusted 3.5-fold increased risk of invasive fungal infection among cannabis users, a finding that supports association without establishing causation given the observational design and incomplete adjustment for underlying immunocompromising conditions (Hughes Kramer et al., 2026). Among more than two dozen published case reports of cannabis-associated invasive fungal infection, inhalational exposure predominates, immunocompromised hosts account for a majority of cases, and mortality is substantial in both immunocompromised and non-immunocompromised patients, yet microbiological confirmation linking the specific infecting organism to the patient’s own cannabis supply has been achieved in only a single instance using whole-genome sequencing, underscoring how rarely the mechanistic plausibility of cannabinoid-associated immunosuppression has been corroborated with direct microbiological causation in an individual case (Hughes Kramer et al., 2026).</w:t>
      </w:r>
    </w:p>
    <w:p w14:paraId="28C9CFFB" w14:textId="77777777" w:rsidR="005749C0" w:rsidRPr="0090016E" w:rsidRDefault="00000000" w:rsidP="00BB010B">
      <w:pPr>
        <w:spacing w:before="100" w:beforeAutospacing="1" w:after="100" w:afterAutospacing="1"/>
        <w:jc w:val="both"/>
        <w:rPr>
          <w:color w:val="000000" w:themeColor="text1"/>
        </w:rPr>
      </w:pPr>
      <w:r w:rsidRPr="0090016E">
        <w:rPr>
          <w:color w:val="000000" w:themeColor="text1"/>
        </w:rPr>
        <w:t>Pulmonary immunity presents a related but mechanistically distinguishable picture, in which the immune consequences of inhaled cannabis reflect both the combustion or vaporisation process itself and the direct pharmacological action of cannabinoids on resident lung immune cells. Alveolar macrophages, which express CB2 predominantly among the cannabinoid receptors and constitute the great majority of cells recoverable by bronchoalveolar lavage, show impaired phagocytosis, reduced fungistatic and fungicidal capacity, and blunted pro-inflammatory cytokine and nitric oxide production following chronic cannabis smoke exposure in human bronchoalveolar lavage studies, alongside evidence from experimental models of suppressed lymphocyte activation and decreased T helper 1 and T helper 17 lineage commitment, changes that, combined with impaired mucociliary clearance and progressive replacement of ciliated bronchial epithelium by mucus-secreting hyperplastic epithelium, plausibly contribute to the increased prevalence of community-acquired pneumonia reported among cannabis smokers in retrospective analyses (Preteroti et al., 2023).</w:t>
      </w:r>
    </w:p>
    <w:p w14:paraId="613C9185" w14:textId="77777777" w:rsidR="005749C0" w:rsidRPr="0090016E" w:rsidRDefault="00000000" w:rsidP="00BB010B">
      <w:pPr>
        <w:spacing w:before="100" w:beforeAutospacing="1" w:after="100" w:afterAutospacing="1"/>
        <w:jc w:val="both"/>
        <w:rPr>
          <w:color w:val="000000" w:themeColor="text1"/>
        </w:rPr>
      </w:pPr>
      <w:r w:rsidRPr="0090016E">
        <w:rPr>
          <w:color w:val="000000" w:themeColor="text1"/>
        </w:rPr>
        <w:t xml:space="preserve">Finally, a small but methodologically important body of human evidence has begun to examine the immune consequences of cannabis use directly at the level of circulating leukocyte epigenetics and transcription, rather than through functional assays or infection surveillance alone. An exploratory study comparing adolescents with chronic cannabis use to non-using controls found a lower estimated proportion of circulating B cells among cannabis-using adolescents, with an initially observed increase in granulocyte proportion attenuated after adjustment for past-year tobacco use, while site-specific DNA </w:t>
      </w:r>
      <w:r w:rsidRPr="0090016E">
        <w:rPr>
          <w:color w:val="000000" w:themeColor="text1"/>
        </w:rPr>
        <w:lastRenderedPageBreak/>
        <w:t>methylation and gene expression of common immune cell markers did not differ significantly between groups, a largely null result that stands in some tension with the pronounced epigenetic reprogramming of myeloid-derived suppressor cells documented in murine models and illustrates both the value and the current statistical limitations of applying molecular epigenetic methods to human cannabis-immune research (Plank et al., 2024).</w:t>
      </w:r>
    </w:p>
    <w:p w14:paraId="24CF80F2" w14:textId="3977F55E" w:rsidR="004F03CF" w:rsidRPr="0090016E" w:rsidRDefault="004F03CF" w:rsidP="00BB010B">
      <w:pPr>
        <w:spacing w:before="100" w:beforeAutospacing="1" w:after="100" w:afterAutospacing="1"/>
        <w:jc w:val="both"/>
        <w:rPr>
          <w:color w:val="000000" w:themeColor="text1"/>
        </w:rPr>
      </w:pPr>
      <w:r w:rsidRPr="0090016E">
        <w:rPr>
          <w:color w:val="000000" w:themeColor="text1"/>
        </w:rPr>
        <w:t>The cellular, mucosal, and clinical evidence reviewed in Sections 5 through 9 repeatedly juxtaposes findings that are difficult to reconcile within a single mechanistic narrative. Table 4 draws these apparent conflicts together across levels of evidence, from ligand-specific receptor signalling to clinical trial outcomes, and proposes the most plausible methodological or biological explanation for each, so that the discordances are treated as an integral part of the evidence base rather than as isolated anomalies confined to individual sections.</w:t>
      </w:r>
    </w:p>
    <w:p w14:paraId="6BA78424" w14:textId="77777777" w:rsidR="005749C0" w:rsidRPr="0090016E" w:rsidRDefault="00000000" w:rsidP="00BB010B">
      <w:pPr>
        <w:spacing w:before="100" w:beforeAutospacing="1" w:after="100" w:afterAutospacing="1"/>
        <w:rPr>
          <w:color w:val="000000" w:themeColor="text1"/>
        </w:rPr>
      </w:pPr>
      <w:r w:rsidRPr="0090016E">
        <w:rPr>
          <w:b/>
          <w:bCs/>
          <w:color w:val="000000" w:themeColor="text1"/>
        </w:rPr>
        <w:t>Table 4. Conflicting findings in the cannabinoid immunomodulation literature and possible explanations</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159"/>
        <w:gridCol w:w="2718"/>
        <w:gridCol w:w="2581"/>
        <w:gridCol w:w="1614"/>
      </w:tblGrid>
      <w:tr w:rsidR="005749C0" w:rsidRPr="0090016E" w14:paraId="6119B0BA" w14:textId="77777777" w:rsidTr="00F867AF">
        <w:trPr>
          <w:tblHeader/>
        </w:trPr>
        <w:tc>
          <w:tcPr>
            <w:tcW w:w="2400" w:type="dxa"/>
            <w:shd w:val="clear" w:color="auto" w:fill="D9D9D9"/>
            <w:vAlign w:val="center"/>
          </w:tcPr>
          <w:p w14:paraId="14853757" w14:textId="77777777" w:rsidR="005749C0" w:rsidRPr="0090016E" w:rsidRDefault="00000000" w:rsidP="00BB010B">
            <w:pPr>
              <w:spacing w:before="100" w:beforeAutospacing="1" w:after="100" w:afterAutospacing="1"/>
              <w:rPr>
                <w:color w:val="000000" w:themeColor="text1"/>
              </w:rPr>
            </w:pPr>
            <w:r w:rsidRPr="0090016E">
              <w:rPr>
                <w:b/>
                <w:bCs/>
                <w:color w:val="000000" w:themeColor="text1"/>
                <w:sz w:val="18"/>
                <w:szCs w:val="18"/>
              </w:rPr>
              <w:t>Apparent conflict</w:t>
            </w:r>
          </w:p>
        </w:tc>
        <w:tc>
          <w:tcPr>
            <w:tcW w:w="3200" w:type="dxa"/>
            <w:shd w:val="clear" w:color="auto" w:fill="D9D9D9"/>
            <w:vAlign w:val="center"/>
          </w:tcPr>
          <w:p w14:paraId="55A8CB90" w14:textId="77777777" w:rsidR="005749C0" w:rsidRPr="0090016E" w:rsidRDefault="00000000" w:rsidP="00BB010B">
            <w:pPr>
              <w:spacing w:before="100" w:beforeAutospacing="1" w:after="100" w:afterAutospacing="1"/>
              <w:rPr>
                <w:color w:val="000000" w:themeColor="text1"/>
              </w:rPr>
            </w:pPr>
            <w:r w:rsidRPr="0090016E">
              <w:rPr>
                <w:b/>
                <w:bCs/>
                <w:color w:val="000000" w:themeColor="text1"/>
                <w:sz w:val="18"/>
                <w:szCs w:val="18"/>
              </w:rPr>
              <w:t>Conflicting observations</w:t>
            </w:r>
          </w:p>
        </w:tc>
        <w:tc>
          <w:tcPr>
            <w:tcW w:w="2900" w:type="dxa"/>
            <w:shd w:val="clear" w:color="auto" w:fill="D9D9D9"/>
            <w:vAlign w:val="center"/>
          </w:tcPr>
          <w:p w14:paraId="47962DAD" w14:textId="77777777" w:rsidR="005749C0" w:rsidRPr="0090016E" w:rsidRDefault="00000000" w:rsidP="00BB010B">
            <w:pPr>
              <w:spacing w:before="100" w:beforeAutospacing="1" w:after="100" w:afterAutospacing="1"/>
              <w:rPr>
                <w:color w:val="000000" w:themeColor="text1"/>
              </w:rPr>
            </w:pPr>
            <w:r w:rsidRPr="0090016E">
              <w:rPr>
                <w:b/>
                <w:bCs/>
                <w:color w:val="000000" w:themeColor="text1"/>
                <w:sz w:val="18"/>
                <w:szCs w:val="18"/>
              </w:rPr>
              <w:t>Plausible explanation</w:t>
            </w:r>
          </w:p>
        </w:tc>
        <w:tc>
          <w:tcPr>
            <w:tcW w:w="1900" w:type="dxa"/>
            <w:shd w:val="clear" w:color="auto" w:fill="D9D9D9"/>
            <w:vAlign w:val="center"/>
          </w:tcPr>
          <w:p w14:paraId="676321EF" w14:textId="77777777" w:rsidR="005749C0" w:rsidRPr="0090016E" w:rsidRDefault="00000000" w:rsidP="00BB010B">
            <w:pPr>
              <w:spacing w:before="100" w:beforeAutospacing="1" w:after="100" w:afterAutospacing="1"/>
              <w:rPr>
                <w:color w:val="000000" w:themeColor="text1"/>
              </w:rPr>
            </w:pPr>
            <w:r w:rsidRPr="0090016E">
              <w:rPr>
                <w:b/>
                <w:bCs/>
                <w:color w:val="000000" w:themeColor="text1"/>
                <w:sz w:val="18"/>
                <w:szCs w:val="18"/>
              </w:rPr>
              <w:t>Supporting references</w:t>
            </w:r>
          </w:p>
        </w:tc>
      </w:tr>
      <w:tr w:rsidR="005749C0" w:rsidRPr="0090016E" w14:paraId="711EA510" w14:textId="77777777" w:rsidTr="00F867AF">
        <w:tc>
          <w:tcPr>
            <w:tcW w:w="2400" w:type="dxa"/>
            <w:vAlign w:val="center"/>
          </w:tcPr>
          <w:p w14:paraId="319DC6C8" w14:textId="77777777" w:rsidR="005749C0" w:rsidRPr="0090016E" w:rsidRDefault="00000000" w:rsidP="00BB010B">
            <w:pPr>
              <w:spacing w:before="100" w:beforeAutospacing="1" w:after="100" w:afterAutospacing="1"/>
              <w:rPr>
                <w:color w:val="000000" w:themeColor="text1"/>
              </w:rPr>
            </w:pPr>
            <w:r w:rsidRPr="0090016E">
              <w:rPr>
                <w:color w:val="000000" w:themeColor="text1"/>
                <w:sz w:val="18"/>
                <w:szCs w:val="18"/>
              </w:rPr>
              <w:t>Cellular immunosuppression vs. modest human infection signal</w:t>
            </w:r>
          </w:p>
        </w:tc>
        <w:tc>
          <w:tcPr>
            <w:tcW w:w="3200" w:type="dxa"/>
            <w:vAlign w:val="center"/>
          </w:tcPr>
          <w:p w14:paraId="0CDFC020" w14:textId="77777777" w:rsidR="005749C0" w:rsidRPr="0090016E" w:rsidRDefault="00000000" w:rsidP="00BB010B">
            <w:pPr>
              <w:spacing w:before="100" w:beforeAutospacing="1" w:after="100" w:afterAutospacing="1"/>
              <w:rPr>
                <w:color w:val="000000" w:themeColor="text1"/>
              </w:rPr>
            </w:pPr>
            <w:r w:rsidRPr="0090016E">
              <w:rPr>
                <w:color w:val="000000" w:themeColor="text1"/>
                <w:sz w:val="18"/>
                <w:szCs w:val="18"/>
              </w:rPr>
              <w:t>Robust THC/CB2-mediated suppression of T-cell, NK-cell, and macrophage function in vitro and in murine models; only a weak, largely observational epidemiological association with infection in humans</w:t>
            </w:r>
          </w:p>
        </w:tc>
        <w:tc>
          <w:tcPr>
            <w:tcW w:w="2900" w:type="dxa"/>
            <w:vAlign w:val="center"/>
          </w:tcPr>
          <w:p w14:paraId="7EDA3A74" w14:textId="77777777" w:rsidR="005749C0" w:rsidRPr="0090016E" w:rsidRDefault="00000000" w:rsidP="00BB010B">
            <w:pPr>
              <w:spacing w:before="100" w:beforeAutospacing="1" w:after="100" w:afterAutospacing="1"/>
              <w:rPr>
                <w:color w:val="000000" w:themeColor="text1"/>
              </w:rPr>
            </w:pPr>
            <w:r w:rsidRPr="0090016E">
              <w:rPr>
                <w:color w:val="000000" w:themeColor="text1"/>
                <w:sz w:val="18"/>
                <w:szCs w:val="18"/>
              </w:rPr>
              <w:t>Route, dose, and duration of human exposure differ substantially from experimental paradigms; confounding by immunocompromising comorbidity and polysubstance use; ascertainment bias toward severe index cases</w:t>
            </w:r>
          </w:p>
        </w:tc>
        <w:tc>
          <w:tcPr>
            <w:tcW w:w="1900" w:type="dxa"/>
            <w:vAlign w:val="center"/>
          </w:tcPr>
          <w:p w14:paraId="15016223" w14:textId="77777777" w:rsidR="005749C0" w:rsidRPr="0090016E" w:rsidRDefault="00000000" w:rsidP="00BB010B">
            <w:pPr>
              <w:spacing w:before="100" w:beforeAutospacing="1" w:after="100" w:afterAutospacing="1"/>
              <w:rPr>
                <w:color w:val="000000" w:themeColor="text1"/>
              </w:rPr>
            </w:pPr>
            <w:r w:rsidRPr="0090016E">
              <w:rPr>
                <w:color w:val="000000" w:themeColor="text1"/>
                <w:sz w:val="18"/>
                <w:szCs w:val="18"/>
              </w:rPr>
              <w:t xml:space="preserve">Kawakami et al., 1988; Hughes Kramer et al., 2026; </w:t>
            </w:r>
            <w:proofErr w:type="spellStart"/>
            <w:r w:rsidRPr="0090016E">
              <w:rPr>
                <w:color w:val="000000" w:themeColor="text1"/>
                <w:sz w:val="18"/>
                <w:szCs w:val="18"/>
              </w:rPr>
              <w:t>Maggirwar</w:t>
            </w:r>
            <w:proofErr w:type="spellEnd"/>
            <w:r w:rsidRPr="0090016E">
              <w:rPr>
                <w:color w:val="000000" w:themeColor="text1"/>
                <w:sz w:val="18"/>
                <w:szCs w:val="18"/>
              </w:rPr>
              <w:t xml:space="preserve"> &amp; Khalsa, 2021</w:t>
            </w:r>
          </w:p>
        </w:tc>
      </w:tr>
      <w:tr w:rsidR="005749C0" w:rsidRPr="0090016E" w14:paraId="2B1D1FB7" w14:textId="77777777" w:rsidTr="00F867AF">
        <w:tc>
          <w:tcPr>
            <w:tcW w:w="2400" w:type="dxa"/>
            <w:vAlign w:val="center"/>
          </w:tcPr>
          <w:p w14:paraId="3FAF5A89" w14:textId="77777777" w:rsidR="005749C0" w:rsidRPr="0090016E" w:rsidRDefault="00000000" w:rsidP="00BB010B">
            <w:pPr>
              <w:spacing w:before="100" w:beforeAutospacing="1" w:after="100" w:afterAutospacing="1"/>
              <w:rPr>
                <w:color w:val="000000" w:themeColor="text1"/>
              </w:rPr>
            </w:pPr>
            <w:r w:rsidRPr="0090016E">
              <w:rPr>
                <w:color w:val="000000" w:themeColor="text1"/>
                <w:sz w:val="18"/>
                <w:szCs w:val="18"/>
              </w:rPr>
              <w:t>CB2 as ‘anti-inflammatory’ receptor vs. context-dependent pro-inflammatory roles</w:t>
            </w:r>
          </w:p>
        </w:tc>
        <w:tc>
          <w:tcPr>
            <w:tcW w:w="3200" w:type="dxa"/>
            <w:vAlign w:val="center"/>
          </w:tcPr>
          <w:p w14:paraId="45312032" w14:textId="77777777" w:rsidR="005749C0" w:rsidRPr="0090016E" w:rsidRDefault="00000000" w:rsidP="00BB010B">
            <w:pPr>
              <w:spacing w:before="100" w:beforeAutospacing="1" w:after="100" w:afterAutospacing="1"/>
              <w:rPr>
                <w:color w:val="000000" w:themeColor="text1"/>
              </w:rPr>
            </w:pPr>
            <w:r w:rsidRPr="0090016E">
              <w:rPr>
                <w:color w:val="000000" w:themeColor="text1"/>
                <w:sz w:val="18"/>
                <w:szCs w:val="18"/>
              </w:rPr>
              <w:t>Original murine data supporting a uniformly anti-inflammatory CB2 function; human data in allergic/eosinophil-associated contexts suggesting potentiating effects</w:t>
            </w:r>
          </w:p>
        </w:tc>
        <w:tc>
          <w:tcPr>
            <w:tcW w:w="2900" w:type="dxa"/>
            <w:vAlign w:val="center"/>
          </w:tcPr>
          <w:p w14:paraId="08AD039F" w14:textId="77777777" w:rsidR="005749C0" w:rsidRPr="0090016E" w:rsidRDefault="00000000" w:rsidP="00BB010B">
            <w:pPr>
              <w:spacing w:before="100" w:beforeAutospacing="1" w:after="100" w:afterAutospacing="1"/>
              <w:rPr>
                <w:color w:val="000000" w:themeColor="text1"/>
              </w:rPr>
            </w:pPr>
            <w:r w:rsidRPr="0090016E">
              <w:rPr>
                <w:color w:val="000000" w:themeColor="text1"/>
                <w:sz w:val="18"/>
                <w:szCs w:val="18"/>
              </w:rPr>
              <w:t>Species differences and cell-type-specific coupling of CB2 to divergent downstream effectors</w:t>
            </w:r>
          </w:p>
        </w:tc>
        <w:tc>
          <w:tcPr>
            <w:tcW w:w="1900" w:type="dxa"/>
            <w:vAlign w:val="center"/>
          </w:tcPr>
          <w:p w14:paraId="70709BFD" w14:textId="77777777" w:rsidR="005749C0" w:rsidRPr="0090016E" w:rsidRDefault="00000000" w:rsidP="00BB010B">
            <w:pPr>
              <w:spacing w:before="100" w:beforeAutospacing="1" w:after="100" w:afterAutospacing="1"/>
              <w:rPr>
                <w:color w:val="000000" w:themeColor="text1"/>
              </w:rPr>
            </w:pPr>
            <w:r w:rsidRPr="0090016E">
              <w:rPr>
                <w:color w:val="000000" w:themeColor="text1"/>
                <w:sz w:val="18"/>
                <w:szCs w:val="18"/>
              </w:rPr>
              <w:t xml:space="preserve">Nagarkatti et al., 2009; </w:t>
            </w:r>
            <w:proofErr w:type="spellStart"/>
            <w:r w:rsidRPr="0090016E">
              <w:rPr>
                <w:color w:val="000000" w:themeColor="text1"/>
                <w:sz w:val="18"/>
                <w:szCs w:val="18"/>
              </w:rPr>
              <w:t>Balenga</w:t>
            </w:r>
            <w:proofErr w:type="spellEnd"/>
            <w:r w:rsidRPr="0090016E">
              <w:rPr>
                <w:color w:val="000000" w:themeColor="text1"/>
                <w:sz w:val="18"/>
                <w:szCs w:val="18"/>
              </w:rPr>
              <w:t xml:space="preserve"> et al., 2011</w:t>
            </w:r>
          </w:p>
        </w:tc>
      </w:tr>
      <w:tr w:rsidR="005749C0" w:rsidRPr="0090016E" w14:paraId="0CA68793" w14:textId="77777777" w:rsidTr="00F867AF">
        <w:tc>
          <w:tcPr>
            <w:tcW w:w="2400" w:type="dxa"/>
            <w:vAlign w:val="center"/>
          </w:tcPr>
          <w:p w14:paraId="17566B0D" w14:textId="77777777" w:rsidR="005749C0" w:rsidRPr="0090016E" w:rsidRDefault="00000000" w:rsidP="00BB010B">
            <w:pPr>
              <w:spacing w:before="100" w:beforeAutospacing="1" w:after="100" w:afterAutospacing="1"/>
              <w:rPr>
                <w:color w:val="000000" w:themeColor="text1"/>
              </w:rPr>
            </w:pPr>
            <w:r w:rsidRPr="0090016E">
              <w:rPr>
                <w:color w:val="000000" w:themeColor="text1"/>
                <w:sz w:val="18"/>
                <w:szCs w:val="18"/>
              </w:rPr>
              <w:t>Anandamide vs. 2-AG functional divergence despite shared CB2 affinity</w:t>
            </w:r>
          </w:p>
        </w:tc>
        <w:tc>
          <w:tcPr>
            <w:tcW w:w="3200" w:type="dxa"/>
            <w:vAlign w:val="center"/>
          </w:tcPr>
          <w:p w14:paraId="695594B5" w14:textId="77777777" w:rsidR="005749C0" w:rsidRPr="0090016E" w:rsidRDefault="00000000" w:rsidP="00BB010B">
            <w:pPr>
              <w:spacing w:before="100" w:beforeAutospacing="1" w:after="100" w:afterAutospacing="1"/>
              <w:rPr>
                <w:color w:val="000000" w:themeColor="text1"/>
              </w:rPr>
            </w:pPr>
            <w:r w:rsidRPr="0090016E">
              <w:rPr>
                <w:color w:val="000000" w:themeColor="text1"/>
                <w:sz w:val="18"/>
                <w:szCs w:val="18"/>
              </w:rPr>
              <w:t>Anandamide inhibits neutrophil transmigration; full CB2 agonist 2-AG does not reproduce the effect</w:t>
            </w:r>
          </w:p>
        </w:tc>
        <w:tc>
          <w:tcPr>
            <w:tcW w:w="2900" w:type="dxa"/>
            <w:vAlign w:val="center"/>
          </w:tcPr>
          <w:p w14:paraId="1336CC6F" w14:textId="77777777" w:rsidR="005749C0" w:rsidRPr="0090016E" w:rsidRDefault="00000000" w:rsidP="00BB010B">
            <w:pPr>
              <w:spacing w:before="100" w:beforeAutospacing="1" w:after="100" w:afterAutospacing="1"/>
              <w:rPr>
                <w:color w:val="000000" w:themeColor="text1"/>
              </w:rPr>
            </w:pPr>
            <w:r w:rsidRPr="0090016E">
              <w:rPr>
                <w:color w:val="000000" w:themeColor="text1"/>
                <w:sz w:val="18"/>
                <w:szCs w:val="18"/>
              </w:rPr>
              <w:t>Ligand-specific (biased) signalling downstream of CB2 rather than simple receptor occupancy</w:t>
            </w:r>
          </w:p>
        </w:tc>
        <w:tc>
          <w:tcPr>
            <w:tcW w:w="1900" w:type="dxa"/>
            <w:vAlign w:val="center"/>
          </w:tcPr>
          <w:p w14:paraId="384D6849" w14:textId="77777777" w:rsidR="005749C0" w:rsidRPr="0090016E" w:rsidRDefault="00000000" w:rsidP="00BB010B">
            <w:pPr>
              <w:spacing w:before="100" w:beforeAutospacing="1" w:after="100" w:afterAutospacing="1"/>
              <w:rPr>
                <w:color w:val="000000" w:themeColor="text1"/>
              </w:rPr>
            </w:pPr>
            <w:r w:rsidRPr="0090016E">
              <w:rPr>
                <w:color w:val="000000" w:themeColor="text1"/>
                <w:sz w:val="18"/>
                <w:szCs w:val="18"/>
              </w:rPr>
              <w:t xml:space="preserve">Szabady et al., 2018; </w:t>
            </w:r>
            <w:proofErr w:type="spellStart"/>
            <w:r w:rsidRPr="0090016E">
              <w:rPr>
                <w:color w:val="000000" w:themeColor="text1"/>
                <w:sz w:val="18"/>
                <w:szCs w:val="18"/>
              </w:rPr>
              <w:t>Cuddihey</w:t>
            </w:r>
            <w:proofErr w:type="spellEnd"/>
            <w:r w:rsidRPr="0090016E">
              <w:rPr>
                <w:color w:val="000000" w:themeColor="text1"/>
                <w:sz w:val="18"/>
                <w:szCs w:val="18"/>
              </w:rPr>
              <w:t xml:space="preserve"> et al., 2022</w:t>
            </w:r>
          </w:p>
        </w:tc>
      </w:tr>
      <w:tr w:rsidR="005749C0" w:rsidRPr="0090016E" w14:paraId="7255CB89" w14:textId="77777777" w:rsidTr="00F867AF">
        <w:tc>
          <w:tcPr>
            <w:tcW w:w="2400" w:type="dxa"/>
            <w:vAlign w:val="center"/>
          </w:tcPr>
          <w:p w14:paraId="6BABB7B7" w14:textId="77777777" w:rsidR="005749C0" w:rsidRPr="0090016E" w:rsidRDefault="00000000" w:rsidP="00BB010B">
            <w:pPr>
              <w:spacing w:before="100" w:beforeAutospacing="1" w:after="100" w:afterAutospacing="1"/>
              <w:rPr>
                <w:color w:val="000000" w:themeColor="text1"/>
              </w:rPr>
            </w:pPr>
            <w:r w:rsidRPr="0090016E">
              <w:rPr>
                <w:color w:val="000000" w:themeColor="text1"/>
                <w:sz w:val="18"/>
                <w:szCs w:val="18"/>
              </w:rPr>
              <w:t>Clinical symptomatic benefit vs. absent objective mucosal healing in IBD trials</w:t>
            </w:r>
          </w:p>
        </w:tc>
        <w:tc>
          <w:tcPr>
            <w:tcW w:w="3200" w:type="dxa"/>
            <w:vAlign w:val="center"/>
          </w:tcPr>
          <w:p w14:paraId="35B3D2DB" w14:textId="77777777" w:rsidR="005749C0" w:rsidRPr="0090016E" w:rsidRDefault="00000000" w:rsidP="00BB010B">
            <w:pPr>
              <w:spacing w:before="100" w:beforeAutospacing="1" w:after="100" w:afterAutospacing="1"/>
              <w:rPr>
                <w:color w:val="000000" w:themeColor="text1"/>
              </w:rPr>
            </w:pPr>
            <w:r w:rsidRPr="0090016E">
              <w:rPr>
                <w:color w:val="000000" w:themeColor="text1"/>
                <w:sz w:val="18"/>
                <w:szCs w:val="18"/>
              </w:rPr>
              <w:t>THC-rich cannabis improves clinical indices and quality of life in ulcerative colitis RCT; Mayo endoscopic score and CRP unchanged</w:t>
            </w:r>
          </w:p>
        </w:tc>
        <w:tc>
          <w:tcPr>
            <w:tcW w:w="2900" w:type="dxa"/>
            <w:vAlign w:val="center"/>
          </w:tcPr>
          <w:p w14:paraId="4EACDA46" w14:textId="77777777" w:rsidR="005749C0" w:rsidRPr="0090016E" w:rsidRDefault="00000000" w:rsidP="00BB010B">
            <w:pPr>
              <w:spacing w:before="100" w:beforeAutospacing="1" w:after="100" w:afterAutospacing="1"/>
              <w:rPr>
                <w:color w:val="000000" w:themeColor="text1"/>
              </w:rPr>
            </w:pPr>
            <w:r w:rsidRPr="0090016E">
              <w:rPr>
                <w:color w:val="000000" w:themeColor="text1"/>
                <w:sz w:val="18"/>
                <w:szCs w:val="18"/>
              </w:rPr>
              <w:t>Symptomatic/analgesic and motility effects may be dissociable from anti-inflammatory mucosal healing; small trial sizes limit power to detect endoscopic change</w:t>
            </w:r>
          </w:p>
        </w:tc>
        <w:tc>
          <w:tcPr>
            <w:tcW w:w="1900" w:type="dxa"/>
            <w:vAlign w:val="center"/>
          </w:tcPr>
          <w:p w14:paraId="583E8A8B" w14:textId="77777777" w:rsidR="005749C0" w:rsidRPr="0090016E" w:rsidRDefault="00000000" w:rsidP="00BB010B">
            <w:pPr>
              <w:spacing w:before="100" w:beforeAutospacing="1" w:after="100" w:afterAutospacing="1"/>
              <w:rPr>
                <w:color w:val="000000" w:themeColor="text1"/>
              </w:rPr>
            </w:pPr>
            <w:r w:rsidRPr="0090016E">
              <w:rPr>
                <w:color w:val="000000" w:themeColor="text1"/>
                <w:sz w:val="18"/>
                <w:szCs w:val="18"/>
              </w:rPr>
              <w:t>Naftali et al., 2021</w:t>
            </w:r>
          </w:p>
        </w:tc>
      </w:tr>
      <w:tr w:rsidR="005749C0" w:rsidRPr="0090016E" w14:paraId="1948FA03" w14:textId="77777777" w:rsidTr="00F867AF">
        <w:tc>
          <w:tcPr>
            <w:tcW w:w="2400" w:type="dxa"/>
            <w:vAlign w:val="center"/>
          </w:tcPr>
          <w:p w14:paraId="606E4D30" w14:textId="77777777" w:rsidR="005749C0" w:rsidRPr="0090016E" w:rsidRDefault="00000000" w:rsidP="00BB010B">
            <w:pPr>
              <w:spacing w:before="100" w:beforeAutospacing="1" w:after="100" w:afterAutospacing="1"/>
              <w:rPr>
                <w:color w:val="000000" w:themeColor="text1"/>
              </w:rPr>
            </w:pPr>
            <w:r w:rsidRPr="0090016E">
              <w:rPr>
                <w:color w:val="000000" w:themeColor="text1"/>
                <w:sz w:val="18"/>
                <w:szCs w:val="18"/>
              </w:rPr>
              <w:t>B-cell class switching toward IgE vs. CB2 dispensability for antigen-specific antibody titres</w:t>
            </w:r>
          </w:p>
        </w:tc>
        <w:tc>
          <w:tcPr>
            <w:tcW w:w="3200" w:type="dxa"/>
            <w:vAlign w:val="center"/>
          </w:tcPr>
          <w:p w14:paraId="0294258C" w14:textId="77777777" w:rsidR="005749C0" w:rsidRPr="0090016E" w:rsidRDefault="00000000" w:rsidP="00BB010B">
            <w:pPr>
              <w:spacing w:before="100" w:beforeAutospacing="1" w:after="100" w:afterAutospacing="1"/>
              <w:rPr>
                <w:color w:val="000000" w:themeColor="text1"/>
              </w:rPr>
            </w:pPr>
            <w:r w:rsidRPr="0090016E">
              <w:rPr>
                <w:color w:val="000000" w:themeColor="text1"/>
                <w:sz w:val="18"/>
                <w:szCs w:val="18"/>
              </w:rPr>
              <w:t>CB2 agonism promotes IgM-to-IgE class switching in vitro; CB2-deficient mice show unchanged antigen-specific IgG/IgM after T-dependent immunisation</w:t>
            </w:r>
          </w:p>
        </w:tc>
        <w:tc>
          <w:tcPr>
            <w:tcW w:w="2900" w:type="dxa"/>
            <w:vAlign w:val="center"/>
          </w:tcPr>
          <w:p w14:paraId="0871300C" w14:textId="77777777" w:rsidR="005749C0" w:rsidRPr="0090016E" w:rsidRDefault="00000000" w:rsidP="00BB010B">
            <w:pPr>
              <w:spacing w:before="100" w:beforeAutospacing="1" w:after="100" w:afterAutospacing="1"/>
              <w:rPr>
                <w:color w:val="000000" w:themeColor="text1"/>
              </w:rPr>
            </w:pPr>
            <w:r w:rsidRPr="0090016E">
              <w:rPr>
                <w:color w:val="000000" w:themeColor="text1"/>
                <w:sz w:val="18"/>
                <w:szCs w:val="18"/>
              </w:rPr>
              <w:t>CB2 may govern specific differentiation programmes (germinal centre/memory formation, isotype selection) without uniformly enhancing or suppressing global antibody output</w:t>
            </w:r>
          </w:p>
        </w:tc>
        <w:tc>
          <w:tcPr>
            <w:tcW w:w="1900" w:type="dxa"/>
            <w:vAlign w:val="center"/>
          </w:tcPr>
          <w:p w14:paraId="794CFB13" w14:textId="77777777" w:rsidR="005749C0" w:rsidRPr="0090016E" w:rsidRDefault="00000000" w:rsidP="00BB010B">
            <w:pPr>
              <w:spacing w:before="100" w:beforeAutospacing="1" w:after="100" w:afterAutospacing="1"/>
              <w:rPr>
                <w:color w:val="000000" w:themeColor="text1"/>
              </w:rPr>
            </w:pPr>
            <w:r w:rsidRPr="0090016E">
              <w:rPr>
                <w:color w:val="000000" w:themeColor="text1"/>
                <w:sz w:val="18"/>
                <w:szCs w:val="18"/>
              </w:rPr>
              <w:t>Agudelo et al., 2008; Basu et al., 2013</w:t>
            </w:r>
          </w:p>
        </w:tc>
      </w:tr>
    </w:tbl>
    <w:p w14:paraId="1FAC01DC" w14:textId="77777777" w:rsidR="005749C0" w:rsidRPr="0090016E" w:rsidRDefault="00000000" w:rsidP="00BB010B">
      <w:pPr>
        <w:pStyle w:val="Heading1"/>
        <w:spacing w:before="100" w:beforeAutospacing="1" w:after="100" w:afterAutospacing="1"/>
        <w:rPr>
          <w:color w:val="000000" w:themeColor="text1"/>
        </w:rPr>
      </w:pPr>
      <w:r w:rsidRPr="0090016E">
        <w:rPr>
          <w:b/>
          <w:bCs/>
          <w:color w:val="000000" w:themeColor="text1"/>
          <w:sz w:val="28"/>
          <w:szCs w:val="28"/>
        </w:rPr>
        <w:t>Future Directions</w:t>
      </w:r>
    </w:p>
    <w:p w14:paraId="24D01450" w14:textId="77777777" w:rsidR="005749C0" w:rsidRPr="0090016E" w:rsidRDefault="00000000" w:rsidP="00BB010B">
      <w:pPr>
        <w:spacing w:before="100" w:beforeAutospacing="1" w:after="100" w:afterAutospacing="1"/>
        <w:jc w:val="both"/>
        <w:rPr>
          <w:color w:val="000000" w:themeColor="text1"/>
        </w:rPr>
      </w:pPr>
      <w:r w:rsidRPr="0090016E">
        <w:rPr>
          <w:color w:val="000000" w:themeColor="text1"/>
        </w:rPr>
        <w:t xml:space="preserve">The most immediate research priority is the systematic disambiguation of receptor-dependent from receptor-independent cannabinoid effects across the immune cell types reviewed here, using paired </w:t>
      </w:r>
      <w:r w:rsidRPr="0090016E">
        <w:rPr>
          <w:color w:val="000000" w:themeColor="text1"/>
        </w:rPr>
        <w:lastRenderedPageBreak/>
        <w:t xml:space="preserve">pharmacological antagonism and genetic knockout approaches within the same experimental system rather than relying on antagonism alone, an approach already demonstrated for THC’s effect on macrophage differentiation but not yet extended systematically to T-cell, B-cell, and dendritic cell endpoints. Studies designed explicitly to compare THC and CBD, and their combination as found in whole-plant cannabis, within a single assay system and at concentrations relevant to typical human systemic exposure, would directly address the risk, evident throughout this review, of generalising findings from one </w:t>
      </w:r>
      <w:proofErr w:type="spellStart"/>
      <w:r w:rsidRPr="0090016E">
        <w:rPr>
          <w:color w:val="000000" w:themeColor="text1"/>
        </w:rPr>
        <w:t>phytocannabinoid</w:t>
      </w:r>
      <w:proofErr w:type="spellEnd"/>
      <w:r w:rsidRPr="0090016E">
        <w:rPr>
          <w:color w:val="000000" w:themeColor="text1"/>
        </w:rPr>
        <w:t xml:space="preserve"> to the other.</w:t>
      </w:r>
    </w:p>
    <w:p w14:paraId="5DA80E2A" w14:textId="77777777" w:rsidR="005749C0" w:rsidRPr="0090016E" w:rsidRDefault="00000000" w:rsidP="00BB010B">
      <w:pPr>
        <w:spacing w:before="100" w:beforeAutospacing="1" w:after="100" w:afterAutospacing="1"/>
        <w:jc w:val="both"/>
        <w:rPr>
          <w:color w:val="000000" w:themeColor="text1"/>
        </w:rPr>
      </w:pPr>
      <w:r w:rsidRPr="0090016E">
        <w:rPr>
          <w:color w:val="000000" w:themeColor="text1"/>
        </w:rPr>
        <w:t>A second priority is the extension of epigenetic and microRNA-based mechanistic work from murine models, where it has been most thoroughly characterised for myeloid-derived suppressor cells and T helper lineage commitment, to human primary leukocytes and to prospectively sampled human cohorts with well-characterised, biochemically verified cannabis exposure. The largely null findings of the single available human adolescent epigenetic study indicate that adequately powered studies, with exposure verification beyond self-report and with attention to co-exposures such as tobacco, are required before human epigenetic data can be interpreted as either confirming or refuting the murine mechanistic literature.</w:t>
      </w:r>
    </w:p>
    <w:p w14:paraId="13343794" w14:textId="77777777" w:rsidR="005749C0" w:rsidRPr="0090016E" w:rsidRDefault="00000000" w:rsidP="00BB010B">
      <w:pPr>
        <w:spacing w:before="100" w:beforeAutospacing="1" w:after="100" w:afterAutospacing="1"/>
        <w:jc w:val="both"/>
        <w:rPr>
          <w:color w:val="000000" w:themeColor="text1"/>
        </w:rPr>
      </w:pPr>
      <w:r w:rsidRPr="0090016E">
        <w:rPr>
          <w:color w:val="000000" w:themeColor="text1"/>
        </w:rPr>
        <w:t>Third, the dissociation observed in inflammatory bowel disease trials between symptomatic benefit and objective mucosal or endoscopic improvement warrants dedicated mechanistic sub-studies nested within future randomised trials, incorporating mucosal biopsy-based measurement of neutrophil infiltration, luminal endocannabinoid and P-glycoprotein expression, and CB2 receptor density, to establish whether the intestinal endocannabinoid brake mechanism characterised in animal models is engaged, attenuated, or absent in the human inflamed mucosa under cannabinoid treatment.</w:t>
      </w:r>
    </w:p>
    <w:p w14:paraId="5544E5D5" w14:textId="77777777" w:rsidR="005749C0" w:rsidRPr="0090016E" w:rsidRDefault="00000000" w:rsidP="00BB010B">
      <w:pPr>
        <w:spacing w:before="100" w:beforeAutospacing="1" w:after="100" w:afterAutospacing="1"/>
        <w:jc w:val="both"/>
        <w:rPr>
          <w:color w:val="000000" w:themeColor="text1"/>
        </w:rPr>
      </w:pPr>
      <w:r w:rsidRPr="0090016E">
        <w:rPr>
          <w:color w:val="000000" w:themeColor="text1"/>
        </w:rPr>
        <w:t>Fourth, the infection-risk literature would benefit substantially from prospective, biochemically confirmed cohort studies in defined immunocompromised populations, such as haematopoietic stem cell and solid organ transplant recipients, in which cannabis product testing, route of administration, and clinical outcome are captured with sufficient granularity to move beyond the case-report and insurance-claims designs that currently dominate the evidence base, together with genomic source-tracing methodology, as achieved in the single available confirmed case, applied prospectively rather than retrospectively.</w:t>
      </w:r>
    </w:p>
    <w:p w14:paraId="4F31F7A4" w14:textId="77777777" w:rsidR="005749C0" w:rsidRPr="0090016E" w:rsidRDefault="00000000" w:rsidP="00BB010B">
      <w:pPr>
        <w:spacing w:before="100" w:beforeAutospacing="1" w:after="100" w:afterAutospacing="1"/>
        <w:jc w:val="both"/>
        <w:rPr>
          <w:color w:val="000000" w:themeColor="text1"/>
        </w:rPr>
      </w:pPr>
      <w:r w:rsidRPr="0090016E">
        <w:rPr>
          <w:color w:val="000000" w:themeColor="text1"/>
        </w:rPr>
        <w:t>Finally, given the increasing prevalence of vaporised and edible cannabis products relative to combusted flower, mechanistic and clinical studies specifically addressing whether the pulmonary and systemic immune consequences documented for cannabis smoke extend to, or differ from, these alternative routes of administration constitute a near-term priority with direct relevance to product regulation and clinical counselling of immunocompromised patients.</w:t>
      </w:r>
    </w:p>
    <w:p w14:paraId="04973A50" w14:textId="77777777" w:rsidR="004F03CF" w:rsidRPr="0090016E" w:rsidRDefault="004F03CF" w:rsidP="00BB010B">
      <w:pPr>
        <w:pStyle w:val="Heading1"/>
        <w:spacing w:before="100" w:beforeAutospacing="1" w:after="100" w:afterAutospacing="1"/>
        <w:rPr>
          <w:b/>
          <w:bCs/>
          <w:color w:val="000000" w:themeColor="text1"/>
          <w:sz w:val="28"/>
          <w:szCs w:val="28"/>
        </w:rPr>
      </w:pPr>
      <w:r w:rsidRPr="0090016E">
        <w:rPr>
          <w:b/>
          <w:bCs/>
          <w:color w:val="000000" w:themeColor="text1"/>
          <w:sz w:val="28"/>
          <w:szCs w:val="28"/>
        </w:rPr>
        <w:t>Synthesis of Research Priorities</w:t>
      </w:r>
    </w:p>
    <w:p w14:paraId="38A4CF80" w14:textId="77777777" w:rsidR="004F03CF" w:rsidRPr="0090016E" w:rsidRDefault="004F03CF" w:rsidP="00BB010B">
      <w:pPr>
        <w:spacing w:before="100" w:beforeAutospacing="1" w:after="100" w:afterAutospacing="1"/>
        <w:jc w:val="both"/>
        <w:rPr>
          <w:color w:val="000000" w:themeColor="text1"/>
        </w:rPr>
      </w:pPr>
      <w:r w:rsidRPr="0090016E">
        <w:rPr>
          <w:color w:val="000000" w:themeColor="text1"/>
        </w:rPr>
        <w:t>The priorities described narratively in the Future Directions section span several distinct evidentiary gaps, ranging from basic receptor pharmacology to clinical trial design, and are consolidated here in tabular form to allow direct comparison across them. Table 5 is intended as a reference synthesis rather than a restatement of that narrative discussion, aligning each research gap with the specific reason current evidence is inadequate, the methodological approach best suited to addressing it, and its relative urgency, distinguishing gaps addressable with existing experimental paradigms applied to new cell types or populations from those that depend on longer-term infrastructure such as prospective cohort recruitment or standardised product testing.</w:t>
      </w:r>
    </w:p>
    <w:p w14:paraId="29191F64" w14:textId="77777777" w:rsidR="004F03CF" w:rsidRPr="0090016E" w:rsidRDefault="004F03CF" w:rsidP="00BB010B">
      <w:pPr>
        <w:spacing w:before="100" w:beforeAutospacing="1" w:after="100" w:afterAutospacing="1"/>
        <w:rPr>
          <w:b/>
          <w:bCs/>
          <w:color w:val="000000" w:themeColor="text1"/>
        </w:rPr>
      </w:pPr>
      <w:r w:rsidRPr="0090016E">
        <w:rPr>
          <w:b/>
          <w:bCs/>
          <w:color w:val="000000" w:themeColor="text1"/>
        </w:rPr>
        <w:lastRenderedPageBreak/>
        <w:t>Table 5. Research Gaps and Proposed Priorities</w:t>
      </w:r>
    </w:p>
    <w:tbl>
      <w:tblPr>
        <w:tblW w:w="9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2600"/>
        <w:gridCol w:w="2600"/>
        <w:gridCol w:w="1600"/>
      </w:tblGrid>
      <w:tr w:rsidR="004F03CF" w:rsidRPr="0090016E" w14:paraId="285218B0" w14:textId="77777777" w:rsidTr="002C3312">
        <w:trPr>
          <w:tblHeader/>
        </w:trPr>
        <w:tc>
          <w:tcPr>
            <w:tcW w:w="2600" w:type="dxa"/>
            <w:shd w:val="clear" w:color="auto" w:fill="D9D9D9"/>
            <w:vAlign w:val="center"/>
          </w:tcPr>
          <w:p w14:paraId="43D5FB7F" w14:textId="77777777" w:rsidR="004F03CF" w:rsidRPr="0090016E" w:rsidRDefault="004F03CF" w:rsidP="00BB010B">
            <w:pPr>
              <w:spacing w:before="100" w:beforeAutospacing="1" w:after="100" w:afterAutospacing="1"/>
              <w:rPr>
                <w:color w:val="000000" w:themeColor="text1"/>
              </w:rPr>
            </w:pPr>
            <w:r w:rsidRPr="0090016E">
              <w:rPr>
                <w:b/>
                <w:bCs/>
                <w:color w:val="000000" w:themeColor="text1"/>
                <w:sz w:val="18"/>
                <w:szCs w:val="18"/>
              </w:rPr>
              <w:t>Research gap</w:t>
            </w:r>
          </w:p>
        </w:tc>
        <w:tc>
          <w:tcPr>
            <w:tcW w:w="2600" w:type="dxa"/>
            <w:shd w:val="clear" w:color="auto" w:fill="D9D9D9"/>
            <w:vAlign w:val="center"/>
          </w:tcPr>
          <w:p w14:paraId="031E0B83" w14:textId="77777777" w:rsidR="004F03CF" w:rsidRPr="0090016E" w:rsidRDefault="004F03CF" w:rsidP="00BB010B">
            <w:pPr>
              <w:spacing w:before="100" w:beforeAutospacing="1" w:after="100" w:afterAutospacing="1"/>
              <w:rPr>
                <w:color w:val="000000" w:themeColor="text1"/>
              </w:rPr>
            </w:pPr>
            <w:r w:rsidRPr="0090016E">
              <w:rPr>
                <w:b/>
                <w:bCs/>
                <w:color w:val="000000" w:themeColor="text1"/>
                <w:sz w:val="18"/>
                <w:szCs w:val="18"/>
              </w:rPr>
              <w:t>Why current evidence is inadequate</w:t>
            </w:r>
          </w:p>
        </w:tc>
        <w:tc>
          <w:tcPr>
            <w:tcW w:w="2600" w:type="dxa"/>
            <w:shd w:val="clear" w:color="auto" w:fill="D9D9D9"/>
            <w:vAlign w:val="center"/>
          </w:tcPr>
          <w:p w14:paraId="32AC41EF" w14:textId="77777777" w:rsidR="004F03CF" w:rsidRPr="0090016E" w:rsidRDefault="004F03CF" w:rsidP="00BB010B">
            <w:pPr>
              <w:spacing w:before="100" w:beforeAutospacing="1" w:after="100" w:afterAutospacing="1"/>
              <w:rPr>
                <w:color w:val="000000" w:themeColor="text1"/>
              </w:rPr>
            </w:pPr>
            <w:r w:rsidRPr="0090016E">
              <w:rPr>
                <w:b/>
                <w:bCs/>
                <w:color w:val="000000" w:themeColor="text1"/>
                <w:sz w:val="18"/>
                <w:szCs w:val="18"/>
              </w:rPr>
              <w:t>Proposed approach</w:t>
            </w:r>
          </w:p>
        </w:tc>
        <w:tc>
          <w:tcPr>
            <w:tcW w:w="1600" w:type="dxa"/>
            <w:shd w:val="clear" w:color="auto" w:fill="D9D9D9"/>
            <w:vAlign w:val="center"/>
          </w:tcPr>
          <w:p w14:paraId="156A4126" w14:textId="77777777" w:rsidR="004F03CF" w:rsidRPr="0090016E" w:rsidRDefault="004F03CF" w:rsidP="00BB010B">
            <w:pPr>
              <w:spacing w:before="100" w:beforeAutospacing="1" w:after="100" w:afterAutospacing="1"/>
              <w:rPr>
                <w:color w:val="000000" w:themeColor="text1"/>
              </w:rPr>
            </w:pPr>
            <w:r w:rsidRPr="0090016E">
              <w:rPr>
                <w:b/>
                <w:bCs/>
                <w:color w:val="000000" w:themeColor="text1"/>
                <w:sz w:val="18"/>
                <w:szCs w:val="18"/>
              </w:rPr>
              <w:t>Priority</w:t>
            </w:r>
          </w:p>
        </w:tc>
      </w:tr>
      <w:tr w:rsidR="004F03CF" w:rsidRPr="0090016E" w14:paraId="4F57F68F" w14:textId="77777777" w:rsidTr="002C3312">
        <w:tc>
          <w:tcPr>
            <w:tcW w:w="2600" w:type="dxa"/>
            <w:vAlign w:val="center"/>
          </w:tcPr>
          <w:p w14:paraId="7089CF28" w14:textId="77777777" w:rsidR="004F03CF" w:rsidRPr="0090016E" w:rsidRDefault="004F03CF" w:rsidP="00BB010B">
            <w:pPr>
              <w:spacing w:before="100" w:beforeAutospacing="1" w:after="100" w:afterAutospacing="1"/>
              <w:rPr>
                <w:color w:val="000000" w:themeColor="text1"/>
              </w:rPr>
            </w:pPr>
            <w:r w:rsidRPr="0090016E">
              <w:rPr>
                <w:color w:val="000000" w:themeColor="text1"/>
                <w:sz w:val="18"/>
                <w:szCs w:val="18"/>
              </w:rPr>
              <w:t>Receptor-independent cannabinoid mechanisms in non-macrophage lineages</w:t>
            </w:r>
          </w:p>
        </w:tc>
        <w:tc>
          <w:tcPr>
            <w:tcW w:w="2600" w:type="dxa"/>
            <w:vAlign w:val="center"/>
          </w:tcPr>
          <w:p w14:paraId="71DD2CB6" w14:textId="77777777" w:rsidR="004F03CF" w:rsidRPr="0090016E" w:rsidRDefault="004F03CF" w:rsidP="00BB010B">
            <w:pPr>
              <w:spacing w:before="100" w:beforeAutospacing="1" w:after="100" w:afterAutospacing="1"/>
              <w:rPr>
                <w:color w:val="000000" w:themeColor="text1"/>
              </w:rPr>
            </w:pPr>
            <w:r w:rsidRPr="0090016E">
              <w:rPr>
                <w:color w:val="000000" w:themeColor="text1"/>
                <w:sz w:val="18"/>
                <w:szCs w:val="18"/>
              </w:rPr>
              <w:t>Demonstrated only for macrophage differentiation to date</w:t>
            </w:r>
          </w:p>
        </w:tc>
        <w:tc>
          <w:tcPr>
            <w:tcW w:w="2600" w:type="dxa"/>
            <w:vAlign w:val="center"/>
          </w:tcPr>
          <w:p w14:paraId="4D0933A2" w14:textId="77777777" w:rsidR="004F03CF" w:rsidRPr="0090016E" w:rsidRDefault="004F03CF" w:rsidP="00BB010B">
            <w:pPr>
              <w:spacing w:before="100" w:beforeAutospacing="1" w:after="100" w:afterAutospacing="1"/>
              <w:rPr>
                <w:color w:val="000000" w:themeColor="text1"/>
              </w:rPr>
            </w:pPr>
            <w:r w:rsidRPr="0090016E">
              <w:rPr>
                <w:color w:val="000000" w:themeColor="text1"/>
                <w:sz w:val="18"/>
                <w:szCs w:val="18"/>
              </w:rPr>
              <w:t>Paired antagonist + knockout designs across T-cell, B-cell, and dendritic cell systems</w:t>
            </w:r>
          </w:p>
        </w:tc>
        <w:tc>
          <w:tcPr>
            <w:tcW w:w="1600" w:type="dxa"/>
            <w:vAlign w:val="center"/>
          </w:tcPr>
          <w:p w14:paraId="750EAEE1" w14:textId="77777777" w:rsidR="004F03CF" w:rsidRPr="0090016E" w:rsidRDefault="004F03CF" w:rsidP="00BB010B">
            <w:pPr>
              <w:spacing w:before="100" w:beforeAutospacing="1" w:after="100" w:afterAutospacing="1"/>
              <w:rPr>
                <w:color w:val="000000" w:themeColor="text1"/>
              </w:rPr>
            </w:pPr>
            <w:r w:rsidRPr="0090016E">
              <w:rPr>
                <w:color w:val="000000" w:themeColor="text1"/>
                <w:sz w:val="18"/>
                <w:szCs w:val="18"/>
              </w:rPr>
              <w:t>Immediate</w:t>
            </w:r>
          </w:p>
        </w:tc>
      </w:tr>
      <w:tr w:rsidR="004F03CF" w:rsidRPr="0090016E" w14:paraId="3F0CC9E1" w14:textId="77777777" w:rsidTr="002C3312">
        <w:tc>
          <w:tcPr>
            <w:tcW w:w="2600" w:type="dxa"/>
            <w:vAlign w:val="center"/>
          </w:tcPr>
          <w:p w14:paraId="7C9A997F" w14:textId="77777777" w:rsidR="004F03CF" w:rsidRPr="0090016E" w:rsidRDefault="004F03CF" w:rsidP="00BB010B">
            <w:pPr>
              <w:spacing w:before="100" w:beforeAutospacing="1" w:after="100" w:afterAutospacing="1"/>
              <w:rPr>
                <w:color w:val="000000" w:themeColor="text1"/>
              </w:rPr>
            </w:pPr>
            <w:r w:rsidRPr="0090016E">
              <w:rPr>
                <w:color w:val="000000" w:themeColor="text1"/>
                <w:sz w:val="18"/>
                <w:szCs w:val="18"/>
              </w:rPr>
              <w:t>Human epigenetic/transcriptomic confirmation of murine MDSC and Treg mechanisms</w:t>
            </w:r>
          </w:p>
        </w:tc>
        <w:tc>
          <w:tcPr>
            <w:tcW w:w="2600" w:type="dxa"/>
            <w:vAlign w:val="center"/>
          </w:tcPr>
          <w:p w14:paraId="51FF9D43" w14:textId="77777777" w:rsidR="004F03CF" w:rsidRPr="0090016E" w:rsidRDefault="004F03CF" w:rsidP="00BB010B">
            <w:pPr>
              <w:spacing w:before="100" w:beforeAutospacing="1" w:after="100" w:afterAutospacing="1"/>
              <w:rPr>
                <w:color w:val="000000" w:themeColor="text1"/>
              </w:rPr>
            </w:pPr>
            <w:r w:rsidRPr="0090016E">
              <w:rPr>
                <w:color w:val="000000" w:themeColor="text1"/>
                <w:sz w:val="18"/>
                <w:szCs w:val="18"/>
              </w:rPr>
              <w:t>Single available human study is exploratory, small, and largely null</w:t>
            </w:r>
          </w:p>
        </w:tc>
        <w:tc>
          <w:tcPr>
            <w:tcW w:w="2600" w:type="dxa"/>
            <w:vAlign w:val="center"/>
          </w:tcPr>
          <w:p w14:paraId="5641048E" w14:textId="77777777" w:rsidR="004F03CF" w:rsidRPr="0090016E" w:rsidRDefault="004F03CF" w:rsidP="00BB010B">
            <w:pPr>
              <w:spacing w:before="100" w:beforeAutospacing="1" w:after="100" w:afterAutospacing="1"/>
              <w:rPr>
                <w:color w:val="000000" w:themeColor="text1"/>
              </w:rPr>
            </w:pPr>
            <w:r w:rsidRPr="0090016E">
              <w:rPr>
                <w:color w:val="000000" w:themeColor="text1"/>
                <w:sz w:val="18"/>
                <w:szCs w:val="18"/>
              </w:rPr>
              <w:t>Adequately powered, exposure-verified cohort studies with paired functional assays</w:t>
            </w:r>
          </w:p>
        </w:tc>
        <w:tc>
          <w:tcPr>
            <w:tcW w:w="1600" w:type="dxa"/>
            <w:vAlign w:val="center"/>
          </w:tcPr>
          <w:p w14:paraId="1758A709" w14:textId="77777777" w:rsidR="004F03CF" w:rsidRPr="0090016E" w:rsidRDefault="004F03CF" w:rsidP="00BB010B">
            <w:pPr>
              <w:spacing w:before="100" w:beforeAutospacing="1" w:after="100" w:afterAutospacing="1"/>
              <w:rPr>
                <w:color w:val="000000" w:themeColor="text1"/>
              </w:rPr>
            </w:pPr>
            <w:r w:rsidRPr="0090016E">
              <w:rPr>
                <w:color w:val="000000" w:themeColor="text1"/>
                <w:sz w:val="18"/>
                <w:szCs w:val="18"/>
              </w:rPr>
              <w:t>Immediate</w:t>
            </w:r>
          </w:p>
        </w:tc>
      </w:tr>
      <w:tr w:rsidR="004F03CF" w:rsidRPr="0090016E" w14:paraId="668F942F" w14:textId="77777777" w:rsidTr="002C3312">
        <w:tc>
          <w:tcPr>
            <w:tcW w:w="2600" w:type="dxa"/>
            <w:vAlign w:val="center"/>
          </w:tcPr>
          <w:p w14:paraId="68A98CC2" w14:textId="77777777" w:rsidR="004F03CF" w:rsidRPr="0090016E" w:rsidRDefault="004F03CF" w:rsidP="00BB010B">
            <w:pPr>
              <w:spacing w:before="100" w:beforeAutospacing="1" w:after="100" w:afterAutospacing="1"/>
              <w:rPr>
                <w:color w:val="000000" w:themeColor="text1"/>
              </w:rPr>
            </w:pPr>
            <w:r w:rsidRPr="0090016E">
              <w:rPr>
                <w:color w:val="000000" w:themeColor="text1"/>
                <w:sz w:val="18"/>
                <w:szCs w:val="18"/>
              </w:rPr>
              <w:t>Mechanistic sub-studies within IBD clinical trials</w:t>
            </w:r>
          </w:p>
        </w:tc>
        <w:tc>
          <w:tcPr>
            <w:tcW w:w="2600" w:type="dxa"/>
            <w:vAlign w:val="center"/>
          </w:tcPr>
          <w:p w14:paraId="4B89EE61" w14:textId="77777777" w:rsidR="004F03CF" w:rsidRPr="0090016E" w:rsidRDefault="004F03CF" w:rsidP="00BB010B">
            <w:pPr>
              <w:spacing w:before="100" w:beforeAutospacing="1" w:after="100" w:afterAutospacing="1"/>
              <w:rPr>
                <w:color w:val="000000" w:themeColor="text1"/>
              </w:rPr>
            </w:pPr>
            <w:r w:rsidRPr="0090016E">
              <w:rPr>
                <w:color w:val="000000" w:themeColor="text1"/>
                <w:sz w:val="18"/>
                <w:szCs w:val="18"/>
              </w:rPr>
              <w:t>Existing trials measure symptoms/endoscopy but not mucosal endocannabinoid tone or CB2 density</w:t>
            </w:r>
          </w:p>
        </w:tc>
        <w:tc>
          <w:tcPr>
            <w:tcW w:w="2600" w:type="dxa"/>
            <w:vAlign w:val="center"/>
          </w:tcPr>
          <w:p w14:paraId="058ADB67" w14:textId="77777777" w:rsidR="004F03CF" w:rsidRPr="0090016E" w:rsidRDefault="004F03CF" w:rsidP="00BB010B">
            <w:pPr>
              <w:spacing w:before="100" w:beforeAutospacing="1" w:after="100" w:afterAutospacing="1"/>
              <w:rPr>
                <w:color w:val="000000" w:themeColor="text1"/>
              </w:rPr>
            </w:pPr>
            <w:r w:rsidRPr="0090016E">
              <w:rPr>
                <w:color w:val="000000" w:themeColor="text1"/>
                <w:sz w:val="18"/>
                <w:szCs w:val="18"/>
              </w:rPr>
              <w:t>Nested biopsy-based mechanistic sampling within future RCTs</w:t>
            </w:r>
          </w:p>
        </w:tc>
        <w:tc>
          <w:tcPr>
            <w:tcW w:w="1600" w:type="dxa"/>
            <w:vAlign w:val="center"/>
          </w:tcPr>
          <w:p w14:paraId="3B0FC1EE" w14:textId="77777777" w:rsidR="004F03CF" w:rsidRPr="0090016E" w:rsidRDefault="004F03CF" w:rsidP="00BB010B">
            <w:pPr>
              <w:spacing w:before="100" w:beforeAutospacing="1" w:after="100" w:afterAutospacing="1"/>
              <w:rPr>
                <w:color w:val="000000" w:themeColor="text1"/>
              </w:rPr>
            </w:pPr>
            <w:r w:rsidRPr="0090016E">
              <w:rPr>
                <w:color w:val="000000" w:themeColor="text1"/>
                <w:sz w:val="18"/>
                <w:szCs w:val="18"/>
              </w:rPr>
              <w:t>Near-term</w:t>
            </w:r>
          </w:p>
        </w:tc>
      </w:tr>
      <w:tr w:rsidR="004F03CF" w:rsidRPr="0090016E" w14:paraId="7C3718A9" w14:textId="77777777" w:rsidTr="002C3312">
        <w:tc>
          <w:tcPr>
            <w:tcW w:w="2600" w:type="dxa"/>
            <w:vAlign w:val="center"/>
          </w:tcPr>
          <w:p w14:paraId="2D34CF47" w14:textId="77777777" w:rsidR="004F03CF" w:rsidRPr="0090016E" w:rsidRDefault="004F03CF" w:rsidP="00BB010B">
            <w:pPr>
              <w:spacing w:before="100" w:beforeAutospacing="1" w:after="100" w:afterAutospacing="1"/>
              <w:rPr>
                <w:color w:val="000000" w:themeColor="text1"/>
              </w:rPr>
            </w:pPr>
            <w:r w:rsidRPr="0090016E">
              <w:rPr>
                <w:color w:val="000000" w:themeColor="text1"/>
                <w:sz w:val="18"/>
                <w:szCs w:val="18"/>
              </w:rPr>
              <w:t>Prospective, source-confirmed infection-risk cohorts in immunocompromised populations</w:t>
            </w:r>
          </w:p>
        </w:tc>
        <w:tc>
          <w:tcPr>
            <w:tcW w:w="2600" w:type="dxa"/>
            <w:vAlign w:val="center"/>
          </w:tcPr>
          <w:p w14:paraId="5E00A877" w14:textId="77777777" w:rsidR="004F03CF" w:rsidRPr="0090016E" w:rsidRDefault="004F03CF" w:rsidP="00BB010B">
            <w:pPr>
              <w:spacing w:before="100" w:beforeAutospacing="1" w:after="100" w:afterAutospacing="1"/>
              <w:rPr>
                <w:color w:val="000000" w:themeColor="text1"/>
              </w:rPr>
            </w:pPr>
            <w:r w:rsidRPr="0090016E">
              <w:rPr>
                <w:color w:val="000000" w:themeColor="text1"/>
                <w:sz w:val="18"/>
                <w:szCs w:val="18"/>
              </w:rPr>
              <w:t>Current evidence is case-report or insurance-claims based</w:t>
            </w:r>
          </w:p>
        </w:tc>
        <w:tc>
          <w:tcPr>
            <w:tcW w:w="2600" w:type="dxa"/>
            <w:vAlign w:val="center"/>
          </w:tcPr>
          <w:p w14:paraId="5A4BB69E" w14:textId="77777777" w:rsidR="004F03CF" w:rsidRPr="0090016E" w:rsidRDefault="004F03CF" w:rsidP="00BB010B">
            <w:pPr>
              <w:spacing w:before="100" w:beforeAutospacing="1" w:after="100" w:afterAutospacing="1"/>
              <w:rPr>
                <w:color w:val="000000" w:themeColor="text1"/>
              </w:rPr>
            </w:pPr>
            <w:r w:rsidRPr="0090016E">
              <w:rPr>
                <w:color w:val="000000" w:themeColor="text1"/>
                <w:sz w:val="18"/>
                <w:szCs w:val="18"/>
              </w:rPr>
              <w:t>Prospective transplant/oncology cohorts with product testing and genomic source-tracing</w:t>
            </w:r>
          </w:p>
        </w:tc>
        <w:tc>
          <w:tcPr>
            <w:tcW w:w="1600" w:type="dxa"/>
            <w:vAlign w:val="center"/>
          </w:tcPr>
          <w:p w14:paraId="25A9BFFD" w14:textId="77777777" w:rsidR="004F03CF" w:rsidRPr="0090016E" w:rsidRDefault="004F03CF" w:rsidP="00BB010B">
            <w:pPr>
              <w:spacing w:before="100" w:beforeAutospacing="1" w:after="100" w:afterAutospacing="1"/>
              <w:rPr>
                <w:color w:val="000000" w:themeColor="text1"/>
              </w:rPr>
            </w:pPr>
            <w:r w:rsidRPr="0090016E">
              <w:rPr>
                <w:color w:val="000000" w:themeColor="text1"/>
                <w:sz w:val="18"/>
                <w:szCs w:val="18"/>
              </w:rPr>
              <w:t>Near-term</w:t>
            </w:r>
          </w:p>
        </w:tc>
      </w:tr>
      <w:tr w:rsidR="004F03CF" w:rsidRPr="0090016E" w14:paraId="4EDF52C0" w14:textId="77777777" w:rsidTr="002C3312">
        <w:tc>
          <w:tcPr>
            <w:tcW w:w="2600" w:type="dxa"/>
            <w:vAlign w:val="center"/>
          </w:tcPr>
          <w:p w14:paraId="68B9FDBC" w14:textId="77777777" w:rsidR="004F03CF" w:rsidRPr="0090016E" w:rsidRDefault="004F03CF" w:rsidP="00BB010B">
            <w:pPr>
              <w:spacing w:before="100" w:beforeAutospacing="1" w:after="100" w:afterAutospacing="1"/>
              <w:rPr>
                <w:color w:val="000000" w:themeColor="text1"/>
              </w:rPr>
            </w:pPr>
            <w:r w:rsidRPr="0090016E">
              <w:rPr>
                <w:color w:val="000000" w:themeColor="text1"/>
                <w:sz w:val="18"/>
                <w:szCs w:val="18"/>
              </w:rPr>
              <w:t>Comparative immune effects of smoked, vaporised, and edible cannabis products</w:t>
            </w:r>
          </w:p>
        </w:tc>
        <w:tc>
          <w:tcPr>
            <w:tcW w:w="2600" w:type="dxa"/>
            <w:vAlign w:val="center"/>
          </w:tcPr>
          <w:p w14:paraId="4247F654" w14:textId="77777777" w:rsidR="004F03CF" w:rsidRPr="0090016E" w:rsidRDefault="004F03CF" w:rsidP="00BB010B">
            <w:pPr>
              <w:spacing w:before="100" w:beforeAutospacing="1" w:after="100" w:afterAutospacing="1"/>
              <w:rPr>
                <w:color w:val="000000" w:themeColor="text1"/>
              </w:rPr>
            </w:pPr>
            <w:r w:rsidRPr="0090016E">
              <w:rPr>
                <w:color w:val="000000" w:themeColor="text1"/>
                <w:sz w:val="18"/>
                <w:szCs w:val="18"/>
              </w:rPr>
              <w:t>Nearly all pulmonary immune data derive from combusted product</w:t>
            </w:r>
          </w:p>
        </w:tc>
        <w:tc>
          <w:tcPr>
            <w:tcW w:w="2600" w:type="dxa"/>
            <w:vAlign w:val="center"/>
          </w:tcPr>
          <w:p w14:paraId="5DC1D6F8" w14:textId="77777777" w:rsidR="004F03CF" w:rsidRPr="0090016E" w:rsidRDefault="004F03CF" w:rsidP="00BB010B">
            <w:pPr>
              <w:spacing w:before="100" w:beforeAutospacing="1" w:after="100" w:afterAutospacing="1"/>
              <w:rPr>
                <w:color w:val="000000" w:themeColor="text1"/>
              </w:rPr>
            </w:pPr>
            <w:r w:rsidRPr="0090016E">
              <w:rPr>
                <w:color w:val="000000" w:themeColor="text1"/>
                <w:sz w:val="18"/>
                <w:szCs w:val="18"/>
              </w:rPr>
              <w:t>Head-to-head functional and epidemiological comparison across routes</w:t>
            </w:r>
          </w:p>
        </w:tc>
        <w:tc>
          <w:tcPr>
            <w:tcW w:w="1600" w:type="dxa"/>
            <w:vAlign w:val="center"/>
          </w:tcPr>
          <w:p w14:paraId="7060DBDB" w14:textId="77777777" w:rsidR="004F03CF" w:rsidRPr="0090016E" w:rsidRDefault="004F03CF" w:rsidP="00BB010B">
            <w:pPr>
              <w:spacing w:before="100" w:beforeAutospacing="1" w:after="100" w:afterAutospacing="1"/>
              <w:rPr>
                <w:color w:val="000000" w:themeColor="text1"/>
              </w:rPr>
            </w:pPr>
            <w:r w:rsidRPr="0090016E">
              <w:rPr>
                <w:color w:val="000000" w:themeColor="text1"/>
                <w:sz w:val="18"/>
                <w:szCs w:val="18"/>
              </w:rPr>
              <w:t>Longer-term</w:t>
            </w:r>
          </w:p>
        </w:tc>
      </w:tr>
    </w:tbl>
    <w:p w14:paraId="4AF6318F" w14:textId="77777777" w:rsidR="005749C0" w:rsidRPr="0090016E" w:rsidRDefault="00000000" w:rsidP="00BB010B">
      <w:pPr>
        <w:pStyle w:val="Heading1"/>
        <w:spacing w:before="100" w:beforeAutospacing="1" w:after="100" w:afterAutospacing="1"/>
        <w:rPr>
          <w:color w:val="000000" w:themeColor="text1"/>
        </w:rPr>
      </w:pPr>
      <w:r w:rsidRPr="0090016E">
        <w:rPr>
          <w:b/>
          <w:bCs/>
          <w:color w:val="000000" w:themeColor="text1"/>
          <w:sz w:val="28"/>
          <w:szCs w:val="28"/>
        </w:rPr>
        <w:t>Conclusions</w:t>
      </w:r>
    </w:p>
    <w:p w14:paraId="61D812C3" w14:textId="77777777" w:rsidR="005749C0" w:rsidRPr="0090016E" w:rsidRDefault="00000000" w:rsidP="00BB010B">
      <w:pPr>
        <w:spacing w:before="100" w:beforeAutospacing="1" w:after="100" w:afterAutospacing="1"/>
        <w:jc w:val="both"/>
        <w:rPr>
          <w:color w:val="000000" w:themeColor="text1"/>
        </w:rPr>
      </w:pPr>
      <w:r w:rsidRPr="0090016E">
        <w:rPr>
          <w:color w:val="000000" w:themeColor="text1"/>
        </w:rPr>
        <w:t xml:space="preserve">The molecular evidence reviewed here supports a model in which the endocannabinoid system functions as a genuine node of immune homeostatic control, engaging apoptotic, transcriptional, epigenetic, and metabolic programmes across innate and adaptive immune cell lineages, rather than acting as a uniformly immunosuppressive or anti-inflammatory pathway. CB2 engagement on leukocytes constitutes the most consistently documented route by which THC and related agonists induce apoptosis in activated T cells and dendritic cells, mobilise myeloid-derived suppressor cells through an epigenetically sustained mechanism, and shift T helper lineage commitment and cytokine output toward a regulatory phenotype. CB1 contributes principally through neuro-immune circuits rather than direct leukocyte-intrinsic signalling, most clearly demonstrated in the differential neuronal and T-cell receptor requirements for cannabinoid-mediated suppression of central nervous system autoimmunity. CBD acts through a substantially different, largely CB2-independent pharmacology centred on </w:t>
      </w:r>
      <w:proofErr w:type="spellStart"/>
      <w:r w:rsidRPr="0090016E">
        <w:rPr>
          <w:color w:val="000000" w:themeColor="text1"/>
        </w:rPr>
        <w:t>PPARγ</w:t>
      </w:r>
      <w:proofErr w:type="spellEnd"/>
      <w:r w:rsidRPr="0090016E">
        <w:rPr>
          <w:color w:val="000000" w:themeColor="text1"/>
        </w:rPr>
        <w:t xml:space="preserve"> activation, with consequences for macrophage polarisation and inflammasome activity that are mechanistically distinct from those of THC and that should not be assumed interchangeable with THC effects in either laboratory design or clinical interpretation.</w:t>
      </w:r>
    </w:p>
    <w:p w14:paraId="3954BE8C" w14:textId="77777777" w:rsidR="005749C0" w:rsidRPr="0090016E" w:rsidRDefault="00000000" w:rsidP="00BB010B">
      <w:pPr>
        <w:spacing w:before="100" w:beforeAutospacing="1" w:after="100" w:afterAutospacing="1"/>
        <w:jc w:val="both"/>
        <w:rPr>
          <w:color w:val="000000" w:themeColor="text1"/>
        </w:rPr>
      </w:pPr>
      <w:r w:rsidRPr="0090016E">
        <w:rPr>
          <w:color w:val="000000" w:themeColor="text1"/>
        </w:rPr>
        <w:t xml:space="preserve">At the mucosal surface, the endocannabinoid system operates through a genuinely bidirectional homeostatic logic, in which constitutive luminal endocannabinoid secretion restrains neutrophil transmigration under steady-state conditions and is withdrawn, rather than actively reversed, to permit an appropriate inflammatory response during infection, a mechanism with direct but still incompletely realised implications for inflammatory bowel disease therapeutics. The translation of this and other cellular mechanisms into confirmed human clinical benefit or into a well-quantified human infection risk remains substantially incomplete: randomised trials in inflammatory bowel disease demonstrate symptomatic improvement without confirmed endoscopic or biochemical remission, and the epidemiological signal linking cannabis use to infection, while biologically plausible given the robust cellular suppression of natural killer cell, T-cell, and macrophage function documented across four decades of laboratory research, remains associative, confounded, and, in the case of fungal infection, corroborated by direct microbiological causation in only a single published instance. The endocannabinoid </w:t>
      </w:r>
      <w:r w:rsidRPr="0090016E">
        <w:rPr>
          <w:color w:val="000000" w:themeColor="text1"/>
        </w:rPr>
        <w:lastRenderedPageBreak/>
        <w:t>system should accordingly be regarded as a pharmacologically tractable but context-dependent immune regulatory network whose net clinical consequence in any given individual will depend on the specific cannabinoid, dose, route of administration, target tissue, and underlying immune state, rather than as a system whose direction of effect can be safely generalised from any single mechanistic study.</w:t>
      </w:r>
    </w:p>
    <w:p w14:paraId="031ED66E" w14:textId="77777777" w:rsidR="005749C0" w:rsidRPr="0090016E" w:rsidRDefault="00000000" w:rsidP="00BB010B">
      <w:pPr>
        <w:pStyle w:val="Heading1"/>
        <w:spacing w:before="100" w:beforeAutospacing="1" w:after="100" w:afterAutospacing="1"/>
        <w:rPr>
          <w:color w:val="000000" w:themeColor="text1"/>
        </w:rPr>
      </w:pPr>
      <w:r w:rsidRPr="0090016E">
        <w:rPr>
          <w:b/>
          <w:bCs/>
          <w:color w:val="000000" w:themeColor="text1"/>
          <w:sz w:val="28"/>
          <w:szCs w:val="28"/>
        </w:rPr>
        <w:t>Limitations</w:t>
      </w:r>
    </w:p>
    <w:p w14:paraId="5114FE12" w14:textId="77777777" w:rsidR="005749C0" w:rsidRPr="0090016E" w:rsidRDefault="00000000" w:rsidP="00BB010B">
      <w:pPr>
        <w:spacing w:before="100" w:beforeAutospacing="1" w:after="100" w:afterAutospacing="1"/>
        <w:jc w:val="both"/>
        <w:rPr>
          <w:color w:val="000000" w:themeColor="text1"/>
        </w:rPr>
      </w:pPr>
      <w:r w:rsidRPr="0090016E">
        <w:rPr>
          <w:color w:val="000000" w:themeColor="text1"/>
        </w:rPr>
        <w:t>As with any narrative review, the selection and interpretation of evidence presented here are subject to a degree of selection and interpretive bias on the part of the reviewer, notwithstanding the transparent search and appraisal process described in Section 2; a systematic or scoping review methodology, with pre-registered search criteria and dual independent screening, would provide a more fully reproducible account of the field, at the cost of the interpretive synthesis across immune cell lineages and receptor systems that was the specific objective of this review.</w:t>
      </w:r>
    </w:p>
    <w:p w14:paraId="2D63D6A7" w14:textId="77777777" w:rsidR="005749C0" w:rsidRPr="0090016E" w:rsidRDefault="00000000" w:rsidP="00BB010B">
      <w:pPr>
        <w:spacing w:before="100" w:beforeAutospacing="1" w:after="100" w:afterAutospacing="1"/>
        <w:jc w:val="both"/>
        <w:rPr>
          <w:color w:val="000000" w:themeColor="text1"/>
        </w:rPr>
      </w:pPr>
      <w:r w:rsidRPr="0090016E">
        <w:rPr>
          <w:color w:val="000000" w:themeColor="text1"/>
        </w:rPr>
        <w:t>Access to subscription-only bibliographic databases such as Web of Science Core Collection, Scopus, and Embase was not available for this review, and the search was accordingly conducted through general-purpose and publisher-level platforms supplemented by extensive backward and forward citation tracing; while this approach was cross-validated against PubMed metadata and publisher records for every cited source, it cannot be assumed to have achieved the same recall as a subscription-database search, and some relevant literature, particularly in subject-specific pharmacology or toxicology journals not well represented in the platforms used, may not have been identified.</w:t>
      </w:r>
    </w:p>
    <w:p w14:paraId="6A2E948A" w14:textId="77777777" w:rsidR="005749C0" w:rsidRPr="0090016E" w:rsidRDefault="00000000" w:rsidP="00BB010B">
      <w:pPr>
        <w:spacing w:before="100" w:beforeAutospacing="1" w:after="100" w:afterAutospacing="1"/>
        <w:jc w:val="both"/>
        <w:rPr>
          <w:color w:val="000000" w:themeColor="text1"/>
        </w:rPr>
      </w:pPr>
      <w:r w:rsidRPr="0090016E">
        <w:rPr>
          <w:color w:val="000000" w:themeColor="text1"/>
        </w:rPr>
        <w:t xml:space="preserve">The review is further limited to English-language sources, which may have excluded relevant non-English clinical or mechanistic literature, particularly from regions with established medical cannabis programmes. The underlying evidence base itself displays substantial heterogeneity in species, cell type, cannabinoid ligand, dose, and route of exposure, precluding quantitative synthesis and limiting the strength of cross-study comparison to qualitative pattern recognition. Human clinical and epidemiological evidence </w:t>
      </w:r>
      <w:proofErr w:type="gramStart"/>
      <w:r w:rsidRPr="0090016E">
        <w:rPr>
          <w:color w:val="000000" w:themeColor="text1"/>
        </w:rPr>
        <w:t>is</w:t>
      </w:r>
      <w:proofErr w:type="gramEnd"/>
      <w:r w:rsidRPr="0090016E">
        <w:rPr>
          <w:color w:val="000000" w:themeColor="text1"/>
        </w:rPr>
        <w:t xml:space="preserve"> disproportionately reliant on observational designs, case reports, and small randomised trials, with correspondingly wide uncertainty around effect estimates and limited capacity to establish causal infection risk or disease-modifying efficacy. The field remains one of rapid development, with new mechanistic and clinical data appearing at a pace that means specific quantitative estimates cited here, particularly for infection risk, should be regarded as provisional. Finally, because a substantial share of the mechanistic literature originates from a comparatively small number of research groups working with related experimental systems, the apparent convergence of certain findings, particularly around CB2-mediated apoptosis and myeloid-derived suppressor cell induction, may in part reflect shared methodology and model choice rather than fully independent replication across the wider field.</w:t>
      </w:r>
    </w:p>
    <w:p w14:paraId="225066AB" w14:textId="77777777" w:rsidR="00DC03C7" w:rsidRPr="0090016E" w:rsidRDefault="00DC03C7" w:rsidP="00DC03C7">
      <w:pPr>
        <w:rPr>
          <w:rFonts w:ascii="Times New Roman" w:hAnsi="Times New Roman" w:cs="Times New Roman"/>
          <w:b/>
          <w:color w:val="000000" w:themeColor="text1"/>
        </w:rPr>
      </w:pPr>
      <w:r w:rsidRPr="0090016E">
        <w:rPr>
          <w:rFonts w:ascii="Times New Roman" w:hAnsi="Times New Roman" w:cs="Times New Roman"/>
          <w:b/>
          <w:color w:val="000000" w:themeColor="text1"/>
        </w:rPr>
        <w:t>Declaration of AI Use</w:t>
      </w:r>
    </w:p>
    <w:p w14:paraId="017F8125" w14:textId="77777777" w:rsidR="00DC03C7" w:rsidRPr="0090016E" w:rsidRDefault="00DC03C7" w:rsidP="00DC03C7">
      <w:pPr>
        <w:rPr>
          <w:rFonts w:ascii="Times New Roman" w:hAnsi="Times New Roman" w:cs="Times New Roman"/>
          <w:color w:val="000000" w:themeColor="text1"/>
        </w:rPr>
      </w:pPr>
    </w:p>
    <w:p w14:paraId="138A25D0" w14:textId="77777777" w:rsidR="00DC03C7" w:rsidRPr="0090016E" w:rsidRDefault="00DC03C7" w:rsidP="00DC03C7">
      <w:pPr>
        <w:jc w:val="both"/>
        <w:rPr>
          <w:rFonts w:ascii="Times New Roman" w:hAnsi="Times New Roman" w:cs="Times New Roman"/>
          <w:color w:val="000000" w:themeColor="text1"/>
        </w:rPr>
      </w:pPr>
      <w:r w:rsidRPr="0090016E">
        <w:rPr>
          <w:rFonts w:ascii="Times New Roman" w:hAnsi="Times New Roman" w:cs="Times New Roman"/>
          <w:color w:val="000000" w:themeColor="text1"/>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3F7FBBB2" w14:textId="77777777" w:rsidR="00DC03C7" w:rsidRPr="0090016E" w:rsidRDefault="00DC03C7" w:rsidP="00BB010B">
      <w:pPr>
        <w:spacing w:before="100" w:beforeAutospacing="1" w:after="100" w:afterAutospacing="1"/>
        <w:jc w:val="both"/>
        <w:rPr>
          <w:color w:val="000000" w:themeColor="text1"/>
        </w:rPr>
      </w:pPr>
    </w:p>
    <w:p w14:paraId="77F8388A" w14:textId="77777777" w:rsidR="005749C0" w:rsidRPr="0090016E" w:rsidRDefault="00000000" w:rsidP="00BB010B">
      <w:pPr>
        <w:pStyle w:val="Heading1"/>
        <w:spacing w:before="100" w:beforeAutospacing="1" w:after="100" w:afterAutospacing="1"/>
        <w:rPr>
          <w:color w:val="000000" w:themeColor="text1"/>
        </w:rPr>
      </w:pPr>
      <w:r w:rsidRPr="0090016E">
        <w:rPr>
          <w:b/>
          <w:bCs/>
          <w:color w:val="000000" w:themeColor="text1"/>
          <w:sz w:val="28"/>
          <w:szCs w:val="28"/>
        </w:rPr>
        <w:lastRenderedPageBreak/>
        <w:t>References</w:t>
      </w:r>
    </w:p>
    <w:p w14:paraId="089E0AAF" w14:textId="77777777" w:rsidR="005749C0" w:rsidRPr="0090016E" w:rsidRDefault="00000000" w:rsidP="00BB010B">
      <w:pPr>
        <w:spacing w:before="100" w:beforeAutospacing="1" w:after="100" w:afterAutospacing="1"/>
        <w:ind w:left="360" w:hanging="360"/>
        <w:rPr>
          <w:color w:val="000000" w:themeColor="text1"/>
        </w:rPr>
      </w:pPr>
      <w:r w:rsidRPr="0090016E">
        <w:rPr>
          <w:color w:val="000000" w:themeColor="text1"/>
          <w:sz w:val="20"/>
          <w:szCs w:val="20"/>
        </w:rPr>
        <w:t xml:space="preserve">Agudelo, M., Newton, C., Widen, R., Sherwood, T., Nong, L., Friedman, H., &amp; Klein, T. W. (2008). Cannabinoid receptor 2 (CB2) mediates immunoglobulin class switching from IgM to IgE in cultures of murine-purified B lymphocytes. Journal of </w:t>
      </w:r>
      <w:proofErr w:type="spellStart"/>
      <w:r w:rsidRPr="0090016E">
        <w:rPr>
          <w:color w:val="000000" w:themeColor="text1"/>
          <w:sz w:val="20"/>
          <w:szCs w:val="20"/>
        </w:rPr>
        <w:t>NeuroImmune</w:t>
      </w:r>
      <w:proofErr w:type="spellEnd"/>
      <w:r w:rsidRPr="0090016E">
        <w:rPr>
          <w:color w:val="000000" w:themeColor="text1"/>
          <w:sz w:val="20"/>
          <w:szCs w:val="20"/>
        </w:rPr>
        <w:t xml:space="preserve"> Pharmacology, 3(1), 35–42. https://doi.org/10.1007/s11481-007-9088-9</w:t>
      </w:r>
    </w:p>
    <w:p w14:paraId="320C9B7D" w14:textId="77777777" w:rsidR="005749C0" w:rsidRPr="0090016E" w:rsidRDefault="00000000" w:rsidP="00BB010B">
      <w:pPr>
        <w:spacing w:before="100" w:beforeAutospacing="1" w:after="100" w:afterAutospacing="1"/>
        <w:ind w:left="360" w:hanging="360"/>
        <w:rPr>
          <w:color w:val="000000" w:themeColor="text1"/>
        </w:rPr>
      </w:pPr>
      <w:proofErr w:type="spellStart"/>
      <w:r w:rsidRPr="0090016E">
        <w:rPr>
          <w:color w:val="000000" w:themeColor="text1"/>
          <w:sz w:val="20"/>
          <w:szCs w:val="20"/>
        </w:rPr>
        <w:t>Balenga</w:t>
      </w:r>
      <w:proofErr w:type="spellEnd"/>
      <w:r w:rsidRPr="0090016E">
        <w:rPr>
          <w:color w:val="000000" w:themeColor="text1"/>
          <w:sz w:val="20"/>
          <w:szCs w:val="20"/>
        </w:rPr>
        <w:t xml:space="preserve">, N. A., </w:t>
      </w:r>
      <w:proofErr w:type="spellStart"/>
      <w:r w:rsidRPr="0090016E">
        <w:rPr>
          <w:color w:val="000000" w:themeColor="text1"/>
          <w:sz w:val="20"/>
          <w:szCs w:val="20"/>
        </w:rPr>
        <w:t>Aflaki</w:t>
      </w:r>
      <w:proofErr w:type="spellEnd"/>
      <w:r w:rsidRPr="0090016E">
        <w:rPr>
          <w:color w:val="000000" w:themeColor="text1"/>
          <w:sz w:val="20"/>
          <w:szCs w:val="20"/>
        </w:rPr>
        <w:t xml:space="preserve">, E., Kargl, J., Platzer, W., Schröder, R., </w:t>
      </w:r>
      <w:proofErr w:type="spellStart"/>
      <w:r w:rsidRPr="0090016E">
        <w:rPr>
          <w:color w:val="000000" w:themeColor="text1"/>
          <w:sz w:val="20"/>
          <w:szCs w:val="20"/>
        </w:rPr>
        <w:t>Blättermann</w:t>
      </w:r>
      <w:proofErr w:type="spellEnd"/>
      <w:r w:rsidRPr="0090016E">
        <w:rPr>
          <w:color w:val="000000" w:themeColor="text1"/>
          <w:sz w:val="20"/>
          <w:szCs w:val="20"/>
        </w:rPr>
        <w:t xml:space="preserve">, S., </w:t>
      </w:r>
      <w:proofErr w:type="spellStart"/>
      <w:r w:rsidRPr="0090016E">
        <w:rPr>
          <w:color w:val="000000" w:themeColor="text1"/>
          <w:sz w:val="20"/>
          <w:szCs w:val="20"/>
        </w:rPr>
        <w:t>Kostenis</w:t>
      </w:r>
      <w:proofErr w:type="spellEnd"/>
      <w:r w:rsidRPr="0090016E">
        <w:rPr>
          <w:color w:val="000000" w:themeColor="text1"/>
          <w:sz w:val="20"/>
          <w:szCs w:val="20"/>
        </w:rPr>
        <w:t xml:space="preserve">, E., Brown, A. J., Heinemann, A., &amp; </w:t>
      </w:r>
      <w:proofErr w:type="spellStart"/>
      <w:r w:rsidRPr="0090016E">
        <w:rPr>
          <w:color w:val="000000" w:themeColor="text1"/>
          <w:sz w:val="20"/>
          <w:szCs w:val="20"/>
        </w:rPr>
        <w:t>Waldhoer</w:t>
      </w:r>
      <w:proofErr w:type="spellEnd"/>
      <w:r w:rsidRPr="0090016E">
        <w:rPr>
          <w:color w:val="000000" w:themeColor="text1"/>
          <w:sz w:val="20"/>
          <w:szCs w:val="20"/>
        </w:rPr>
        <w:t>, M. (2011). GPR55 regulates cannabinoid 2 receptor-mediated responses in human neutrophils. Cell Research, 21(10), 1452–1469. https://doi.org/10.1038/cr.2011.60</w:t>
      </w:r>
    </w:p>
    <w:p w14:paraId="28B5E1EE" w14:textId="77777777" w:rsidR="005749C0" w:rsidRPr="0090016E" w:rsidRDefault="00000000" w:rsidP="00BB010B">
      <w:pPr>
        <w:spacing w:before="100" w:beforeAutospacing="1" w:after="100" w:afterAutospacing="1"/>
        <w:ind w:left="360" w:hanging="360"/>
        <w:rPr>
          <w:color w:val="000000" w:themeColor="text1"/>
        </w:rPr>
      </w:pPr>
      <w:r w:rsidRPr="0090016E">
        <w:rPr>
          <w:color w:val="000000" w:themeColor="text1"/>
          <w:sz w:val="20"/>
          <w:szCs w:val="20"/>
        </w:rPr>
        <w:t xml:space="preserve">Barakat, M., </w:t>
      </w:r>
      <w:proofErr w:type="spellStart"/>
      <w:r w:rsidRPr="0090016E">
        <w:rPr>
          <w:color w:val="000000" w:themeColor="text1"/>
          <w:sz w:val="20"/>
          <w:szCs w:val="20"/>
        </w:rPr>
        <w:t>Thiab</w:t>
      </w:r>
      <w:proofErr w:type="spellEnd"/>
      <w:r w:rsidRPr="0090016E">
        <w:rPr>
          <w:color w:val="000000" w:themeColor="text1"/>
          <w:sz w:val="20"/>
          <w:szCs w:val="20"/>
        </w:rPr>
        <w:t xml:space="preserve">, S., </w:t>
      </w:r>
      <w:proofErr w:type="spellStart"/>
      <w:r w:rsidRPr="0090016E">
        <w:rPr>
          <w:color w:val="000000" w:themeColor="text1"/>
          <w:sz w:val="20"/>
          <w:szCs w:val="20"/>
        </w:rPr>
        <w:t>Alzaghari</w:t>
      </w:r>
      <w:proofErr w:type="spellEnd"/>
      <w:r w:rsidRPr="0090016E">
        <w:rPr>
          <w:color w:val="000000" w:themeColor="text1"/>
          <w:sz w:val="20"/>
          <w:szCs w:val="20"/>
        </w:rPr>
        <w:t xml:space="preserve">, L. F., Abdulrazzaq, S. B., Hasen, E., </w:t>
      </w:r>
      <w:proofErr w:type="spellStart"/>
      <w:r w:rsidRPr="0090016E">
        <w:rPr>
          <w:color w:val="000000" w:themeColor="text1"/>
          <w:sz w:val="20"/>
          <w:szCs w:val="20"/>
        </w:rPr>
        <w:t>Abuarab</w:t>
      </w:r>
      <w:proofErr w:type="spellEnd"/>
      <w:r w:rsidRPr="0090016E">
        <w:rPr>
          <w:color w:val="000000" w:themeColor="text1"/>
          <w:sz w:val="20"/>
          <w:szCs w:val="20"/>
        </w:rPr>
        <w:t>, S. F., Nasereddin, L., Omar, A., Barakat, Y., Chellappan, D. K., &amp; Al-Najjar, M. A. A. (2025). Cannabis and the immune response: A comprehensive review of therapeutic potential and concerns. Phytomedicine Plus, 5(4), Article 100876. https://doi.org/10.1016/j.phyplu.2025.100876</w:t>
      </w:r>
    </w:p>
    <w:p w14:paraId="64A920EE" w14:textId="77777777" w:rsidR="005749C0" w:rsidRPr="0090016E" w:rsidRDefault="00000000" w:rsidP="00BB010B">
      <w:pPr>
        <w:spacing w:before="100" w:beforeAutospacing="1" w:after="100" w:afterAutospacing="1"/>
        <w:ind w:left="360" w:hanging="360"/>
        <w:rPr>
          <w:color w:val="000000" w:themeColor="text1"/>
        </w:rPr>
      </w:pPr>
      <w:r w:rsidRPr="0090016E">
        <w:rPr>
          <w:color w:val="000000" w:themeColor="text1"/>
          <w:sz w:val="20"/>
          <w:szCs w:val="20"/>
        </w:rPr>
        <w:t xml:space="preserve">Basu, S., Ray, A., &amp; Dittel, B. N. (2013). Cannabinoid receptor 2 (CB2) plays a role in the generation of germinal </w:t>
      </w:r>
      <w:proofErr w:type="spellStart"/>
      <w:r w:rsidRPr="0090016E">
        <w:rPr>
          <w:color w:val="000000" w:themeColor="text1"/>
          <w:sz w:val="20"/>
          <w:szCs w:val="20"/>
        </w:rPr>
        <w:t>center</w:t>
      </w:r>
      <w:proofErr w:type="spellEnd"/>
      <w:r w:rsidRPr="0090016E">
        <w:rPr>
          <w:color w:val="000000" w:themeColor="text1"/>
          <w:sz w:val="20"/>
          <w:szCs w:val="20"/>
        </w:rPr>
        <w:t xml:space="preserve"> and memory B cells, but not in the production of antigen-specific IgG and IgM, in response to T-dependent antigens. PLOS ONE, 8(6), e67587. https://doi.org/10.1371/journal.pone.0067587</w:t>
      </w:r>
    </w:p>
    <w:p w14:paraId="47613083" w14:textId="77777777" w:rsidR="005749C0" w:rsidRPr="0090016E" w:rsidRDefault="00000000" w:rsidP="00BB010B">
      <w:pPr>
        <w:spacing w:before="100" w:beforeAutospacing="1" w:after="100" w:afterAutospacing="1"/>
        <w:ind w:left="360" w:hanging="360"/>
        <w:rPr>
          <w:color w:val="000000" w:themeColor="text1"/>
        </w:rPr>
      </w:pPr>
      <w:r w:rsidRPr="0090016E">
        <w:rPr>
          <w:color w:val="000000" w:themeColor="text1"/>
          <w:sz w:val="20"/>
          <w:szCs w:val="20"/>
        </w:rPr>
        <w:t>Cabral, G. A., &amp; Dove Pettit, D. A. (1998). Drugs and immunity: Cannabinoids and their role in decreased resistance to infectious disease. Journal of Neuroimmunology, 83(1–2), 116–123. https://doi.org/10.1016/S0165-5728(97)00227-0</w:t>
      </w:r>
    </w:p>
    <w:p w14:paraId="768EFA90" w14:textId="77777777" w:rsidR="005749C0" w:rsidRPr="0090016E" w:rsidRDefault="00000000" w:rsidP="00BB010B">
      <w:pPr>
        <w:spacing w:before="100" w:beforeAutospacing="1" w:after="100" w:afterAutospacing="1"/>
        <w:ind w:left="360" w:hanging="360"/>
        <w:rPr>
          <w:color w:val="000000" w:themeColor="text1"/>
        </w:rPr>
      </w:pPr>
      <w:r w:rsidRPr="0090016E">
        <w:rPr>
          <w:color w:val="000000" w:themeColor="text1"/>
          <w:sz w:val="20"/>
          <w:szCs w:val="20"/>
        </w:rPr>
        <w:t>Cabral, G. A., Rogers, T. J., &amp; Lichtman, A. H. (2015). Turning over a new leaf: Cannabinoid and endocannabinoid modulation of immune function. Journal of Neuroimmune Pharmacology, 10(2), 193–203. https://doi.org/10.1007/s11481-015-9615-z</w:t>
      </w:r>
    </w:p>
    <w:p w14:paraId="662F5282" w14:textId="77777777" w:rsidR="005749C0" w:rsidRPr="0090016E" w:rsidRDefault="00000000" w:rsidP="00BB010B">
      <w:pPr>
        <w:spacing w:before="100" w:beforeAutospacing="1" w:after="100" w:afterAutospacing="1"/>
        <w:ind w:left="360" w:hanging="360"/>
        <w:rPr>
          <w:color w:val="000000" w:themeColor="text1"/>
        </w:rPr>
      </w:pPr>
      <w:r w:rsidRPr="0090016E">
        <w:rPr>
          <w:color w:val="000000" w:themeColor="text1"/>
          <w:sz w:val="20"/>
          <w:szCs w:val="20"/>
        </w:rPr>
        <w:t>Cuddihey, H., MacNaughton, W. K., &amp; Sharkey, K. A. (2022). Role of the endocannabinoid system in the regulation of intestinal homeostasis. Cellular and Molecular Gastroenterology and Hepatology, 14(4), 947–963. https://doi.org/10.1016/j.jcmgh.2022.05.015</w:t>
      </w:r>
    </w:p>
    <w:p w14:paraId="407D2A28" w14:textId="77777777" w:rsidR="005749C0" w:rsidRPr="0090016E" w:rsidRDefault="00000000" w:rsidP="00BB010B">
      <w:pPr>
        <w:spacing w:before="100" w:beforeAutospacing="1" w:after="100" w:afterAutospacing="1"/>
        <w:ind w:left="360" w:hanging="360"/>
        <w:rPr>
          <w:color w:val="000000" w:themeColor="text1"/>
        </w:rPr>
      </w:pPr>
      <w:r w:rsidRPr="0090016E">
        <w:rPr>
          <w:color w:val="000000" w:themeColor="text1"/>
          <w:sz w:val="20"/>
          <w:szCs w:val="20"/>
        </w:rPr>
        <w:t xml:space="preserve">Do, Y., </w:t>
      </w:r>
      <w:proofErr w:type="spellStart"/>
      <w:r w:rsidRPr="0090016E">
        <w:rPr>
          <w:color w:val="000000" w:themeColor="text1"/>
          <w:sz w:val="20"/>
          <w:szCs w:val="20"/>
        </w:rPr>
        <w:t>McKallip</w:t>
      </w:r>
      <w:proofErr w:type="spellEnd"/>
      <w:r w:rsidRPr="0090016E">
        <w:rPr>
          <w:color w:val="000000" w:themeColor="text1"/>
          <w:sz w:val="20"/>
          <w:szCs w:val="20"/>
        </w:rPr>
        <w:t>, R. J., Nagarkatti, M., &amp; Nagarkatti, P. S. (2004). Activation through cannabinoid receptors 1 and 2 on dendritic cells triggers NF-</w:t>
      </w:r>
      <w:proofErr w:type="spellStart"/>
      <w:r w:rsidRPr="0090016E">
        <w:rPr>
          <w:color w:val="000000" w:themeColor="text1"/>
          <w:sz w:val="20"/>
          <w:szCs w:val="20"/>
        </w:rPr>
        <w:t>κB</w:t>
      </w:r>
      <w:proofErr w:type="spellEnd"/>
      <w:r w:rsidRPr="0090016E">
        <w:rPr>
          <w:color w:val="000000" w:themeColor="text1"/>
          <w:sz w:val="20"/>
          <w:szCs w:val="20"/>
        </w:rPr>
        <w:t>-dependent apoptosis: Novel role for endogenous and exogenous cannabinoids in immunoregulation. The Journal of Immunology, 173(4), 2373–2382. https://doi.org/10.4049/jimmunol.173.4.2373</w:t>
      </w:r>
    </w:p>
    <w:p w14:paraId="1CC70DB6" w14:textId="77777777" w:rsidR="005749C0" w:rsidRPr="0090016E" w:rsidRDefault="00000000" w:rsidP="00BB010B">
      <w:pPr>
        <w:spacing w:before="100" w:beforeAutospacing="1" w:after="100" w:afterAutospacing="1"/>
        <w:ind w:left="360" w:hanging="360"/>
        <w:rPr>
          <w:color w:val="000000" w:themeColor="text1"/>
        </w:rPr>
      </w:pPr>
      <w:r w:rsidRPr="0090016E">
        <w:rPr>
          <w:color w:val="000000" w:themeColor="text1"/>
          <w:sz w:val="20"/>
          <w:szCs w:val="20"/>
        </w:rPr>
        <w:t>Hegde, V. L., Nagarkatti, P. S., &amp; Nagarkatti, M. (2010). Cannabinoid receptor activation leads to massive mobilization of myeloid-derived suppressor cells with potent immunosuppressive properties. European Journal of Immunology, 40(12), 3358–3371. https://doi.org/10.1002/eji.201040667</w:t>
      </w:r>
    </w:p>
    <w:p w14:paraId="1B65B60B" w14:textId="77777777" w:rsidR="005749C0" w:rsidRPr="0090016E" w:rsidRDefault="00000000" w:rsidP="00BB010B">
      <w:pPr>
        <w:spacing w:before="100" w:beforeAutospacing="1" w:after="100" w:afterAutospacing="1"/>
        <w:ind w:left="360" w:hanging="360"/>
        <w:rPr>
          <w:color w:val="000000" w:themeColor="text1"/>
        </w:rPr>
      </w:pPr>
      <w:r w:rsidRPr="0090016E">
        <w:rPr>
          <w:color w:val="000000" w:themeColor="text1"/>
          <w:sz w:val="20"/>
          <w:szCs w:val="20"/>
        </w:rPr>
        <w:t xml:space="preserve">Hughes Kramer, K., Garner, W., Clancy, C. J., &amp; Nguyen, M. H. (2026). Current state of knowledge on medical cannabis </w:t>
      </w:r>
      <w:proofErr w:type="gramStart"/>
      <w:r w:rsidRPr="0090016E">
        <w:rPr>
          <w:color w:val="000000" w:themeColor="text1"/>
          <w:sz w:val="20"/>
          <w:szCs w:val="20"/>
        </w:rPr>
        <w:t>use</w:t>
      </w:r>
      <w:proofErr w:type="gramEnd"/>
      <w:r w:rsidRPr="0090016E">
        <w:rPr>
          <w:color w:val="000000" w:themeColor="text1"/>
          <w:sz w:val="20"/>
          <w:szCs w:val="20"/>
        </w:rPr>
        <w:t xml:space="preserve"> and risk for infections: A practical guide for clinicians. Clinical Infectious Diseases, Advance online publication, ciag343. https://doi.org/10.1093/cid/ciag343</w:t>
      </w:r>
    </w:p>
    <w:p w14:paraId="28057CF2" w14:textId="77777777" w:rsidR="005749C0" w:rsidRPr="0090016E" w:rsidRDefault="00000000" w:rsidP="00BB010B">
      <w:pPr>
        <w:spacing w:before="100" w:beforeAutospacing="1" w:after="100" w:afterAutospacing="1"/>
        <w:ind w:left="360" w:hanging="360"/>
        <w:rPr>
          <w:color w:val="000000" w:themeColor="text1"/>
        </w:rPr>
      </w:pPr>
      <w:r w:rsidRPr="0090016E">
        <w:rPr>
          <w:color w:val="000000" w:themeColor="text1"/>
          <w:sz w:val="20"/>
          <w:szCs w:val="20"/>
        </w:rPr>
        <w:t xml:space="preserve">Kawakami, Y., Klein, T. W., Newton, C., McCarthy, C. A., </w:t>
      </w:r>
      <w:proofErr w:type="spellStart"/>
      <w:r w:rsidRPr="0090016E">
        <w:rPr>
          <w:color w:val="000000" w:themeColor="text1"/>
          <w:sz w:val="20"/>
          <w:szCs w:val="20"/>
        </w:rPr>
        <w:t>Djeu</w:t>
      </w:r>
      <w:proofErr w:type="spellEnd"/>
      <w:r w:rsidRPr="0090016E">
        <w:rPr>
          <w:color w:val="000000" w:themeColor="text1"/>
          <w:sz w:val="20"/>
          <w:szCs w:val="20"/>
        </w:rPr>
        <w:t>, J., Dennert, G., Specter, S., &amp; Friedman, H. (1988). Suppression by cannabinoids of a cloned cell line with natural killer cell activity. Proceedings of the Society for Experimental Biology and Medicine, 187(3), 355–359. https://pubmed.ncbi.nlm.nih.gov/2831542/</w:t>
      </w:r>
    </w:p>
    <w:p w14:paraId="7597052F" w14:textId="77777777" w:rsidR="005749C0" w:rsidRPr="0090016E" w:rsidRDefault="00000000" w:rsidP="00BB010B">
      <w:pPr>
        <w:spacing w:before="100" w:beforeAutospacing="1" w:after="100" w:afterAutospacing="1"/>
        <w:ind w:left="360" w:hanging="360"/>
        <w:rPr>
          <w:color w:val="000000" w:themeColor="text1"/>
        </w:rPr>
      </w:pPr>
      <w:r w:rsidRPr="0090016E">
        <w:rPr>
          <w:color w:val="000000" w:themeColor="text1"/>
          <w:sz w:val="20"/>
          <w:szCs w:val="20"/>
        </w:rPr>
        <w:lastRenderedPageBreak/>
        <w:t>Leinen, Z. J., Mohan, R., Premadasa, L. S., Acharya, A., Mohan, M., &amp; Byrareddy, S. N. (2023). Therapeutic potential of cannabis: A comprehensive review of current and future applications. Biomedicines, 11(10), Article 2630. https://doi.org/10.3390/biomedicines11102630</w:t>
      </w:r>
    </w:p>
    <w:p w14:paraId="3DAEE1E6" w14:textId="77777777" w:rsidR="005749C0" w:rsidRPr="0090016E" w:rsidRDefault="00000000" w:rsidP="00BB010B">
      <w:pPr>
        <w:spacing w:before="100" w:beforeAutospacing="1" w:after="100" w:afterAutospacing="1"/>
        <w:ind w:left="360" w:hanging="360"/>
        <w:rPr>
          <w:color w:val="000000" w:themeColor="text1"/>
        </w:rPr>
      </w:pPr>
      <w:proofErr w:type="spellStart"/>
      <w:r w:rsidRPr="0090016E">
        <w:rPr>
          <w:color w:val="000000" w:themeColor="text1"/>
          <w:sz w:val="20"/>
          <w:szCs w:val="20"/>
        </w:rPr>
        <w:t>Maggirwar</w:t>
      </w:r>
      <w:proofErr w:type="spellEnd"/>
      <w:r w:rsidRPr="0090016E">
        <w:rPr>
          <w:color w:val="000000" w:themeColor="text1"/>
          <w:sz w:val="20"/>
          <w:szCs w:val="20"/>
        </w:rPr>
        <w:t>, S. B., &amp; Khalsa, J. H. (2021). The link between cannabis use, immune system, and viral infections. Viruses, 13(6), Article 1099. https://doi.org/10.3390/v13061099</w:t>
      </w:r>
    </w:p>
    <w:p w14:paraId="791CF7E9" w14:textId="77777777" w:rsidR="005749C0" w:rsidRPr="0090016E" w:rsidRDefault="00000000" w:rsidP="00BB010B">
      <w:pPr>
        <w:spacing w:before="100" w:beforeAutospacing="1" w:after="100" w:afterAutospacing="1"/>
        <w:ind w:left="360" w:hanging="360"/>
        <w:rPr>
          <w:color w:val="000000" w:themeColor="text1"/>
        </w:rPr>
      </w:pPr>
      <w:proofErr w:type="spellStart"/>
      <w:r w:rsidRPr="0090016E">
        <w:rPr>
          <w:color w:val="000000" w:themeColor="text1"/>
          <w:sz w:val="20"/>
          <w:szCs w:val="20"/>
        </w:rPr>
        <w:t>Maresz</w:t>
      </w:r>
      <w:proofErr w:type="spellEnd"/>
      <w:r w:rsidRPr="0090016E">
        <w:rPr>
          <w:color w:val="000000" w:themeColor="text1"/>
          <w:sz w:val="20"/>
          <w:szCs w:val="20"/>
        </w:rPr>
        <w:t>, K., Pryce, G., Ponomarev, E. D., Marsicano, G., Croxford, J. L., Shriver, L. P., Ledent, C., Cheng, X., Carrier, E. J., Mann, M. K., Giovannoni, G., Pertwee, R. G., Yamamura, T., Buckley, N. E., Hillard, C. J., Lutz, B., Baker, D., &amp; Dittel, B. N. (2007). Direct suppression of CNS autoimmune inflammation via the cannabinoid receptor CB1 on neurons and CB2 on autoreactive T cells. Nature Medicine, 13(4), 492–497. https://doi.org/10.1038/nm1561</w:t>
      </w:r>
    </w:p>
    <w:p w14:paraId="675FB129" w14:textId="77777777" w:rsidR="005749C0" w:rsidRPr="0090016E" w:rsidRDefault="00000000" w:rsidP="00BB010B">
      <w:pPr>
        <w:spacing w:before="100" w:beforeAutospacing="1" w:after="100" w:afterAutospacing="1"/>
        <w:ind w:left="360" w:hanging="360"/>
        <w:rPr>
          <w:color w:val="000000" w:themeColor="text1"/>
        </w:rPr>
      </w:pPr>
      <w:r w:rsidRPr="0090016E">
        <w:rPr>
          <w:color w:val="000000" w:themeColor="text1"/>
          <w:sz w:val="20"/>
          <w:szCs w:val="20"/>
        </w:rPr>
        <w:t>McKallip, R. J., Lombard, C., Fisher, M., Martin, B. R., Ryu, S., Grant, S., Nagarkatti, P. S., &amp; Nagarkatti, M. (2002a). Targeting CB2 cannabinoid receptors as a novel therapy to treat malignant lymphoblastic disease. Blood, 100(2), 627–634. https://doi.org/10.1182/blood-2002-01-0098</w:t>
      </w:r>
    </w:p>
    <w:p w14:paraId="5D1C5420" w14:textId="77777777" w:rsidR="005749C0" w:rsidRPr="0090016E" w:rsidRDefault="00000000" w:rsidP="00BB010B">
      <w:pPr>
        <w:spacing w:before="100" w:beforeAutospacing="1" w:after="100" w:afterAutospacing="1"/>
        <w:ind w:left="360" w:hanging="360"/>
        <w:rPr>
          <w:color w:val="000000" w:themeColor="text1"/>
        </w:rPr>
      </w:pPr>
      <w:r w:rsidRPr="0090016E">
        <w:rPr>
          <w:color w:val="000000" w:themeColor="text1"/>
          <w:sz w:val="20"/>
          <w:szCs w:val="20"/>
        </w:rPr>
        <w:t>McKallip, R. J., Lombard, C., Martin, B. R., Nagarkatti, M., &amp; Nagarkatti, P. S. (2002b). Δ9-Tetrahydrocannabinol-induced apoptosis in the thymus and spleen as a mechanism of immunosuppression in vitro and in vivo. Journal of Pharmacology and Experimental Therapeutics, 302(2), 451–465. https://jpet.aspetjournals.org/article/S0022-3565(24)35786-6/abstract</w:t>
      </w:r>
    </w:p>
    <w:p w14:paraId="22D42E7C" w14:textId="77777777" w:rsidR="005749C0" w:rsidRPr="0090016E" w:rsidRDefault="00000000" w:rsidP="00BB010B">
      <w:pPr>
        <w:spacing w:before="100" w:beforeAutospacing="1" w:after="100" w:afterAutospacing="1"/>
        <w:ind w:left="360" w:hanging="360"/>
        <w:rPr>
          <w:color w:val="000000" w:themeColor="text1"/>
        </w:rPr>
      </w:pPr>
      <w:r w:rsidRPr="0090016E">
        <w:rPr>
          <w:color w:val="000000" w:themeColor="text1"/>
          <w:sz w:val="20"/>
          <w:szCs w:val="20"/>
        </w:rPr>
        <w:t>Nagarkatti, P., Pandey, R., Rieder, S. A., Hegde, V. L., &amp; Nagarkatti, M. (2009). Cannabinoids as novel anti-inflammatory drugs. Future Medicinal Chemistry, 1(7), 1333–1349. https://doi.org/10.4155/fmc.09.93</w:t>
      </w:r>
    </w:p>
    <w:p w14:paraId="4108233D" w14:textId="77777777" w:rsidR="005749C0" w:rsidRPr="0090016E" w:rsidRDefault="00000000" w:rsidP="00BB010B">
      <w:pPr>
        <w:spacing w:before="100" w:beforeAutospacing="1" w:after="100" w:afterAutospacing="1"/>
        <w:ind w:left="360" w:hanging="360"/>
        <w:rPr>
          <w:color w:val="000000" w:themeColor="text1"/>
        </w:rPr>
      </w:pPr>
      <w:r w:rsidRPr="0090016E">
        <w:rPr>
          <w:color w:val="000000" w:themeColor="text1"/>
          <w:sz w:val="20"/>
          <w:szCs w:val="20"/>
        </w:rPr>
        <w:t xml:space="preserve">Naftali, T., Bar-Lev Schleider, L., </w:t>
      </w:r>
      <w:proofErr w:type="spellStart"/>
      <w:r w:rsidRPr="0090016E">
        <w:rPr>
          <w:color w:val="000000" w:themeColor="text1"/>
          <w:sz w:val="20"/>
          <w:szCs w:val="20"/>
        </w:rPr>
        <w:t>Scklerovsky</w:t>
      </w:r>
      <w:proofErr w:type="spellEnd"/>
      <w:r w:rsidRPr="0090016E">
        <w:rPr>
          <w:color w:val="000000" w:themeColor="text1"/>
          <w:sz w:val="20"/>
          <w:szCs w:val="20"/>
        </w:rPr>
        <w:t xml:space="preserve"> Benjaminov, F., Konikoff, F. M., Matalon, S. T., &amp; Ringel, Y. (2021). Cannabis is associated with clinical but not endoscopic remission in ulcerative colitis: A randomized controlled trial. PLOS ONE, 16(2), e0246871. https://doi.org/10.1371/journal.pone.0246871</w:t>
      </w:r>
    </w:p>
    <w:p w14:paraId="703CACFB" w14:textId="77777777" w:rsidR="005749C0" w:rsidRPr="0090016E" w:rsidRDefault="00000000" w:rsidP="00BB010B">
      <w:pPr>
        <w:spacing w:before="100" w:beforeAutospacing="1" w:after="100" w:afterAutospacing="1"/>
        <w:ind w:left="360" w:hanging="360"/>
        <w:rPr>
          <w:color w:val="000000" w:themeColor="text1"/>
        </w:rPr>
      </w:pPr>
      <w:r w:rsidRPr="0090016E">
        <w:rPr>
          <w:color w:val="000000" w:themeColor="text1"/>
          <w:sz w:val="20"/>
          <w:szCs w:val="20"/>
        </w:rPr>
        <w:t xml:space="preserve">Plank, A.-C., Wiedmann, M., Kuitunen-Paul, S., Wagner, W., Perez-Correa, J.-F., Franzen, J., Ioannidis, C., </w:t>
      </w:r>
      <w:proofErr w:type="spellStart"/>
      <w:r w:rsidRPr="0090016E">
        <w:rPr>
          <w:color w:val="000000" w:themeColor="text1"/>
          <w:sz w:val="20"/>
          <w:szCs w:val="20"/>
        </w:rPr>
        <w:t>Mirtschink</w:t>
      </w:r>
      <w:proofErr w:type="spellEnd"/>
      <w:r w:rsidRPr="0090016E">
        <w:rPr>
          <w:color w:val="000000" w:themeColor="text1"/>
          <w:sz w:val="20"/>
          <w:szCs w:val="20"/>
        </w:rPr>
        <w:t>, P., Roessner, V., &amp; Golub, Y. (2024). DNA methylation and gene expression of immune cell markers in adolescents with chronic cannabis use: An exploratory study. BMC Psychiatry, 24, Article 676. https://doi.org/10.1186/s12888-024-06043-0</w:t>
      </w:r>
    </w:p>
    <w:p w14:paraId="62C50082" w14:textId="77777777" w:rsidR="005749C0" w:rsidRPr="0090016E" w:rsidRDefault="00000000" w:rsidP="00BB010B">
      <w:pPr>
        <w:spacing w:before="100" w:beforeAutospacing="1" w:after="100" w:afterAutospacing="1"/>
        <w:ind w:left="360" w:hanging="360"/>
        <w:rPr>
          <w:color w:val="000000" w:themeColor="text1"/>
        </w:rPr>
      </w:pPr>
      <w:r w:rsidRPr="0090016E">
        <w:rPr>
          <w:color w:val="000000" w:themeColor="text1"/>
          <w:sz w:val="20"/>
          <w:szCs w:val="20"/>
        </w:rPr>
        <w:t xml:space="preserve">Preteroti, M., Wilson, E. T., Eidelman, D. H., &amp; </w:t>
      </w:r>
      <w:proofErr w:type="spellStart"/>
      <w:r w:rsidRPr="0090016E">
        <w:rPr>
          <w:color w:val="000000" w:themeColor="text1"/>
          <w:sz w:val="20"/>
          <w:szCs w:val="20"/>
        </w:rPr>
        <w:t>Baglole</w:t>
      </w:r>
      <w:proofErr w:type="spellEnd"/>
      <w:r w:rsidRPr="0090016E">
        <w:rPr>
          <w:color w:val="000000" w:themeColor="text1"/>
          <w:sz w:val="20"/>
          <w:szCs w:val="20"/>
        </w:rPr>
        <w:t>, C. J. (2023). Modulation of pulmonary immune function by inhaled cannabis products and consequences for lung disease. Respiratory Research, 24(1), Article 95. https://doi.org/10.1186/s12931-023-02399-1</w:t>
      </w:r>
    </w:p>
    <w:p w14:paraId="3AB167A6" w14:textId="77777777" w:rsidR="005749C0" w:rsidRPr="0090016E" w:rsidRDefault="00000000" w:rsidP="00BB010B">
      <w:pPr>
        <w:spacing w:before="100" w:beforeAutospacing="1" w:after="100" w:afterAutospacing="1"/>
        <w:ind w:left="360" w:hanging="360"/>
        <w:rPr>
          <w:color w:val="000000" w:themeColor="text1"/>
        </w:rPr>
      </w:pPr>
      <w:r w:rsidRPr="0090016E">
        <w:rPr>
          <w:color w:val="000000" w:themeColor="text1"/>
          <w:sz w:val="20"/>
          <w:szCs w:val="20"/>
        </w:rPr>
        <w:t>Rao, R., Nagarkatti, P. S., &amp; Nagarkatti, M. (2015). Δ9-Tetrahydrocannabinol attenuates Staphylococcal enterotoxin B-induced inflammatory lung injury and prevents mortality in mice by modulation of miR-17-92 cluster and induction of T-regulatory cells. British Journal of Pharmacology, 172(7), 1792–1806. https://doi.org/10.1111/bph.13026</w:t>
      </w:r>
    </w:p>
    <w:p w14:paraId="42E21EC6" w14:textId="77777777" w:rsidR="005749C0" w:rsidRPr="0090016E" w:rsidRDefault="00000000" w:rsidP="00BB010B">
      <w:pPr>
        <w:spacing w:before="100" w:beforeAutospacing="1" w:after="100" w:afterAutospacing="1"/>
        <w:ind w:left="360" w:hanging="360"/>
        <w:rPr>
          <w:color w:val="000000" w:themeColor="text1"/>
        </w:rPr>
      </w:pPr>
      <w:r w:rsidRPr="0090016E">
        <w:rPr>
          <w:color w:val="000000" w:themeColor="text1"/>
          <w:sz w:val="20"/>
          <w:szCs w:val="20"/>
        </w:rPr>
        <w:t>Rieder, S. A., Chauhan, A., Singh, U., Nagarkatti, M., &amp; Nagarkatti, P. (2010). Cannabinoid-induced apoptosis in immune cells as a pathway to immunosuppression. Immunobiology, 215(8), 598–605. https://doi.org/10.1016/j.imbio.2009.04.001</w:t>
      </w:r>
    </w:p>
    <w:p w14:paraId="77C3791A" w14:textId="77777777" w:rsidR="005749C0" w:rsidRPr="0090016E" w:rsidRDefault="00000000" w:rsidP="00BB010B">
      <w:pPr>
        <w:spacing w:before="100" w:beforeAutospacing="1" w:after="100" w:afterAutospacing="1"/>
        <w:ind w:left="360" w:hanging="360"/>
        <w:rPr>
          <w:color w:val="000000" w:themeColor="text1"/>
        </w:rPr>
      </w:pPr>
      <w:r w:rsidRPr="0090016E">
        <w:rPr>
          <w:color w:val="000000" w:themeColor="text1"/>
          <w:sz w:val="20"/>
          <w:szCs w:val="20"/>
        </w:rPr>
        <w:t xml:space="preserve">Robinson, R. H., </w:t>
      </w:r>
      <w:proofErr w:type="spellStart"/>
      <w:r w:rsidRPr="0090016E">
        <w:rPr>
          <w:color w:val="000000" w:themeColor="text1"/>
          <w:sz w:val="20"/>
          <w:szCs w:val="20"/>
        </w:rPr>
        <w:t>Meissler</w:t>
      </w:r>
      <w:proofErr w:type="spellEnd"/>
      <w:r w:rsidRPr="0090016E">
        <w:rPr>
          <w:color w:val="000000" w:themeColor="text1"/>
          <w:sz w:val="20"/>
          <w:szCs w:val="20"/>
        </w:rPr>
        <w:t>, J. J., Fan, X., Yu, D., Adler, M. W., &amp; Eisenstein, T. K. (2015). A CB2-selective cannabinoid suppresses T-cell activities and increases Tregs and IL-10. Journal of Neuroimmune Pharmacology, 10(2), 318–332. https://doi.org/10.1007/s11481-015-9611-3</w:t>
      </w:r>
    </w:p>
    <w:p w14:paraId="2109DF38" w14:textId="77777777" w:rsidR="005749C0" w:rsidRPr="0090016E" w:rsidRDefault="00000000" w:rsidP="00BB010B">
      <w:pPr>
        <w:spacing w:before="100" w:beforeAutospacing="1" w:after="100" w:afterAutospacing="1"/>
        <w:ind w:left="360" w:hanging="360"/>
        <w:rPr>
          <w:color w:val="000000" w:themeColor="text1"/>
        </w:rPr>
      </w:pPr>
      <w:r w:rsidRPr="0090016E">
        <w:rPr>
          <w:color w:val="000000" w:themeColor="text1"/>
          <w:sz w:val="20"/>
          <w:szCs w:val="20"/>
        </w:rPr>
        <w:lastRenderedPageBreak/>
        <w:t>Sido, J. M., Jackson, A. R., Nagarkatti, P. S., &amp; Nagarkatti, M. (2016). Marijuana-derived Δ9-tetrahydrocannabinol suppresses Th1/Th17 cell-mediated delayed-type hypersensitivity through microRNA regulation. Journal of Molecular Medicine, 94(9), 1039–1051. https://doi.org/10.1007/s00109-016-1404-5</w:t>
      </w:r>
    </w:p>
    <w:p w14:paraId="12C53C17" w14:textId="77777777" w:rsidR="005749C0" w:rsidRPr="0090016E" w:rsidRDefault="00000000" w:rsidP="00BB010B">
      <w:pPr>
        <w:spacing w:before="100" w:beforeAutospacing="1" w:after="100" w:afterAutospacing="1"/>
        <w:ind w:left="360" w:hanging="360"/>
        <w:rPr>
          <w:color w:val="000000" w:themeColor="text1"/>
        </w:rPr>
      </w:pPr>
      <w:r w:rsidRPr="0090016E">
        <w:rPr>
          <w:color w:val="000000" w:themeColor="text1"/>
          <w:sz w:val="20"/>
          <w:szCs w:val="20"/>
        </w:rPr>
        <w:t>Sido, J. M., Yang, X., Nagarkatti, P. S., &amp; Nagarkatti, M. (2015). Δ9-Tetrahydrocannabinol-mediated epigenetic modifications elicit myeloid-derived suppressor cell activation via STAT3/S100A8. Journal of Leukocyte Biology, 97(4), 677–688. https://doi.org/10.1189/jlb.1A1014-479R</w:t>
      </w:r>
    </w:p>
    <w:p w14:paraId="339F028B" w14:textId="77777777" w:rsidR="005749C0" w:rsidRPr="0090016E" w:rsidRDefault="00000000" w:rsidP="00BB010B">
      <w:pPr>
        <w:spacing w:before="100" w:beforeAutospacing="1" w:after="100" w:afterAutospacing="1"/>
        <w:ind w:left="360" w:hanging="360"/>
        <w:rPr>
          <w:color w:val="000000" w:themeColor="text1"/>
        </w:rPr>
      </w:pPr>
      <w:r w:rsidRPr="0090016E">
        <w:rPr>
          <w:color w:val="000000" w:themeColor="text1"/>
          <w:sz w:val="20"/>
          <w:szCs w:val="20"/>
        </w:rPr>
        <w:t xml:space="preserve">Szabady, R. L., Louissaint, C., Lubben, A., Xie, B., </w:t>
      </w:r>
      <w:proofErr w:type="spellStart"/>
      <w:r w:rsidRPr="0090016E">
        <w:rPr>
          <w:color w:val="000000" w:themeColor="text1"/>
          <w:sz w:val="20"/>
          <w:szCs w:val="20"/>
        </w:rPr>
        <w:t>Reeksting</w:t>
      </w:r>
      <w:proofErr w:type="spellEnd"/>
      <w:r w:rsidRPr="0090016E">
        <w:rPr>
          <w:color w:val="000000" w:themeColor="text1"/>
          <w:sz w:val="20"/>
          <w:szCs w:val="20"/>
        </w:rPr>
        <w:t>, S., Tuohy, C., Demma, Z., Foley, S. E., Faherty, C. S., Llanos-Chea, A., Olive, A. J., Mrsny, R. J., &amp; McCormick, B. A. (2018). Intestinal P-glycoprotein exports endocannabinoids to prevent inflammation and maintain homeostasis. Journal of Clinical Investigation, 128(9), 4044–4056. https://doi.org/10.1172/JCI96817</w:t>
      </w:r>
    </w:p>
    <w:p w14:paraId="76314D35" w14:textId="77777777" w:rsidR="005749C0" w:rsidRPr="0090016E" w:rsidRDefault="00000000" w:rsidP="00BB010B">
      <w:pPr>
        <w:spacing w:before="100" w:beforeAutospacing="1" w:after="100" w:afterAutospacing="1"/>
        <w:ind w:left="360" w:hanging="360"/>
        <w:rPr>
          <w:color w:val="000000" w:themeColor="text1"/>
        </w:rPr>
      </w:pPr>
      <w:r w:rsidRPr="0090016E">
        <w:rPr>
          <w:color w:val="000000" w:themeColor="text1"/>
          <w:sz w:val="20"/>
          <w:szCs w:val="20"/>
        </w:rPr>
        <w:t>Turcotte, C., Chouinard, F., Lefebvre, J. S., &amp; Flamand, N. (2015). Regulation of inflammation by cannabinoids, the endocannabinoids 2-arachidonoylglycerol and arachidonoylethanolamide, and their metabolites. Journal of Leukocyte Biology, 97(6), 1049–1070. https://doi.org/10.1189/jlb.3RU0115-021R</w:t>
      </w:r>
    </w:p>
    <w:p w14:paraId="5C6BEBBB" w14:textId="77777777" w:rsidR="005749C0" w:rsidRPr="0090016E" w:rsidRDefault="00000000" w:rsidP="00BB010B">
      <w:pPr>
        <w:spacing w:before="100" w:beforeAutospacing="1" w:after="100" w:afterAutospacing="1"/>
        <w:ind w:left="360" w:hanging="360"/>
        <w:rPr>
          <w:color w:val="000000" w:themeColor="text1"/>
        </w:rPr>
      </w:pPr>
      <w:r w:rsidRPr="0090016E">
        <w:rPr>
          <w:color w:val="000000" w:themeColor="text1"/>
          <w:sz w:val="20"/>
          <w:szCs w:val="20"/>
        </w:rPr>
        <w:t>Yang, H., Zhou, J., &amp; Lehmann, C. (2016). GPR55 – a putative “type 3” cannabinoid receptor in inflammation. Journal of Basic and Clinical Physiology and Pharmacology, 27(3), 297–302. https://doi.org/10.1515/jbcpp-2015-0080</w:t>
      </w:r>
    </w:p>
    <w:sectPr w:rsidR="005749C0" w:rsidRPr="0090016E">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C0B429" w14:textId="77777777" w:rsidR="006547E4" w:rsidRDefault="006547E4" w:rsidP="0090016E">
      <w:r>
        <w:separator/>
      </w:r>
    </w:p>
  </w:endnote>
  <w:endnote w:type="continuationSeparator" w:id="0">
    <w:p w14:paraId="729590B9" w14:textId="77777777" w:rsidR="006547E4" w:rsidRDefault="006547E4" w:rsidP="009001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91F23" w14:textId="77777777" w:rsidR="0090016E" w:rsidRDefault="0090016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D6657" w14:textId="77777777" w:rsidR="0090016E" w:rsidRDefault="0090016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204AC" w14:textId="77777777" w:rsidR="0090016E" w:rsidRDefault="009001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35D14E" w14:textId="77777777" w:rsidR="006547E4" w:rsidRDefault="006547E4" w:rsidP="0090016E">
      <w:r>
        <w:separator/>
      </w:r>
    </w:p>
  </w:footnote>
  <w:footnote w:type="continuationSeparator" w:id="0">
    <w:p w14:paraId="2B4D75F5" w14:textId="77777777" w:rsidR="006547E4" w:rsidRDefault="006547E4" w:rsidP="009001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9A607F" w14:textId="4FAFC812" w:rsidR="0090016E" w:rsidRDefault="0090016E">
    <w:pPr>
      <w:pStyle w:val="Header"/>
    </w:pPr>
    <w:r>
      <w:rPr>
        <w:noProof/>
      </w:rPr>
      <w:pict w14:anchorId="7DB2CEA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8593751" o:spid="_x0000_s1026"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A4E90" w14:textId="496857B1" w:rsidR="0090016E" w:rsidRDefault="0090016E">
    <w:pPr>
      <w:pStyle w:val="Header"/>
    </w:pPr>
    <w:r>
      <w:rPr>
        <w:noProof/>
      </w:rPr>
      <w:pict w14:anchorId="455783C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8593752" o:spid="_x0000_s1027"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5940D" w14:textId="2DE3D574" w:rsidR="0090016E" w:rsidRDefault="0090016E">
    <w:pPr>
      <w:pStyle w:val="Header"/>
    </w:pPr>
    <w:r>
      <w:rPr>
        <w:noProof/>
      </w:rPr>
      <w:pict w14:anchorId="26B2A15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8593750" o:spid="_x0000_s1025"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7A14C7"/>
    <w:multiLevelType w:val="hybridMultilevel"/>
    <w:tmpl w:val="8FB818C6"/>
    <w:lvl w:ilvl="0" w:tplc="CA329CBE">
      <w:start w:val="1"/>
      <w:numFmt w:val="bullet"/>
      <w:lvlText w:val="●"/>
      <w:lvlJc w:val="left"/>
      <w:pPr>
        <w:ind w:left="720" w:hanging="360"/>
      </w:pPr>
    </w:lvl>
    <w:lvl w:ilvl="1" w:tplc="A420C89A">
      <w:start w:val="1"/>
      <w:numFmt w:val="bullet"/>
      <w:lvlText w:val="○"/>
      <w:lvlJc w:val="left"/>
      <w:pPr>
        <w:ind w:left="1440" w:hanging="360"/>
      </w:pPr>
    </w:lvl>
    <w:lvl w:ilvl="2" w:tplc="7018D2E2">
      <w:start w:val="1"/>
      <w:numFmt w:val="bullet"/>
      <w:lvlText w:val="■"/>
      <w:lvlJc w:val="left"/>
      <w:pPr>
        <w:ind w:left="2160" w:hanging="360"/>
      </w:pPr>
    </w:lvl>
    <w:lvl w:ilvl="3" w:tplc="B5868D58">
      <w:start w:val="1"/>
      <w:numFmt w:val="bullet"/>
      <w:lvlText w:val="●"/>
      <w:lvlJc w:val="left"/>
      <w:pPr>
        <w:ind w:left="2880" w:hanging="360"/>
      </w:pPr>
    </w:lvl>
    <w:lvl w:ilvl="4" w:tplc="CEE8271A">
      <w:start w:val="1"/>
      <w:numFmt w:val="bullet"/>
      <w:lvlText w:val="○"/>
      <w:lvlJc w:val="left"/>
      <w:pPr>
        <w:ind w:left="3600" w:hanging="360"/>
      </w:pPr>
    </w:lvl>
    <w:lvl w:ilvl="5" w:tplc="6E427D20">
      <w:start w:val="1"/>
      <w:numFmt w:val="bullet"/>
      <w:lvlText w:val="■"/>
      <w:lvlJc w:val="left"/>
      <w:pPr>
        <w:ind w:left="4320" w:hanging="360"/>
      </w:pPr>
    </w:lvl>
    <w:lvl w:ilvl="6" w:tplc="A824DFAC">
      <w:start w:val="1"/>
      <w:numFmt w:val="bullet"/>
      <w:lvlText w:val="●"/>
      <w:lvlJc w:val="left"/>
      <w:pPr>
        <w:ind w:left="5040" w:hanging="360"/>
      </w:pPr>
    </w:lvl>
    <w:lvl w:ilvl="7" w:tplc="8BCED35C">
      <w:start w:val="1"/>
      <w:numFmt w:val="bullet"/>
      <w:lvlText w:val="●"/>
      <w:lvlJc w:val="left"/>
      <w:pPr>
        <w:ind w:left="5760" w:hanging="360"/>
      </w:pPr>
    </w:lvl>
    <w:lvl w:ilvl="8" w:tplc="11B6AEB6">
      <w:start w:val="1"/>
      <w:numFmt w:val="bullet"/>
      <w:lvlText w:val="●"/>
      <w:lvlJc w:val="left"/>
      <w:pPr>
        <w:ind w:left="6480" w:hanging="360"/>
      </w:pPr>
    </w:lvl>
  </w:abstractNum>
  <w:num w:numId="1" w16cid:durableId="168062412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displayBackgroundShape/>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49C0"/>
    <w:rsid w:val="001B40A1"/>
    <w:rsid w:val="00386B29"/>
    <w:rsid w:val="004F03CF"/>
    <w:rsid w:val="005013AC"/>
    <w:rsid w:val="005749C0"/>
    <w:rsid w:val="006547E4"/>
    <w:rsid w:val="00713D89"/>
    <w:rsid w:val="0090016E"/>
    <w:rsid w:val="00BB010B"/>
    <w:rsid w:val="00DC03C7"/>
    <w:rsid w:val="00F867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92187D"/>
  <w15:docId w15:val="{E850AA45-04D6-4A4C-99AE-5308A270F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customStyle="1" w:styleId="font-claude-response-body">
    <w:name w:val="font-claude-response-body"/>
    <w:basedOn w:val="Normal"/>
    <w:rsid w:val="004F03CF"/>
    <w:pPr>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4F03CF"/>
    <w:rPr>
      <w:b/>
      <w:bCs/>
    </w:rPr>
  </w:style>
  <w:style w:type="paragraph" w:styleId="Header">
    <w:name w:val="header"/>
    <w:basedOn w:val="Normal"/>
    <w:link w:val="HeaderChar"/>
    <w:uiPriority w:val="99"/>
    <w:unhideWhenUsed/>
    <w:rsid w:val="0090016E"/>
    <w:pPr>
      <w:tabs>
        <w:tab w:val="center" w:pos="4513"/>
        <w:tab w:val="right" w:pos="9026"/>
      </w:tabs>
    </w:pPr>
  </w:style>
  <w:style w:type="character" w:customStyle="1" w:styleId="HeaderChar">
    <w:name w:val="Header Char"/>
    <w:basedOn w:val="DefaultParagraphFont"/>
    <w:link w:val="Header"/>
    <w:uiPriority w:val="99"/>
    <w:rsid w:val="0090016E"/>
  </w:style>
  <w:style w:type="paragraph" w:styleId="Footer">
    <w:name w:val="footer"/>
    <w:basedOn w:val="Normal"/>
    <w:link w:val="FooterChar"/>
    <w:uiPriority w:val="99"/>
    <w:unhideWhenUsed/>
    <w:rsid w:val="0090016E"/>
    <w:pPr>
      <w:tabs>
        <w:tab w:val="center" w:pos="4513"/>
        <w:tab w:val="right" w:pos="9026"/>
      </w:tabs>
    </w:pPr>
  </w:style>
  <w:style w:type="character" w:customStyle="1" w:styleId="FooterChar">
    <w:name w:val="Footer Char"/>
    <w:basedOn w:val="DefaultParagraphFont"/>
    <w:link w:val="Footer"/>
    <w:uiPriority w:val="99"/>
    <w:rsid w:val="009001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22</Pages>
  <Words>12025</Words>
  <Characters>68543</Characters>
  <Application>Microsoft Office Word</Application>
  <DocSecurity>0</DocSecurity>
  <Lines>571</Lines>
  <Paragraphs>160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80408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SDI 1166</cp:lastModifiedBy>
  <cp:revision>7</cp:revision>
  <dcterms:created xsi:type="dcterms:W3CDTF">2026-07-18T18:21:00Z</dcterms:created>
  <dcterms:modified xsi:type="dcterms:W3CDTF">2026-07-24T11:45:00Z</dcterms:modified>
</cp:coreProperties>
</file>