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79AC9" w14:textId="77777777" w:rsidR="004F0BC1" w:rsidRDefault="004F0BC1" w:rsidP="00DF01B6">
      <w:pPr>
        <w:jc w:val="right"/>
        <w:rPr>
          <w:rFonts w:ascii="Arial" w:hAnsi="Arial" w:cs="Arial"/>
          <w:b/>
          <w:bCs/>
          <w:sz w:val="36"/>
          <w:szCs w:val="36"/>
        </w:rPr>
      </w:pPr>
      <w:r w:rsidRPr="004F0BC1">
        <w:rPr>
          <w:rFonts w:ascii="Arial" w:hAnsi="Arial" w:cs="Arial"/>
          <w:b/>
          <w:bCs/>
          <w:sz w:val="36"/>
          <w:szCs w:val="36"/>
        </w:rPr>
        <w:t xml:space="preserve">Case report </w:t>
      </w:r>
    </w:p>
    <w:p w14:paraId="5034FB17" w14:textId="77777777" w:rsidR="004F0BC1" w:rsidRDefault="004F0BC1" w:rsidP="00DF01B6">
      <w:pPr>
        <w:jc w:val="right"/>
        <w:rPr>
          <w:rFonts w:ascii="Arial" w:hAnsi="Arial" w:cs="Arial"/>
          <w:b/>
          <w:bCs/>
          <w:sz w:val="36"/>
          <w:szCs w:val="36"/>
        </w:rPr>
      </w:pPr>
    </w:p>
    <w:p w14:paraId="42630B54" w14:textId="2E2B5A53" w:rsidR="00DF01B6" w:rsidRPr="00DF01B6" w:rsidRDefault="00DF01B6" w:rsidP="00DF01B6">
      <w:pPr>
        <w:jc w:val="right"/>
        <w:rPr>
          <w:rFonts w:ascii="Arial" w:hAnsi="Arial" w:cs="Arial"/>
          <w:b/>
          <w:bCs/>
          <w:sz w:val="36"/>
          <w:szCs w:val="36"/>
        </w:rPr>
      </w:pPr>
      <w:r w:rsidRPr="00DF01B6">
        <w:rPr>
          <w:rFonts w:ascii="Arial" w:hAnsi="Arial" w:cs="Arial"/>
          <w:b/>
          <w:bCs/>
          <w:sz w:val="36"/>
          <w:szCs w:val="36"/>
        </w:rPr>
        <w:t xml:space="preserve">Ciprofloxacin-Associated Pruritic Erythematous Cutaneous Eruption in a Young Adult with Bilateral </w:t>
      </w:r>
      <w:proofErr w:type="spellStart"/>
      <w:r w:rsidRPr="00DF01B6">
        <w:rPr>
          <w:rFonts w:ascii="Arial" w:hAnsi="Arial" w:cs="Arial"/>
          <w:b/>
          <w:bCs/>
          <w:sz w:val="36"/>
          <w:szCs w:val="36"/>
        </w:rPr>
        <w:t>Epididymo</w:t>
      </w:r>
      <w:proofErr w:type="spellEnd"/>
      <w:r w:rsidRPr="00DF01B6">
        <w:rPr>
          <w:rFonts w:ascii="Arial" w:hAnsi="Arial" w:cs="Arial"/>
          <w:b/>
          <w:bCs/>
          <w:sz w:val="36"/>
          <w:szCs w:val="36"/>
        </w:rPr>
        <w:t>-Orchitis: A Case Report</w:t>
      </w:r>
    </w:p>
    <w:p w14:paraId="0A4D140A" w14:textId="77777777" w:rsidR="00A258C3" w:rsidRPr="00DF01B6" w:rsidRDefault="00A258C3" w:rsidP="00441B6F">
      <w:pPr>
        <w:pStyle w:val="Author"/>
        <w:spacing w:line="240" w:lineRule="auto"/>
        <w:jc w:val="both"/>
        <w:rPr>
          <w:rFonts w:ascii="Arial" w:hAnsi="Arial" w:cs="Arial"/>
          <w:sz w:val="36"/>
        </w:rPr>
      </w:pPr>
    </w:p>
    <w:p w14:paraId="6560A5CB" w14:textId="77777777" w:rsidR="002C57D2" w:rsidRPr="00DF01B6" w:rsidRDefault="002C57D2" w:rsidP="00441B6F">
      <w:pPr>
        <w:pStyle w:val="Affiliation"/>
        <w:spacing w:after="0" w:line="240" w:lineRule="auto"/>
        <w:jc w:val="both"/>
        <w:rPr>
          <w:rFonts w:ascii="Arial" w:hAnsi="Arial" w:cs="Arial"/>
        </w:rPr>
      </w:pPr>
    </w:p>
    <w:p w14:paraId="47C54439" w14:textId="33320458" w:rsidR="00B01FCD" w:rsidRPr="00DF01B6" w:rsidRDefault="007E4975" w:rsidP="00441B6F">
      <w:pPr>
        <w:pStyle w:val="Copyright"/>
        <w:spacing w:after="0" w:line="240" w:lineRule="auto"/>
        <w:jc w:val="both"/>
        <w:rPr>
          <w:rFonts w:ascii="Arial" w:hAnsi="Arial" w:cs="Arial"/>
        </w:rPr>
        <w:sectPr w:rsidR="00B01FCD" w:rsidRPr="00DF01B6" w:rsidSect="001B56A6">
          <w:headerReference w:type="even" r:id="rId8"/>
          <w:headerReference w:type="default" r:id="rId9"/>
          <w:footerReference w:type="even" r:id="rId10"/>
          <w:footerReference w:type="default" r:id="rId11"/>
          <w:headerReference w:type="first" r:id="rId12"/>
          <w:footerReference w:type="first" r:id="rId13"/>
          <w:pgSz w:w="12240" w:h="15840" w:code="1"/>
          <w:pgMar w:top="1440" w:right="2019" w:bottom="2019" w:left="2019" w:header="720" w:footer="1298" w:gutter="0"/>
          <w:cols w:space="720"/>
          <w:docGrid w:linePitch="272"/>
        </w:sectPr>
      </w:pPr>
      <w:r>
        <w:rPr>
          <w:rFonts w:ascii="Arial" w:hAnsi="Arial" w:cs="Arial"/>
          <w:noProof/>
        </w:rPr>
        <mc:AlternateContent>
          <mc:Choice Requires="wps">
            <w:drawing>
              <wp:inline distT="0" distB="0" distL="0" distR="0" wp14:anchorId="1AD3FC7D" wp14:editId="439E83C5">
                <wp:extent cx="5303520" cy="635"/>
                <wp:effectExtent l="13335" t="17780" r="17145" b="10795"/>
                <wp:docPr id="84016858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3FFEED3"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DF01B6">
        <w:rPr>
          <w:rFonts w:ascii="Arial" w:hAnsi="Arial" w:cs="Arial"/>
        </w:rPr>
        <w:t>.</w:t>
      </w:r>
    </w:p>
    <w:p w14:paraId="30A4D2D1" w14:textId="601507EF" w:rsidR="00F61777" w:rsidRDefault="00F61777" w:rsidP="00441B6F">
      <w:pPr>
        <w:pStyle w:val="AbstHead"/>
        <w:spacing w:after="0"/>
        <w:jc w:val="both"/>
        <w:rPr>
          <w:rFonts w:ascii="Arial" w:hAnsi="Arial" w:cs="Arial"/>
        </w:rPr>
      </w:pPr>
      <w:r w:rsidRPr="00F61777">
        <w:rPr>
          <w:rFonts w:ascii="Arial" w:hAnsi="Arial" w:cs="Arial"/>
        </w:rPr>
        <w:t>Case Report</w:t>
      </w:r>
    </w:p>
    <w:p w14:paraId="75D712A0" w14:textId="0CD709EF" w:rsidR="00B01FCD" w:rsidRPr="00DF01B6" w:rsidRDefault="00B01FCD" w:rsidP="00441B6F">
      <w:pPr>
        <w:pStyle w:val="AbstHead"/>
        <w:spacing w:after="0"/>
        <w:jc w:val="both"/>
        <w:rPr>
          <w:rFonts w:ascii="Arial" w:hAnsi="Arial" w:cs="Arial"/>
        </w:rPr>
      </w:pPr>
      <w:r w:rsidRPr="00DF01B6">
        <w:rPr>
          <w:rFonts w:ascii="Arial" w:hAnsi="Arial" w:cs="Arial"/>
        </w:rPr>
        <w:t>ABSTRACT</w:t>
      </w:r>
    </w:p>
    <w:p w14:paraId="56F26EBF" w14:textId="77777777" w:rsidR="00790ADA" w:rsidRPr="00DF01B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DF01B6" w14:paraId="64091F1A" w14:textId="77777777" w:rsidTr="001E44FE">
        <w:tc>
          <w:tcPr>
            <w:tcW w:w="9576" w:type="dxa"/>
            <w:shd w:val="clear" w:color="auto" w:fill="F2F2F2"/>
          </w:tcPr>
          <w:p w14:paraId="7311B048" w14:textId="77777777" w:rsidR="00505F06" w:rsidRPr="00DF01B6" w:rsidRDefault="00BA1B01" w:rsidP="00DF01B6">
            <w:pPr>
              <w:spacing w:after="160" w:line="278" w:lineRule="auto"/>
              <w:jc w:val="both"/>
              <w:rPr>
                <w:rFonts w:ascii="Arial" w:hAnsi="Arial" w:cs="Arial"/>
                <w:lang w:bidi="th-TH"/>
              </w:rPr>
            </w:pPr>
            <w:r w:rsidRPr="00DF01B6">
              <w:rPr>
                <w:rFonts w:ascii="Arial" w:eastAsia="Calibri" w:hAnsi="Arial" w:cs="Arial"/>
                <w:b/>
                <w:szCs w:val="22"/>
              </w:rPr>
              <w:t xml:space="preserve">Aims: </w:t>
            </w:r>
            <w:r w:rsidR="00DF01B6" w:rsidRPr="00DF01B6">
              <w:rPr>
                <w:rFonts w:ascii="Arial" w:hAnsi="Arial" w:cs="Arial"/>
                <w:lang w:bidi="th-TH"/>
              </w:rPr>
              <w:t xml:space="preserve">To describe a suspected ciprofloxacin-associated pruritic erythematous cutaneous adverse drug reaction in a young adult with bilateral </w:t>
            </w:r>
            <w:proofErr w:type="spellStart"/>
            <w:r w:rsidR="00DF01B6" w:rsidRPr="00DF01B6">
              <w:rPr>
                <w:rFonts w:ascii="Arial" w:hAnsi="Arial" w:cs="Arial"/>
                <w:lang w:bidi="th-TH"/>
              </w:rPr>
              <w:t>epididymo</w:t>
            </w:r>
            <w:proofErr w:type="spellEnd"/>
            <w:r w:rsidR="00DF01B6" w:rsidRPr="00DF01B6">
              <w:rPr>
                <w:rFonts w:ascii="Arial" w:hAnsi="Arial" w:cs="Arial"/>
                <w:lang w:bidi="th-TH"/>
              </w:rPr>
              <w:t>-orchitis and to highlight the importance of integrating pharmacovigilance with antimicrobial susceptibility-guided therapy.</w:t>
            </w:r>
          </w:p>
          <w:p w14:paraId="42261E22" w14:textId="7C4F5592" w:rsidR="00DF01B6" w:rsidRPr="00DF01B6" w:rsidRDefault="00DF01B6" w:rsidP="00DF01B6">
            <w:pPr>
              <w:spacing w:after="160" w:line="278" w:lineRule="auto"/>
              <w:jc w:val="both"/>
              <w:rPr>
                <w:rFonts w:ascii="Arial" w:hAnsi="Arial" w:cs="Arial"/>
                <w:lang w:bidi="th-TH"/>
              </w:rPr>
            </w:pPr>
            <w:r w:rsidRPr="00DF01B6">
              <w:rPr>
                <w:rFonts w:ascii="Arial" w:hAnsi="Arial" w:cs="Arial"/>
                <w:b/>
                <w:bCs/>
                <w:lang w:bidi="th-TH"/>
              </w:rPr>
              <w:t>Presentation of Case:</w:t>
            </w:r>
            <w:r w:rsidRPr="00DF01B6">
              <w:rPr>
                <w:rFonts w:ascii="Arial" w:hAnsi="Arial" w:cs="Arial"/>
                <w:lang w:bidi="th-TH"/>
              </w:rPr>
              <w:t xml:space="preserve"> A 22-year-old male presented with fever, bilateral testicular swelling and scrotal pain and was diagnosed with bilateral </w:t>
            </w:r>
            <w:proofErr w:type="spellStart"/>
            <w:r w:rsidRPr="00DF01B6">
              <w:rPr>
                <w:rFonts w:ascii="Arial" w:hAnsi="Arial" w:cs="Arial"/>
                <w:lang w:bidi="th-TH"/>
              </w:rPr>
              <w:t>epididymo</w:t>
            </w:r>
            <w:proofErr w:type="spellEnd"/>
            <w:r w:rsidRPr="00DF01B6">
              <w:rPr>
                <w:rFonts w:ascii="Arial" w:hAnsi="Arial" w:cs="Arial"/>
                <w:lang w:bidi="th-TH"/>
              </w:rPr>
              <w:t xml:space="preserve">-orchitis. Laboratory evaluation showed leukocytosis (15.6 × 10³/µL; neutrophils 81%), and urine culture isolated </w:t>
            </w:r>
            <w:r w:rsidRPr="00DF01B6">
              <w:rPr>
                <w:rFonts w:ascii="Arial" w:hAnsi="Arial" w:cs="Arial"/>
                <w:i/>
                <w:iCs/>
                <w:lang w:bidi="th-TH"/>
              </w:rPr>
              <w:t>Escherichia coli</w:t>
            </w:r>
            <w:r w:rsidRPr="00DF01B6">
              <w:rPr>
                <w:rFonts w:ascii="Arial" w:hAnsi="Arial" w:cs="Arial"/>
                <w:lang w:bidi="th-TH"/>
              </w:rPr>
              <w:t xml:space="preserve"> resistant to ciprofloxacin/ofloxacin. During hospitalization, intravenous ciprofloxacin 200 mg twice daily was administered with other antimicrobial and supportive therapy. The patient subsequently developed pruritus with an erythematous skin eruption. The clinical photograph demonstrated erythematous changes without clearly identifiable wheals; hence, the reaction was characterized as a pruritic erythematous cutaneous eruption rather than definitive urticaria or fixed drug eruption. A provisional Naranjo score of </w:t>
            </w:r>
            <w:r>
              <w:rPr>
                <w:rFonts w:ascii="Arial" w:hAnsi="Arial" w:cs="Arial"/>
                <w:lang w:bidi="th-TH"/>
              </w:rPr>
              <w:t>6</w:t>
            </w:r>
            <w:r w:rsidRPr="00DF01B6">
              <w:rPr>
                <w:rFonts w:ascii="Arial" w:hAnsi="Arial" w:cs="Arial"/>
                <w:lang w:bidi="th-TH"/>
              </w:rPr>
              <w:t xml:space="preserve"> indicated a possible adverse drug reaction.</w:t>
            </w:r>
          </w:p>
          <w:p w14:paraId="4B5ECB74" w14:textId="77777777" w:rsidR="00DF01B6" w:rsidRPr="00DF01B6" w:rsidRDefault="00DF01B6" w:rsidP="00DF01B6">
            <w:pPr>
              <w:spacing w:after="160" w:line="278" w:lineRule="auto"/>
              <w:jc w:val="both"/>
              <w:rPr>
                <w:rFonts w:ascii="Arial" w:hAnsi="Arial" w:cs="Arial"/>
                <w:lang w:bidi="th-TH"/>
              </w:rPr>
            </w:pPr>
            <w:r w:rsidRPr="00DF01B6">
              <w:rPr>
                <w:rFonts w:ascii="Arial" w:hAnsi="Arial" w:cs="Arial"/>
                <w:b/>
                <w:bCs/>
                <w:lang w:bidi="th-TH"/>
              </w:rPr>
              <w:t>Discussion:</w:t>
            </w:r>
            <w:r w:rsidRPr="00DF01B6">
              <w:rPr>
                <w:rFonts w:ascii="Arial" w:hAnsi="Arial" w:cs="Arial"/>
                <w:lang w:bidi="th-TH"/>
              </w:rPr>
              <w:t xml:space="preserve"> The case illustrates the diagnostic challenge of accurately classifying drug-related skin reactions based on clinical morphology and incomplete temporal documentation. The concurrent isolation of ciprofloxacin-resistant </w:t>
            </w:r>
            <w:r w:rsidRPr="00DF01B6">
              <w:rPr>
                <w:rFonts w:ascii="Arial" w:hAnsi="Arial" w:cs="Arial"/>
                <w:i/>
                <w:iCs/>
                <w:lang w:bidi="th-TH"/>
              </w:rPr>
              <w:t>E. coli</w:t>
            </w:r>
            <w:r w:rsidRPr="00DF01B6">
              <w:rPr>
                <w:rFonts w:ascii="Arial" w:hAnsi="Arial" w:cs="Arial"/>
                <w:lang w:bidi="th-TH"/>
              </w:rPr>
              <w:t xml:space="preserve"> adds an important antimicrobial-stewardship dimension, emphasizing the need to reassess antimicrobial therapy alongside suspected adverse reactions.</w:t>
            </w:r>
          </w:p>
          <w:p w14:paraId="0EAFF776" w14:textId="77777777" w:rsidR="00DF01B6" w:rsidRPr="00DF01B6" w:rsidRDefault="00DF01B6" w:rsidP="00DF01B6">
            <w:pPr>
              <w:spacing w:after="160" w:line="278" w:lineRule="auto"/>
              <w:jc w:val="both"/>
              <w:rPr>
                <w:rFonts w:ascii="Arial" w:hAnsi="Arial" w:cs="Arial"/>
                <w:lang w:bidi="th-TH"/>
              </w:rPr>
            </w:pPr>
            <w:r w:rsidRPr="00DF01B6">
              <w:rPr>
                <w:rFonts w:ascii="Arial" w:hAnsi="Arial" w:cs="Arial"/>
                <w:b/>
                <w:bCs/>
                <w:lang w:bidi="th-TH"/>
              </w:rPr>
              <w:t>Conclusion:</w:t>
            </w:r>
            <w:r w:rsidRPr="00DF01B6">
              <w:rPr>
                <w:rFonts w:ascii="Arial" w:hAnsi="Arial" w:cs="Arial"/>
                <w:lang w:bidi="th-TH"/>
              </w:rPr>
              <w:t xml:space="preserve"> This case highlights the value of precise cutaneous reaction characterization, structured causality assessment and culture-guided antimicrobial review. Comprehensive ADR documentation may help prevent inappropriate re-exposure and improve medication safety.</w:t>
            </w:r>
          </w:p>
          <w:p w14:paraId="54AF4C26" w14:textId="2DF3322F" w:rsidR="00DF01B6" w:rsidRPr="00DF01B6" w:rsidRDefault="00DF01B6" w:rsidP="00DF01B6">
            <w:pPr>
              <w:spacing w:after="160" w:line="278" w:lineRule="auto"/>
              <w:jc w:val="both"/>
              <w:rPr>
                <w:rFonts w:ascii="Arial" w:hAnsi="Arial" w:cs="Arial"/>
                <w:lang w:bidi="th-TH"/>
              </w:rPr>
            </w:pPr>
          </w:p>
        </w:tc>
      </w:tr>
    </w:tbl>
    <w:p w14:paraId="4CFB055B" w14:textId="77777777" w:rsidR="00636EB2" w:rsidRPr="00DF01B6" w:rsidRDefault="00636EB2" w:rsidP="00441B6F">
      <w:pPr>
        <w:pStyle w:val="Body"/>
        <w:spacing w:after="0"/>
        <w:rPr>
          <w:rFonts w:ascii="Arial" w:hAnsi="Arial" w:cs="Arial"/>
          <w:i/>
        </w:rPr>
      </w:pPr>
    </w:p>
    <w:p w14:paraId="17877B29" w14:textId="77777777" w:rsidR="00F61777" w:rsidRPr="00CD588F" w:rsidRDefault="00A24E7E" w:rsidP="00F61777">
      <w:pPr>
        <w:rPr>
          <w:rFonts w:ascii="Times New Roman" w:hAnsi="Times New Roman"/>
        </w:rPr>
      </w:pPr>
      <w:r w:rsidRPr="00DF01B6">
        <w:rPr>
          <w:rFonts w:ascii="Arial" w:hAnsi="Arial" w:cs="Arial"/>
          <w:i/>
        </w:rPr>
        <w:t>Keywords</w:t>
      </w:r>
      <w:r w:rsidRPr="00515A8B">
        <w:rPr>
          <w:rFonts w:ascii="Arial" w:hAnsi="Arial" w:cs="Arial"/>
          <w:i/>
        </w:rPr>
        <w:t xml:space="preserve">: </w:t>
      </w:r>
      <w:r w:rsidR="00F61777" w:rsidRPr="00515A8B">
        <w:rPr>
          <w:rFonts w:ascii="Arial" w:hAnsi="Arial" w:cs="Arial"/>
          <w:i/>
        </w:rPr>
        <w:t>Ciprofloxacin; cutaneous adverse drug reaction; pruritus; antimicrobial resistance; pharmacovigilance</w:t>
      </w:r>
      <w:r w:rsidR="00F61777">
        <w:rPr>
          <w:rFonts w:ascii="Times New Roman" w:hAnsi="Times New Roman"/>
        </w:rPr>
        <w:t>.</w:t>
      </w:r>
    </w:p>
    <w:p w14:paraId="550956E3" w14:textId="438C9874" w:rsidR="00A24E7E" w:rsidRPr="00DF01B6" w:rsidRDefault="00A24E7E" w:rsidP="00441B6F">
      <w:pPr>
        <w:pStyle w:val="Body"/>
        <w:spacing w:after="0"/>
        <w:rPr>
          <w:rFonts w:ascii="Arial" w:hAnsi="Arial" w:cs="Arial"/>
          <w:i/>
        </w:rPr>
      </w:pPr>
    </w:p>
    <w:p w14:paraId="4A0C11DD" w14:textId="77777777" w:rsidR="00DC1408" w:rsidRDefault="00DC1408" w:rsidP="00441B6F">
      <w:pPr>
        <w:pStyle w:val="AbstHead"/>
        <w:spacing w:after="0"/>
        <w:jc w:val="both"/>
        <w:rPr>
          <w:rFonts w:ascii="Arial" w:hAnsi="Arial" w:cs="Arial"/>
        </w:rPr>
      </w:pPr>
    </w:p>
    <w:p w14:paraId="00B8C3FD" w14:textId="77777777" w:rsidR="007A3B6B" w:rsidRDefault="007A3B6B" w:rsidP="00441B6F">
      <w:pPr>
        <w:pStyle w:val="AbstHead"/>
        <w:spacing w:after="0"/>
        <w:jc w:val="both"/>
        <w:rPr>
          <w:rFonts w:ascii="Arial" w:hAnsi="Arial" w:cs="Arial"/>
        </w:rPr>
      </w:pPr>
    </w:p>
    <w:p w14:paraId="7539929E" w14:textId="77777777" w:rsidR="007A3B6B" w:rsidRDefault="007A3B6B" w:rsidP="00441B6F">
      <w:pPr>
        <w:pStyle w:val="AbstHead"/>
        <w:spacing w:after="0"/>
        <w:jc w:val="both"/>
        <w:rPr>
          <w:rFonts w:ascii="Arial" w:hAnsi="Arial" w:cs="Arial"/>
        </w:rPr>
      </w:pPr>
    </w:p>
    <w:p w14:paraId="1B44DD54" w14:textId="77777777" w:rsidR="006C326C" w:rsidRDefault="006C326C" w:rsidP="00441B6F">
      <w:pPr>
        <w:pStyle w:val="AbstHead"/>
        <w:spacing w:after="0"/>
        <w:jc w:val="both"/>
        <w:rPr>
          <w:rFonts w:ascii="Arial" w:hAnsi="Arial" w:cs="Arial"/>
        </w:rPr>
      </w:pPr>
    </w:p>
    <w:p w14:paraId="582523ED" w14:textId="77777777" w:rsidR="006C326C" w:rsidRDefault="006C326C" w:rsidP="00441B6F">
      <w:pPr>
        <w:pStyle w:val="AbstHead"/>
        <w:spacing w:after="0"/>
        <w:jc w:val="both"/>
        <w:rPr>
          <w:rFonts w:ascii="Arial" w:hAnsi="Arial" w:cs="Arial"/>
        </w:rPr>
      </w:pPr>
    </w:p>
    <w:p w14:paraId="2B169A0C" w14:textId="3BEB97A3" w:rsidR="007F7B32" w:rsidRPr="00DF01B6" w:rsidRDefault="00902823" w:rsidP="00441B6F">
      <w:pPr>
        <w:pStyle w:val="AbstHead"/>
        <w:spacing w:after="0"/>
        <w:jc w:val="both"/>
        <w:rPr>
          <w:rFonts w:ascii="Arial" w:hAnsi="Arial" w:cs="Arial"/>
        </w:rPr>
      </w:pPr>
      <w:r w:rsidRPr="00DF01B6">
        <w:rPr>
          <w:rFonts w:ascii="Arial" w:hAnsi="Arial" w:cs="Arial"/>
        </w:rPr>
        <w:t xml:space="preserve">1. </w:t>
      </w:r>
      <w:r w:rsidR="00B01FCD" w:rsidRPr="00DF01B6">
        <w:rPr>
          <w:rFonts w:ascii="Arial" w:hAnsi="Arial" w:cs="Arial"/>
        </w:rPr>
        <w:t>INTRODUCTION</w:t>
      </w:r>
    </w:p>
    <w:p w14:paraId="10A52067" w14:textId="77777777" w:rsidR="007A3B6B" w:rsidRDefault="007A3B6B" w:rsidP="00515A8B">
      <w:pPr>
        <w:jc w:val="both"/>
        <w:rPr>
          <w:rFonts w:ascii="Arial" w:hAnsi="Arial" w:cs="Arial"/>
        </w:rPr>
      </w:pPr>
    </w:p>
    <w:p w14:paraId="31EFCD10" w14:textId="337E7B8C" w:rsidR="00515A8B" w:rsidRPr="00515A8B" w:rsidRDefault="006B4D92" w:rsidP="00515A8B">
      <w:pPr>
        <w:jc w:val="both"/>
        <w:rPr>
          <w:rFonts w:ascii="Arial" w:hAnsi="Arial" w:cs="Arial"/>
        </w:rPr>
      </w:pPr>
      <w:r w:rsidRPr="006B4D92">
        <w:rPr>
          <w:rFonts w:ascii="Arial" w:hAnsi="Arial" w:cs="Arial"/>
        </w:rPr>
        <w:t>Ciprofloxacin is a potent broad-spectrum fluoroquinolone antibacterial agent active against a wide range of Gram-positive and Gram-negative pathogens, exerting its bactericidal activity primarily by inhibiting bacterial DNA gyrase and topoisomerase IV, thereby disrupting essential processes of DNA replication, recombination and repair.</w:t>
      </w:r>
      <w:sdt>
        <w:sdtPr>
          <w:rPr>
            <w:rFonts w:ascii="Arial" w:hAnsi="Arial" w:cs="Arial"/>
            <w:color w:val="000000"/>
          </w:rPr>
          <w:tag w:val="MENDELEY_CITATION_v3_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"/>
          <w:id w:val="139847470"/>
          <w:placeholder>
            <w:docPart w:val="DefaultPlaceholder_-1854013440"/>
          </w:placeholder>
        </w:sdtPr>
        <w:sdtContent>
          <w:r w:rsidR="008D6CBF" w:rsidRPr="008D6CBF">
            <w:rPr>
              <w:rFonts w:ascii="Arial" w:hAnsi="Arial" w:cs="Arial"/>
              <w:color w:val="000000"/>
            </w:rPr>
            <w:t>(Fukuda et al., 2026; Osman et al., n.d.)</w:t>
          </w:r>
        </w:sdtContent>
      </w:sdt>
      <w:r w:rsidR="002A0FCB">
        <w:rPr>
          <w:rFonts w:ascii="Arial" w:hAnsi="Arial" w:cs="Arial"/>
        </w:rPr>
        <w:t xml:space="preserve"> </w:t>
      </w:r>
      <w:r w:rsidRPr="006B4D92">
        <w:rPr>
          <w:rFonts w:ascii="Arial" w:hAnsi="Arial" w:cs="Arial"/>
        </w:rPr>
        <w:t>Despite its broad clinical utility, ciprofloxacin has been associated with a spectrum of cutaneous adverse drug reactions, ranging from mild erythematous and maculopapular eruptions to potentially life-threatening reactions such as Stevens–Johnson syndrome and toxic epidermal necrolysis.</w:t>
      </w:r>
      <w:sdt>
        <w:sdtPr>
          <w:rPr>
            <w:rFonts w:ascii="Arial" w:hAnsi="Arial" w:cs="Arial"/>
            <w:color w:val="000000"/>
          </w:rPr>
          <w:tag w:val="MENDELEY_CITATION_v3_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"/>
          <w:id w:val="2055725448"/>
          <w:placeholder>
            <w:docPart w:val="DefaultPlaceholder_-1854013440"/>
          </w:placeholder>
        </w:sdtPr>
        <w:sdtContent>
          <w:r w:rsidR="008D6CBF" w:rsidRPr="008D6CBF">
            <w:rPr>
              <w:rFonts w:ascii="Arial" w:hAnsi="Arial" w:cs="Arial"/>
              <w:color w:val="000000"/>
            </w:rPr>
            <w:t>(Kashyap et al., 2022)</w:t>
          </w:r>
        </w:sdtContent>
      </w:sdt>
      <w:r w:rsidR="002A0FCB">
        <w:rPr>
          <w:rFonts w:ascii="Arial" w:hAnsi="Arial" w:cs="Arial"/>
          <w:color w:val="000000"/>
        </w:rPr>
        <w:t xml:space="preserve"> </w:t>
      </w:r>
      <w:r w:rsidR="002A0FCB" w:rsidRPr="002A0FCB">
        <w:rPr>
          <w:rFonts w:ascii="Arial" w:hAnsi="Arial" w:cs="Arial"/>
          <w:color w:val="000000"/>
        </w:rPr>
        <w:t>Beyond their established antibacterial role, fluoroquinolones have raised substantial safety concerns because of their association with serious adverse effects, prompting regulatory warnings and restrictions on their use; consequently, careful patient selection, rational prescribing, early recognition of adverse reactions</w:t>
      </w:r>
      <w:r w:rsidR="002A0FCB">
        <w:rPr>
          <w:rFonts w:ascii="Arial" w:hAnsi="Arial" w:cs="Arial"/>
          <w:color w:val="000000"/>
        </w:rPr>
        <w:t xml:space="preserve"> </w:t>
      </w:r>
      <w:r w:rsidR="002A0FCB" w:rsidRPr="002A0FCB">
        <w:rPr>
          <w:rFonts w:ascii="Arial" w:hAnsi="Arial" w:cs="Arial"/>
          <w:color w:val="000000"/>
        </w:rPr>
        <w:t>and continued post-marketing pharmacovigilance remain essential to balance their therapeutic benefits against potential risks.</w:t>
      </w:r>
      <w:sdt>
        <w:sdtPr>
          <w:rPr>
            <w:rFonts w:ascii="Arial" w:hAnsi="Arial" w:cs="Arial"/>
            <w:color w:val="000000"/>
          </w:rPr>
          <w:tag w:val="MENDELEY_CITATION_v3_eyJjaXRhdGlvbklEIjoiTUVOREVMRVlfQ0lUQVRJT05fZjMyNTUyZmYtNGY2OC00YTY1LWIzZmEtMjMzNjdhOGZlYTAwIiwicHJvcGVydGllcyI6eyJub3RlSW5kZXgiOjB9LCJpc0VkaXRlZCI6ZmFsc2UsIm1hbnVhbE92ZXJyaWRlIjp7ImlzTWFudWFsbHlPdmVycmlkZGVuIjpmYWxzZSwiY2l0ZXByb2NUZXh0IjoiK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V19"/>
          <w:id w:val="1389233873"/>
          <w:placeholder>
            <w:docPart w:val="DefaultPlaceholder_-1854013440"/>
          </w:placeholder>
        </w:sdtPr>
        <w:sdtContent>
          <w:r w:rsidR="008D6CBF" w:rsidRPr="008D6CBF">
            <w:rPr>
              <w:rFonts w:ascii="Arial" w:hAnsi="Arial" w:cs="Arial"/>
              <w:color w:val="000000"/>
            </w:rPr>
            <w:t>(Rusu et al., 2023)</w:t>
          </w:r>
        </w:sdtContent>
      </w:sdt>
      <w:r w:rsidR="002A0FCB">
        <w:rPr>
          <w:rFonts w:ascii="Arial" w:hAnsi="Arial" w:cs="Arial"/>
          <w:color w:val="000000"/>
        </w:rPr>
        <w:t xml:space="preserve"> </w:t>
      </w:r>
      <w:r w:rsidR="002A0FCB" w:rsidRPr="002A0FCB">
        <w:rPr>
          <w:rFonts w:ascii="Arial" w:hAnsi="Arial" w:cs="Arial"/>
          <w:lang w:val="en-IN"/>
        </w:rPr>
        <w:t>The clinical spectrum of ciprofloxacin-associated cutaneous reactions is broad, with fixed drug eruption representing an uncommon but distinctive manifestation that may present atypically and closely mimic other dermatological conditions, emphasizing the need for careful clinical recognition and accurate diagnosis.</w:t>
      </w:r>
      <w:sdt>
        <w:sdtPr>
          <w:rPr>
            <w:rFonts w:ascii="Arial" w:hAnsi="Arial" w:cs="Arial"/>
            <w:color w:val="000000"/>
            <w:lang w:val="en-IN"/>
          </w:rPr>
          <w:tag w:val="MENDELEY_CITATION_v3_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"/>
          <w:id w:val="1955509045"/>
          <w:placeholder>
            <w:docPart w:val="DefaultPlaceholder_-1854013440"/>
          </w:placeholder>
        </w:sdtPr>
        <w:sdtContent>
          <w:r w:rsidR="008D6CBF" w:rsidRPr="008D6CBF">
            <w:rPr>
              <w:rFonts w:ascii="Arial" w:hAnsi="Arial" w:cs="Arial"/>
              <w:color w:val="000000"/>
              <w:lang w:val="en-IN"/>
            </w:rPr>
            <w:t>(Iliyas et al., 2018)</w:t>
          </w:r>
        </w:sdtContent>
      </w:sdt>
      <w:r w:rsidR="002A0FCB">
        <w:rPr>
          <w:rFonts w:ascii="Arial" w:hAnsi="Arial" w:cs="Arial"/>
        </w:rPr>
        <w:t xml:space="preserve"> </w:t>
      </w:r>
      <w:r w:rsidR="00515A8B" w:rsidRPr="00515A8B">
        <w:rPr>
          <w:rFonts w:ascii="Arial" w:hAnsi="Arial" w:cs="Arial"/>
        </w:rPr>
        <w:t xml:space="preserve">The present case differs from those reports in several respects. It involves a young adult with bilateral </w:t>
      </w:r>
      <w:proofErr w:type="spellStart"/>
      <w:r w:rsidR="00515A8B" w:rsidRPr="00515A8B">
        <w:rPr>
          <w:rFonts w:ascii="Arial" w:hAnsi="Arial" w:cs="Arial"/>
        </w:rPr>
        <w:t>epididymo</w:t>
      </w:r>
      <w:proofErr w:type="spellEnd"/>
      <w:r w:rsidR="00515A8B" w:rsidRPr="00515A8B">
        <w:rPr>
          <w:rFonts w:ascii="Arial" w:hAnsi="Arial" w:cs="Arial"/>
        </w:rPr>
        <w:t xml:space="preserve">-orchitis, a pruritic erythematous eruption without documented classical fixed lesions or mucosal involvement, and a urine culture demonstrating ciprofloxacin-resistant </w:t>
      </w:r>
      <w:r w:rsidR="00515A8B" w:rsidRPr="00515A8B">
        <w:rPr>
          <w:rFonts w:ascii="Arial" w:hAnsi="Arial" w:cs="Arial"/>
          <w:i/>
          <w:iCs/>
        </w:rPr>
        <w:t>E. coli</w:t>
      </w:r>
      <w:r w:rsidR="00515A8B" w:rsidRPr="00515A8B">
        <w:rPr>
          <w:rFonts w:ascii="Arial" w:hAnsi="Arial" w:cs="Arial"/>
        </w:rPr>
        <w:t>. The combination of a suspected cutaneous adverse drug reaction with antimicrobial susceptibility discordance provides a clinically relevant medication-safety and antimicrobial-stewardship perspective.</w:t>
      </w:r>
    </w:p>
    <w:p w14:paraId="1D2089D1" w14:textId="77777777" w:rsidR="00790ADA" w:rsidRPr="00515A8B" w:rsidRDefault="00790ADA" w:rsidP="00441B6F">
      <w:pPr>
        <w:pStyle w:val="AbstHead"/>
        <w:spacing w:after="0"/>
        <w:jc w:val="both"/>
        <w:rPr>
          <w:rFonts w:ascii="Arial" w:hAnsi="Arial" w:cs="Arial"/>
        </w:rPr>
      </w:pPr>
    </w:p>
    <w:p w14:paraId="3B84E5AA" w14:textId="4CF51589" w:rsidR="00B01FCD" w:rsidRPr="00515A8B" w:rsidRDefault="00515A8B" w:rsidP="00515A8B">
      <w:pPr>
        <w:pStyle w:val="Body"/>
        <w:spacing w:after="0"/>
        <w:rPr>
          <w:rFonts w:ascii="Arial" w:hAnsi="Arial" w:cs="Arial"/>
          <w:b/>
          <w:bCs/>
        </w:rPr>
      </w:pPr>
      <w:r w:rsidRPr="00515A8B">
        <w:rPr>
          <w:rFonts w:ascii="Arial" w:hAnsi="Arial" w:cs="Arial"/>
          <w:b/>
          <w:bCs/>
          <w:sz w:val="22"/>
          <w:szCs w:val="22"/>
        </w:rPr>
        <w:t>2. CASE PRESENTATION</w:t>
      </w:r>
    </w:p>
    <w:p w14:paraId="2622CEC0" w14:textId="6E14D135" w:rsidR="00515A8B" w:rsidRPr="00515A8B" w:rsidRDefault="00515A8B" w:rsidP="00515A8B">
      <w:pPr>
        <w:pStyle w:val="Body"/>
        <w:spacing w:after="0"/>
        <w:rPr>
          <w:rFonts w:ascii="Arial" w:hAnsi="Arial" w:cs="Arial"/>
          <w:lang w:val="en-IN"/>
        </w:rPr>
      </w:pPr>
      <w:r w:rsidRPr="00515A8B">
        <w:rPr>
          <w:rFonts w:ascii="Arial" w:hAnsi="Arial" w:cs="Arial"/>
          <w:lang w:val="en-IN"/>
        </w:rPr>
        <w:t xml:space="preserve">A 22-year-old male was admitted to a </w:t>
      </w:r>
      <w:r>
        <w:rPr>
          <w:rFonts w:ascii="Arial" w:hAnsi="Arial" w:cs="Arial"/>
          <w:lang w:val="en-IN"/>
        </w:rPr>
        <w:t xml:space="preserve">tertiary care </w:t>
      </w:r>
      <w:r w:rsidRPr="00515A8B">
        <w:rPr>
          <w:rFonts w:ascii="Arial" w:hAnsi="Arial" w:cs="Arial"/>
          <w:lang w:val="en-IN"/>
        </w:rPr>
        <w:t xml:space="preserve">government medical college hospital with a one-day history of fever, bilateral testicular swelling and scrotal pain. His medical history was significant for post-traumatic seizure disorder, for which he was receiving chronic antiepileptic therapy. On assessment, he was conscious and oriented, with a blood pressure of approximately 100/60 mmHg, pulse rate of 96 beats/minute and oxygen saturation of 99%. Local examination revealed bilateral testicular swelling and tenderness with warmth and erythematous changes, and bilateral </w:t>
      </w:r>
      <w:proofErr w:type="spellStart"/>
      <w:r w:rsidRPr="00515A8B">
        <w:rPr>
          <w:rFonts w:ascii="Arial" w:hAnsi="Arial" w:cs="Arial"/>
          <w:lang w:val="en-IN"/>
        </w:rPr>
        <w:t>epididymo</w:t>
      </w:r>
      <w:proofErr w:type="spellEnd"/>
      <w:r w:rsidRPr="00515A8B">
        <w:rPr>
          <w:rFonts w:ascii="Arial" w:hAnsi="Arial" w:cs="Arial"/>
          <w:lang w:val="en-IN"/>
        </w:rPr>
        <w:t xml:space="preserve">-orchitis was clinically suspected. Laboratory investigations showed </w:t>
      </w:r>
      <w:proofErr w:type="spellStart"/>
      <w:r w:rsidRPr="00515A8B">
        <w:rPr>
          <w:rFonts w:ascii="Arial" w:hAnsi="Arial" w:cs="Arial"/>
          <w:lang w:val="en-IN"/>
        </w:rPr>
        <w:t>leukocytosis</w:t>
      </w:r>
      <w:proofErr w:type="spellEnd"/>
      <w:r w:rsidRPr="00515A8B">
        <w:rPr>
          <w:rFonts w:ascii="Arial" w:hAnsi="Arial" w:cs="Arial"/>
          <w:lang w:val="en-IN"/>
        </w:rPr>
        <w:t xml:space="preserve"> with a total leukocyte count of 15.6 × 10³/µL, neutrophils 81.0%, absolute neutrophil count 12.7 × 10³/µL and platelet count 239 × 10³/µL; serum sodium and potassium were 136 mmol/L and 4.4 mmol/L, respectively. Ultrasonography demonstrated bilateral epididymal thickening and </w:t>
      </w:r>
      <w:proofErr w:type="spellStart"/>
      <w:r w:rsidRPr="00515A8B">
        <w:rPr>
          <w:rFonts w:ascii="Arial" w:hAnsi="Arial" w:cs="Arial"/>
          <w:lang w:val="en-IN"/>
        </w:rPr>
        <w:t>edema</w:t>
      </w:r>
      <w:proofErr w:type="spellEnd"/>
      <w:r w:rsidRPr="00515A8B">
        <w:rPr>
          <w:rFonts w:ascii="Arial" w:hAnsi="Arial" w:cs="Arial"/>
          <w:lang w:val="en-IN"/>
        </w:rPr>
        <w:t xml:space="preserve"> with inflammatory changes and no significant </w:t>
      </w:r>
      <w:proofErr w:type="spellStart"/>
      <w:r w:rsidRPr="00515A8B">
        <w:rPr>
          <w:rFonts w:ascii="Arial" w:hAnsi="Arial" w:cs="Arial"/>
          <w:lang w:val="en-IN"/>
        </w:rPr>
        <w:t>peritesticular</w:t>
      </w:r>
      <w:proofErr w:type="spellEnd"/>
      <w:r w:rsidRPr="00515A8B">
        <w:rPr>
          <w:rFonts w:ascii="Arial" w:hAnsi="Arial" w:cs="Arial"/>
          <w:lang w:val="en-IN"/>
        </w:rPr>
        <w:t xml:space="preserve"> fluid collection. </w:t>
      </w:r>
    </w:p>
    <w:p w14:paraId="1634AF61" w14:textId="77777777" w:rsidR="00515A8B" w:rsidRDefault="00515A8B" w:rsidP="00515A8B">
      <w:pPr>
        <w:pStyle w:val="Body"/>
        <w:spacing w:after="0"/>
        <w:rPr>
          <w:rFonts w:ascii="Arial" w:hAnsi="Arial" w:cs="Arial"/>
          <w:lang w:val="en-IN"/>
        </w:rPr>
      </w:pPr>
      <w:r w:rsidRPr="00515A8B">
        <w:rPr>
          <w:rFonts w:ascii="Arial" w:hAnsi="Arial" w:cs="Arial"/>
          <w:lang w:val="en-IN"/>
        </w:rPr>
        <w:t xml:space="preserve">Urine culture subsequently yielded </w:t>
      </w:r>
      <w:r w:rsidRPr="00515A8B">
        <w:rPr>
          <w:rFonts w:ascii="Arial" w:hAnsi="Arial" w:cs="Arial"/>
          <w:i/>
          <w:iCs/>
          <w:lang w:val="en-IN"/>
        </w:rPr>
        <w:t>Escherichia coli</w:t>
      </w:r>
      <w:r w:rsidRPr="00515A8B">
        <w:rPr>
          <w:rFonts w:ascii="Arial" w:hAnsi="Arial" w:cs="Arial"/>
          <w:lang w:val="en-IN"/>
        </w:rPr>
        <w:t xml:space="preserve">, with antimicrobial susceptibility testing demonstrating resistance to ciprofloxacin/ofloxacin, gentamicin, nitrofurantoin and ceftriaxone/cefotaxime, while piperacillin-tazobactam and </w:t>
      </w:r>
      <w:proofErr w:type="spellStart"/>
      <w:r w:rsidRPr="00515A8B">
        <w:rPr>
          <w:rFonts w:ascii="Arial" w:hAnsi="Arial" w:cs="Arial"/>
          <w:lang w:val="en-IN"/>
        </w:rPr>
        <w:t>cefoperazone</w:t>
      </w:r>
      <w:proofErr w:type="spellEnd"/>
      <w:r w:rsidRPr="00515A8B">
        <w:rPr>
          <w:rFonts w:ascii="Arial" w:hAnsi="Arial" w:cs="Arial"/>
          <w:lang w:val="en-IN"/>
        </w:rPr>
        <w:t xml:space="preserve">-sulbactam were reported susceptible. Despite this susceptibility pattern, the treatment record documented intravenous ciprofloxacin 200 mg twice daily along with metronidazole, paracetamol, ranitidine and supportive intravenous therapy. During the period of ciprofloxacin exposure, </w:t>
      </w:r>
      <w:r>
        <w:rPr>
          <w:rFonts w:ascii="Arial" w:hAnsi="Arial" w:cs="Arial"/>
          <w:lang w:val="en-IN"/>
        </w:rPr>
        <w:t xml:space="preserve">on the day 6, </w:t>
      </w:r>
      <w:r w:rsidRPr="00515A8B">
        <w:rPr>
          <w:rFonts w:ascii="Arial" w:hAnsi="Arial" w:cs="Arial"/>
          <w:lang w:val="en-IN"/>
        </w:rPr>
        <w:t xml:space="preserve">the patient developed pruritus associated with an erythematous skin eruption. </w:t>
      </w:r>
    </w:p>
    <w:p w14:paraId="20625CCA" w14:textId="6E7CF771" w:rsidR="00515A8B" w:rsidRDefault="00515A8B" w:rsidP="00515A8B">
      <w:pPr>
        <w:pStyle w:val="Body"/>
        <w:spacing w:after="0"/>
        <w:rPr>
          <w:rFonts w:ascii="Arial" w:hAnsi="Arial" w:cs="Arial"/>
          <w:lang w:val="en-IN"/>
        </w:rPr>
      </w:pPr>
      <w:r w:rsidRPr="00515A8B">
        <w:rPr>
          <w:rFonts w:ascii="Arial" w:hAnsi="Arial" w:cs="Arial"/>
        </w:rPr>
        <w:t>Clinical examination and photographic documentation demonstrated predominantly flat, irregular erythematous lesions without clearly identifiable raised wheals or vesiculobullous changes (Figure 1). Based on the clinical morphology, the reaction was documented as a pruritic erythematous cutaneous eruption rather than definitive acute urticaria or fixed drug eruption</w:t>
      </w:r>
      <w:r>
        <w:rPr>
          <w:rFonts w:ascii="Arial" w:hAnsi="Arial" w:cs="Arial"/>
        </w:rPr>
        <w:t xml:space="preserve">. </w:t>
      </w:r>
      <w:r w:rsidRPr="00515A8B">
        <w:rPr>
          <w:rFonts w:ascii="Arial" w:hAnsi="Arial" w:cs="Arial"/>
          <w:lang w:val="en-IN"/>
        </w:rPr>
        <w:t xml:space="preserve">The event was therefore characterized as a pruritic erythematous cutaneous eruption following ciprofloxacin administration, rather than definitive acute urticaria or fixed drug eruption. The available records do not specify the exact interval between ciprofloxacin administration and onset of the eruption, nor do they document specific treatment for the skin reaction, facial or mucosal </w:t>
      </w:r>
      <w:proofErr w:type="spellStart"/>
      <w:r w:rsidRPr="00515A8B">
        <w:rPr>
          <w:rFonts w:ascii="Arial" w:hAnsi="Arial" w:cs="Arial"/>
          <w:lang w:val="en-IN"/>
        </w:rPr>
        <w:t>edema</w:t>
      </w:r>
      <w:proofErr w:type="spellEnd"/>
      <w:r w:rsidRPr="00515A8B">
        <w:rPr>
          <w:rFonts w:ascii="Arial" w:hAnsi="Arial" w:cs="Arial"/>
          <w:lang w:val="en-IN"/>
        </w:rPr>
        <w:t xml:space="preserve">, respiratory symptoms, hypotension, or other features of anaphylaxis. </w:t>
      </w:r>
    </w:p>
    <w:p w14:paraId="11642844" w14:textId="6C87E704" w:rsidR="00515A8B" w:rsidRPr="00515A8B" w:rsidRDefault="00163001" w:rsidP="00163001">
      <w:pPr>
        <w:pStyle w:val="Body"/>
        <w:spacing w:after="0"/>
        <w:jc w:val="center"/>
        <w:rPr>
          <w:rFonts w:ascii="Arial" w:hAnsi="Arial" w:cs="Arial"/>
          <w:lang w:val="en-IN"/>
        </w:rPr>
      </w:pPr>
      <w:r>
        <w:rPr>
          <w:rFonts w:ascii="Arial" w:hAnsi="Arial" w:cs="Arial"/>
          <w:noProof/>
          <w:lang w:val="en-IN"/>
        </w:rPr>
        <w:lastRenderedPageBreak/>
        <w:drawing>
          <wp:inline distT="0" distB="0" distL="0" distR="0" wp14:anchorId="34B683C2" wp14:editId="2E627401">
            <wp:extent cx="2070117" cy="2339163"/>
            <wp:effectExtent l="0" t="0" r="0" b="0"/>
            <wp:docPr id="169366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664809" name="Picture 169366480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96394" cy="2368855"/>
                    </a:xfrm>
                    <a:prstGeom prst="rect">
                      <a:avLst/>
                    </a:prstGeom>
                  </pic:spPr>
                </pic:pic>
              </a:graphicData>
            </a:graphic>
          </wp:inline>
        </w:drawing>
      </w:r>
    </w:p>
    <w:p w14:paraId="6FADB412" w14:textId="77777777" w:rsidR="00163001" w:rsidRDefault="00163001" w:rsidP="00515A8B">
      <w:pPr>
        <w:pStyle w:val="Body"/>
        <w:spacing w:after="0"/>
        <w:rPr>
          <w:rFonts w:ascii="Arial" w:hAnsi="Arial" w:cs="Arial"/>
          <w:lang w:val="en-IN"/>
        </w:rPr>
      </w:pPr>
    </w:p>
    <w:p w14:paraId="4E524255" w14:textId="54C979B0" w:rsidR="00163001" w:rsidRPr="00163001" w:rsidRDefault="00163001" w:rsidP="00163001">
      <w:pPr>
        <w:pStyle w:val="Body"/>
        <w:spacing w:after="0"/>
        <w:jc w:val="center"/>
        <w:rPr>
          <w:rFonts w:ascii="Arial" w:hAnsi="Arial" w:cs="Arial"/>
          <w:b/>
          <w:bCs/>
          <w:lang w:val="en-IN"/>
        </w:rPr>
      </w:pPr>
      <w:r w:rsidRPr="00163001">
        <w:rPr>
          <w:rFonts w:ascii="Arial" w:hAnsi="Arial" w:cs="Arial"/>
          <w:b/>
          <w:bCs/>
        </w:rPr>
        <w:t>Fig. 1. Clinical photograph demonstrating the pruritic erythematous cutaneous eruption observed during ciprofloxacin exposure.</w:t>
      </w:r>
    </w:p>
    <w:p w14:paraId="41918950" w14:textId="77777777" w:rsidR="00163001" w:rsidRDefault="00163001" w:rsidP="00515A8B">
      <w:pPr>
        <w:pStyle w:val="Body"/>
        <w:spacing w:after="0"/>
        <w:rPr>
          <w:rFonts w:ascii="Arial" w:hAnsi="Arial" w:cs="Arial"/>
          <w:lang w:val="en-IN"/>
        </w:rPr>
      </w:pPr>
    </w:p>
    <w:p w14:paraId="72B2CCD1" w14:textId="48658D4E" w:rsidR="00F73B78" w:rsidRDefault="00F73B78" w:rsidP="00515A8B">
      <w:pPr>
        <w:pStyle w:val="Body"/>
        <w:spacing w:after="0"/>
        <w:rPr>
          <w:rFonts w:ascii="Arial" w:hAnsi="Arial" w:cs="Arial"/>
          <w:lang w:val="en-IN"/>
        </w:rPr>
      </w:pPr>
      <w:r w:rsidRPr="00F73B78">
        <w:rPr>
          <w:rFonts w:ascii="Arial" w:hAnsi="Arial" w:cs="Arial"/>
        </w:rPr>
        <w:t xml:space="preserve">Following ciprofloxacin exposure, the patient developed a pruritic erythematous cutaneous eruption during treatment. The reaction was managed with pheniramine maleate 2 mL injection, following which the itching and eruption resolved within approximately 4 hours. No anaphylaxis, respiratory compromise, hemodynamic instability, or other severe systemic manifestations were documented. The Naranjo Adverse Drug Reaction Probability Scale yielded a score of 7, indicating a probable adverse drug reaction. WHO-UMC assessment remained limited by incomplete documentation of the exact latency and </w:t>
      </w:r>
      <w:proofErr w:type="spellStart"/>
      <w:r w:rsidRPr="00F73B78">
        <w:rPr>
          <w:rFonts w:ascii="Arial" w:hAnsi="Arial" w:cs="Arial"/>
        </w:rPr>
        <w:t>dechallenge</w:t>
      </w:r>
      <w:proofErr w:type="spellEnd"/>
      <w:r w:rsidRPr="00F73B78">
        <w:rPr>
          <w:rFonts w:ascii="Arial" w:hAnsi="Arial" w:cs="Arial"/>
        </w:rPr>
        <w:t xml:space="preserve">. The clinical morphology was considered more consistent with a pruritic erythematous drug eruption than classical urticaria. The patient showed no documented recurrence during the available follow-up. Overall, the rapid response to antihistamine therapy and temporal association with ciprofloxacin support a suspected ciprofloxacin-associated cutaneous ADR. </w:t>
      </w:r>
      <w:r w:rsidR="00515A8B" w:rsidRPr="00F73B78">
        <w:rPr>
          <w:rFonts w:ascii="Arial" w:hAnsi="Arial" w:cs="Arial"/>
          <w:lang w:val="en-IN"/>
        </w:rPr>
        <w:t xml:space="preserve">During subsequent clinical management, amikacin 500 mg intravenously once daily was documented. Repeat ultrasonography on </w:t>
      </w:r>
      <w:r w:rsidR="00163001" w:rsidRPr="00F73B78">
        <w:rPr>
          <w:rFonts w:ascii="Arial" w:hAnsi="Arial" w:cs="Arial"/>
          <w:lang w:val="en-IN"/>
        </w:rPr>
        <w:t>day 10</w:t>
      </w:r>
      <w:r w:rsidR="00515A8B" w:rsidRPr="00F73B78">
        <w:rPr>
          <w:rFonts w:ascii="Arial" w:hAnsi="Arial" w:cs="Arial"/>
          <w:lang w:val="en-IN"/>
        </w:rPr>
        <w:t xml:space="preserve"> showed both testes to be normal in size, shape and vascularity, with persistent bilateral epididymal abnormalities, no free fluid and mild scrotal-wall </w:t>
      </w:r>
      <w:proofErr w:type="spellStart"/>
      <w:r w:rsidR="00515A8B" w:rsidRPr="00F73B78">
        <w:rPr>
          <w:rFonts w:ascii="Arial" w:hAnsi="Arial" w:cs="Arial"/>
          <w:lang w:val="en-IN"/>
        </w:rPr>
        <w:t>edema</w:t>
      </w:r>
      <w:proofErr w:type="spellEnd"/>
      <w:r w:rsidR="00515A8B" w:rsidRPr="00F73B78">
        <w:rPr>
          <w:rFonts w:ascii="Arial" w:hAnsi="Arial" w:cs="Arial"/>
          <w:lang w:val="en-IN"/>
        </w:rPr>
        <w:t xml:space="preserve">, consistent with improving </w:t>
      </w:r>
      <w:proofErr w:type="spellStart"/>
      <w:r w:rsidR="00515A8B" w:rsidRPr="00F73B78">
        <w:rPr>
          <w:rFonts w:ascii="Arial" w:hAnsi="Arial" w:cs="Arial"/>
          <w:lang w:val="en-IN"/>
        </w:rPr>
        <w:t>epididymo</w:t>
      </w:r>
      <w:proofErr w:type="spellEnd"/>
      <w:r w:rsidR="00515A8B" w:rsidRPr="00F73B78">
        <w:rPr>
          <w:rFonts w:ascii="Arial" w:hAnsi="Arial" w:cs="Arial"/>
          <w:lang w:val="en-IN"/>
        </w:rPr>
        <w:t xml:space="preserve">-orchitis. </w:t>
      </w:r>
    </w:p>
    <w:p w14:paraId="62C84AE8" w14:textId="77777777" w:rsidR="00F73B78" w:rsidRDefault="00F73B78" w:rsidP="00515A8B">
      <w:pPr>
        <w:pStyle w:val="Body"/>
        <w:spacing w:after="0"/>
        <w:rPr>
          <w:rFonts w:ascii="Arial" w:hAnsi="Arial" w:cs="Arial"/>
          <w:lang w:val="en-IN"/>
        </w:rPr>
      </w:pPr>
    </w:p>
    <w:tbl>
      <w:tblPr>
        <w:tblStyle w:val="TableGridLight"/>
        <w:tblW w:w="9133" w:type="dxa"/>
        <w:jc w:val="center"/>
        <w:tblLook w:val="04A0" w:firstRow="1" w:lastRow="0" w:firstColumn="1" w:lastColumn="0" w:noHBand="0" w:noVBand="1"/>
      </w:tblPr>
      <w:tblGrid>
        <w:gridCol w:w="6068"/>
        <w:gridCol w:w="2262"/>
        <w:gridCol w:w="803"/>
      </w:tblGrid>
      <w:tr w:rsidR="00F73B78" w:rsidRPr="00F73B78" w14:paraId="74A8C75A" w14:textId="77777777" w:rsidTr="008E36CF">
        <w:trPr>
          <w:trHeight w:val="240"/>
          <w:jc w:val="center"/>
        </w:trPr>
        <w:tc>
          <w:tcPr>
            <w:tcW w:w="0" w:type="auto"/>
            <w:hideMark/>
          </w:tcPr>
          <w:p w14:paraId="042DEC14" w14:textId="77777777" w:rsidR="00F73B78" w:rsidRPr="00F73B78" w:rsidRDefault="00F73B78" w:rsidP="00F73B78">
            <w:pPr>
              <w:pStyle w:val="Body"/>
              <w:rPr>
                <w:rFonts w:ascii="Arial" w:hAnsi="Arial" w:cs="Arial"/>
                <w:b/>
                <w:bCs/>
                <w:lang w:val="en-IN"/>
              </w:rPr>
            </w:pPr>
            <w:r w:rsidRPr="00F73B78">
              <w:rPr>
                <w:rFonts w:ascii="Arial" w:hAnsi="Arial" w:cs="Arial"/>
                <w:b/>
                <w:bCs/>
                <w:lang w:val="en-IN"/>
              </w:rPr>
              <w:t>Naranjo item</w:t>
            </w:r>
          </w:p>
        </w:tc>
        <w:tc>
          <w:tcPr>
            <w:tcW w:w="2033" w:type="dxa"/>
            <w:hideMark/>
          </w:tcPr>
          <w:p w14:paraId="70C65C15" w14:textId="77777777" w:rsidR="00F73B78" w:rsidRPr="00F73B78" w:rsidRDefault="00F73B78" w:rsidP="008E36CF">
            <w:pPr>
              <w:pStyle w:val="Body"/>
              <w:rPr>
                <w:rFonts w:ascii="Arial" w:hAnsi="Arial" w:cs="Arial"/>
                <w:b/>
                <w:bCs/>
                <w:lang w:val="en-IN"/>
              </w:rPr>
            </w:pPr>
            <w:r w:rsidRPr="00F73B78">
              <w:rPr>
                <w:rFonts w:ascii="Arial" w:hAnsi="Arial" w:cs="Arial"/>
                <w:b/>
                <w:bCs/>
                <w:lang w:val="en-IN"/>
              </w:rPr>
              <w:t>Response</w:t>
            </w:r>
          </w:p>
        </w:tc>
        <w:tc>
          <w:tcPr>
            <w:tcW w:w="803" w:type="dxa"/>
            <w:hideMark/>
          </w:tcPr>
          <w:p w14:paraId="04C780E7" w14:textId="77777777" w:rsidR="00F73B78" w:rsidRPr="00F73B78" w:rsidRDefault="00F73B78" w:rsidP="00F73B78">
            <w:pPr>
              <w:pStyle w:val="Body"/>
              <w:rPr>
                <w:rFonts w:ascii="Arial" w:hAnsi="Arial" w:cs="Arial"/>
                <w:b/>
                <w:bCs/>
                <w:lang w:val="en-IN"/>
              </w:rPr>
            </w:pPr>
            <w:r w:rsidRPr="00F73B78">
              <w:rPr>
                <w:rFonts w:ascii="Arial" w:hAnsi="Arial" w:cs="Arial"/>
                <w:b/>
                <w:bCs/>
                <w:lang w:val="en-IN"/>
              </w:rPr>
              <w:t>Score</w:t>
            </w:r>
          </w:p>
        </w:tc>
      </w:tr>
      <w:tr w:rsidR="00F73B78" w:rsidRPr="00F73B78" w14:paraId="295629B6" w14:textId="77777777" w:rsidTr="008E36CF">
        <w:trPr>
          <w:trHeight w:val="240"/>
          <w:jc w:val="center"/>
        </w:trPr>
        <w:tc>
          <w:tcPr>
            <w:tcW w:w="0" w:type="auto"/>
            <w:hideMark/>
          </w:tcPr>
          <w:p w14:paraId="09F4B2B2" w14:textId="77777777" w:rsidR="00F73B78" w:rsidRPr="00F73B78" w:rsidRDefault="00F73B78" w:rsidP="00F73B78">
            <w:pPr>
              <w:pStyle w:val="Body"/>
              <w:rPr>
                <w:rFonts w:ascii="Arial" w:hAnsi="Arial" w:cs="Arial"/>
                <w:lang w:val="en-IN"/>
              </w:rPr>
            </w:pPr>
            <w:r w:rsidRPr="00F73B78">
              <w:rPr>
                <w:rFonts w:ascii="Arial" w:hAnsi="Arial" w:cs="Arial"/>
                <w:lang w:val="en-IN"/>
              </w:rPr>
              <w:t>Previous conclusive reports of this reaction</w:t>
            </w:r>
          </w:p>
        </w:tc>
        <w:tc>
          <w:tcPr>
            <w:tcW w:w="2033" w:type="dxa"/>
            <w:hideMark/>
          </w:tcPr>
          <w:p w14:paraId="0B7818D4" w14:textId="77777777" w:rsidR="00F73B78" w:rsidRPr="00F73B78" w:rsidRDefault="00F73B78" w:rsidP="00F73B78">
            <w:pPr>
              <w:pStyle w:val="Body"/>
              <w:rPr>
                <w:rFonts w:ascii="Arial" w:hAnsi="Arial" w:cs="Arial"/>
                <w:lang w:val="en-IN"/>
              </w:rPr>
            </w:pPr>
            <w:r w:rsidRPr="00F73B78">
              <w:rPr>
                <w:rFonts w:ascii="Arial" w:hAnsi="Arial" w:cs="Arial"/>
                <w:lang w:val="en-IN"/>
              </w:rPr>
              <w:t>Yes</w:t>
            </w:r>
          </w:p>
        </w:tc>
        <w:tc>
          <w:tcPr>
            <w:tcW w:w="803" w:type="dxa"/>
            <w:hideMark/>
          </w:tcPr>
          <w:p w14:paraId="195D3F68" w14:textId="77777777" w:rsidR="00F73B78" w:rsidRPr="00F73B78" w:rsidRDefault="00F73B78" w:rsidP="00F73B78">
            <w:pPr>
              <w:pStyle w:val="Body"/>
              <w:rPr>
                <w:rFonts w:ascii="Arial" w:hAnsi="Arial" w:cs="Arial"/>
                <w:lang w:val="en-IN"/>
              </w:rPr>
            </w:pPr>
            <w:r w:rsidRPr="00F73B78">
              <w:rPr>
                <w:rFonts w:ascii="Arial" w:hAnsi="Arial" w:cs="Arial"/>
                <w:b/>
                <w:bCs/>
                <w:lang w:val="en-IN"/>
              </w:rPr>
              <w:t>+1</w:t>
            </w:r>
          </w:p>
        </w:tc>
      </w:tr>
      <w:tr w:rsidR="00F73B78" w:rsidRPr="00F73B78" w14:paraId="0360640A" w14:textId="77777777" w:rsidTr="008E36CF">
        <w:trPr>
          <w:trHeight w:val="253"/>
          <w:jc w:val="center"/>
        </w:trPr>
        <w:tc>
          <w:tcPr>
            <w:tcW w:w="0" w:type="auto"/>
            <w:hideMark/>
          </w:tcPr>
          <w:p w14:paraId="698AF60B" w14:textId="77777777" w:rsidR="00F73B78" w:rsidRPr="00F73B78" w:rsidRDefault="00F73B78" w:rsidP="00F73B78">
            <w:pPr>
              <w:pStyle w:val="Body"/>
              <w:rPr>
                <w:rFonts w:ascii="Arial" w:hAnsi="Arial" w:cs="Arial"/>
                <w:lang w:val="en-IN"/>
              </w:rPr>
            </w:pPr>
            <w:r w:rsidRPr="00F73B78">
              <w:rPr>
                <w:rFonts w:ascii="Arial" w:hAnsi="Arial" w:cs="Arial"/>
                <w:lang w:val="en-IN"/>
              </w:rPr>
              <w:t>Event appeared after the suspected drug was administered</w:t>
            </w:r>
          </w:p>
        </w:tc>
        <w:tc>
          <w:tcPr>
            <w:tcW w:w="2033" w:type="dxa"/>
            <w:hideMark/>
          </w:tcPr>
          <w:p w14:paraId="130DF66A" w14:textId="77777777" w:rsidR="00F73B78" w:rsidRPr="00F73B78" w:rsidRDefault="00F73B78" w:rsidP="00F73B78">
            <w:pPr>
              <w:pStyle w:val="Body"/>
              <w:rPr>
                <w:rFonts w:ascii="Arial" w:hAnsi="Arial" w:cs="Arial"/>
                <w:lang w:val="en-IN"/>
              </w:rPr>
            </w:pPr>
            <w:r w:rsidRPr="00F73B78">
              <w:rPr>
                <w:rFonts w:ascii="Arial" w:hAnsi="Arial" w:cs="Arial"/>
                <w:lang w:val="en-IN"/>
              </w:rPr>
              <w:t>Yes</w:t>
            </w:r>
          </w:p>
        </w:tc>
        <w:tc>
          <w:tcPr>
            <w:tcW w:w="803" w:type="dxa"/>
            <w:hideMark/>
          </w:tcPr>
          <w:p w14:paraId="19B301FF" w14:textId="77777777" w:rsidR="00F73B78" w:rsidRPr="00F73B78" w:rsidRDefault="00F73B78" w:rsidP="00F73B78">
            <w:pPr>
              <w:pStyle w:val="Body"/>
              <w:rPr>
                <w:rFonts w:ascii="Arial" w:hAnsi="Arial" w:cs="Arial"/>
                <w:lang w:val="en-IN"/>
              </w:rPr>
            </w:pPr>
            <w:r w:rsidRPr="00F73B78">
              <w:rPr>
                <w:rFonts w:ascii="Arial" w:hAnsi="Arial" w:cs="Arial"/>
                <w:b/>
                <w:bCs/>
                <w:lang w:val="en-IN"/>
              </w:rPr>
              <w:t>+2</w:t>
            </w:r>
          </w:p>
        </w:tc>
      </w:tr>
      <w:tr w:rsidR="00F73B78" w:rsidRPr="00F73B78" w14:paraId="472FC4F5" w14:textId="77777777" w:rsidTr="008E36CF">
        <w:trPr>
          <w:trHeight w:val="240"/>
          <w:jc w:val="center"/>
        </w:trPr>
        <w:tc>
          <w:tcPr>
            <w:tcW w:w="0" w:type="auto"/>
            <w:hideMark/>
          </w:tcPr>
          <w:p w14:paraId="23EA834A" w14:textId="77777777" w:rsidR="00F73B78" w:rsidRPr="00F73B78" w:rsidRDefault="00F73B78" w:rsidP="00F73B78">
            <w:pPr>
              <w:pStyle w:val="Body"/>
              <w:rPr>
                <w:rFonts w:ascii="Arial" w:hAnsi="Arial" w:cs="Arial"/>
                <w:lang w:val="en-IN"/>
              </w:rPr>
            </w:pPr>
            <w:r w:rsidRPr="00F73B78">
              <w:rPr>
                <w:rFonts w:ascii="Arial" w:hAnsi="Arial" w:cs="Arial"/>
                <w:lang w:val="en-IN"/>
              </w:rPr>
              <w:t>Event improved after drug withdrawal/specific treatment</w:t>
            </w:r>
          </w:p>
        </w:tc>
        <w:tc>
          <w:tcPr>
            <w:tcW w:w="2033" w:type="dxa"/>
            <w:hideMark/>
          </w:tcPr>
          <w:p w14:paraId="76BB7570" w14:textId="77777777" w:rsidR="00F73B78" w:rsidRPr="00F73B78" w:rsidRDefault="00F73B78" w:rsidP="00F73B78">
            <w:pPr>
              <w:pStyle w:val="Body"/>
              <w:rPr>
                <w:rFonts w:ascii="Arial" w:hAnsi="Arial" w:cs="Arial"/>
                <w:lang w:val="en-IN"/>
              </w:rPr>
            </w:pPr>
            <w:r w:rsidRPr="00F73B78">
              <w:rPr>
                <w:rFonts w:ascii="Arial" w:hAnsi="Arial" w:cs="Arial"/>
                <w:lang w:val="en-IN"/>
              </w:rPr>
              <w:t>Yes</w:t>
            </w:r>
          </w:p>
        </w:tc>
        <w:tc>
          <w:tcPr>
            <w:tcW w:w="803" w:type="dxa"/>
            <w:hideMark/>
          </w:tcPr>
          <w:p w14:paraId="10953570" w14:textId="77777777" w:rsidR="00F73B78" w:rsidRPr="00F73B78" w:rsidRDefault="00F73B78" w:rsidP="00F73B78">
            <w:pPr>
              <w:pStyle w:val="Body"/>
              <w:rPr>
                <w:rFonts w:ascii="Arial" w:hAnsi="Arial" w:cs="Arial"/>
                <w:lang w:val="en-IN"/>
              </w:rPr>
            </w:pPr>
            <w:r w:rsidRPr="00F73B78">
              <w:rPr>
                <w:rFonts w:ascii="Arial" w:hAnsi="Arial" w:cs="Arial"/>
                <w:b/>
                <w:bCs/>
                <w:lang w:val="en-IN"/>
              </w:rPr>
              <w:t>+1</w:t>
            </w:r>
          </w:p>
        </w:tc>
      </w:tr>
      <w:tr w:rsidR="00F73B78" w:rsidRPr="00F73B78" w14:paraId="4F01225D" w14:textId="77777777" w:rsidTr="008E36CF">
        <w:trPr>
          <w:trHeight w:val="240"/>
          <w:jc w:val="center"/>
        </w:trPr>
        <w:tc>
          <w:tcPr>
            <w:tcW w:w="0" w:type="auto"/>
            <w:hideMark/>
          </w:tcPr>
          <w:p w14:paraId="0EA3B87C" w14:textId="77777777" w:rsidR="00F73B78" w:rsidRPr="00F73B78" w:rsidRDefault="00F73B78" w:rsidP="00F73B78">
            <w:pPr>
              <w:pStyle w:val="Body"/>
              <w:rPr>
                <w:rFonts w:ascii="Arial" w:hAnsi="Arial" w:cs="Arial"/>
                <w:lang w:val="en-IN"/>
              </w:rPr>
            </w:pPr>
            <w:r w:rsidRPr="00F73B78">
              <w:rPr>
                <w:rFonts w:ascii="Arial" w:hAnsi="Arial" w:cs="Arial"/>
                <w:lang w:val="en-IN"/>
              </w:rPr>
              <w:t>Event reappeared after re-administration</w:t>
            </w:r>
          </w:p>
        </w:tc>
        <w:tc>
          <w:tcPr>
            <w:tcW w:w="2033" w:type="dxa"/>
            <w:hideMark/>
          </w:tcPr>
          <w:p w14:paraId="39E9197B" w14:textId="77777777" w:rsidR="00F73B78" w:rsidRPr="00F73B78" w:rsidRDefault="00F73B78" w:rsidP="00F73B78">
            <w:pPr>
              <w:pStyle w:val="Body"/>
              <w:rPr>
                <w:rFonts w:ascii="Arial" w:hAnsi="Arial" w:cs="Arial"/>
                <w:lang w:val="en-IN"/>
              </w:rPr>
            </w:pPr>
            <w:r w:rsidRPr="00F73B78">
              <w:rPr>
                <w:rFonts w:ascii="Arial" w:hAnsi="Arial" w:cs="Arial"/>
                <w:lang w:val="en-IN"/>
              </w:rPr>
              <w:t>Not performed</w:t>
            </w:r>
          </w:p>
        </w:tc>
        <w:tc>
          <w:tcPr>
            <w:tcW w:w="803" w:type="dxa"/>
            <w:hideMark/>
          </w:tcPr>
          <w:p w14:paraId="3E835282" w14:textId="77777777" w:rsidR="00F73B78" w:rsidRPr="00F73B78" w:rsidRDefault="00F73B78" w:rsidP="00F73B78">
            <w:pPr>
              <w:pStyle w:val="Body"/>
              <w:rPr>
                <w:rFonts w:ascii="Arial" w:hAnsi="Arial" w:cs="Arial"/>
                <w:lang w:val="en-IN"/>
              </w:rPr>
            </w:pPr>
            <w:r w:rsidRPr="00F73B78">
              <w:rPr>
                <w:rFonts w:ascii="Arial" w:hAnsi="Arial" w:cs="Arial"/>
                <w:b/>
                <w:bCs/>
                <w:lang w:val="en-IN"/>
              </w:rPr>
              <w:t>0</w:t>
            </w:r>
          </w:p>
        </w:tc>
      </w:tr>
      <w:tr w:rsidR="00F73B78" w:rsidRPr="00F73B78" w14:paraId="3A0666AF" w14:textId="77777777" w:rsidTr="008E36CF">
        <w:trPr>
          <w:trHeight w:val="253"/>
          <w:jc w:val="center"/>
        </w:trPr>
        <w:tc>
          <w:tcPr>
            <w:tcW w:w="0" w:type="auto"/>
            <w:hideMark/>
          </w:tcPr>
          <w:p w14:paraId="79901B27" w14:textId="77777777" w:rsidR="00F73B78" w:rsidRPr="00F73B78" w:rsidRDefault="00F73B78" w:rsidP="00F73B78">
            <w:pPr>
              <w:pStyle w:val="Body"/>
              <w:rPr>
                <w:rFonts w:ascii="Arial" w:hAnsi="Arial" w:cs="Arial"/>
                <w:lang w:val="en-IN"/>
              </w:rPr>
            </w:pPr>
            <w:r w:rsidRPr="00F73B78">
              <w:rPr>
                <w:rFonts w:ascii="Arial" w:hAnsi="Arial" w:cs="Arial"/>
                <w:lang w:val="en-IN"/>
              </w:rPr>
              <w:t>Alternative causes</w:t>
            </w:r>
          </w:p>
        </w:tc>
        <w:tc>
          <w:tcPr>
            <w:tcW w:w="2033" w:type="dxa"/>
            <w:hideMark/>
          </w:tcPr>
          <w:p w14:paraId="286EB16A" w14:textId="77777777" w:rsidR="00F73B78" w:rsidRPr="00F73B78" w:rsidRDefault="00F73B78" w:rsidP="00F73B78">
            <w:pPr>
              <w:pStyle w:val="Body"/>
              <w:rPr>
                <w:rFonts w:ascii="Arial" w:hAnsi="Arial" w:cs="Arial"/>
                <w:lang w:val="en-IN"/>
              </w:rPr>
            </w:pPr>
            <w:r w:rsidRPr="00F73B78">
              <w:rPr>
                <w:rFonts w:ascii="Arial" w:hAnsi="Arial" w:cs="Arial"/>
                <w:lang w:val="en-IN"/>
              </w:rPr>
              <w:t>No</w:t>
            </w:r>
          </w:p>
        </w:tc>
        <w:tc>
          <w:tcPr>
            <w:tcW w:w="803" w:type="dxa"/>
            <w:hideMark/>
          </w:tcPr>
          <w:p w14:paraId="3998E7EE" w14:textId="77777777" w:rsidR="00F73B78" w:rsidRPr="00F73B78" w:rsidRDefault="00F73B78" w:rsidP="00F73B78">
            <w:pPr>
              <w:pStyle w:val="Body"/>
              <w:rPr>
                <w:rFonts w:ascii="Arial" w:hAnsi="Arial" w:cs="Arial"/>
                <w:lang w:val="en-IN"/>
              </w:rPr>
            </w:pPr>
            <w:r w:rsidRPr="00F73B78">
              <w:rPr>
                <w:rFonts w:ascii="Arial" w:hAnsi="Arial" w:cs="Arial"/>
                <w:b/>
                <w:bCs/>
                <w:lang w:val="en-IN"/>
              </w:rPr>
              <w:t>+2</w:t>
            </w:r>
          </w:p>
        </w:tc>
      </w:tr>
      <w:tr w:rsidR="00F73B78" w:rsidRPr="00F73B78" w14:paraId="643C6820" w14:textId="77777777" w:rsidTr="008E36CF">
        <w:trPr>
          <w:trHeight w:val="240"/>
          <w:jc w:val="center"/>
        </w:trPr>
        <w:tc>
          <w:tcPr>
            <w:tcW w:w="0" w:type="auto"/>
            <w:hideMark/>
          </w:tcPr>
          <w:p w14:paraId="229E1D85" w14:textId="77777777" w:rsidR="00F73B78" w:rsidRPr="00F73B78" w:rsidRDefault="00F73B78" w:rsidP="00F73B78">
            <w:pPr>
              <w:pStyle w:val="Body"/>
              <w:rPr>
                <w:rFonts w:ascii="Arial" w:hAnsi="Arial" w:cs="Arial"/>
                <w:lang w:val="en-IN"/>
              </w:rPr>
            </w:pPr>
            <w:r w:rsidRPr="00F73B78">
              <w:rPr>
                <w:rFonts w:ascii="Arial" w:hAnsi="Arial" w:cs="Arial"/>
                <w:lang w:val="en-IN"/>
              </w:rPr>
              <w:t>Reaction with placebo</w:t>
            </w:r>
          </w:p>
        </w:tc>
        <w:tc>
          <w:tcPr>
            <w:tcW w:w="2033" w:type="dxa"/>
            <w:hideMark/>
          </w:tcPr>
          <w:p w14:paraId="26DF37E8" w14:textId="77777777" w:rsidR="00F73B78" w:rsidRPr="00F73B78" w:rsidRDefault="00F73B78" w:rsidP="00F73B78">
            <w:pPr>
              <w:pStyle w:val="Body"/>
              <w:rPr>
                <w:rFonts w:ascii="Arial" w:hAnsi="Arial" w:cs="Arial"/>
                <w:lang w:val="en-IN"/>
              </w:rPr>
            </w:pPr>
            <w:r w:rsidRPr="00F73B78">
              <w:rPr>
                <w:rFonts w:ascii="Arial" w:hAnsi="Arial" w:cs="Arial"/>
                <w:lang w:val="en-IN"/>
              </w:rPr>
              <w:t>Not performed</w:t>
            </w:r>
          </w:p>
        </w:tc>
        <w:tc>
          <w:tcPr>
            <w:tcW w:w="803" w:type="dxa"/>
            <w:hideMark/>
          </w:tcPr>
          <w:p w14:paraId="5C7088C9" w14:textId="77777777" w:rsidR="00F73B78" w:rsidRPr="00F73B78" w:rsidRDefault="00F73B78" w:rsidP="00F73B78">
            <w:pPr>
              <w:pStyle w:val="Body"/>
              <w:rPr>
                <w:rFonts w:ascii="Arial" w:hAnsi="Arial" w:cs="Arial"/>
                <w:lang w:val="en-IN"/>
              </w:rPr>
            </w:pPr>
            <w:r w:rsidRPr="00F73B78">
              <w:rPr>
                <w:rFonts w:ascii="Arial" w:hAnsi="Arial" w:cs="Arial"/>
                <w:b/>
                <w:bCs/>
                <w:lang w:val="en-IN"/>
              </w:rPr>
              <w:t>0</w:t>
            </w:r>
          </w:p>
        </w:tc>
      </w:tr>
      <w:tr w:rsidR="00F73B78" w:rsidRPr="00F73B78" w14:paraId="6D0F40EA" w14:textId="77777777" w:rsidTr="008E36CF">
        <w:trPr>
          <w:trHeight w:val="240"/>
          <w:jc w:val="center"/>
        </w:trPr>
        <w:tc>
          <w:tcPr>
            <w:tcW w:w="0" w:type="auto"/>
            <w:hideMark/>
          </w:tcPr>
          <w:p w14:paraId="7C737D0C" w14:textId="77777777" w:rsidR="00F73B78" w:rsidRPr="00F73B78" w:rsidRDefault="00F73B78" w:rsidP="00F73B78">
            <w:pPr>
              <w:pStyle w:val="Body"/>
              <w:rPr>
                <w:rFonts w:ascii="Arial" w:hAnsi="Arial" w:cs="Arial"/>
                <w:lang w:val="en-IN"/>
              </w:rPr>
            </w:pPr>
            <w:r w:rsidRPr="00F73B78">
              <w:rPr>
                <w:rFonts w:ascii="Arial" w:hAnsi="Arial" w:cs="Arial"/>
                <w:lang w:val="en-IN"/>
              </w:rPr>
              <w:t>Toxic drug concentration documented</w:t>
            </w:r>
          </w:p>
        </w:tc>
        <w:tc>
          <w:tcPr>
            <w:tcW w:w="2033" w:type="dxa"/>
            <w:hideMark/>
          </w:tcPr>
          <w:p w14:paraId="75912500" w14:textId="77777777" w:rsidR="00F73B78" w:rsidRPr="00F73B78" w:rsidRDefault="00F73B78" w:rsidP="00F73B78">
            <w:pPr>
              <w:pStyle w:val="Body"/>
              <w:rPr>
                <w:rFonts w:ascii="Arial" w:hAnsi="Arial" w:cs="Arial"/>
                <w:lang w:val="en-IN"/>
              </w:rPr>
            </w:pPr>
            <w:r w:rsidRPr="00F73B78">
              <w:rPr>
                <w:rFonts w:ascii="Arial" w:hAnsi="Arial" w:cs="Arial"/>
                <w:lang w:val="en-IN"/>
              </w:rPr>
              <w:t>No</w:t>
            </w:r>
          </w:p>
        </w:tc>
        <w:tc>
          <w:tcPr>
            <w:tcW w:w="803" w:type="dxa"/>
            <w:hideMark/>
          </w:tcPr>
          <w:p w14:paraId="5C4563B7" w14:textId="77777777" w:rsidR="00F73B78" w:rsidRPr="00F73B78" w:rsidRDefault="00F73B78" w:rsidP="00F73B78">
            <w:pPr>
              <w:pStyle w:val="Body"/>
              <w:rPr>
                <w:rFonts w:ascii="Arial" w:hAnsi="Arial" w:cs="Arial"/>
                <w:lang w:val="en-IN"/>
              </w:rPr>
            </w:pPr>
            <w:r w:rsidRPr="00F73B78">
              <w:rPr>
                <w:rFonts w:ascii="Arial" w:hAnsi="Arial" w:cs="Arial"/>
                <w:b/>
                <w:bCs/>
                <w:lang w:val="en-IN"/>
              </w:rPr>
              <w:t>0</w:t>
            </w:r>
          </w:p>
        </w:tc>
      </w:tr>
      <w:tr w:rsidR="00F73B78" w:rsidRPr="00F73B78" w14:paraId="69697201" w14:textId="77777777" w:rsidTr="008E36CF">
        <w:trPr>
          <w:trHeight w:val="253"/>
          <w:jc w:val="center"/>
        </w:trPr>
        <w:tc>
          <w:tcPr>
            <w:tcW w:w="0" w:type="auto"/>
            <w:hideMark/>
          </w:tcPr>
          <w:p w14:paraId="7D3A3E40" w14:textId="77777777" w:rsidR="00F73B78" w:rsidRPr="00F73B78" w:rsidRDefault="00F73B78" w:rsidP="00F73B78">
            <w:pPr>
              <w:pStyle w:val="Body"/>
              <w:rPr>
                <w:rFonts w:ascii="Arial" w:hAnsi="Arial" w:cs="Arial"/>
                <w:lang w:val="en-IN"/>
              </w:rPr>
            </w:pPr>
            <w:r w:rsidRPr="00F73B78">
              <w:rPr>
                <w:rFonts w:ascii="Arial" w:hAnsi="Arial" w:cs="Arial"/>
                <w:lang w:val="en-IN"/>
              </w:rPr>
              <w:t>Dose-response relationship</w:t>
            </w:r>
          </w:p>
        </w:tc>
        <w:tc>
          <w:tcPr>
            <w:tcW w:w="2033" w:type="dxa"/>
            <w:hideMark/>
          </w:tcPr>
          <w:p w14:paraId="3E731729" w14:textId="77777777" w:rsidR="00F73B78" w:rsidRPr="00F73B78" w:rsidRDefault="00F73B78" w:rsidP="00F73B78">
            <w:pPr>
              <w:pStyle w:val="Body"/>
              <w:rPr>
                <w:rFonts w:ascii="Arial" w:hAnsi="Arial" w:cs="Arial"/>
                <w:lang w:val="en-IN"/>
              </w:rPr>
            </w:pPr>
            <w:r w:rsidRPr="00F73B78">
              <w:rPr>
                <w:rFonts w:ascii="Arial" w:hAnsi="Arial" w:cs="Arial"/>
                <w:lang w:val="en-IN"/>
              </w:rPr>
              <w:t>Not documented</w:t>
            </w:r>
          </w:p>
        </w:tc>
        <w:tc>
          <w:tcPr>
            <w:tcW w:w="803" w:type="dxa"/>
            <w:hideMark/>
          </w:tcPr>
          <w:p w14:paraId="604C47C0" w14:textId="77777777" w:rsidR="00F73B78" w:rsidRPr="00F73B78" w:rsidRDefault="00F73B78" w:rsidP="00F73B78">
            <w:pPr>
              <w:pStyle w:val="Body"/>
              <w:rPr>
                <w:rFonts w:ascii="Arial" w:hAnsi="Arial" w:cs="Arial"/>
                <w:lang w:val="en-IN"/>
              </w:rPr>
            </w:pPr>
            <w:r w:rsidRPr="00F73B78">
              <w:rPr>
                <w:rFonts w:ascii="Arial" w:hAnsi="Arial" w:cs="Arial"/>
                <w:b/>
                <w:bCs/>
                <w:lang w:val="en-IN"/>
              </w:rPr>
              <w:t>0</w:t>
            </w:r>
          </w:p>
        </w:tc>
      </w:tr>
      <w:tr w:rsidR="00F73B78" w:rsidRPr="00F73B78" w14:paraId="6FDA5E81" w14:textId="77777777" w:rsidTr="008E36CF">
        <w:trPr>
          <w:trHeight w:val="240"/>
          <w:jc w:val="center"/>
        </w:trPr>
        <w:tc>
          <w:tcPr>
            <w:tcW w:w="0" w:type="auto"/>
            <w:hideMark/>
          </w:tcPr>
          <w:p w14:paraId="0D4787BA" w14:textId="77777777" w:rsidR="00F73B78" w:rsidRPr="00F73B78" w:rsidRDefault="00F73B78" w:rsidP="00F73B78">
            <w:pPr>
              <w:pStyle w:val="Body"/>
              <w:rPr>
                <w:rFonts w:ascii="Arial" w:hAnsi="Arial" w:cs="Arial"/>
                <w:lang w:val="en-IN"/>
              </w:rPr>
            </w:pPr>
            <w:r w:rsidRPr="00F73B78">
              <w:rPr>
                <w:rFonts w:ascii="Arial" w:hAnsi="Arial" w:cs="Arial"/>
                <w:lang w:val="en-IN"/>
              </w:rPr>
              <w:t>Previous similar reaction</w:t>
            </w:r>
          </w:p>
        </w:tc>
        <w:tc>
          <w:tcPr>
            <w:tcW w:w="2033" w:type="dxa"/>
            <w:hideMark/>
          </w:tcPr>
          <w:p w14:paraId="0C2EAB9D" w14:textId="77777777" w:rsidR="00F73B78" w:rsidRPr="00F73B78" w:rsidRDefault="00F73B78" w:rsidP="00F73B78">
            <w:pPr>
              <w:pStyle w:val="Body"/>
              <w:rPr>
                <w:rFonts w:ascii="Arial" w:hAnsi="Arial" w:cs="Arial"/>
                <w:lang w:val="en-IN"/>
              </w:rPr>
            </w:pPr>
            <w:r w:rsidRPr="00F73B78">
              <w:rPr>
                <w:rFonts w:ascii="Arial" w:hAnsi="Arial" w:cs="Arial"/>
                <w:lang w:val="en-IN"/>
              </w:rPr>
              <w:t>Not documented</w:t>
            </w:r>
          </w:p>
        </w:tc>
        <w:tc>
          <w:tcPr>
            <w:tcW w:w="803" w:type="dxa"/>
            <w:hideMark/>
          </w:tcPr>
          <w:p w14:paraId="757A4C9F" w14:textId="77777777" w:rsidR="00F73B78" w:rsidRPr="00F73B78" w:rsidRDefault="00F73B78" w:rsidP="00F73B78">
            <w:pPr>
              <w:pStyle w:val="Body"/>
              <w:rPr>
                <w:rFonts w:ascii="Arial" w:hAnsi="Arial" w:cs="Arial"/>
                <w:lang w:val="en-IN"/>
              </w:rPr>
            </w:pPr>
            <w:r w:rsidRPr="00F73B78">
              <w:rPr>
                <w:rFonts w:ascii="Arial" w:hAnsi="Arial" w:cs="Arial"/>
                <w:b/>
                <w:bCs/>
                <w:lang w:val="en-IN"/>
              </w:rPr>
              <w:t>0</w:t>
            </w:r>
          </w:p>
        </w:tc>
      </w:tr>
      <w:tr w:rsidR="00F73B78" w:rsidRPr="00F73B78" w14:paraId="63911DD2" w14:textId="77777777" w:rsidTr="008E36CF">
        <w:trPr>
          <w:trHeight w:val="240"/>
          <w:jc w:val="center"/>
        </w:trPr>
        <w:tc>
          <w:tcPr>
            <w:tcW w:w="0" w:type="auto"/>
            <w:hideMark/>
          </w:tcPr>
          <w:p w14:paraId="276866B0" w14:textId="77777777" w:rsidR="00F73B78" w:rsidRPr="00F73B78" w:rsidRDefault="00F73B78" w:rsidP="00F73B78">
            <w:pPr>
              <w:pStyle w:val="Body"/>
              <w:rPr>
                <w:rFonts w:ascii="Arial" w:hAnsi="Arial" w:cs="Arial"/>
                <w:lang w:val="en-IN"/>
              </w:rPr>
            </w:pPr>
            <w:r w:rsidRPr="00F73B78">
              <w:rPr>
                <w:rFonts w:ascii="Arial" w:hAnsi="Arial" w:cs="Arial"/>
                <w:lang w:val="en-IN"/>
              </w:rPr>
              <w:t>Objective evidence</w:t>
            </w:r>
          </w:p>
        </w:tc>
        <w:tc>
          <w:tcPr>
            <w:tcW w:w="2033" w:type="dxa"/>
            <w:hideMark/>
          </w:tcPr>
          <w:p w14:paraId="6B383019" w14:textId="77777777" w:rsidR="00F73B78" w:rsidRPr="00F73B78" w:rsidRDefault="00F73B78" w:rsidP="00F73B78">
            <w:pPr>
              <w:pStyle w:val="Body"/>
              <w:rPr>
                <w:rFonts w:ascii="Arial" w:hAnsi="Arial" w:cs="Arial"/>
                <w:lang w:val="en-IN"/>
              </w:rPr>
            </w:pPr>
            <w:r w:rsidRPr="00F73B78">
              <w:rPr>
                <w:rFonts w:ascii="Arial" w:hAnsi="Arial" w:cs="Arial"/>
                <w:lang w:val="en-IN"/>
              </w:rPr>
              <w:t>Yes</w:t>
            </w:r>
          </w:p>
        </w:tc>
        <w:tc>
          <w:tcPr>
            <w:tcW w:w="803" w:type="dxa"/>
            <w:hideMark/>
          </w:tcPr>
          <w:p w14:paraId="659A17D4" w14:textId="77777777" w:rsidR="00F73B78" w:rsidRPr="00F73B78" w:rsidRDefault="00F73B78" w:rsidP="00F73B78">
            <w:pPr>
              <w:pStyle w:val="Body"/>
              <w:rPr>
                <w:rFonts w:ascii="Arial" w:hAnsi="Arial" w:cs="Arial"/>
                <w:lang w:val="en-IN"/>
              </w:rPr>
            </w:pPr>
            <w:r w:rsidRPr="00F73B78">
              <w:rPr>
                <w:rFonts w:ascii="Arial" w:hAnsi="Arial" w:cs="Arial"/>
                <w:b/>
                <w:bCs/>
                <w:lang w:val="en-IN"/>
              </w:rPr>
              <w:t>+1</w:t>
            </w:r>
          </w:p>
        </w:tc>
      </w:tr>
      <w:tr w:rsidR="00F73B78" w:rsidRPr="00F73B78" w14:paraId="5CAB389C" w14:textId="77777777" w:rsidTr="008E36CF">
        <w:trPr>
          <w:trHeight w:val="240"/>
          <w:jc w:val="center"/>
        </w:trPr>
        <w:tc>
          <w:tcPr>
            <w:tcW w:w="8330" w:type="dxa"/>
            <w:gridSpan w:val="2"/>
            <w:hideMark/>
          </w:tcPr>
          <w:p w14:paraId="008AF458" w14:textId="126705EE" w:rsidR="00F73B78" w:rsidRPr="00F73B78" w:rsidRDefault="00F73B78" w:rsidP="00F73B78">
            <w:pPr>
              <w:pStyle w:val="Body"/>
              <w:rPr>
                <w:rFonts w:ascii="Arial" w:hAnsi="Arial" w:cs="Arial"/>
                <w:lang w:val="en-IN"/>
              </w:rPr>
            </w:pPr>
            <w:r w:rsidRPr="00F73B78">
              <w:rPr>
                <w:rFonts w:ascii="Arial" w:hAnsi="Arial" w:cs="Arial"/>
                <w:b/>
                <w:bCs/>
                <w:lang w:val="en-IN"/>
              </w:rPr>
              <w:t>Total score</w:t>
            </w:r>
          </w:p>
        </w:tc>
        <w:tc>
          <w:tcPr>
            <w:tcW w:w="803" w:type="dxa"/>
            <w:hideMark/>
          </w:tcPr>
          <w:p w14:paraId="6DCC9634" w14:textId="77777777" w:rsidR="00F73B78" w:rsidRPr="00F73B78" w:rsidRDefault="00F73B78" w:rsidP="00F73B78">
            <w:pPr>
              <w:pStyle w:val="Body"/>
              <w:rPr>
                <w:rFonts w:ascii="Arial" w:hAnsi="Arial" w:cs="Arial"/>
                <w:lang w:val="en-IN"/>
              </w:rPr>
            </w:pPr>
            <w:r w:rsidRPr="00F73B78">
              <w:rPr>
                <w:rFonts w:ascii="Arial" w:hAnsi="Arial" w:cs="Arial"/>
                <w:b/>
                <w:bCs/>
                <w:lang w:val="en-IN"/>
              </w:rPr>
              <w:t>7</w:t>
            </w:r>
          </w:p>
        </w:tc>
      </w:tr>
    </w:tbl>
    <w:p w14:paraId="6375D2BC" w14:textId="77777777" w:rsidR="00F73B78" w:rsidRPr="00515A8B" w:rsidRDefault="00F73B78" w:rsidP="00515A8B">
      <w:pPr>
        <w:pStyle w:val="Body"/>
        <w:spacing w:after="0"/>
        <w:rPr>
          <w:rFonts w:ascii="Arial" w:hAnsi="Arial" w:cs="Arial"/>
          <w:lang w:val="en-IN"/>
        </w:rPr>
      </w:pPr>
    </w:p>
    <w:p w14:paraId="3AF3C172" w14:textId="3DC901DE" w:rsidR="00790ADA" w:rsidRPr="00F73B78" w:rsidRDefault="00F73B78" w:rsidP="00F73B78">
      <w:pPr>
        <w:pStyle w:val="Body"/>
        <w:spacing w:after="0"/>
        <w:jc w:val="center"/>
        <w:rPr>
          <w:rFonts w:ascii="Arial" w:hAnsi="Arial" w:cs="Arial"/>
          <w:b/>
          <w:bCs/>
        </w:rPr>
      </w:pPr>
      <w:r w:rsidRPr="00F73B78">
        <w:rPr>
          <w:rFonts w:ascii="Arial" w:hAnsi="Arial" w:cs="Arial"/>
          <w:b/>
          <w:bCs/>
        </w:rPr>
        <w:t>Tab. 1. Naranjo Adverse Drug Reaction Probability Scale assessment.</w:t>
      </w:r>
    </w:p>
    <w:p w14:paraId="5ADE9FF6" w14:textId="77777777" w:rsidR="00F73B78" w:rsidRDefault="00F73B78" w:rsidP="00441B6F">
      <w:pPr>
        <w:pStyle w:val="Head1"/>
        <w:spacing w:after="0"/>
        <w:jc w:val="both"/>
        <w:rPr>
          <w:rFonts w:ascii="Arial" w:hAnsi="Arial" w:cs="Arial"/>
        </w:rPr>
      </w:pPr>
    </w:p>
    <w:p w14:paraId="3451007E" w14:textId="02237254" w:rsidR="00902823" w:rsidRPr="00DF01B6" w:rsidRDefault="00000F8F" w:rsidP="00441B6F">
      <w:pPr>
        <w:pStyle w:val="Head1"/>
        <w:spacing w:after="0"/>
        <w:jc w:val="both"/>
        <w:rPr>
          <w:rFonts w:ascii="Arial" w:hAnsi="Arial" w:cs="Arial"/>
        </w:rPr>
      </w:pPr>
      <w:r w:rsidRPr="00DF01B6">
        <w:rPr>
          <w:rFonts w:ascii="Arial" w:hAnsi="Arial" w:cs="Arial"/>
        </w:rPr>
        <w:t>3</w:t>
      </w:r>
      <w:r w:rsidR="00902823" w:rsidRPr="00DF01B6">
        <w:rPr>
          <w:rFonts w:ascii="Arial" w:hAnsi="Arial" w:cs="Arial"/>
        </w:rPr>
        <w:t xml:space="preserve">. </w:t>
      </w:r>
      <w:r w:rsidRPr="00DF01B6">
        <w:rPr>
          <w:rFonts w:ascii="Arial" w:hAnsi="Arial" w:cs="Arial"/>
        </w:rPr>
        <w:t>discussion</w:t>
      </w:r>
    </w:p>
    <w:p w14:paraId="5A26EBAE" w14:textId="77777777" w:rsidR="001A58BB" w:rsidRDefault="001A58BB" w:rsidP="001A58BB">
      <w:pPr>
        <w:pStyle w:val="Body"/>
        <w:spacing w:after="0"/>
        <w:rPr>
          <w:rFonts w:ascii="Arial" w:hAnsi="Arial" w:cs="Arial"/>
          <w:lang w:val="en-IN"/>
        </w:rPr>
      </w:pPr>
    </w:p>
    <w:p w14:paraId="6B651D33" w14:textId="5820D6FC" w:rsidR="00E9787D" w:rsidRDefault="001A58BB" w:rsidP="001A58BB">
      <w:pPr>
        <w:pStyle w:val="Body"/>
        <w:spacing w:after="0"/>
        <w:rPr>
          <w:rFonts w:ascii="Arial" w:hAnsi="Arial" w:cs="Arial"/>
          <w:lang w:val="en-IN"/>
        </w:rPr>
      </w:pPr>
      <w:r w:rsidRPr="001A58BB">
        <w:rPr>
          <w:rFonts w:ascii="Arial" w:hAnsi="Arial" w:cs="Arial"/>
          <w:lang w:val="en-IN"/>
        </w:rPr>
        <w:t xml:space="preserve">Ciprofloxacin is a potent fluoroquinolone antibiotic that exerts its bactericidal effect by targeting bacterial DNA gyrase and topoisomerase IV. Despite its broad therapeutic utility, it may produce diverse adverse reactions, with cutaneous manifestations ranging from mild eruptions to severe hypersensitivity </w:t>
      </w:r>
      <w:r w:rsidRPr="00E9787D">
        <w:rPr>
          <w:rFonts w:ascii="Arial" w:hAnsi="Arial" w:cs="Arial"/>
          <w:lang w:val="en-IN"/>
        </w:rPr>
        <w:t>syndromes.</w:t>
      </w:r>
      <w:sdt>
        <w:sdtPr>
          <w:rPr>
            <w:rFonts w:ascii="Arial" w:hAnsi="Arial" w:cs="Arial"/>
            <w:color w:val="000000"/>
            <w:lang w:val="en-IN"/>
          </w:rPr>
          <w:tag w:val="MENDELEY_CITATION_v3_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"/>
          <w:id w:val="2002692356"/>
          <w:placeholder>
            <w:docPart w:val="DefaultPlaceholder_-1854013440"/>
          </w:placeholder>
        </w:sdtPr>
        <w:sdtContent>
          <w:r w:rsidR="008D6CBF" w:rsidRPr="008D6CBF">
            <w:rPr>
              <w:rFonts w:ascii="Arial" w:hAnsi="Arial" w:cs="Arial"/>
              <w:color w:val="000000"/>
            </w:rPr>
            <w:t>(Collins et al., 2024; Hooper &amp; Jacoby, 2016)</w:t>
          </w:r>
        </w:sdtContent>
      </w:sdt>
      <w:r w:rsidR="00E9787D" w:rsidRPr="00E9787D">
        <w:rPr>
          <w:rFonts w:ascii="Arial" w:hAnsi="Arial" w:cs="Arial"/>
          <w:color w:val="000000"/>
          <w:lang w:val="en-IN"/>
        </w:rPr>
        <w:t xml:space="preserve"> </w:t>
      </w:r>
      <w:r w:rsidR="00E9787D" w:rsidRPr="00E9787D">
        <w:rPr>
          <w:rFonts w:ascii="Arial" w:hAnsi="Arial" w:cs="Arial"/>
          <w:color w:val="000000"/>
        </w:rPr>
        <w:t>Fluoroquinolone-associated adverse effects are influenced by patient-specific risk factors and treatment characteristics, with older age, prolonged exposure, corticosteroid use, renal impairment, and comorbid conditions increasing susceptibility to clinically significant toxicity.</w:t>
      </w:r>
      <w:r w:rsidR="00E9787D" w:rsidRPr="00E9787D">
        <w:rPr>
          <w:rFonts w:ascii="Arial" w:hAnsi="Arial" w:cs="Arial"/>
          <w:lang w:val="en-IN"/>
        </w:rPr>
        <w:t xml:space="preserve"> </w:t>
      </w:r>
      <w:sdt>
        <w:sdtPr>
          <w:rPr>
            <w:rFonts w:ascii="Arial" w:hAnsi="Arial" w:cs="Arial"/>
            <w:color w:val="000000"/>
            <w:lang w:val="en-IN"/>
          </w:rPr>
          <w:tag w:val="MENDELEY_CITATION_v3_eyJjaXRhdGlvbklEIjoiTUVOREVMRVlfQ0lUQVRJT05fYjhjMDU2YTUtZTY5YS00ZjQ0LTkxOWEtNGUwOGFiZDczNDk1IiwicHJvcGVydGllcyI6eyJub3RlSW5kZXgiOjB9LCJpc0VkaXRlZCI6ZmFsc2UsIm1hbnVhbE92ZXJyaWRlIjp7ImlzTWFudWFsbHlPdmVycmlkZGVuIjpmYWxzZSwiY2l0ZXByb2NUZXh0IjoiKEJhZ2dpbyAmIzM4OyBBbmFuZGEtUmFqYWgsIDIwMjEpIiwibWFudWFsT3ZlcnJpZGVUZXh0IjoiIn0sImNpdGF0aW9uSXRlbXMiOlt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
          <w:id w:val="1720716619"/>
          <w:placeholder>
            <w:docPart w:val="DefaultPlaceholder_-1854013440"/>
          </w:placeholder>
        </w:sdtPr>
        <w:sdtContent>
          <w:r w:rsidR="008D6CBF" w:rsidRPr="008D6CBF">
            <w:rPr>
              <w:rFonts w:ascii="Arial" w:hAnsi="Arial" w:cs="Arial"/>
              <w:color w:val="000000"/>
            </w:rPr>
            <w:t>(Baggio &amp; Ananda-Rajah, 2021)</w:t>
          </w:r>
        </w:sdtContent>
      </w:sdt>
      <w:r w:rsidR="00E9787D" w:rsidRPr="00E9787D">
        <w:rPr>
          <w:rFonts w:ascii="Arial" w:hAnsi="Arial" w:cs="Arial"/>
          <w:lang w:val="en-IN"/>
        </w:rPr>
        <w:t xml:space="preserve"> </w:t>
      </w:r>
      <w:r w:rsidR="00E9787D" w:rsidRPr="00E9787D">
        <w:rPr>
          <w:rFonts w:ascii="Arial" w:hAnsi="Arial" w:cs="Arial"/>
        </w:rPr>
        <w:t>In a study involving 166,736 patients treated with fluoroquinolones, cutaneous reactions occurred in 0.09% of patients, with ciprofloxacin accounting for the highest number of cases (n = 93); maculopapular rash (39.7%) was the most common skin reaction.</w:t>
      </w:r>
      <w:sdt>
        <w:sdtPr>
          <w:rPr>
            <w:rFonts w:ascii="Arial" w:hAnsi="Arial" w:cs="Arial"/>
            <w:color w:val="000000"/>
          </w:rPr>
          <w:tag w:val="MENDELEY_CITATION_v3_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"/>
          <w:id w:val="1324090593"/>
          <w:placeholder>
            <w:docPart w:val="DefaultPlaceholder_-1854013440"/>
          </w:placeholder>
        </w:sdtPr>
        <w:sdtContent>
          <w:r w:rsidR="008D6CBF" w:rsidRPr="008D6CBF">
            <w:rPr>
              <w:rFonts w:ascii="Arial" w:hAnsi="Arial" w:cs="Arial"/>
              <w:color w:val="000000"/>
            </w:rPr>
            <w:t>(</w:t>
          </w:r>
          <w:proofErr w:type="spellStart"/>
          <w:r w:rsidR="008D6CBF" w:rsidRPr="008D6CBF">
            <w:rPr>
              <w:rFonts w:ascii="Arial" w:hAnsi="Arial" w:cs="Arial"/>
              <w:color w:val="000000"/>
            </w:rPr>
            <w:t>Kulthanan</w:t>
          </w:r>
          <w:proofErr w:type="spellEnd"/>
          <w:r w:rsidR="008D6CBF" w:rsidRPr="008D6CBF">
            <w:rPr>
              <w:rFonts w:ascii="Arial" w:hAnsi="Arial" w:cs="Arial"/>
              <w:color w:val="000000"/>
            </w:rPr>
            <w:t xml:space="preserve"> et al., 2011)</w:t>
          </w:r>
        </w:sdtContent>
      </w:sdt>
    </w:p>
    <w:p w14:paraId="4CA3D4E3" w14:textId="7ED0A846" w:rsidR="001A58BB" w:rsidRPr="001A58BB" w:rsidRDefault="001A58BB" w:rsidP="001A58BB">
      <w:pPr>
        <w:pStyle w:val="Body"/>
        <w:spacing w:after="0"/>
        <w:rPr>
          <w:rFonts w:ascii="Arial" w:hAnsi="Arial" w:cs="Arial"/>
          <w:lang w:val="en-IN"/>
        </w:rPr>
      </w:pPr>
      <w:r w:rsidRPr="001A58BB">
        <w:rPr>
          <w:rFonts w:ascii="Arial" w:hAnsi="Arial" w:cs="Arial"/>
          <w:lang w:val="en-IN"/>
        </w:rPr>
        <w:t>These observations demonstrate that the dermatological toxicity of ciprofloxacin is uncommon but clinically heterogeneous.</w:t>
      </w:r>
      <w:r w:rsidR="00E9787D">
        <w:rPr>
          <w:rFonts w:ascii="Arial" w:hAnsi="Arial" w:cs="Arial"/>
          <w:lang w:val="en-IN"/>
        </w:rPr>
        <w:t xml:space="preserve"> </w:t>
      </w:r>
      <w:r w:rsidRPr="00E9787D">
        <w:rPr>
          <w:rFonts w:ascii="Arial" w:hAnsi="Arial" w:cs="Arial"/>
          <w:lang w:val="en-IN"/>
        </w:rPr>
        <w:t xml:space="preserve">The present case involved a 22-year-old male who developed pruritus associated with an erythematous cutaneous eruption during ciprofloxacin therapy for bilateral </w:t>
      </w:r>
      <w:proofErr w:type="spellStart"/>
      <w:r w:rsidRPr="00E9787D">
        <w:rPr>
          <w:rFonts w:ascii="Arial" w:hAnsi="Arial" w:cs="Arial"/>
          <w:lang w:val="en-IN"/>
        </w:rPr>
        <w:t>epididymo</w:t>
      </w:r>
      <w:proofErr w:type="spellEnd"/>
      <w:r w:rsidRPr="00E9787D">
        <w:rPr>
          <w:rFonts w:ascii="Arial" w:hAnsi="Arial" w:cs="Arial"/>
          <w:lang w:val="en-IN"/>
        </w:rPr>
        <w:t>-orchitis</w:t>
      </w:r>
      <w:r w:rsidRPr="001A58BB">
        <w:rPr>
          <w:rFonts w:ascii="Arial" w:hAnsi="Arial" w:cs="Arial"/>
          <w:lang w:val="en-IN"/>
        </w:rPr>
        <w:t xml:space="preserve">. The morphology documented in the accompanying photograph did not </w:t>
      </w:r>
      <w:r w:rsidRPr="00E9787D">
        <w:rPr>
          <w:rFonts w:ascii="Arial" w:hAnsi="Arial" w:cs="Arial"/>
          <w:lang w:val="en-IN"/>
        </w:rPr>
        <w:t>demonstrate clearly defined transient raised wheals. Consequently, the lesion was conservatively characterized as a pruritic erythematous cutaneous eruption rather</w:t>
      </w:r>
      <w:r w:rsidRPr="001A58BB">
        <w:rPr>
          <w:rFonts w:ascii="Arial" w:hAnsi="Arial" w:cs="Arial"/>
          <w:lang w:val="en-IN"/>
        </w:rPr>
        <w:t xml:space="preserve"> than classical acute urticaria. This distinction is important because the clinical diagnosis of urticaria requires characteristic evanescent wheals, whereas erythematous drug eruptions encompass a broader range of cutaneous phenotypes.</w:t>
      </w:r>
      <w:r w:rsidR="00E9787D">
        <w:rPr>
          <w:rFonts w:ascii="Arial" w:hAnsi="Arial" w:cs="Arial"/>
          <w:lang w:val="en-IN"/>
        </w:rPr>
        <w:t xml:space="preserve"> </w:t>
      </w:r>
      <w:r w:rsidRPr="001A58BB">
        <w:rPr>
          <w:rFonts w:ascii="Arial" w:hAnsi="Arial" w:cs="Arial"/>
          <w:lang w:val="en-IN"/>
        </w:rPr>
        <w:t>Clinical guidelines emphasize that quinolone hypersensitivity may occur through both immediate and delayed mechanisms and that accurate clinical characterization is essential because diagnostic testing remains imperfect</w:t>
      </w:r>
      <w:r w:rsidR="00E9787D">
        <w:rPr>
          <w:rFonts w:ascii="Arial" w:hAnsi="Arial" w:cs="Arial"/>
          <w:lang w:val="en-IN"/>
        </w:rPr>
        <w:t xml:space="preserve">. </w:t>
      </w:r>
      <w:sdt>
        <w:sdtPr>
          <w:rPr>
            <w:rFonts w:ascii="Arial" w:hAnsi="Arial" w:cs="Arial"/>
            <w:color w:val="000000"/>
            <w:lang w:val="en-IN"/>
          </w:rPr>
          <w:tag w:val="MENDELEY_CITATION_v3_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"/>
          <w:id w:val="1814598058"/>
          <w:placeholder>
            <w:docPart w:val="DefaultPlaceholder_-1854013440"/>
          </w:placeholder>
        </w:sdtPr>
        <w:sdtContent>
          <w:r w:rsidR="008D6CBF" w:rsidRPr="008D6CBF">
            <w:rPr>
              <w:rFonts w:ascii="Arial" w:hAnsi="Arial" w:cs="Arial"/>
              <w:color w:val="000000"/>
              <w:lang w:val="en-IN"/>
            </w:rPr>
            <w:t>(Blanca-López et al., 2011; Neuman et al., 2015)</w:t>
          </w:r>
        </w:sdtContent>
      </w:sdt>
    </w:p>
    <w:p w14:paraId="442AD6B1" w14:textId="320085BC" w:rsidR="001A58BB" w:rsidRPr="001A58BB" w:rsidRDefault="001A58BB" w:rsidP="001A58BB">
      <w:pPr>
        <w:pStyle w:val="Body"/>
        <w:spacing w:after="0"/>
        <w:rPr>
          <w:rFonts w:ascii="Arial" w:hAnsi="Arial" w:cs="Arial"/>
          <w:lang w:val="en-IN"/>
        </w:rPr>
      </w:pPr>
      <w:r w:rsidRPr="001A58BB">
        <w:rPr>
          <w:rFonts w:ascii="Arial" w:hAnsi="Arial" w:cs="Arial"/>
          <w:lang w:val="en-IN"/>
        </w:rPr>
        <w:t>The clinical spectrum of ciprofloxacin-associated eruptions reported in the literature further supports the need for morphological discrimination.</w:t>
      </w:r>
      <w:r w:rsidR="00CF07C5">
        <w:rPr>
          <w:rFonts w:ascii="Arial" w:hAnsi="Arial" w:cs="Arial"/>
        </w:rPr>
        <w:t xml:space="preserve"> Serious of case studies highlighted the fixed drug eruption.</w:t>
      </w:r>
      <w:sdt>
        <w:sdtPr>
          <w:rPr>
            <w:rFonts w:ascii="Arial" w:hAnsi="Arial" w:cs="Arial"/>
            <w:color w:val="000000"/>
          </w:rPr>
          <w:tag w:val="MENDELEY_CITATION_v3_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"/>
          <w:id w:val="-1314633264"/>
          <w:placeholder>
            <w:docPart w:val="DefaultPlaceholder_-1854013440"/>
          </w:placeholder>
        </w:sdtPr>
        <w:sdtContent>
          <w:r w:rsidR="008D6CBF" w:rsidRPr="008D6CBF">
            <w:rPr>
              <w:rFonts w:ascii="Arial" w:hAnsi="Arial" w:cs="Arial"/>
              <w:color w:val="000000"/>
            </w:rPr>
            <w:t>(Dhar &amp; Sharma, 1996; Jain &amp; Jain, 2013)</w:t>
          </w:r>
        </w:sdtContent>
      </w:sdt>
      <w:r w:rsidR="00CF07C5">
        <w:rPr>
          <w:rFonts w:ascii="Arial" w:hAnsi="Arial" w:cs="Arial"/>
          <w:lang w:val="en-IN"/>
        </w:rPr>
        <w:t xml:space="preserve"> </w:t>
      </w:r>
      <w:r w:rsidRPr="001A58BB">
        <w:rPr>
          <w:rFonts w:ascii="Arial" w:hAnsi="Arial" w:cs="Arial"/>
          <w:lang w:val="en-IN"/>
        </w:rPr>
        <w:t>In contrast, our patient had no documented fixed-site recurrence, bullae, characteristic target lesions, mucosal erosion, or residual hyperpigmentation, making these phenotypes less appropriate for classification of the present reaction.</w:t>
      </w:r>
    </w:p>
    <w:p w14:paraId="1E23B511" w14:textId="624C1E20" w:rsidR="001A58BB" w:rsidRPr="001A58BB" w:rsidRDefault="001A58BB" w:rsidP="001A58BB">
      <w:pPr>
        <w:pStyle w:val="Body"/>
        <w:spacing w:after="0"/>
        <w:rPr>
          <w:rFonts w:ascii="Arial" w:hAnsi="Arial" w:cs="Arial"/>
          <w:lang w:val="en-IN"/>
        </w:rPr>
      </w:pPr>
      <w:r w:rsidRPr="001A58BB">
        <w:rPr>
          <w:rFonts w:ascii="Arial" w:hAnsi="Arial" w:cs="Arial"/>
          <w:lang w:val="en-IN"/>
        </w:rPr>
        <w:t xml:space="preserve">Other severe phenotypes have also been reported following ciprofloxacin exposure. Other unusual presentations include ciprofloxacin-induced acute generalized </w:t>
      </w:r>
      <w:proofErr w:type="spellStart"/>
      <w:r w:rsidRPr="001A58BB">
        <w:rPr>
          <w:rFonts w:ascii="Arial" w:hAnsi="Arial" w:cs="Arial"/>
          <w:lang w:val="en-IN"/>
        </w:rPr>
        <w:t>exanthematous</w:t>
      </w:r>
      <w:proofErr w:type="spellEnd"/>
      <w:r w:rsidRPr="001A58BB">
        <w:rPr>
          <w:rFonts w:ascii="Arial" w:hAnsi="Arial" w:cs="Arial"/>
          <w:lang w:val="en-IN"/>
        </w:rPr>
        <w:t xml:space="preserve"> pustulosis confirmed by patch testing and </w:t>
      </w:r>
      <w:proofErr w:type="spellStart"/>
      <w:r w:rsidRPr="001A58BB">
        <w:rPr>
          <w:rFonts w:ascii="Arial" w:hAnsi="Arial" w:cs="Arial"/>
          <w:lang w:val="en-IN"/>
        </w:rPr>
        <w:t>photolocalized</w:t>
      </w:r>
      <w:proofErr w:type="spellEnd"/>
      <w:r w:rsidRPr="001A58BB">
        <w:rPr>
          <w:rFonts w:ascii="Arial" w:hAnsi="Arial" w:cs="Arial"/>
          <w:lang w:val="en-IN"/>
        </w:rPr>
        <w:t xml:space="preserve"> purpura occurring during ciprofloxacin treatment and sun exposure.</w:t>
      </w:r>
      <w:sdt>
        <w:sdtPr>
          <w:rPr>
            <w:rFonts w:ascii="Arial" w:hAnsi="Arial" w:cs="Arial"/>
            <w:color w:val="000000"/>
            <w:lang w:val="en-IN"/>
          </w:rPr>
          <w:tag w:val="MENDELEY_CITATION_v3_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"/>
          <w:id w:val="2135296690"/>
          <w:placeholder>
            <w:docPart w:val="DefaultPlaceholder_-1854013440"/>
          </w:placeholder>
        </w:sdtPr>
        <w:sdtContent>
          <w:r w:rsidR="008D6CBF" w:rsidRPr="008D6CBF">
            <w:rPr>
              <w:rFonts w:ascii="Arial" w:hAnsi="Arial" w:cs="Arial"/>
              <w:color w:val="000000"/>
              <w:lang w:val="en-IN"/>
            </w:rPr>
            <w:t>(Hausermann et al., 2005)</w:t>
          </w:r>
        </w:sdtContent>
      </w:sdt>
      <w:r w:rsidRPr="001A58BB">
        <w:rPr>
          <w:rFonts w:ascii="Arial" w:hAnsi="Arial" w:cs="Arial"/>
          <w:lang w:val="en-IN"/>
        </w:rPr>
        <w:t xml:space="preserve"> These reports place the present patient's transient pruritic erythematous eruption within the broader spectrum of fluoroquinolone-related cutaneous hypersensitivity while demonstrating that it lacks the hallmark findings of severe cutaneous adverse reactions.</w:t>
      </w:r>
      <w:r w:rsidR="00CF07C5">
        <w:rPr>
          <w:rFonts w:ascii="Arial" w:hAnsi="Arial" w:cs="Arial"/>
          <w:lang w:val="en-IN"/>
        </w:rPr>
        <w:t xml:space="preserve"> </w:t>
      </w:r>
      <w:r w:rsidRPr="001A58BB">
        <w:rPr>
          <w:rFonts w:ascii="Arial" w:hAnsi="Arial" w:cs="Arial"/>
          <w:lang w:val="en-IN"/>
        </w:rPr>
        <w:t xml:space="preserve">The </w:t>
      </w:r>
      <w:r w:rsidRPr="00CF07C5">
        <w:rPr>
          <w:rFonts w:ascii="Arial" w:hAnsi="Arial" w:cs="Arial"/>
          <w:lang w:val="en-IN"/>
        </w:rPr>
        <w:t xml:space="preserve">rapid clinical response observed in our patient provides additional supportive evidence. Following development of the eruption, pheniramine maleate 2 mL was administered, after which the itching and visible skin changes settled within approximately 4 hours. </w:t>
      </w:r>
    </w:p>
    <w:p w14:paraId="2B8502CD" w14:textId="6B4CB5CA" w:rsidR="007B5EEE" w:rsidRDefault="00CF07C5" w:rsidP="001A58BB">
      <w:pPr>
        <w:pStyle w:val="Body"/>
        <w:spacing w:after="0"/>
        <w:rPr>
          <w:rFonts w:ascii="Arial" w:hAnsi="Arial" w:cs="Arial"/>
          <w:lang w:val="en-IN"/>
        </w:rPr>
      </w:pPr>
      <w:r w:rsidRPr="00CF07C5">
        <w:rPr>
          <w:rFonts w:ascii="Arial" w:hAnsi="Arial" w:cs="Arial"/>
          <w:lang w:val="en-IN"/>
        </w:rPr>
        <w:t xml:space="preserve">The Naranjo score of 7 indicated a probable ciprofloxacin-associated ADR, supported by the temporal relationship, objective skin findings, and clinical improvement after treatment. However, incomplete latency data, concomitant medications, and absence of documented isolated </w:t>
      </w:r>
      <w:proofErr w:type="spellStart"/>
      <w:r w:rsidRPr="00CF07C5">
        <w:rPr>
          <w:rFonts w:ascii="Arial" w:hAnsi="Arial" w:cs="Arial"/>
          <w:lang w:val="en-IN"/>
        </w:rPr>
        <w:t>dechallenge</w:t>
      </w:r>
      <w:proofErr w:type="spellEnd"/>
      <w:r w:rsidRPr="00CF07C5">
        <w:rPr>
          <w:rFonts w:ascii="Arial" w:hAnsi="Arial" w:cs="Arial"/>
          <w:lang w:val="en-IN"/>
        </w:rPr>
        <w:t xml:space="preserve"> limit definitive causality, consistent with the cautious interpretation of the WHO-UMC framework.</w:t>
      </w:r>
      <w:sdt>
        <w:sdtPr>
          <w:rPr>
            <w:rFonts w:ascii="Arial" w:hAnsi="Arial" w:cs="Arial"/>
            <w:color w:val="000000"/>
            <w:lang w:val="en-IN"/>
          </w:rPr>
          <w:tag w:val="MENDELEY_CITATION_v3_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"/>
          <w:id w:val="-1069957859"/>
          <w:placeholder>
            <w:docPart w:val="DefaultPlaceholder_-1854013440"/>
          </w:placeholder>
        </w:sdtPr>
        <w:sdtContent>
          <w:r w:rsidR="008D6CBF" w:rsidRPr="008D6CBF">
            <w:rPr>
              <w:rFonts w:ascii="Arial" w:hAnsi="Arial" w:cs="Arial"/>
              <w:color w:val="000000"/>
              <w:lang w:val="en-IN"/>
            </w:rPr>
            <w:t>(Naranjo et al., 1981)</w:t>
          </w:r>
        </w:sdtContent>
      </w:sdt>
      <w:r w:rsidR="007B5EEE">
        <w:rPr>
          <w:rFonts w:ascii="Arial" w:hAnsi="Arial" w:cs="Arial"/>
          <w:lang w:val="en-IN"/>
        </w:rPr>
        <w:t xml:space="preserve"> </w:t>
      </w:r>
      <w:r w:rsidR="001A58BB" w:rsidRPr="001A58BB">
        <w:rPr>
          <w:rFonts w:ascii="Arial" w:hAnsi="Arial" w:cs="Arial"/>
          <w:lang w:val="en-IN"/>
        </w:rPr>
        <w:t>The relationship between ciprofloxacin and other fluoroquinolone hypersensitivity reactions is also clinically relevant for future prescribing. Earlier work suggested variable cross-reactivity among quinolones, particularly in patients with hypersensitivity reactions</w:t>
      </w:r>
      <w:r w:rsidR="007B5EEE">
        <w:rPr>
          <w:rFonts w:ascii="Arial" w:hAnsi="Arial" w:cs="Arial"/>
          <w:lang w:val="en-IN"/>
        </w:rPr>
        <w:t>.</w:t>
      </w:r>
      <w:sdt>
        <w:sdtPr>
          <w:rPr>
            <w:rFonts w:ascii="Arial" w:hAnsi="Arial" w:cs="Arial"/>
            <w:color w:val="000000"/>
            <w:lang w:val="en-IN"/>
          </w:rPr>
          <w:tag w:val="MENDELEY_CITATION_v3_eyJjaXRhdGlvbklEIjoiTUVOREVMRVlfQ0lUQVRJT05fZTQxNmMwNzEtNGQ3MC00ZWYzLTg3Y2EtYzgxMmEyYzhhOTgxIiwicHJvcGVydGllcyI6eyJub3RlSW5kZXgiOjB9LCJpc0VkaXRlZCI6ZmFsc2UsIm1hbnVhbE92ZXJyaWRlIjp7ImlzTWFudWFsbHlPdmVycmlkZGVuIjpmYWxzZSwiY2l0ZXByb2NUZXh0IjoiKEJhZ2dpbyAmIzM4OyBBbmFuZGEtUmFqYWgsIDIwMjE7I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Sx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
          <w:id w:val="-929032759"/>
          <w:placeholder>
            <w:docPart w:val="DefaultPlaceholder_-1854013440"/>
          </w:placeholder>
        </w:sdtPr>
        <w:sdtContent>
          <w:r w:rsidR="008D6CBF" w:rsidRPr="008D6CBF">
            <w:rPr>
              <w:rFonts w:ascii="Arial" w:hAnsi="Arial" w:cs="Arial"/>
              <w:color w:val="000000"/>
            </w:rPr>
            <w:t>(Baggio &amp; Ananda-Rajah, 2021; Rusu et al., 2023)</w:t>
          </w:r>
        </w:sdtContent>
      </w:sdt>
    </w:p>
    <w:p w14:paraId="0E90EF74" w14:textId="2934E45C" w:rsidR="00E053D0" w:rsidRPr="00DF01B6" w:rsidRDefault="001A58BB" w:rsidP="00441B6F">
      <w:pPr>
        <w:pStyle w:val="Body"/>
        <w:spacing w:after="0"/>
        <w:rPr>
          <w:rFonts w:ascii="Arial" w:hAnsi="Arial" w:cs="Arial"/>
        </w:rPr>
      </w:pPr>
      <w:r w:rsidRPr="001A58BB">
        <w:rPr>
          <w:rFonts w:ascii="Arial" w:hAnsi="Arial" w:cs="Arial"/>
          <w:lang w:val="en-IN"/>
        </w:rPr>
        <w:t xml:space="preserve">Urine culture yielded </w:t>
      </w:r>
      <w:r w:rsidRPr="001A58BB">
        <w:rPr>
          <w:rFonts w:ascii="Arial" w:hAnsi="Arial" w:cs="Arial"/>
          <w:i/>
          <w:iCs/>
          <w:lang w:val="en-IN"/>
        </w:rPr>
        <w:t>Escherichia coli</w:t>
      </w:r>
      <w:r w:rsidRPr="001A58BB">
        <w:rPr>
          <w:rFonts w:ascii="Arial" w:hAnsi="Arial" w:cs="Arial"/>
          <w:lang w:val="en-IN"/>
        </w:rPr>
        <w:t xml:space="preserve"> reported as resistant to ciprofloxacin/ofloxacin, whereas piperacillin-tazobactam and </w:t>
      </w:r>
      <w:proofErr w:type="spellStart"/>
      <w:r w:rsidRPr="001A58BB">
        <w:rPr>
          <w:rFonts w:ascii="Arial" w:hAnsi="Arial" w:cs="Arial"/>
          <w:lang w:val="en-IN"/>
        </w:rPr>
        <w:t>cefoperazone</w:t>
      </w:r>
      <w:proofErr w:type="spellEnd"/>
      <w:r w:rsidRPr="001A58BB">
        <w:rPr>
          <w:rFonts w:ascii="Arial" w:hAnsi="Arial" w:cs="Arial"/>
          <w:lang w:val="en-IN"/>
        </w:rPr>
        <w:t xml:space="preserve">-sulbactam were reported as susceptible. </w:t>
      </w:r>
      <w:r w:rsidR="007B5EEE" w:rsidRPr="007B5EEE">
        <w:rPr>
          <w:rFonts w:ascii="Arial" w:hAnsi="Arial" w:cs="Arial"/>
        </w:rPr>
        <w:t xml:space="preserve">Importantly, the urine culture in the present case yielded </w:t>
      </w:r>
      <w:r w:rsidR="007B5EEE" w:rsidRPr="007B5EEE">
        <w:rPr>
          <w:rFonts w:ascii="Arial" w:hAnsi="Arial" w:cs="Arial"/>
          <w:i/>
          <w:iCs/>
        </w:rPr>
        <w:t>Escherichia coli</w:t>
      </w:r>
      <w:r w:rsidR="007B5EEE" w:rsidRPr="007B5EEE">
        <w:rPr>
          <w:rFonts w:ascii="Arial" w:hAnsi="Arial" w:cs="Arial"/>
        </w:rPr>
        <w:t xml:space="preserve"> that was reported resistant to ciprofloxacin/ofloxacin, while piperacillin-tazobactam and </w:t>
      </w:r>
      <w:proofErr w:type="spellStart"/>
      <w:r w:rsidR="007B5EEE" w:rsidRPr="007B5EEE">
        <w:rPr>
          <w:rFonts w:ascii="Arial" w:hAnsi="Arial" w:cs="Arial"/>
        </w:rPr>
        <w:t>cefoperazone</w:t>
      </w:r>
      <w:proofErr w:type="spellEnd"/>
      <w:r w:rsidR="007B5EEE" w:rsidRPr="007B5EEE">
        <w:rPr>
          <w:rFonts w:ascii="Arial" w:hAnsi="Arial" w:cs="Arial"/>
        </w:rPr>
        <w:t>-sulbactam were reported as susceptible. Despite this susceptibility profile, ciprofloxacin was administered during the hospital course, and the patient subsequently developed a suspected cutaneous adverse drug reaction. Although the available records do not establish that the reaction occurred solely because ciprofloxacin was continued despite microbiological resistance, this sequence highlights an important medication-safety concern. In resource-limited healthcare settings, where antimicrobial options, diagnostic facilities and specialist services may be constrained, prompt review of culture and susceptibility reports, early identification of adverse drug reactions, and timely antimicrobial stewardship interventions are essential to avoid unnecessary exposure to ineffective antibiotics and minimize preventable drug-related harm. This case therefore illustrates the need to integrate pharmacovigilance with antimicrobial stewardship, particularly where limited resources may increase the consequences of delayed recognition and inappropriate antimicrobial use.</w:t>
      </w:r>
      <w:r w:rsidR="007B5EEE" w:rsidRPr="007B5EEE">
        <w:t xml:space="preserve"> </w:t>
      </w:r>
      <w:r w:rsidR="007B5EEE" w:rsidRPr="007B5EEE">
        <w:rPr>
          <w:rFonts w:ascii="Arial" w:hAnsi="Arial" w:cs="Arial"/>
        </w:rPr>
        <w:t>Thus, this case underscores that in resource-limited settings, prompt ADR recognition coupled with timely culture-guided antimicrobial stewardship is crucial to ensure that antibiotic therapy is both effective against the infecting organism and safe for the individual patient.</w:t>
      </w:r>
    </w:p>
    <w:p w14:paraId="693EDFFF" w14:textId="77777777" w:rsidR="00790ADA" w:rsidRPr="00DF01B6" w:rsidRDefault="00790ADA" w:rsidP="00441B6F">
      <w:pPr>
        <w:pStyle w:val="Body"/>
        <w:spacing w:after="0"/>
        <w:rPr>
          <w:rFonts w:ascii="Arial" w:hAnsi="Arial" w:cs="Arial"/>
        </w:rPr>
      </w:pPr>
    </w:p>
    <w:p w14:paraId="2C2435F2" w14:textId="77777777" w:rsidR="00B01FCD" w:rsidRPr="00DF01B6" w:rsidRDefault="00000F8F" w:rsidP="00441B6F">
      <w:pPr>
        <w:pStyle w:val="ConcHead"/>
        <w:spacing w:after="0"/>
        <w:jc w:val="both"/>
        <w:rPr>
          <w:rFonts w:ascii="Arial" w:hAnsi="Arial" w:cs="Arial"/>
        </w:rPr>
      </w:pPr>
      <w:r w:rsidRPr="00DF01B6">
        <w:rPr>
          <w:rFonts w:ascii="Arial" w:hAnsi="Arial" w:cs="Arial"/>
        </w:rPr>
        <w:t xml:space="preserve">4. </w:t>
      </w:r>
      <w:r w:rsidR="00B01FCD" w:rsidRPr="00DF01B6">
        <w:rPr>
          <w:rFonts w:ascii="Arial" w:hAnsi="Arial" w:cs="Arial"/>
        </w:rPr>
        <w:t>Conclusion</w:t>
      </w:r>
    </w:p>
    <w:p w14:paraId="31FDB1F0" w14:textId="196EE7D0" w:rsidR="00315186" w:rsidRPr="00DF01B6" w:rsidRDefault="008E36CF" w:rsidP="008E36CF">
      <w:pPr>
        <w:jc w:val="both"/>
        <w:rPr>
          <w:rFonts w:ascii="Arial" w:hAnsi="Arial" w:cs="Arial"/>
        </w:rPr>
      </w:pPr>
      <w:r w:rsidRPr="008E36CF">
        <w:rPr>
          <w:rFonts w:ascii="Arial" w:hAnsi="Arial" w:cs="Arial"/>
        </w:rPr>
        <w:t>This case highlights a probable ciprofloxacin-associated pruritic erythematous cutaneous adverse drug reaction in a young adult, with rapid resolution following pheniramine maleate. Beyond the cutaneous manifestation, the case emphasizes the value of integrating clinical pharmacovigilance with antimicrobial susceptibility results, particularly when the isolated organism demonstrates resistance to the suspected antimicrobial. Accurate recognition of the eruption, structured causality assessment, prompt symptomatic management, and careful documentation of suspected drug reactions are essential to prevent avoidable re-exposure and improve antimicrobial safety.</w:t>
      </w:r>
    </w:p>
    <w:p w14:paraId="6CA004D9" w14:textId="77777777" w:rsidR="00315186" w:rsidRPr="00DF01B6" w:rsidRDefault="00315186" w:rsidP="00441B6F">
      <w:pPr>
        <w:rPr>
          <w:rFonts w:ascii="Arial" w:hAnsi="Arial" w:cs="Arial"/>
        </w:rPr>
      </w:pPr>
    </w:p>
    <w:p w14:paraId="1472F7E7" w14:textId="77777777" w:rsidR="004F0BC1" w:rsidRDefault="004F0BC1" w:rsidP="004F0BC1">
      <w:pPr>
        <w:rPr>
          <w:rFonts w:ascii="Times New Roman" w:hAnsi="Times New Roman"/>
          <w:b/>
        </w:rPr>
      </w:pPr>
      <w:r w:rsidRPr="000839CE">
        <w:rPr>
          <w:rFonts w:ascii="Times New Roman" w:hAnsi="Times New Roman"/>
          <w:b/>
        </w:rPr>
        <w:t>Declaration of AI Use</w:t>
      </w:r>
    </w:p>
    <w:p w14:paraId="199D0354" w14:textId="77777777" w:rsidR="004F0BC1" w:rsidRDefault="004F0BC1" w:rsidP="004F0BC1">
      <w:pPr>
        <w:rPr>
          <w:rFonts w:ascii="Times New Roman" w:hAnsi="Times New Roman"/>
          <w:b/>
        </w:rPr>
      </w:pPr>
    </w:p>
    <w:p w14:paraId="37958003" w14:textId="77777777" w:rsidR="004F0BC1" w:rsidRDefault="004F0BC1" w:rsidP="004F0BC1">
      <w:pPr>
        <w:rPr>
          <w:rFonts w:ascii="Times New Roman" w:hAnsi="Times New Roman"/>
          <w:b/>
        </w:rPr>
      </w:pPr>
    </w:p>
    <w:p w14:paraId="7D5CCC67" w14:textId="77777777" w:rsidR="004F0BC1" w:rsidRDefault="004F0BC1" w:rsidP="004F0BC1">
      <w:pPr>
        <w:rPr>
          <w:rFonts w:ascii="Times New Roman" w:hAnsi="Times New Roman"/>
          <w:b/>
        </w:rPr>
      </w:pPr>
    </w:p>
    <w:p w14:paraId="6C1A7909" w14:textId="77777777" w:rsidR="004F0BC1" w:rsidRPr="002D08AC" w:rsidRDefault="004F0BC1" w:rsidP="004F0BC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9DE1F5" w14:textId="77777777" w:rsidR="008E36CF" w:rsidRDefault="008E36CF" w:rsidP="00441B6F">
      <w:pPr>
        <w:pStyle w:val="ReferHead"/>
        <w:spacing w:after="0"/>
        <w:jc w:val="both"/>
        <w:rPr>
          <w:rFonts w:ascii="Arial" w:hAnsi="Arial" w:cs="Arial"/>
          <w:bCs/>
        </w:rPr>
      </w:pPr>
    </w:p>
    <w:p w14:paraId="51E6EFAB" w14:textId="70A16E9A" w:rsidR="00860000" w:rsidRPr="00DF01B6" w:rsidRDefault="00470177" w:rsidP="00441B6F">
      <w:pPr>
        <w:pStyle w:val="ReferHead"/>
        <w:spacing w:after="0"/>
        <w:jc w:val="both"/>
        <w:rPr>
          <w:rFonts w:ascii="Arial" w:hAnsi="Arial" w:cs="Arial"/>
          <w:bCs/>
        </w:rPr>
      </w:pPr>
      <w:r>
        <w:rPr>
          <w:rFonts w:ascii="Arial" w:hAnsi="Arial" w:cs="Arial"/>
          <w:bCs/>
        </w:rPr>
        <w:t xml:space="preserve">6. </w:t>
      </w:r>
      <w:r w:rsidR="00860000" w:rsidRPr="00DF01B6">
        <w:rPr>
          <w:rFonts w:ascii="Arial" w:hAnsi="Arial" w:cs="Arial"/>
          <w:bCs/>
        </w:rPr>
        <w:t>Competing interests</w:t>
      </w:r>
    </w:p>
    <w:p w14:paraId="23855042" w14:textId="77777777" w:rsidR="00860000" w:rsidRPr="00DF01B6" w:rsidRDefault="00860000" w:rsidP="00441B6F">
      <w:pPr>
        <w:pStyle w:val="ReferHead"/>
        <w:spacing w:after="0"/>
        <w:jc w:val="both"/>
        <w:rPr>
          <w:rFonts w:ascii="Arial" w:hAnsi="Arial" w:cs="Arial"/>
        </w:rPr>
      </w:pPr>
    </w:p>
    <w:p w14:paraId="50F3CB36" w14:textId="380C7877" w:rsidR="00371FB6" w:rsidRPr="00DF01B6" w:rsidRDefault="008E36CF" w:rsidP="00441B6F">
      <w:pPr>
        <w:pStyle w:val="ReferHead"/>
        <w:spacing w:after="0"/>
        <w:jc w:val="both"/>
        <w:rPr>
          <w:rFonts w:ascii="Arial" w:hAnsi="Arial" w:cs="Arial"/>
          <w:b w:val="0"/>
          <w:caps w:val="0"/>
          <w:sz w:val="20"/>
        </w:rPr>
      </w:pPr>
      <w:r w:rsidRPr="008E36CF">
        <w:rPr>
          <w:rFonts w:ascii="Arial" w:hAnsi="Arial" w:cs="Arial"/>
          <w:b w:val="0"/>
          <w:caps w:val="0"/>
          <w:sz w:val="20"/>
        </w:rPr>
        <w:t>Authors have declared that no competing interests exist.</w:t>
      </w:r>
    </w:p>
    <w:p w14:paraId="1A4DE0EF" w14:textId="77777777" w:rsidR="008E36CF" w:rsidRDefault="008E36CF" w:rsidP="00441B6F">
      <w:pPr>
        <w:pStyle w:val="ReferHead"/>
        <w:spacing w:after="0"/>
        <w:jc w:val="both"/>
        <w:rPr>
          <w:rFonts w:ascii="Arial" w:hAnsi="Arial" w:cs="Arial"/>
          <w:bCs/>
        </w:rPr>
      </w:pPr>
    </w:p>
    <w:p w14:paraId="2E512034" w14:textId="18EF4B9C" w:rsidR="002B685A" w:rsidRPr="00DF01B6" w:rsidRDefault="00470177" w:rsidP="00441B6F">
      <w:pPr>
        <w:pStyle w:val="ReferHead"/>
        <w:spacing w:after="0"/>
        <w:jc w:val="both"/>
        <w:rPr>
          <w:rFonts w:ascii="Arial" w:hAnsi="Arial" w:cs="Arial"/>
          <w:bCs/>
        </w:rPr>
      </w:pPr>
      <w:r>
        <w:rPr>
          <w:rFonts w:ascii="Arial" w:hAnsi="Arial" w:cs="Arial"/>
          <w:bCs/>
        </w:rPr>
        <w:t xml:space="preserve">8. </w:t>
      </w:r>
      <w:r w:rsidR="002B685A" w:rsidRPr="00DF01B6">
        <w:rPr>
          <w:rFonts w:ascii="Arial" w:hAnsi="Arial" w:cs="Arial"/>
          <w:bCs/>
        </w:rPr>
        <w:t xml:space="preserve">Consent </w:t>
      </w:r>
    </w:p>
    <w:p w14:paraId="794D3A3D" w14:textId="77777777" w:rsidR="002B685A" w:rsidRPr="00DF01B6" w:rsidRDefault="002B685A" w:rsidP="00441B6F">
      <w:pPr>
        <w:pStyle w:val="ReferHead"/>
        <w:spacing w:after="0"/>
        <w:jc w:val="both"/>
        <w:rPr>
          <w:rFonts w:ascii="Arial" w:hAnsi="Arial" w:cs="Arial"/>
          <w:bCs/>
        </w:rPr>
      </w:pPr>
    </w:p>
    <w:p w14:paraId="66DC7359" w14:textId="4D0803C4" w:rsidR="001A29D8" w:rsidRPr="00DF01B6" w:rsidRDefault="008E36CF" w:rsidP="00441B6F">
      <w:pPr>
        <w:pStyle w:val="ReferHead"/>
        <w:spacing w:after="0"/>
        <w:jc w:val="both"/>
        <w:rPr>
          <w:rFonts w:ascii="Arial" w:hAnsi="Arial" w:cs="Arial"/>
          <w:b w:val="0"/>
          <w:caps w:val="0"/>
          <w:sz w:val="20"/>
        </w:rPr>
      </w:pPr>
      <w:r w:rsidRPr="008E36CF">
        <w:rPr>
          <w:rFonts w:ascii="Arial" w:hAnsi="Arial" w:cs="Arial"/>
          <w:b w:val="0"/>
          <w:caps w:val="0"/>
          <w:sz w:val="20"/>
        </w:rPr>
        <w:t>Written informed consent was obtained from the patient for publication of this case report and accompanying images.</w:t>
      </w:r>
    </w:p>
    <w:p w14:paraId="3241FB25" w14:textId="77777777" w:rsidR="005C784C" w:rsidRPr="00DF01B6" w:rsidRDefault="005C784C" w:rsidP="00441B6F">
      <w:pPr>
        <w:pStyle w:val="ReferHead"/>
        <w:spacing w:after="0"/>
        <w:jc w:val="both"/>
        <w:rPr>
          <w:rFonts w:ascii="Arial" w:hAnsi="Arial" w:cs="Arial"/>
          <w:b w:val="0"/>
          <w:caps w:val="0"/>
          <w:sz w:val="20"/>
        </w:rPr>
      </w:pPr>
    </w:p>
    <w:p w14:paraId="284C7DCE" w14:textId="79E43362" w:rsidR="005C784C" w:rsidRPr="00DF01B6" w:rsidRDefault="00470177" w:rsidP="00441B6F">
      <w:pPr>
        <w:pStyle w:val="ReferHead"/>
        <w:spacing w:after="0"/>
        <w:jc w:val="both"/>
        <w:rPr>
          <w:rFonts w:ascii="Arial" w:hAnsi="Arial" w:cs="Arial"/>
          <w:bCs/>
        </w:rPr>
      </w:pPr>
      <w:r>
        <w:rPr>
          <w:rFonts w:ascii="Arial" w:hAnsi="Arial" w:cs="Arial"/>
          <w:bCs/>
        </w:rPr>
        <w:t xml:space="preserve">9. </w:t>
      </w:r>
      <w:r w:rsidR="005C784C" w:rsidRPr="00DF01B6">
        <w:rPr>
          <w:rFonts w:ascii="Arial" w:hAnsi="Arial" w:cs="Arial"/>
          <w:bCs/>
        </w:rPr>
        <w:t>Ethical approval</w:t>
      </w:r>
    </w:p>
    <w:p w14:paraId="198306A1" w14:textId="77777777" w:rsidR="005C784C" w:rsidRPr="00DF01B6" w:rsidRDefault="005C784C" w:rsidP="00441B6F">
      <w:pPr>
        <w:pStyle w:val="ReferHead"/>
        <w:spacing w:after="0"/>
        <w:jc w:val="both"/>
        <w:rPr>
          <w:rFonts w:ascii="Arial" w:hAnsi="Arial" w:cs="Arial"/>
          <w:bCs/>
        </w:rPr>
      </w:pPr>
    </w:p>
    <w:p w14:paraId="04245164" w14:textId="58AABCA0" w:rsidR="00860000" w:rsidRPr="008E36CF" w:rsidRDefault="008E36CF" w:rsidP="00441B6F">
      <w:pPr>
        <w:pStyle w:val="ReferHead"/>
        <w:spacing w:after="0"/>
        <w:jc w:val="both"/>
        <w:rPr>
          <w:rFonts w:ascii="Arial" w:hAnsi="Arial" w:cs="Arial"/>
          <w:b w:val="0"/>
          <w:bCs/>
          <w:sz w:val="20"/>
          <w:szCs w:val="18"/>
        </w:rPr>
      </w:pPr>
      <w:r w:rsidRPr="008E36CF">
        <w:rPr>
          <w:rFonts w:ascii="Arial" w:hAnsi="Arial" w:cs="Arial"/>
          <w:b w:val="0"/>
          <w:bCs/>
          <w:caps w:val="0"/>
          <w:sz w:val="20"/>
          <w:szCs w:val="18"/>
        </w:rPr>
        <w:t>It Is Not Applicable</w:t>
      </w:r>
    </w:p>
    <w:p w14:paraId="525AB2D6" w14:textId="77777777" w:rsidR="008E36CF" w:rsidRPr="00DF01B6" w:rsidRDefault="008E36CF" w:rsidP="00441B6F">
      <w:pPr>
        <w:pStyle w:val="ReferHead"/>
        <w:spacing w:after="0"/>
        <w:jc w:val="both"/>
        <w:rPr>
          <w:rFonts w:ascii="Arial" w:hAnsi="Arial" w:cs="Arial"/>
        </w:rPr>
      </w:pPr>
    </w:p>
    <w:p w14:paraId="00532653" w14:textId="4BDB74EC" w:rsidR="00B01FCD" w:rsidRDefault="00470177" w:rsidP="00441B6F">
      <w:pPr>
        <w:pStyle w:val="ReferHead"/>
        <w:spacing w:after="0"/>
        <w:jc w:val="both"/>
        <w:rPr>
          <w:rFonts w:ascii="Arial" w:hAnsi="Arial" w:cs="Arial"/>
        </w:rPr>
      </w:pPr>
      <w:r>
        <w:rPr>
          <w:rFonts w:ascii="Arial" w:hAnsi="Arial" w:cs="Arial"/>
        </w:rPr>
        <w:t xml:space="preserve">10. </w:t>
      </w:r>
      <w:r w:rsidR="00B01FCD" w:rsidRPr="00DF01B6">
        <w:rPr>
          <w:rFonts w:ascii="Arial" w:hAnsi="Arial" w:cs="Arial"/>
        </w:rPr>
        <w:t>References</w:t>
      </w:r>
    </w:p>
    <w:p w14:paraId="6C187008" w14:textId="77777777" w:rsidR="00520628" w:rsidRDefault="00520628" w:rsidP="00441B6F">
      <w:pPr>
        <w:pStyle w:val="ReferHead"/>
        <w:spacing w:after="0"/>
        <w:jc w:val="both"/>
        <w:rPr>
          <w:rFonts w:ascii="Arial" w:hAnsi="Arial" w:cs="Arial"/>
        </w:rPr>
      </w:pPr>
    </w:p>
    <w:sdt>
      <w:sdtPr>
        <w:rPr>
          <w:rFonts w:ascii="Arial" w:hAnsi="Arial" w:cs="Arial"/>
          <w:b/>
          <w:bCs/>
          <w:caps/>
          <w:color w:val="000000"/>
          <w:sz w:val="22"/>
          <w:szCs w:val="18"/>
        </w:rPr>
        <w:tag w:val="MENDELEY_BIBLIOGRAPHY"/>
        <w:id w:val="1937088436"/>
        <w:placeholder>
          <w:docPart w:val="DefaultPlaceholder_-1854013440"/>
        </w:placeholder>
      </w:sdtPr>
      <w:sdtContent>
        <w:p w14:paraId="7FE85D77" w14:textId="77777777" w:rsidR="00520628" w:rsidRDefault="00520628" w:rsidP="00520628">
          <w:pPr>
            <w:autoSpaceDE w:val="0"/>
            <w:autoSpaceDN w:val="0"/>
            <w:ind w:hanging="480"/>
            <w:jc w:val="both"/>
            <w:divId w:val="977538305"/>
            <w:rPr>
              <w:rFonts w:ascii="Arial" w:hAnsi="Arial" w:cs="Arial"/>
              <w:bCs/>
              <w:color w:val="000000"/>
              <w:szCs w:val="18"/>
            </w:rPr>
          </w:pPr>
        </w:p>
        <w:p w14:paraId="77A57184" w14:textId="3BC14106" w:rsidR="00520628" w:rsidRPr="00520628" w:rsidRDefault="00520628" w:rsidP="00520628">
          <w:pPr>
            <w:autoSpaceDE w:val="0"/>
            <w:autoSpaceDN w:val="0"/>
            <w:ind w:hanging="480"/>
            <w:jc w:val="both"/>
            <w:divId w:val="977538305"/>
            <w:rPr>
              <w:rFonts w:ascii="Arial" w:hAnsi="Arial" w:cs="Arial"/>
              <w:bCs/>
              <w:color w:val="000000"/>
              <w:szCs w:val="22"/>
            </w:rPr>
          </w:pPr>
          <w:r w:rsidRPr="00520628">
            <w:rPr>
              <w:rFonts w:ascii="Arial" w:hAnsi="Arial" w:cs="Arial"/>
              <w:bCs/>
              <w:color w:val="000000"/>
              <w:szCs w:val="18"/>
            </w:rPr>
            <w:t xml:space="preserve">Baggio, D., &amp; Ananda-Rajah, M. R. (2021). Fluoroquinolone antibiotics and adverse events. </w:t>
          </w:r>
          <w:r w:rsidRPr="00520628">
            <w:rPr>
              <w:rFonts w:ascii="Arial" w:hAnsi="Arial" w:cs="Arial"/>
              <w:bCs/>
              <w:i/>
              <w:iCs/>
              <w:color w:val="000000"/>
              <w:szCs w:val="18"/>
            </w:rPr>
            <w:t>Australian Prescriber</w:t>
          </w:r>
          <w:r w:rsidRPr="00520628">
            <w:rPr>
              <w:rFonts w:ascii="Arial" w:hAnsi="Arial" w:cs="Arial"/>
              <w:bCs/>
              <w:color w:val="000000"/>
              <w:szCs w:val="18"/>
            </w:rPr>
            <w:t xml:space="preserve">, </w:t>
          </w:r>
          <w:r w:rsidRPr="00520628">
            <w:rPr>
              <w:rFonts w:ascii="Arial" w:hAnsi="Arial" w:cs="Arial"/>
              <w:bCs/>
              <w:i/>
              <w:iCs/>
              <w:color w:val="000000"/>
              <w:szCs w:val="18"/>
            </w:rPr>
            <w:t>44</w:t>
          </w:r>
          <w:r w:rsidRPr="00520628">
            <w:rPr>
              <w:rFonts w:ascii="Arial" w:hAnsi="Arial" w:cs="Arial"/>
              <w:bCs/>
              <w:color w:val="000000"/>
              <w:szCs w:val="18"/>
            </w:rPr>
            <w:t>(5), 161–164. https://doi.org/10.18773/austprescr.2021.035</w:t>
          </w:r>
        </w:p>
        <w:p w14:paraId="2100D78E" w14:textId="77777777" w:rsidR="00520628" w:rsidRPr="00520628" w:rsidRDefault="00520628" w:rsidP="00520628">
          <w:pPr>
            <w:autoSpaceDE w:val="0"/>
            <w:autoSpaceDN w:val="0"/>
            <w:ind w:hanging="480"/>
            <w:jc w:val="both"/>
            <w:divId w:val="1503929552"/>
            <w:rPr>
              <w:rFonts w:ascii="Arial" w:hAnsi="Arial" w:cs="Arial"/>
              <w:bCs/>
              <w:color w:val="000000"/>
              <w:szCs w:val="18"/>
            </w:rPr>
          </w:pPr>
          <w:r w:rsidRPr="00520628">
            <w:rPr>
              <w:rFonts w:ascii="Arial" w:hAnsi="Arial" w:cs="Arial"/>
              <w:bCs/>
              <w:color w:val="000000"/>
              <w:szCs w:val="18"/>
            </w:rPr>
            <w:t xml:space="preserve">Blanca-López, N., Andreu, I., &amp; Torres Jaén, M. J. (2011). Hypersensitivity reactions to quinolones. </w:t>
          </w:r>
          <w:r w:rsidRPr="00520628">
            <w:rPr>
              <w:rFonts w:ascii="Arial" w:hAnsi="Arial" w:cs="Arial"/>
              <w:bCs/>
              <w:i/>
              <w:iCs/>
              <w:color w:val="000000"/>
              <w:szCs w:val="18"/>
            </w:rPr>
            <w:t>Current Opinion in Allergy and Clinical Immunology</w:t>
          </w:r>
          <w:r w:rsidRPr="00520628">
            <w:rPr>
              <w:rFonts w:ascii="Arial" w:hAnsi="Arial" w:cs="Arial"/>
              <w:bCs/>
              <w:color w:val="000000"/>
              <w:szCs w:val="18"/>
            </w:rPr>
            <w:t xml:space="preserve">, </w:t>
          </w:r>
          <w:r w:rsidRPr="00520628">
            <w:rPr>
              <w:rFonts w:ascii="Arial" w:hAnsi="Arial" w:cs="Arial"/>
              <w:bCs/>
              <w:i/>
              <w:iCs/>
              <w:color w:val="000000"/>
              <w:szCs w:val="18"/>
            </w:rPr>
            <w:t>11</w:t>
          </w:r>
          <w:r w:rsidRPr="00520628">
            <w:rPr>
              <w:rFonts w:ascii="Arial" w:hAnsi="Arial" w:cs="Arial"/>
              <w:bCs/>
              <w:color w:val="000000"/>
              <w:szCs w:val="18"/>
            </w:rPr>
            <w:t>(4), 285–291. https://doi.org/10.1097/ACI.0b013e3283489bc3</w:t>
          </w:r>
        </w:p>
        <w:p w14:paraId="385A2D24" w14:textId="77777777" w:rsidR="00520628" w:rsidRPr="00520628" w:rsidRDefault="00520628" w:rsidP="00520628">
          <w:pPr>
            <w:autoSpaceDE w:val="0"/>
            <w:autoSpaceDN w:val="0"/>
            <w:ind w:hanging="480"/>
            <w:jc w:val="both"/>
            <w:divId w:val="1552426722"/>
            <w:rPr>
              <w:rFonts w:ascii="Arial" w:hAnsi="Arial" w:cs="Arial"/>
              <w:bCs/>
              <w:color w:val="000000"/>
              <w:szCs w:val="18"/>
            </w:rPr>
          </w:pPr>
          <w:r w:rsidRPr="00520628">
            <w:rPr>
              <w:rFonts w:ascii="Arial" w:hAnsi="Arial" w:cs="Arial"/>
              <w:bCs/>
              <w:color w:val="000000"/>
              <w:szCs w:val="18"/>
            </w:rPr>
            <w:t xml:space="preserve">Collins, J. A., Oviatt, A. A., Chan, P. F., &amp; Osheroff, N. (2024). Target-Mediated Fluoroquinolone Resistance in Neisseria gonorrhoeae: Actions of Ciprofloxacin against Gyrase and Topoisomerase IV. </w:t>
          </w:r>
          <w:r w:rsidRPr="00520628">
            <w:rPr>
              <w:rFonts w:ascii="Arial" w:hAnsi="Arial" w:cs="Arial"/>
              <w:bCs/>
              <w:i/>
              <w:iCs/>
              <w:color w:val="000000"/>
              <w:szCs w:val="18"/>
            </w:rPr>
            <w:t>ACS Infectious Diseases</w:t>
          </w:r>
          <w:r w:rsidRPr="00520628">
            <w:rPr>
              <w:rFonts w:ascii="Arial" w:hAnsi="Arial" w:cs="Arial"/>
              <w:bCs/>
              <w:color w:val="000000"/>
              <w:szCs w:val="18"/>
            </w:rPr>
            <w:t xml:space="preserve">, </w:t>
          </w:r>
          <w:r w:rsidRPr="00520628">
            <w:rPr>
              <w:rFonts w:ascii="Arial" w:hAnsi="Arial" w:cs="Arial"/>
              <w:bCs/>
              <w:i/>
              <w:iCs/>
              <w:color w:val="000000"/>
              <w:szCs w:val="18"/>
            </w:rPr>
            <w:t>10</w:t>
          </w:r>
          <w:r w:rsidRPr="00520628">
            <w:rPr>
              <w:rFonts w:ascii="Arial" w:hAnsi="Arial" w:cs="Arial"/>
              <w:bCs/>
              <w:color w:val="000000"/>
              <w:szCs w:val="18"/>
            </w:rPr>
            <w:t>(4), 1351–1360. https://doi.org/10.1021/acsinfecdis.4c00041</w:t>
          </w:r>
        </w:p>
        <w:p w14:paraId="76828DA6" w14:textId="77777777" w:rsidR="00520628" w:rsidRPr="00520628" w:rsidRDefault="00520628" w:rsidP="00520628">
          <w:pPr>
            <w:autoSpaceDE w:val="0"/>
            <w:autoSpaceDN w:val="0"/>
            <w:ind w:hanging="480"/>
            <w:jc w:val="both"/>
            <w:divId w:val="850609387"/>
            <w:rPr>
              <w:rFonts w:ascii="Arial" w:hAnsi="Arial" w:cs="Arial"/>
              <w:bCs/>
              <w:color w:val="000000"/>
              <w:szCs w:val="18"/>
            </w:rPr>
          </w:pPr>
          <w:r w:rsidRPr="00520628">
            <w:rPr>
              <w:rFonts w:ascii="Arial" w:hAnsi="Arial" w:cs="Arial"/>
              <w:bCs/>
              <w:color w:val="000000"/>
              <w:szCs w:val="18"/>
            </w:rPr>
            <w:t xml:space="preserve">Dhar, S., &amp; Sharma, V. K. (1996). Fixed drug eruption due to ciprofloxacin. </w:t>
          </w:r>
          <w:r w:rsidRPr="00520628">
            <w:rPr>
              <w:rFonts w:ascii="Arial" w:hAnsi="Arial" w:cs="Arial"/>
              <w:bCs/>
              <w:i/>
              <w:iCs/>
              <w:color w:val="000000"/>
              <w:szCs w:val="18"/>
            </w:rPr>
            <w:t>The British Journal of Dermatology</w:t>
          </w:r>
          <w:r w:rsidRPr="00520628">
            <w:rPr>
              <w:rFonts w:ascii="Arial" w:hAnsi="Arial" w:cs="Arial"/>
              <w:bCs/>
              <w:color w:val="000000"/>
              <w:szCs w:val="18"/>
            </w:rPr>
            <w:t xml:space="preserve">, </w:t>
          </w:r>
          <w:r w:rsidRPr="00520628">
            <w:rPr>
              <w:rFonts w:ascii="Arial" w:hAnsi="Arial" w:cs="Arial"/>
              <w:bCs/>
              <w:i/>
              <w:iCs/>
              <w:color w:val="000000"/>
              <w:szCs w:val="18"/>
            </w:rPr>
            <w:t>134</w:t>
          </w:r>
          <w:r w:rsidRPr="00520628">
            <w:rPr>
              <w:rFonts w:ascii="Arial" w:hAnsi="Arial" w:cs="Arial"/>
              <w:bCs/>
              <w:color w:val="000000"/>
              <w:szCs w:val="18"/>
            </w:rPr>
            <w:t>(1), 156–158.</w:t>
          </w:r>
        </w:p>
        <w:p w14:paraId="098115C4" w14:textId="77777777" w:rsidR="00520628" w:rsidRPr="00520628" w:rsidRDefault="00520628" w:rsidP="00520628">
          <w:pPr>
            <w:autoSpaceDE w:val="0"/>
            <w:autoSpaceDN w:val="0"/>
            <w:ind w:hanging="480"/>
            <w:jc w:val="both"/>
            <w:divId w:val="508251831"/>
            <w:rPr>
              <w:rFonts w:ascii="Arial" w:hAnsi="Arial" w:cs="Arial"/>
              <w:bCs/>
              <w:color w:val="000000"/>
              <w:szCs w:val="18"/>
            </w:rPr>
          </w:pPr>
          <w:r w:rsidRPr="00520628">
            <w:rPr>
              <w:rFonts w:ascii="Arial" w:hAnsi="Arial" w:cs="Arial"/>
              <w:bCs/>
              <w:color w:val="000000"/>
              <w:szCs w:val="18"/>
            </w:rPr>
            <w:t xml:space="preserve">Fukuda, D., Powell, D., </w:t>
          </w:r>
          <w:proofErr w:type="spellStart"/>
          <w:r w:rsidRPr="00520628">
            <w:rPr>
              <w:rFonts w:ascii="Arial" w:hAnsi="Arial" w:cs="Arial"/>
              <w:bCs/>
              <w:color w:val="000000"/>
              <w:szCs w:val="18"/>
            </w:rPr>
            <w:t>Mulgirigama</w:t>
          </w:r>
          <w:proofErr w:type="spellEnd"/>
          <w:r w:rsidRPr="00520628">
            <w:rPr>
              <w:rFonts w:ascii="Arial" w:hAnsi="Arial" w:cs="Arial"/>
              <w:bCs/>
              <w:color w:val="000000"/>
              <w:szCs w:val="18"/>
            </w:rPr>
            <w:t xml:space="preserve">, A., Vojtek, I., Ozeki, H., Yoshimoto, D., Iida, H., </w:t>
          </w:r>
          <w:proofErr w:type="spellStart"/>
          <w:r w:rsidRPr="00520628">
            <w:rPr>
              <w:rFonts w:ascii="Arial" w:hAnsi="Arial" w:cs="Arial"/>
              <w:bCs/>
              <w:color w:val="000000"/>
              <w:szCs w:val="18"/>
            </w:rPr>
            <w:t>Johira</w:t>
          </w:r>
          <w:proofErr w:type="spellEnd"/>
          <w:r w:rsidRPr="00520628">
            <w:rPr>
              <w:rFonts w:ascii="Arial" w:hAnsi="Arial" w:cs="Arial"/>
              <w:bCs/>
              <w:color w:val="000000"/>
              <w:szCs w:val="18"/>
            </w:rPr>
            <w:t xml:space="preserve">, N., Kayama, Y., </w:t>
          </w:r>
          <w:proofErr w:type="spellStart"/>
          <w:r w:rsidRPr="00520628">
            <w:rPr>
              <w:rFonts w:ascii="Arial" w:hAnsi="Arial" w:cs="Arial"/>
              <w:bCs/>
              <w:color w:val="000000"/>
              <w:szCs w:val="18"/>
            </w:rPr>
            <w:t>Kawamatsu</w:t>
          </w:r>
          <w:proofErr w:type="spellEnd"/>
          <w:r w:rsidRPr="00520628">
            <w:rPr>
              <w:rFonts w:ascii="Arial" w:hAnsi="Arial" w:cs="Arial"/>
              <w:bCs/>
              <w:color w:val="000000"/>
              <w:szCs w:val="18"/>
            </w:rPr>
            <w:t xml:space="preserve">, S., &amp; Suzuki, S. (2026). Bacterial DNA topoisomerase IV and DNA gyrase inhibitors: history of the quinolones, their clinical usage and potential alternatives for the future. In </w:t>
          </w:r>
          <w:r w:rsidRPr="00520628">
            <w:rPr>
              <w:rFonts w:ascii="Arial" w:hAnsi="Arial" w:cs="Arial"/>
              <w:bCs/>
              <w:i/>
              <w:iCs/>
              <w:color w:val="000000"/>
              <w:szCs w:val="18"/>
            </w:rPr>
            <w:t>Journal of Antimicrobial Chemotherapy</w:t>
          </w:r>
          <w:r w:rsidRPr="00520628">
            <w:rPr>
              <w:rFonts w:ascii="Arial" w:hAnsi="Arial" w:cs="Arial"/>
              <w:bCs/>
              <w:color w:val="000000"/>
              <w:szCs w:val="18"/>
            </w:rPr>
            <w:t xml:space="preserve"> (Vol. 81, Number 3). Oxford University Press. https://doi.org/10.1093/jac/dkag054</w:t>
          </w:r>
        </w:p>
        <w:p w14:paraId="382CA871" w14:textId="77777777" w:rsidR="00520628" w:rsidRPr="00520628" w:rsidRDefault="00520628" w:rsidP="00520628">
          <w:pPr>
            <w:autoSpaceDE w:val="0"/>
            <w:autoSpaceDN w:val="0"/>
            <w:ind w:hanging="480"/>
            <w:jc w:val="both"/>
            <w:divId w:val="2108966353"/>
            <w:rPr>
              <w:rFonts w:ascii="Arial" w:hAnsi="Arial" w:cs="Arial"/>
              <w:bCs/>
              <w:color w:val="000000"/>
              <w:szCs w:val="18"/>
            </w:rPr>
          </w:pPr>
          <w:r w:rsidRPr="00520628">
            <w:rPr>
              <w:rFonts w:ascii="Arial" w:hAnsi="Arial" w:cs="Arial"/>
              <w:bCs/>
              <w:color w:val="000000"/>
              <w:szCs w:val="18"/>
            </w:rPr>
            <w:t xml:space="preserve">Hausermann, P., Scherer, K., Weber, M., &amp; Bircher, A. J. (2005). Ciprofloxacin-induced acute generalized </w:t>
          </w:r>
          <w:proofErr w:type="spellStart"/>
          <w:r w:rsidRPr="00520628">
            <w:rPr>
              <w:rFonts w:ascii="Arial" w:hAnsi="Arial" w:cs="Arial"/>
              <w:bCs/>
              <w:color w:val="000000"/>
              <w:szCs w:val="18"/>
            </w:rPr>
            <w:t>exanthematous</w:t>
          </w:r>
          <w:proofErr w:type="spellEnd"/>
          <w:r w:rsidRPr="00520628">
            <w:rPr>
              <w:rFonts w:ascii="Arial" w:hAnsi="Arial" w:cs="Arial"/>
              <w:bCs/>
              <w:color w:val="000000"/>
              <w:szCs w:val="18"/>
            </w:rPr>
            <w:t xml:space="preserve"> pustulosis mimicking bullous drug eruption confirmed by a positive patch test. </w:t>
          </w:r>
          <w:r w:rsidRPr="00520628">
            <w:rPr>
              <w:rFonts w:ascii="Arial" w:hAnsi="Arial" w:cs="Arial"/>
              <w:bCs/>
              <w:i/>
              <w:iCs/>
              <w:color w:val="000000"/>
              <w:szCs w:val="18"/>
            </w:rPr>
            <w:t>Dermatology (Basel, Switzerland)</w:t>
          </w:r>
          <w:r w:rsidRPr="00520628">
            <w:rPr>
              <w:rFonts w:ascii="Arial" w:hAnsi="Arial" w:cs="Arial"/>
              <w:bCs/>
              <w:color w:val="000000"/>
              <w:szCs w:val="18"/>
            </w:rPr>
            <w:t xml:space="preserve">, </w:t>
          </w:r>
          <w:r w:rsidRPr="00520628">
            <w:rPr>
              <w:rFonts w:ascii="Arial" w:hAnsi="Arial" w:cs="Arial"/>
              <w:bCs/>
              <w:i/>
              <w:iCs/>
              <w:color w:val="000000"/>
              <w:szCs w:val="18"/>
            </w:rPr>
            <w:t>211</w:t>
          </w:r>
          <w:r w:rsidRPr="00520628">
            <w:rPr>
              <w:rFonts w:ascii="Arial" w:hAnsi="Arial" w:cs="Arial"/>
              <w:bCs/>
              <w:color w:val="000000"/>
              <w:szCs w:val="18"/>
            </w:rPr>
            <w:t>(3), 277–280. https://doi.org/10.1159/000087024</w:t>
          </w:r>
        </w:p>
        <w:p w14:paraId="2446BF49" w14:textId="77777777" w:rsidR="00520628" w:rsidRPr="00520628" w:rsidRDefault="00520628" w:rsidP="00520628">
          <w:pPr>
            <w:autoSpaceDE w:val="0"/>
            <w:autoSpaceDN w:val="0"/>
            <w:ind w:hanging="480"/>
            <w:jc w:val="both"/>
            <w:divId w:val="112796942"/>
            <w:rPr>
              <w:rFonts w:ascii="Arial" w:hAnsi="Arial" w:cs="Arial"/>
              <w:bCs/>
              <w:color w:val="000000"/>
              <w:szCs w:val="18"/>
            </w:rPr>
          </w:pPr>
          <w:r w:rsidRPr="00520628">
            <w:rPr>
              <w:rFonts w:ascii="Arial" w:hAnsi="Arial" w:cs="Arial"/>
              <w:bCs/>
              <w:color w:val="000000"/>
              <w:szCs w:val="18"/>
            </w:rPr>
            <w:t xml:space="preserve">Hooper, D. C., &amp; Jacoby, G. A. (2016). Topoisomerase inhibitors: Fluoroquinolone mechanisms of action and resistance. </w:t>
          </w:r>
          <w:r w:rsidRPr="00520628">
            <w:rPr>
              <w:rFonts w:ascii="Arial" w:hAnsi="Arial" w:cs="Arial"/>
              <w:bCs/>
              <w:i/>
              <w:iCs/>
              <w:color w:val="000000"/>
              <w:szCs w:val="18"/>
            </w:rPr>
            <w:t>Cold Spring Harbor Perspectives in Medicine</w:t>
          </w:r>
          <w:r w:rsidRPr="00520628">
            <w:rPr>
              <w:rFonts w:ascii="Arial" w:hAnsi="Arial" w:cs="Arial"/>
              <w:bCs/>
              <w:color w:val="000000"/>
              <w:szCs w:val="18"/>
            </w:rPr>
            <w:t xml:space="preserve">, </w:t>
          </w:r>
          <w:r w:rsidRPr="00520628">
            <w:rPr>
              <w:rFonts w:ascii="Arial" w:hAnsi="Arial" w:cs="Arial"/>
              <w:bCs/>
              <w:i/>
              <w:iCs/>
              <w:color w:val="000000"/>
              <w:szCs w:val="18"/>
            </w:rPr>
            <w:t>6</w:t>
          </w:r>
          <w:r w:rsidRPr="00520628">
            <w:rPr>
              <w:rFonts w:ascii="Arial" w:hAnsi="Arial" w:cs="Arial"/>
              <w:bCs/>
              <w:color w:val="000000"/>
              <w:szCs w:val="18"/>
            </w:rPr>
            <w:t>(9). https://doi.org/10.1101/cshperspect.a025320</w:t>
          </w:r>
        </w:p>
        <w:p w14:paraId="49250AE4" w14:textId="77777777" w:rsidR="00520628" w:rsidRPr="00520628" w:rsidRDefault="00520628" w:rsidP="00520628">
          <w:pPr>
            <w:autoSpaceDE w:val="0"/>
            <w:autoSpaceDN w:val="0"/>
            <w:ind w:hanging="480"/>
            <w:jc w:val="both"/>
            <w:divId w:val="658844087"/>
            <w:rPr>
              <w:rFonts w:ascii="Arial" w:hAnsi="Arial" w:cs="Arial"/>
              <w:bCs/>
              <w:color w:val="000000"/>
              <w:szCs w:val="18"/>
            </w:rPr>
          </w:pPr>
          <w:r w:rsidRPr="00520628">
            <w:rPr>
              <w:rFonts w:ascii="Arial" w:hAnsi="Arial" w:cs="Arial"/>
              <w:bCs/>
              <w:color w:val="000000"/>
              <w:szCs w:val="18"/>
            </w:rPr>
            <w:t xml:space="preserve">Iliyas, M., Ram Subba Reddy, M., &amp; Devi, U. (2018). Ciprofloxacin-induced </w:t>
          </w:r>
          <w:proofErr w:type="spellStart"/>
          <w:r w:rsidRPr="00520628">
            <w:rPr>
              <w:rFonts w:ascii="Arial" w:hAnsi="Arial" w:cs="Arial"/>
              <w:bCs/>
              <w:color w:val="000000"/>
              <w:szCs w:val="18"/>
            </w:rPr>
            <w:t>generalised</w:t>
          </w:r>
          <w:proofErr w:type="spellEnd"/>
          <w:r w:rsidRPr="00520628">
            <w:rPr>
              <w:rFonts w:ascii="Arial" w:hAnsi="Arial" w:cs="Arial"/>
              <w:bCs/>
              <w:color w:val="000000"/>
              <w:szCs w:val="18"/>
            </w:rPr>
            <w:t xml:space="preserve"> non-bullous fixed drug eruption. </w:t>
          </w:r>
          <w:r w:rsidRPr="00520628">
            <w:rPr>
              <w:rFonts w:ascii="Arial" w:hAnsi="Arial" w:cs="Arial"/>
              <w:bCs/>
              <w:i/>
              <w:iCs/>
              <w:color w:val="000000"/>
              <w:szCs w:val="18"/>
            </w:rPr>
            <w:t>BMJ Case Reports</w:t>
          </w:r>
          <w:r w:rsidRPr="00520628">
            <w:rPr>
              <w:rFonts w:ascii="Arial" w:hAnsi="Arial" w:cs="Arial"/>
              <w:bCs/>
              <w:color w:val="000000"/>
              <w:szCs w:val="18"/>
            </w:rPr>
            <w:t xml:space="preserve">, </w:t>
          </w:r>
          <w:r w:rsidRPr="00520628">
            <w:rPr>
              <w:rFonts w:ascii="Arial" w:hAnsi="Arial" w:cs="Arial"/>
              <w:bCs/>
              <w:i/>
              <w:iCs/>
              <w:color w:val="000000"/>
              <w:szCs w:val="18"/>
            </w:rPr>
            <w:t>2018</w:t>
          </w:r>
          <w:r w:rsidRPr="00520628">
            <w:rPr>
              <w:rFonts w:ascii="Arial" w:hAnsi="Arial" w:cs="Arial"/>
              <w:bCs/>
              <w:color w:val="000000"/>
              <w:szCs w:val="18"/>
            </w:rPr>
            <w:t>. https://doi.org/10.1136/bcr-2018-224858</w:t>
          </w:r>
        </w:p>
        <w:p w14:paraId="2D1FAF96" w14:textId="77777777" w:rsidR="00520628" w:rsidRPr="00520628" w:rsidRDefault="00520628" w:rsidP="00520628">
          <w:pPr>
            <w:autoSpaceDE w:val="0"/>
            <w:autoSpaceDN w:val="0"/>
            <w:ind w:hanging="480"/>
            <w:jc w:val="both"/>
            <w:divId w:val="576286413"/>
            <w:rPr>
              <w:rFonts w:ascii="Arial" w:hAnsi="Arial" w:cs="Arial"/>
              <w:bCs/>
              <w:color w:val="000000"/>
              <w:szCs w:val="18"/>
            </w:rPr>
          </w:pPr>
          <w:r w:rsidRPr="00520628">
            <w:rPr>
              <w:rFonts w:ascii="Arial" w:hAnsi="Arial" w:cs="Arial"/>
              <w:bCs/>
              <w:color w:val="000000"/>
              <w:szCs w:val="18"/>
            </w:rPr>
            <w:t xml:space="preserve">Jain, S. P., &amp; Jain, P. A. (2013). Bullous fixed drug eruption to ciprofloxacin: a case report. </w:t>
          </w:r>
          <w:r w:rsidRPr="00520628">
            <w:rPr>
              <w:rFonts w:ascii="Arial" w:hAnsi="Arial" w:cs="Arial"/>
              <w:bCs/>
              <w:i/>
              <w:iCs/>
              <w:color w:val="000000"/>
              <w:szCs w:val="18"/>
            </w:rPr>
            <w:t xml:space="preserve">Journal of Clinical and Diagnostic </w:t>
          </w:r>
          <w:proofErr w:type="gramStart"/>
          <w:r w:rsidRPr="00520628">
            <w:rPr>
              <w:rFonts w:ascii="Arial" w:hAnsi="Arial" w:cs="Arial"/>
              <w:bCs/>
              <w:i/>
              <w:iCs/>
              <w:color w:val="000000"/>
              <w:szCs w:val="18"/>
            </w:rPr>
            <w:t>Research :</w:t>
          </w:r>
          <w:proofErr w:type="gramEnd"/>
          <w:r w:rsidRPr="00520628">
            <w:rPr>
              <w:rFonts w:ascii="Arial" w:hAnsi="Arial" w:cs="Arial"/>
              <w:bCs/>
              <w:i/>
              <w:iCs/>
              <w:color w:val="000000"/>
              <w:szCs w:val="18"/>
            </w:rPr>
            <w:t xml:space="preserve"> JCDR</w:t>
          </w:r>
          <w:r w:rsidRPr="00520628">
            <w:rPr>
              <w:rFonts w:ascii="Arial" w:hAnsi="Arial" w:cs="Arial"/>
              <w:bCs/>
              <w:color w:val="000000"/>
              <w:szCs w:val="18"/>
            </w:rPr>
            <w:t xml:space="preserve">, </w:t>
          </w:r>
          <w:r w:rsidRPr="00520628">
            <w:rPr>
              <w:rFonts w:ascii="Arial" w:hAnsi="Arial" w:cs="Arial"/>
              <w:bCs/>
              <w:i/>
              <w:iCs/>
              <w:color w:val="000000"/>
              <w:szCs w:val="18"/>
            </w:rPr>
            <w:t>7</w:t>
          </w:r>
          <w:r w:rsidRPr="00520628">
            <w:rPr>
              <w:rFonts w:ascii="Arial" w:hAnsi="Arial" w:cs="Arial"/>
              <w:bCs/>
              <w:color w:val="000000"/>
              <w:szCs w:val="18"/>
            </w:rPr>
            <w:t>(4), 744–745. https://doi.org/10.7860/JCDR/2013/4757.2901</w:t>
          </w:r>
        </w:p>
        <w:p w14:paraId="339FD067" w14:textId="77777777" w:rsidR="00520628" w:rsidRPr="00520628" w:rsidRDefault="00520628" w:rsidP="00520628">
          <w:pPr>
            <w:autoSpaceDE w:val="0"/>
            <w:autoSpaceDN w:val="0"/>
            <w:ind w:hanging="480"/>
            <w:jc w:val="both"/>
            <w:divId w:val="2133212067"/>
            <w:rPr>
              <w:rFonts w:ascii="Arial" w:hAnsi="Arial" w:cs="Arial"/>
              <w:bCs/>
              <w:color w:val="000000"/>
              <w:szCs w:val="18"/>
            </w:rPr>
          </w:pPr>
          <w:r w:rsidRPr="00520628">
            <w:rPr>
              <w:rFonts w:ascii="Arial" w:hAnsi="Arial" w:cs="Arial"/>
              <w:bCs/>
              <w:color w:val="000000"/>
              <w:szCs w:val="18"/>
            </w:rPr>
            <w:t xml:space="preserve">Kashyap, A., Sreenivasan, S., Rajan, A. K., Rashid, M., &amp; Chhabra, M. (2022). Ciprofloxacin-induced cutaneous adverse drug events: a systematic review of descriptive studies. </w:t>
          </w:r>
          <w:r w:rsidRPr="00520628">
            <w:rPr>
              <w:rFonts w:ascii="Arial" w:hAnsi="Arial" w:cs="Arial"/>
              <w:bCs/>
              <w:i/>
              <w:iCs/>
              <w:color w:val="000000"/>
              <w:szCs w:val="18"/>
            </w:rPr>
            <w:t>Journal of Basic and Clinical Physiology and Pharmacology</w:t>
          </w:r>
          <w:r w:rsidRPr="00520628">
            <w:rPr>
              <w:rFonts w:ascii="Arial" w:hAnsi="Arial" w:cs="Arial"/>
              <w:bCs/>
              <w:color w:val="000000"/>
              <w:szCs w:val="18"/>
            </w:rPr>
            <w:t xml:space="preserve">, </w:t>
          </w:r>
          <w:r w:rsidRPr="00520628">
            <w:rPr>
              <w:rFonts w:ascii="Arial" w:hAnsi="Arial" w:cs="Arial"/>
              <w:bCs/>
              <w:i/>
              <w:iCs/>
              <w:color w:val="000000"/>
              <w:szCs w:val="18"/>
            </w:rPr>
            <w:t>33</w:t>
          </w:r>
          <w:r w:rsidRPr="00520628">
            <w:rPr>
              <w:rFonts w:ascii="Arial" w:hAnsi="Arial" w:cs="Arial"/>
              <w:bCs/>
              <w:color w:val="000000"/>
              <w:szCs w:val="18"/>
            </w:rPr>
            <w:t>(3), 327–346. https://doi.org/10.1515/jbcpp-2020-0115</w:t>
          </w:r>
        </w:p>
        <w:p w14:paraId="150AE121" w14:textId="77777777" w:rsidR="00520628" w:rsidRPr="00520628" w:rsidRDefault="00520628" w:rsidP="00520628">
          <w:pPr>
            <w:autoSpaceDE w:val="0"/>
            <w:autoSpaceDN w:val="0"/>
            <w:ind w:hanging="480"/>
            <w:jc w:val="both"/>
            <w:divId w:val="994988461"/>
            <w:rPr>
              <w:rFonts w:ascii="Arial" w:hAnsi="Arial" w:cs="Arial"/>
              <w:bCs/>
              <w:color w:val="000000"/>
              <w:szCs w:val="18"/>
            </w:rPr>
          </w:pPr>
          <w:proofErr w:type="spellStart"/>
          <w:r w:rsidRPr="00520628">
            <w:rPr>
              <w:rFonts w:ascii="Arial" w:hAnsi="Arial" w:cs="Arial"/>
              <w:bCs/>
              <w:color w:val="000000"/>
              <w:szCs w:val="18"/>
            </w:rPr>
            <w:t>Kulthanan</w:t>
          </w:r>
          <w:proofErr w:type="spellEnd"/>
          <w:r w:rsidRPr="00520628">
            <w:rPr>
              <w:rFonts w:ascii="Arial" w:hAnsi="Arial" w:cs="Arial"/>
              <w:bCs/>
              <w:color w:val="000000"/>
              <w:szCs w:val="18"/>
            </w:rPr>
            <w:t xml:space="preserve">, K., </w:t>
          </w:r>
          <w:proofErr w:type="spellStart"/>
          <w:r w:rsidRPr="00520628">
            <w:rPr>
              <w:rFonts w:ascii="Arial" w:hAnsi="Arial" w:cs="Arial"/>
              <w:bCs/>
              <w:color w:val="000000"/>
              <w:szCs w:val="18"/>
            </w:rPr>
            <w:t>Chularojanamontri</w:t>
          </w:r>
          <w:proofErr w:type="spellEnd"/>
          <w:r w:rsidRPr="00520628">
            <w:rPr>
              <w:rFonts w:ascii="Arial" w:hAnsi="Arial" w:cs="Arial"/>
              <w:bCs/>
              <w:color w:val="000000"/>
              <w:szCs w:val="18"/>
            </w:rPr>
            <w:t xml:space="preserve">, L., </w:t>
          </w:r>
          <w:proofErr w:type="spellStart"/>
          <w:r w:rsidRPr="00520628">
            <w:rPr>
              <w:rFonts w:ascii="Arial" w:hAnsi="Arial" w:cs="Arial"/>
              <w:bCs/>
              <w:color w:val="000000"/>
              <w:szCs w:val="18"/>
            </w:rPr>
            <w:t>Manapajon</w:t>
          </w:r>
          <w:proofErr w:type="spellEnd"/>
          <w:r w:rsidRPr="00520628">
            <w:rPr>
              <w:rFonts w:ascii="Arial" w:hAnsi="Arial" w:cs="Arial"/>
              <w:bCs/>
              <w:color w:val="000000"/>
              <w:szCs w:val="18"/>
            </w:rPr>
            <w:t xml:space="preserve">, A., Dhana, N., &amp; </w:t>
          </w:r>
          <w:proofErr w:type="spellStart"/>
          <w:r w:rsidRPr="00520628">
            <w:rPr>
              <w:rFonts w:ascii="Arial" w:hAnsi="Arial" w:cs="Arial"/>
              <w:bCs/>
              <w:color w:val="000000"/>
              <w:szCs w:val="18"/>
            </w:rPr>
            <w:t>Jongjarearnprasert</w:t>
          </w:r>
          <w:proofErr w:type="spellEnd"/>
          <w:r w:rsidRPr="00520628">
            <w:rPr>
              <w:rFonts w:ascii="Arial" w:hAnsi="Arial" w:cs="Arial"/>
              <w:bCs/>
              <w:color w:val="000000"/>
              <w:szCs w:val="18"/>
            </w:rPr>
            <w:t xml:space="preserve">, K. (2011). Cutaneous adverse reactions to fluoroquinolones. </w:t>
          </w:r>
          <w:proofErr w:type="gramStart"/>
          <w:r w:rsidRPr="00520628">
            <w:rPr>
              <w:rFonts w:ascii="Arial" w:hAnsi="Arial" w:cs="Arial"/>
              <w:bCs/>
              <w:i/>
              <w:iCs/>
              <w:color w:val="000000"/>
              <w:szCs w:val="18"/>
            </w:rPr>
            <w:t>Dermatitis :</w:t>
          </w:r>
          <w:proofErr w:type="gramEnd"/>
          <w:r w:rsidRPr="00520628">
            <w:rPr>
              <w:rFonts w:ascii="Arial" w:hAnsi="Arial" w:cs="Arial"/>
              <w:bCs/>
              <w:i/>
              <w:iCs/>
              <w:color w:val="000000"/>
              <w:szCs w:val="18"/>
            </w:rPr>
            <w:t xml:space="preserve"> Contact, Atopic, Occupational, Drug</w:t>
          </w:r>
          <w:r w:rsidRPr="00520628">
            <w:rPr>
              <w:rFonts w:ascii="Arial" w:hAnsi="Arial" w:cs="Arial"/>
              <w:bCs/>
              <w:color w:val="000000"/>
              <w:szCs w:val="18"/>
            </w:rPr>
            <w:t xml:space="preserve">, </w:t>
          </w:r>
          <w:r w:rsidRPr="00520628">
            <w:rPr>
              <w:rFonts w:ascii="Arial" w:hAnsi="Arial" w:cs="Arial"/>
              <w:bCs/>
              <w:i/>
              <w:iCs/>
              <w:color w:val="000000"/>
              <w:szCs w:val="18"/>
            </w:rPr>
            <w:t>22</w:t>
          </w:r>
          <w:r w:rsidRPr="00520628">
            <w:rPr>
              <w:rFonts w:ascii="Arial" w:hAnsi="Arial" w:cs="Arial"/>
              <w:bCs/>
              <w:color w:val="000000"/>
              <w:szCs w:val="18"/>
            </w:rPr>
            <w:t>(3), 155–160.</w:t>
          </w:r>
        </w:p>
        <w:p w14:paraId="5D6B5D11" w14:textId="77777777" w:rsidR="00520628" w:rsidRPr="00520628" w:rsidRDefault="00520628" w:rsidP="00520628">
          <w:pPr>
            <w:autoSpaceDE w:val="0"/>
            <w:autoSpaceDN w:val="0"/>
            <w:ind w:hanging="480"/>
            <w:jc w:val="both"/>
            <w:divId w:val="1001154604"/>
            <w:rPr>
              <w:rFonts w:ascii="Arial" w:hAnsi="Arial" w:cs="Arial"/>
              <w:bCs/>
              <w:color w:val="000000"/>
              <w:szCs w:val="18"/>
            </w:rPr>
          </w:pPr>
          <w:r w:rsidRPr="00520628">
            <w:rPr>
              <w:rFonts w:ascii="Arial" w:hAnsi="Arial" w:cs="Arial"/>
              <w:bCs/>
              <w:color w:val="000000"/>
              <w:szCs w:val="18"/>
            </w:rPr>
            <w:t xml:space="preserve">Naranjo, C. A., Busto, U., Sellers, E. M., Sandor, P., Ruiz, I., Roberts, E. A., Janecek, E., Domecq, C., &amp; Greenblatt, D. J. (1981). A method for estimating the probability of adverse drug reactions. </w:t>
          </w:r>
          <w:r w:rsidRPr="00520628">
            <w:rPr>
              <w:rFonts w:ascii="Arial" w:hAnsi="Arial" w:cs="Arial"/>
              <w:bCs/>
              <w:i/>
              <w:iCs/>
              <w:color w:val="000000"/>
              <w:szCs w:val="18"/>
            </w:rPr>
            <w:t>Clinical Pharmacology and Therapeutics</w:t>
          </w:r>
          <w:r w:rsidRPr="00520628">
            <w:rPr>
              <w:rFonts w:ascii="Arial" w:hAnsi="Arial" w:cs="Arial"/>
              <w:bCs/>
              <w:color w:val="000000"/>
              <w:szCs w:val="18"/>
            </w:rPr>
            <w:t xml:space="preserve">, </w:t>
          </w:r>
          <w:r w:rsidRPr="00520628">
            <w:rPr>
              <w:rFonts w:ascii="Arial" w:hAnsi="Arial" w:cs="Arial"/>
              <w:bCs/>
              <w:i/>
              <w:iCs/>
              <w:color w:val="000000"/>
              <w:szCs w:val="18"/>
            </w:rPr>
            <w:t>30</w:t>
          </w:r>
          <w:r w:rsidRPr="00520628">
            <w:rPr>
              <w:rFonts w:ascii="Arial" w:hAnsi="Arial" w:cs="Arial"/>
              <w:bCs/>
              <w:color w:val="000000"/>
              <w:szCs w:val="18"/>
            </w:rPr>
            <w:t>(2), 239–245. https://doi.org/10.1038/clpt.1981.154</w:t>
          </w:r>
        </w:p>
        <w:p w14:paraId="7ADE4A36" w14:textId="77777777" w:rsidR="00520628" w:rsidRPr="00520628" w:rsidRDefault="00520628" w:rsidP="00520628">
          <w:pPr>
            <w:autoSpaceDE w:val="0"/>
            <w:autoSpaceDN w:val="0"/>
            <w:ind w:hanging="480"/>
            <w:jc w:val="both"/>
            <w:divId w:val="789861138"/>
            <w:rPr>
              <w:rFonts w:ascii="Arial" w:hAnsi="Arial" w:cs="Arial"/>
              <w:bCs/>
              <w:color w:val="000000"/>
              <w:szCs w:val="18"/>
            </w:rPr>
          </w:pPr>
          <w:r w:rsidRPr="00520628">
            <w:rPr>
              <w:rFonts w:ascii="Arial" w:hAnsi="Arial" w:cs="Arial"/>
              <w:bCs/>
              <w:color w:val="000000"/>
              <w:szCs w:val="18"/>
            </w:rPr>
            <w:t xml:space="preserve">Neuman, M. G., Cohen, L. B., &amp; Nanau, R. M. (2015). Quinolones-induced hypersensitivity reactions. </w:t>
          </w:r>
          <w:r w:rsidRPr="00520628">
            <w:rPr>
              <w:rFonts w:ascii="Arial" w:hAnsi="Arial" w:cs="Arial"/>
              <w:bCs/>
              <w:i/>
              <w:iCs/>
              <w:color w:val="000000"/>
              <w:szCs w:val="18"/>
            </w:rPr>
            <w:t>Clinical Biochemistry</w:t>
          </w:r>
          <w:r w:rsidRPr="00520628">
            <w:rPr>
              <w:rFonts w:ascii="Arial" w:hAnsi="Arial" w:cs="Arial"/>
              <w:bCs/>
              <w:color w:val="000000"/>
              <w:szCs w:val="18"/>
            </w:rPr>
            <w:t xml:space="preserve">, </w:t>
          </w:r>
          <w:r w:rsidRPr="00520628">
            <w:rPr>
              <w:rFonts w:ascii="Arial" w:hAnsi="Arial" w:cs="Arial"/>
              <w:bCs/>
              <w:i/>
              <w:iCs/>
              <w:color w:val="000000"/>
              <w:szCs w:val="18"/>
            </w:rPr>
            <w:t>48</w:t>
          </w:r>
          <w:r w:rsidRPr="00520628">
            <w:rPr>
              <w:rFonts w:ascii="Arial" w:hAnsi="Arial" w:cs="Arial"/>
              <w:bCs/>
              <w:color w:val="000000"/>
              <w:szCs w:val="18"/>
            </w:rPr>
            <w:t>(10–11), 716–739. https://doi.org/10.1016/j.clinbiochem.2015.04.006</w:t>
          </w:r>
        </w:p>
        <w:p w14:paraId="3CD1EF2E" w14:textId="77777777" w:rsidR="00520628" w:rsidRPr="00520628" w:rsidRDefault="00520628" w:rsidP="00520628">
          <w:pPr>
            <w:autoSpaceDE w:val="0"/>
            <w:autoSpaceDN w:val="0"/>
            <w:ind w:hanging="480"/>
            <w:jc w:val="both"/>
            <w:divId w:val="1433285990"/>
            <w:rPr>
              <w:rFonts w:ascii="Arial" w:hAnsi="Arial" w:cs="Arial"/>
              <w:bCs/>
              <w:color w:val="000000"/>
              <w:szCs w:val="18"/>
            </w:rPr>
          </w:pPr>
          <w:r w:rsidRPr="00520628">
            <w:rPr>
              <w:rFonts w:ascii="Arial" w:hAnsi="Arial" w:cs="Arial"/>
              <w:bCs/>
              <w:color w:val="000000"/>
              <w:szCs w:val="18"/>
            </w:rPr>
            <w:t xml:space="preserve">Osman, M., Chusri, S., Heidary, M., &amp; </w:t>
          </w:r>
          <w:proofErr w:type="spellStart"/>
          <w:r w:rsidRPr="00520628">
            <w:rPr>
              <w:rFonts w:ascii="Arial" w:hAnsi="Arial" w:cs="Arial"/>
              <w:bCs/>
              <w:color w:val="000000"/>
              <w:szCs w:val="18"/>
            </w:rPr>
            <w:t>Khoshnood</w:t>
          </w:r>
          <w:proofErr w:type="spellEnd"/>
          <w:r w:rsidRPr="00520628">
            <w:rPr>
              <w:rFonts w:ascii="Arial" w:hAnsi="Arial" w:cs="Arial"/>
              <w:bCs/>
              <w:color w:val="000000"/>
              <w:szCs w:val="18"/>
            </w:rPr>
            <w:t xml:space="preserve">, S. (n.d.). </w:t>
          </w:r>
          <w:r w:rsidRPr="00520628">
            <w:rPr>
              <w:rFonts w:ascii="Arial" w:hAnsi="Arial" w:cs="Arial"/>
              <w:bCs/>
              <w:i/>
              <w:iCs/>
              <w:color w:val="000000"/>
              <w:szCs w:val="18"/>
            </w:rPr>
            <w:t>The resistance mechanisms of bacteria against ciprofloxacin and new approaches for enhancing the efficacy of this antibiotic</w:t>
          </w:r>
          <w:r w:rsidRPr="00520628">
            <w:rPr>
              <w:rFonts w:ascii="Arial" w:hAnsi="Arial" w:cs="Arial"/>
              <w:bCs/>
              <w:color w:val="000000"/>
              <w:szCs w:val="18"/>
            </w:rPr>
            <w:t>.</w:t>
          </w:r>
        </w:p>
        <w:p w14:paraId="5CD19166" w14:textId="77777777" w:rsidR="00520628" w:rsidRPr="00520628" w:rsidRDefault="00520628" w:rsidP="00520628">
          <w:pPr>
            <w:autoSpaceDE w:val="0"/>
            <w:autoSpaceDN w:val="0"/>
            <w:ind w:hanging="480"/>
            <w:jc w:val="both"/>
            <w:divId w:val="908658446"/>
            <w:rPr>
              <w:rFonts w:ascii="Arial" w:hAnsi="Arial" w:cs="Arial"/>
              <w:bCs/>
              <w:color w:val="000000"/>
              <w:szCs w:val="18"/>
            </w:rPr>
          </w:pPr>
          <w:r w:rsidRPr="00520628">
            <w:rPr>
              <w:rFonts w:ascii="Arial" w:hAnsi="Arial" w:cs="Arial"/>
              <w:bCs/>
              <w:color w:val="000000"/>
              <w:szCs w:val="18"/>
            </w:rPr>
            <w:lastRenderedPageBreak/>
            <w:t xml:space="preserve">Rusu, A., Munteanu, A.-C., </w:t>
          </w:r>
          <w:proofErr w:type="spellStart"/>
          <w:r w:rsidRPr="00520628">
            <w:rPr>
              <w:rFonts w:ascii="Arial" w:hAnsi="Arial" w:cs="Arial"/>
              <w:bCs/>
              <w:color w:val="000000"/>
              <w:szCs w:val="18"/>
            </w:rPr>
            <w:t>Arbănași</w:t>
          </w:r>
          <w:proofErr w:type="spellEnd"/>
          <w:r w:rsidRPr="00520628">
            <w:rPr>
              <w:rFonts w:ascii="Arial" w:hAnsi="Arial" w:cs="Arial"/>
              <w:bCs/>
              <w:color w:val="000000"/>
              <w:szCs w:val="18"/>
            </w:rPr>
            <w:t xml:space="preserve">, E.-M., &amp; </w:t>
          </w:r>
          <w:proofErr w:type="spellStart"/>
          <w:r w:rsidRPr="00520628">
            <w:rPr>
              <w:rFonts w:ascii="Arial" w:hAnsi="Arial" w:cs="Arial"/>
              <w:bCs/>
              <w:color w:val="000000"/>
              <w:szCs w:val="18"/>
            </w:rPr>
            <w:t>Uivarosi</w:t>
          </w:r>
          <w:proofErr w:type="spellEnd"/>
          <w:r w:rsidRPr="00520628">
            <w:rPr>
              <w:rFonts w:ascii="Arial" w:hAnsi="Arial" w:cs="Arial"/>
              <w:bCs/>
              <w:color w:val="000000"/>
              <w:szCs w:val="18"/>
            </w:rPr>
            <w:t xml:space="preserve">, V. (2023). Overview of Side-Effects of Antibacterial Fluoroquinolones: New Drugs versus Old Drugs, a Step Forward in the Safety Profile? </w:t>
          </w:r>
          <w:r w:rsidRPr="00520628">
            <w:rPr>
              <w:rFonts w:ascii="Arial" w:hAnsi="Arial" w:cs="Arial"/>
              <w:bCs/>
              <w:i/>
              <w:iCs/>
              <w:color w:val="000000"/>
              <w:szCs w:val="18"/>
            </w:rPr>
            <w:t>Pharmaceutics</w:t>
          </w:r>
          <w:r w:rsidRPr="00520628">
            <w:rPr>
              <w:rFonts w:ascii="Arial" w:hAnsi="Arial" w:cs="Arial"/>
              <w:bCs/>
              <w:color w:val="000000"/>
              <w:szCs w:val="18"/>
            </w:rPr>
            <w:t xml:space="preserve">, </w:t>
          </w:r>
          <w:r w:rsidRPr="00520628">
            <w:rPr>
              <w:rFonts w:ascii="Arial" w:hAnsi="Arial" w:cs="Arial"/>
              <w:bCs/>
              <w:i/>
              <w:iCs/>
              <w:color w:val="000000"/>
              <w:szCs w:val="18"/>
            </w:rPr>
            <w:t>15</w:t>
          </w:r>
          <w:r w:rsidRPr="00520628">
            <w:rPr>
              <w:rFonts w:ascii="Arial" w:hAnsi="Arial" w:cs="Arial"/>
              <w:bCs/>
              <w:color w:val="000000"/>
              <w:szCs w:val="18"/>
            </w:rPr>
            <w:t>(3). https://doi.org/10.3390/pharmaceutics15030804</w:t>
          </w:r>
        </w:p>
        <w:p w14:paraId="06C47BDB" w14:textId="6EC3E027" w:rsidR="00520628" w:rsidRPr="00520628" w:rsidRDefault="00520628" w:rsidP="00520628">
          <w:pPr>
            <w:pStyle w:val="ReferHead"/>
            <w:spacing w:after="0"/>
            <w:jc w:val="both"/>
            <w:rPr>
              <w:rFonts w:ascii="Arial" w:hAnsi="Arial" w:cs="Arial"/>
              <w:b w:val="0"/>
              <w:bCs/>
              <w:sz w:val="20"/>
              <w:szCs w:val="18"/>
            </w:rPr>
          </w:pPr>
          <w:r w:rsidRPr="00520628">
            <w:rPr>
              <w:rFonts w:ascii="Arial" w:hAnsi="Arial" w:cs="Arial"/>
              <w:b w:val="0"/>
              <w:bCs/>
              <w:color w:val="000000"/>
              <w:sz w:val="20"/>
              <w:szCs w:val="18"/>
            </w:rPr>
            <w:t> </w:t>
          </w:r>
        </w:p>
      </w:sdtContent>
    </w:sdt>
    <w:p w14:paraId="36DF8047" w14:textId="77777777" w:rsidR="00790ADA" w:rsidRPr="00520628" w:rsidRDefault="00790ADA" w:rsidP="00520628">
      <w:pPr>
        <w:pStyle w:val="Body"/>
        <w:spacing w:after="0"/>
        <w:rPr>
          <w:rFonts w:ascii="Arial" w:hAnsi="Arial" w:cs="Arial"/>
          <w:bCs/>
          <w:sz w:val="18"/>
          <w:szCs w:val="18"/>
        </w:rPr>
      </w:pPr>
    </w:p>
    <w:p w14:paraId="3BD9839A" w14:textId="7F1795E1" w:rsidR="00B01FCD" w:rsidRPr="00520628" w:rsidRDefault="00B01FCD" w:rsidP="00520628">
      <w:pPr>
        <w:pStyle w:val="DefAcrHead"/>
        <w:spacing w:after="0"/>
        <w:jc w:val="both"/>
        <w:rPr>
          <w:rFonts w:ascii="Arial" w:hAnsi="Arial" w:cs="Arial"/>
          <w:b w:val="0"/>
          <w:bCs/>
          <w:sz w:val="20"/>
          <w:szCs w:val="18"/>
        </w:rPr>
      </w:pPr>
    </w:p>
    <w:sectPr w:rsidR="00B01FCD" w:rsidRPr="00520628" w:rsidSect="001B56A6">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49598" w14:textId="77777777" w:rsidR="008962D6" w:rsidRDefault="008962D6" w:rsidP="00C37E61">
      <w:r>
        <w:separator/>
      </w:r>
    </w:p>
  </w:endnote>
  <w:endnote w:type="continuationSeparator" w:id="0">
    <w:p w14:paraId="5179AD43" w14:textId="77777777" w:rsidR="008962D6" w:rsidRDefault="008962D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7F79" w14:textId="77777777" w:rsidR="006C326C" w:rsidRDefault="006C32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872E" w14:textId="77777777" w:rsidR="006C326C" w:rsidRDefault="006C32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4A9D" w14:textId="25509859" w:rsidR="00754C9A" w:rsidRPr="006C326C" w:rsidRDefault="00754C9A" w:rsidP="006C32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0511"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944E" w14:textId="77777777" w:rsidR="008962D6" w:rsidRDefault="008962D6" w:rsidP="00C37E61">
      <w:r>
        <w:separator/>
      </w:r>
    </w:p>
  </w:footnote>
  <w:footnote w:type="continuationSeparator" w:id="0">
    <w:p w14:paraId="15AE950A" w14:textId="77777777" w:rsidR="008962D6" w:rsidRDefault="008962D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F721" w14:textId="5FD53157" w:rsidR="006C326C" w:rsidRDefault="006C326C">
    <w:pPr>
      <w:pStyle w:val="Header"/>
    </w:pPr>
    <w:r>
      <w:rPr>
        <w:noProof/>
      </w:rPr>
      <w:pict w14:anchorId="3F37E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C65A" w14:textId="0063EFC9" w:rsidR="006C326C" w:rsidRDefault="006C326C">
    <w:pPr>
      <w:pStyle w:val="Header"/>
    </w:pPr>
    <w:r>
      <w:rPr>
        <w:noProof/>
      </w:rPr>
      <w:pict w14:anchorId="5F3B4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05E4C" w14:textId="6174277F" w:rsidR="00296529" w:rsidRPr="00296529" w:rsidRDefault="006C326C" w:rsidP="00296529">
    <w:pPr>
      <w:ind w:left="2160"/>
      <w:jc w:val="center"/>
      <w:rPr>
        <w:rFonts w:ascii="Times New Roman" w:eastAsia="Calibri" w:hAnsi="Times New Roman"/>
        <w:i/>
        <w:sz w:val="18"/>
        <w:szCs w:val="22"/>
      </w:rPr>
    </w:pPr>
    <w:r>
      <w:rPr>
        <w:noProof/>
      </w:rPr>
      <w:pict w14:anchorId="23F0A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09"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8AE60F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4CB28B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0E5E2C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E39AE27"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5DB016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DD1DAB5"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CF98" w14:textId="2F2CFA7A" w:rsidR="006C326C" w:rsidRDefault="006C326C">
    <w:pPr>
      <w:pStyle w:val="Header"/>
    </w:pPr>
    <w:r>
      <w:rPr>
        <w:noProof/>
      </w:rPr>
      <w:pict w14:anchorId="54612D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3"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03FAD72">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8119" w14:textId="4C41496E" w:rsidR="006C326C" w:rsidRDefault="006C326C">
    <w:pPr>
      <w:pStyle w:val="Header"/>
    </w:pPr>
    <w:r>
      <w:rPr>
        <w:noProof/>
      </w:rPr>
      <w:pict w14:anchorId="51C9F8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4"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C92C3D4">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6E10" w14:textId="25D36547" w:rsidR="006C326C" w:rsidRPr="00296529" w:rsidRDefault="006C326C" w:rsidP="00296529">
    <w:pPr>
      <w:ind w:left="2160"/>
      <w:jc w:val="center"/>
      <w:rPr>
        <w:rFonts w:ascii="Times New Roman" w:eastAsia="Calibri" w:hAnsi="Times New Roman"/>
        <w:i/>
        <w:sz w:val="18"/>
        <w:szCs w:val="22"/>
      </w:rPr>
    </w:pPr>
    <w:r>
      <w:rPr>
        <w:noProof/>
      </w:rPr>
      <w:pict w14:anchorId="40D77C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2"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6F00D99">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2F94098" w14:textId="77777777" w:rsidR="006C326C" w:rsidRPr="00296529" w:rsidRDefault="006C326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F2FC675" w14:textId="77777777" w:rsidR="006C326C" w:rsidRPr="00296529" w:rsidRDefault="006C326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DD5C07" w14:textId="77777777" w:rsidR="006C326C" w:rsidRPr="00296529" w:rsidRDefault="006C326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5207D78" w14:textId="77777777" w:rsidR="006C326C" w:rsidRDefault="006C326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A7A210F" w14:textId="77777777" w:rsidR="006C326C" w:rsidRDefault="006C326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A532CB1" w14:textId="77777777" w:rsidR="006C326C" w:rsidRDefault="006C326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301D4"/>
    <w:multiLevelType w:val="multilevel"/>
    <w:tmpl w:val="90E64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4FA22D0A"/>
    <w:multiLevelType w:val="multilevel"/>
    <w:tmpl w:val="028AC0D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68358149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05115853">
    <w:abstractNumId w:val="16"/>
  </w:num>
  <w:num w:numId="3" w16cid:durableId="1245450843">
    <w:abstractNumId w:val="25"/>
  </w:num>
  <w:num w:numId="4" w16cid:durableId="203149455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56885613">
    <w:abstractNumId w:val="7"/>
  </w:num>
  <w:num w:numId="6" w16cid:durableId="1321889628">
    <w:abstractNumId w:val="6"/>
  </w:num>
  <w:num w:numId="7" w16cid:durableId="1236429840">
    <w:abstractNumId w:val="1"/>
  </w:num>
  <w:num w:numId="8" w16cid:durableId="1687170239">
    <w:abstractNumId w:val="13"/>
  </w:num>
  <w:num w:numId="9" w16cid:durableId="289870415">
    <w:abstractNumId w:val="27"/>
  </w:num>
  <w:num w:numId="10" w16cid:durableId="300237825">
    <w:abstractNumId w:val="2"/>
  </w:num>
  <w:num w:numId="11" w16cid:durableId="390927184">
    <w:abstractNumId w:val="20"/>
  </w:num>
  <w:num w:numId="12" w16cid:durableId="840587097">
    <w:abstractNumId w:val="3"/>
  </w:num>
  <w:num w:numId="13" w16cid:durableId="35934118">
    <w:abstractNumId w:val="19"/>
  </w:num>
  <w:num w:numId="14" w16cid:durableId="1701592127">
    <w:abstractNumId w:val="8"/>
  </w:num>
  <w:num w:numId="15" w16cid:durableId="1417556902">
    <w:abstractNumId w:val="23"/>
  </w:num>
  <w:num w:numId="16" w16cid:durableId="1524436875">
    <w:abstractNumId w:val="5"/>
  </w:num>
  <w:num w:numId="17" w16cid:durableId="2114157585">
    <w:abstractNumId w:val="24"/>
  </w:num>
  <w:num w:numId="18" w16cid:durableId="1159346427">
    <w:abstractNumId w:val="15"/>
  </w:num>
  <w:num w:numId="19" w16cid:durableId="1867331324">
    <w:abstractNumId w:val="30"/>
  </w:num>
  <w:num w:numId="20" w16cid:durableId="330564869">
    <w:abstractNumId w:val="12"/>
  </w:num>
  <w:num w:numId="21" w16cid:durableId="341205316">
    <w:abstractNumId w:val="9"/>
  </w:num>
  <w:num w:numId="22" w16cid:durableId="1850169520">
    <w:abstractNumId w:val="14"/>
  </w:num>
  <w:num w:numId="23" w16cid:durableId="1120999621">
    <w:abstractNumId w:val="21"/>
  </w:num>
  <w:num w:numId="24" w16cid:durableId="48841542">
    <w:abstractNumId w:val="28"/>
  </w:num>
  <w:num w:numId="25" w16cid:durableId="2050180260">
    <w:abstractNumId w:val="4"/>
  </w:num>
  <w:num w:numId="26" w16cid:durableId="315649982">
    <w:abstractNumId w:val="18"/>
  </w:num>
  <w:num w:numId="27" w16cid:durableId="207307276">
    <w:abstractNumId w:val="22"/>
  </w:num>
  <w:num w:numId="28" w16cid:durableId="553740477">
    <w:abstractNumId w:val="29"/>
  </w:num>
  <w:num w:numId="29" w16cid:durableId="178471004">
    <w:abstractNumId w:val="26"/>
  </w:num>
  <w:num w:numId="30" w16cid:durableId="431165470">
    <w:abstractNumId w:val="10"/>
  </w:num>
  <w:num w:numId="31" w16cid:durableId="1998806477">
    <w:abstractNumId w:val="11"/>
  </w:num>
  <w:num w:numId="32" w16cid:durableId="13435851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63001"/>
    <w:rsid w:val="00163BC4"/>
    <w:rsid w:val="00191062"/>
    <w:rsid w:val="00192B72"/>
    <w:rsid w:val="001A29D8"/>
    <w:rsid w:val="001A58BB"/>
    <w:rsid w:val="001A5CAA"/>
    <w:rsid w:val="001B0427"/>
    <w:rsid w:val="001B56A6"/>
    <w:rsid w:val="001D3A51"/>
    <w:rsid w:val="001E10D2"/>
    <w:rsid w:val="001E25B4"/>
    <w:rsid w:val="001E44FE"/>
    <w:rsid w:val="001F7387"/>
    <w:rsid w:val="00200595"/>
    <w:rsid w:val="00204835"/>
    <w:rsid w:val="00231920"/>
    <w:rsid w:val="0023195C"/>
    <w:rsid w:val="0024282C"/>
    <w:rsid w:val="002460DC"/>
    <w:rsid w:val="00250985"/>
    <w:rsid w:val="002556F6"/>
    <w:rsid w:val="00283105"/>
    <w:rsid w:val="0028369B"/>
    <w:rsid w:val="00284C4C"/>
    <w:rsid w:val="00287E68"/>
    <w:rsid w:val="00296529"/>
    <w:rsid w:val="002A0FCB"/>
    <w:rsid w:val="002B23E7"/>
    <w:rsid w:val="002B27FB"/>
    <w:rsid w:val="002B685A"/>
    <w:rsid w:val="002C57D2"/>
    <w:rsid w:val="002E0D56"/>
    <w:rsid w:val="0030588E"/>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0177"/>
    <w:rsid w:val="00471A80"/>
    <w:rsid w:val="004C365E"/>
    <w:rsid w:val="004D305E"/>
    <w:rsid w:val="004D4277"/>
    <w:rsid w:val="004F0BC1"/>
    <w:rsid w:val="00502516"/>
    <w:rsid w:val="00505F06"/>
    <w:rsid w:val="00506828"/>
    <w:rsid w:val="00515A8B"/>
    <w:rsid w:val="00516E18"/>
    <w:rsid w:val="00520628"/>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3F68"/>
    <w:rsid w:val="006967F7"/>
    <w:rsid w:val="006A250C"/>
    <w:rsid w:val="006B21D3"/>
    <w:rsid w:val="006B4D92"/>
    <w:rsid w:val="006B57D0"/>
    <w:rsid w:val="006C326C"/>
    <w:rsid w:val="006D30FF"/>
    <w:rsid w:val="006D6940"/>
    <w:rsid w:val="006F11EC"/>
    <w:rsid w:val="0070082C"/>
    <w:rsid w:val="007369E6"/>
    <w:rsid w:val="00746E59"/>
    <w:rsid w:val="00754C9A"/>
    <w:rsid w:val="0075599A"/>
    <w:rsid w:val="00761D52"/>
    <w:rsid w:val="0077749E"/>
    <w:rsid w:val="00790ADA"/>
    <w:rsid w:val="007A3B6B"/>
    <w:rsid w:val="007B5EEE"/>
    <w:rsid w:val="007D2288"/>
    <w:rsid w:val="007E088F"/>
    <w:rsid w:val="007E4975"/>
    <w:rsid w:val="007F7B32"/>
    <w:rsid w:val="00804BC2"/>
    <w:rsid w:val="0081431A"/>
    <w:rsid w:val="0083216F"/>
    <w:rsid w:val="00860000"/>
    <w:rsid w:val="00863BD3"/>
    <w:rsid w:val="008641ED"/>
    <w:rsid w:val="00866D66"/>
    <w:rsid w:val="008671C6"/>
    <w:rsid w:val="00875803"/>
    <w:rsid w:val="008962D6"/>
    <w:rsid w:val="008B459E"/>
    <w:rsid w:val="008D6CBF"/>
    <w:rsid w:val="008E13AE"/>
    <w:rsid w:val="008E1506"/>
    <w:rsid w:val="008E36CF"/>
    <w:rsid w:val="008E710C"/>
    <w:rsid w:val="008F69D6"/>
    <w:rsid w:val="00902823"/>
    <w:rsid w:val="00915C53"/>
    <w:rsid w:val="00915CA6"/>
    <w:rsid w:val="00927834"/>
    <w:rsid w:val="009500A6"/>
    <w:rsid w:val="00957C18"/>
    <w:rsid w:val="009659BA"/>
    <w:rsid w:val="00983040"/>
    <w:rsid w:val="009A0F6A"/>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A32A2"/>
    <w:rsid w:val="00CD6755"/>
    <w:rsid w:val="00CD6856"/>
    <w:rsid w:val="00CE0089"/>
    <w:rsid w:val="00CE793C"/>
    <w:rsid w:val="00CF07C5"/>
    <w:rsid w:val="00CF193C"/>
    <w:rsid w:val="00D173F1"/>
    <w:rsid w:val="00D74CB0"/>
    <w:rsid w:val="00D8295D"/>
    <w:rsid w:val="00D90E20"/>
    <w:rsid w:val="00DA43D5"/>
    <w:rsid w:val="00DC1408"/>
    <w:rsid w:val="00DC2A65"/>
    <w:rsid w:val="00DE15F0"/>
    <w:rsid w:val="00DE5663"/>
    <w:rsid w:val="00DE78AA"/>
    <w:rsid w:val="00DF01B6"/>
    <w:rsid w:val="00E053D0"/>
    <w:rsid w:val="00E15994"/>
    <w:rsid w:val="00E207E7"/>
    <w:rsid w:val="00E3114E"/>
    <w:rsid w:val="00E31A70"/>
    <w:rsid w:val="00E35B02"/>
    <w:rsid w:val="00E66496"/>
    <w:rsid w:val="00E66B35"/>
    <w:rsid w:val="00E66E10"/>
    <w:rsid w:val="00E769F6"/>
    <w:rsid w:val="00E8407C"/>
    <w:rsid w:val="00E84F3C"/>
    <w:rsid w:val="00E9787D"/>
    <w:rsid w:val="00EA012C"/>
    <w:rsid w:val="00EB57AE"/>
    <w:rsid w:val="00EC6A55"/>
    <w:rsid w:val="00ED0288"/>
    <w:rsid w:val="00EE52CB"/>
    <w:rsid w:val="00EF581D"/>
    <w:rsid w:val="00EF7FD8"/>
    <w:rsid w:val="00F06F59"/>
    <w:rsid w:val="00F17988"/>
    <w:rsid w:val="00F469F0"/>
    <w:rsid w:val="00F53273"/>
    <w:rsid w:val="00F61777"/>
    <w:rsid w:val="00F73B78"/>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E1B9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515A8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515A8B"/>
    <w:rPr>
      <w:rFonts w:asciiTheme="majorHAnsi" w:eastAsiaTheme="majorEastAsia" w:hAnsiTheme="majorHAnsi" w:cstheme="majorBidi"/>
      <w:color w:val="243F60" w:themeColor="accent1" w:themeShade="7F"/>
      <w:sz w:val="24"/>
      <w:szCs w:val="24"/>
    </w:rPr>
  </w:style>
  <w:style w:type="table" w:styleId="TableGridLight">
    <w:name w:val="Grid Table Light"/>
    <w:basedOn w:val="TableNormal"/>
    <w:uiPriority w:val="40"/>
    <w:rsid w:val="00F73B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6B4D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12796942">
      <w:marLeft w:val="48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508251831">
      <w:marLeft w:val="480"/>
      <w:marRight w:val="0"/>
      <w:marTop w:val="0"/>
      <w:marBottom w:val="0"/>
      <w:divBdr>
        <w:top w:val="none" w:sz="0" w:space="0" w:color="auto"/>
        <w:left w:val="none" w:sz="0" w:space="0" w:color="auto"/>
        <w:bottom w:val="none" w:sz="0" w:space="0" w:color="auto"/>
        <w:right w:val="none" w:sz="0" w:space="0" w:color="auto"/>
      </w:divBdr>
    </w:div>
    <w:div w:id="576286413">
      <w:marLeft w:val="48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58844087">
      <w:marLeft w:val="480"/>
      <w:marRight w:val="0"/>
      <w:marTop w:val="0"/>
      <w:marBottom w:val="0"/>
      <w:divBdr>
        <w:top w:val="none" w:sz="0" w:space="0" w:color="auto"/>
        <w:left w:val="none" w:sz="0" w:space="0" w:color="auto"/>
        <w:bottom w:val="none" w:sz="0" w:space="0" w:color="auto"/>
        <w:right w:val="none" w:sz="0" w:space="0" w:color="auto"/>
      </w:divBdr>
    </w:div>
    <w:div w:id="789861138">
      <w:marLeft w:val="480"/>
      <w:marRight w:val="0"/>
      <w:marTop w:val="0"/>
      <w:marBottom w:val="0"/>
      <w:divBdr>
        <w:top w:val="none" w:sz="0" w:space="0" w:color="auto"/>
        <w:left w:val="none" w:sz="0" w:space="0" w:color="auto"/>
        <w:bottom w:val="none" w:sz="0" w:space="0" w:color="auto"/>
        <w:right w:val="none" w:sz="0" w:space="0" w:color="auto"/>
      </w:divBdr>
    </w:div>
    <w:div w:id="850609387">
      <w:marLeft w:val="480"/>
      <w:marRight w:val="0"/>
      <w:marTop w:val="0"/>
      <w:marBottom w:val="0"/>
      <w:divBdr>
        <w:top w:val="none" w:sz="0" w:space="0" w:color="auto"/>
        <w:left w:val="none" w:sz="0" w:space="0" w:color="auto"/>
        <w:bottom w:val="none" w:sz="0" w:space="0" w:color="auto"/>
        <w:right w:val="none" w:sz="0" w:space="0" w:color="auto"/>
      </w:divBdr>
    </w:div>
    <w:div w:id="908658446">
      <w:marLeft w:val="480"/>
      <w:marRight w:val="0"/>
      <w:marTop w:val="0"/>
      <w:marBottom w:val="0"/>
      <w:divBdr>
        <w:top w:val="none" w:sz="0" w:space="0" w:color="auto"/>
        <w:left w:val="none" w:sz="0" w:space="0" w:color="auto"/>
        <w:bottom w:val="none" w:sz="0" w:space="0" w:color="auto"/>
        <w:right w:val="none" w:sz="0" w:space="0" w:color="auto"/>
      </w:divBdr>
    </w:div>
    <w:div w:id="977538305">
      <w:marLeft w:val="48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94988461">
      <w:marLeft w:val="480"/>
      <w:marRight w:val="0"/>
      <w:marTop w:val="0"/>
      <w:marBottom w:val="0"/>
      <w:divBdr>
        <w:top w:val="none" w:sz="0" w:space="0" w:color="auto"/>
        <w:left w:val="none" w:sz="0" w:space="0" w:color="auto"/>
        <w:bottom w:val="none" w:sz="0" w:space="0" w:color="auto"/>
        <w:right w:val="none" w:sz="0" w:space="0" w:color="auto"/>
      </w:divBdr>
    </w:div>
    <w:div w:id="1001154604">
      <w:marLeft w:val="48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33285990">
      <w:marLeft w:val="480"/>
      <w:marRight w:val="0"/>
      <w:marTop w:val="0"/>
      <w:marBottom w:val="0"/>
      <w:divBdr>
        <w:top w:val="none" w:sz="0" w:space="0" w:color="auto"/>
        <w:left w:val="none" w:sz="0" w:space="0" w:color="auto"/>
        <w:bottom w:val="none" w:sz="0" w:space="0" w:color="auto"/>
        <w:right w:val="none" w:sz="0" w:space="0" w:color="auto"/>
      </w:divBdr>
    </w:div>
    <w:div w:id="1503929552">
      <w:marLeft w:val="480"/>
      <w:marRight w:val="0"/>
      <w:marTop w:val="0"/>
      <w:marBottom w:val="0"/>
      <w:divBdr>
        <w:top w:val="none" w:sz="0" w:space="0" w:color="auto"/>
        <w:left w:val="none" w:sz="0" w:space="0" w:color="auto"/>
        <w:bottom w:val="none" w:sz="0" w:space="0" w:color="auto"/>
        <w:right w:val="none" w:sz="0" w:space="0" w:color="auto"/>
      </w:divBdr>
    </w:div>
    <w:div w:id="1552426722">
      <w:marLeft w:val="48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08966353">
      <w:marLeft w:val="480"/>
      <w:marRight w:val="0"/>
      <w:marTop w:val="0"/>
      <w:marBottom w:val="0"/>
      <w:divBdr>
        <w:top w:val="none" w:sz="0" w:space="0" w:color="auto"/>
        <w:left w:val="none" w:sz="0" w:space="0" w:color="auto"/>
        <w:bottom w:val="none" w:sz="0" w:space="0" w:color="auto"/>
        <w:right w:val="none" w:sz="0" w:space="0" w:color="auto"/>
      </w:divBdr>
    </w:div>
    <w:div w:id="2133212067">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A220BAB-9037-429B-9972-1FA5AD39C4AE}"/>
      </w:docPartPr>
      <w:docPartBody>
        <w:p w:rsidR="005D5393" w:rsidRDefault="008C1E12">
          <w:r w:rsidRPr="00E209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12"/>
    <w:rsid w:val="001F7387"/>
    <w:rsid w:val="005D5393"/>
    <w:rsid w:val="005E0F88"/>
    <w:rsid w:val="005E62EC"/>
    <w:rsid w:val="00693F68"/>
    <w:rsid w:val="008C1E12"/>
    <w:rsid w:val="00B951A6"/>
    <w:rsid w:val="00CA32A2"/>
    <w:rsid w:val="00D13F1C"/>
    <w:rsid w:val="00E207E7"/>
    <w:rsid w:val="00EF6E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1E1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DF2141-2192-4C79-99D0-4E6D8EDE657B}">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7159504995"/>
    <we:property name="MENDELEY_CITATIONS" value="[{&quot;citationID&quot;:&quot;MENDELEY_CITATION_e1950588-c92e-4d6b-aa60-b07d6eb6c66c&quot;,&quot;properties&quot;:{&quot;noteIndex&quot;:0},&quot;isEdited&quot;:false,&quot;manualOverride&quot;:{&quot;isManuallyOverridden&quot;:false,&quot;citeprocText&quot;:&quot;(Fukuda et al., 2026; Osman et al., n.d.)&quot;,&quot;manualOverrideText&quot;:&quot;&quot;},&quot;citationTag&quot;:&quot;MENDELEY_CITATION_v3_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&quot;,&quot;citationItems&quot;:[{&quot;id&quot;:&quot;d58c5bd6-eb9d-3e9d-a96a-0d16a754bf6c&quot;,&quot;itemData&quot;:{&quot;type&quot;:&quot;article&quot;,&quot;id&quot;:&quot;d58c5bd6-eb9d-3e9d-a96a-0d16a754bf6c&quot;,&quot;title&quot;:&quot;Bacterial DNA topoisomerase IV and DNA gyrase inhibitors: history of the quinolones, their clinical usage and potential alternatives for the future&quot;,&quot;author&quot;:[{&quot;family&quot;:&quot;Fukuda&quot;,&quot;given&quot;:&quot;Daisuke&quot;,&quot;parse-names&quot;:false,&quot;dropping-particle&quot;:&quot;&quot;,&quot;non-dropping-particle&quot;:&quot;&quot;},{&quot;family&quot;:&quot;Powell&quot;,&quot;given&quot;:&quot;Danielle&quot;,&quot;parse-names&quot;:false,&quot;dropping-particle&quot;:&quot;&quot;,&quot;non-dropping-particle&quot;:&quot;&quot;},{&quot;family&quot;:&quot;Mulgirigama&quot;,&quot;given&quot;:&quot;Aruni&quot;,&quot;parse-names&quot;:false,&quot;dropping-particle&quot;:&quot;&quot;,&quot;non-dropping-particle&quot;:&quot;&quot;},{&quot;family&quot;:&quot;Vojtek&quot;,&quot;given&quot;:&quot;Ivo&quot;,&quot;parse-names&quot;:false,&quot;dropping-particle&quot;:&quot;&quot;,&quot;non-dropping-particle&quot;:&quot;&quot;},{&quot;family&quot;:&quot;Ozeki&quot;,&quot;given&quot;:&quot;Hirofumi&quot;,&quot;parse-names&quot;:false,&quot;dropping-particle&quot;:&quot;&quot;,&quot;non-dropping-particle&quot;:&quot;&quot;},{&quot;family&quot;:&quot;Yoshimoto&quot;,&quot;given&quot;:&quot;Daisuke&quot;,&quot;parse-names&quot;:false,&quot;dropping-particle&quot;:&quot;&quot;,&quot;non-dropping-particle&quot;:&quot;&quot;},{&quot;family&quot;:&quot;Iida&quot;,&quot;given&quot;:&quot;Hideki&quot;,&quot;parse-names&quot;:false,&quot;dropping-particle&quot;:&quot;&quot;,&quot;non-dropping-particle&quot;:&quot;&quot;},{&quot;family&quot;:&quot;Johira&quot;,&quot;given&quot;:&quot;Naoki&quot;,&quot;parse-names&quot;:false,&quot;dropping-particle&quot;:&quot;&quot;,&quot;non-dropping-particle&quot;:&quot;&quot;},{&quot;family&quot;:&quot;Kayama&quot;,&quot;given&quot;:&quot;Yoko&quot;,&quot;parse-names&quot;:false,&quot;dropping-particle&quot;:&quot;&quot;,&quot;non-dropping-particle&quot;:&quot;&quot;},{&quot;family&quot;:&quot;Kawamatsu&quot;,&quot;given&quot;:&quot;Shinya&quot;,&quot;parse-names&quot;:false,&quot;dropping-particle&quot;:&quot;&quot;,&quot;non-dropping-particle&quot;:&quot;&quot;},{&quot;family&quot;:&quot;Suzuki&quot;,&quot;given&quot;:&quot;Satowa&quot;,&quot;parse-names&quot;:false,&quot;dropping-particle&quot;:&quot;&quot;,&quot;non-dropping-particle&quot;:&quot;&quot;}],&quot;container-title&quot;:&quot;Journal of Antimicrobial Chemotherapy&quot;,&quot;DOI&quot;:&quot;10.1093/jac/dkag054&quot;,&quot;ISSN&quot;:&quot;14602091&quot;,&quot;PMID&quot;:&quot;41710965&quot;,&quot;issued&quot;:{&quot;date-parts&quot;:[[2026,3,1]]},&quot;abstract&quot;:&quot;Bacterial topoisomerases are enzymes critical for maintaining genomic DNA integrity and ensuring bacterial cell survival, making them ideal targets for antibacterial agents. Bacterial topoisomerase inhibitors, such as quinolones and fluoroquinolones, target two enzymes, DNA gyrase and topoisomerase IV, and inhibit the control of DNA supercoiling/decatenation, leading to impaired DNA replication and bacterial cell death. Since their initial discovery, many quinolones and fluoroquinolones have been developed with activity against a wide range of bacterial species, contributing significantly to the treatment of various infectious diseases worldwide. Fluoroquinolones such as levofloxacin and ciprofloxacin remain important and effective therapeutic options today due to their broad-spectrum antibacterial activity, chemical stability and high bioavailability. However, side effects of fluoroquinolones have become a concern, leading to warnings being issued in the United States, Europe and the United Kingdom. Furthermore, in many countries, the prevalence of fluoroquinolone-resistant bacteria has been steadily increasing each year, which poses a serious threat to public health. The clinical development of new non-quinolone bacterial topoisomerase inhibitors (for example, zoliflodacin, gepotidacin and fobrepodacin) offers a promising solution to these issues and has the potential to play a crucial role in combating the growing problem of antimicrobial resistance. This review article will discuss the evolution of quinolone and fluoroquinolone antibacterial agents as key topoisomerase inhibitors, examine their current clinical applications and challenges to future development, and explore the potential of new topoisomerase inhibitors.&quot;,&quot;publisher&quot;:&quot;Oxford University Press&quot;,&quot;issue&quot;:&quot;3&quot;,&quot;volume&quot;:&quot;81&quot;,&quot;container-title-short&quot;:&quot;&quot;},&quot;isTemporary&quot;:false},{&quot;id&quot;:&quot;48969797-8d26-37a7-b206-1eb830e28113&quot;,&quot;itemData&quot;:{&quot;type&quot;:&quot;report&quot;,&quot;id&quot;:&quot;48969797-8d26-37a7-b206-1eb830e28113&quot;,&quot;title&quot;:&quot;The resistance mechanisms of bacteria against ciprofloxacin and new approaches for enhancing the efficacy of this antibiotic&quot;,&quot;author&quot;:[{&quot;family&quot;:&quot;Osman&quot;,&quot;given&quot;:&quot;Marwan&quot;,&quot;parse-names&quot;:false,&quot;dropping-particle&quot;:&quot;&quot;,&quot;non-dropping-particle&quot;:&quot;&quot;},{&quot;family&quot;:&quot;Chusri&quot;,&quot;given&quot;:&quot;Sarunyou&quot;,&quot;parse-names&quot;:false,&quot;dropping-particle&quot;:&quot;&quot;,&quot;non-dropping-particle&quot;:&quot;&quot;},{&quot;family&quot;:&quot;Heidary&quot;,&quot;given&quot;:&quot;Mohsen&quot;,&quot;parse-names&quot;:false,&quot;dropping-particle&quot;:&quot;&quot;,&quot;non-dropping-particle&quot;:&quot;&quot;},{&quot;family&quot;:&quot;Khoshnood&quot;,&quot;given&quot;:&quot;Saeed&quot;,&quot;parse-names&quot;:false,&quot;dropping-particle&quot;:&quot;&quot;,&quot;non-dropping-particle&quot;:&quot;&quot;}],&quot;abstract&quot;:&quot;The resistance mechanisms of bacteria against ciprofloxacin and new approaches for enhancing the eecacy of this antibiotic. Front.&quot;,&quot;container-title-short&quot;:&quot;&quot;},&quot;isTemporary&quot;:false}]},{&quot;citationID&quot;:&quot;MENDELEY_CITATION_2d419968-60ba-4336-8ba1-9ecf900a0202&quot;,&quot;properties&quot;:{&quot;noteIndex&quot;:0},&quot;isEdited&quot;:false,&quot;manualOverride&quot;:{&quot;isManuallyOverridden&quot;:false,&quot;citeprocText&quot;:&quot;(Kashyap et al., 2022)&quot;,&quot;manualOverrideText&quot;:&quot;&quot;},&quot;citationTag&quot;:&quot;MENDELEY_CITATION_v3_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&quot;,&quot;citationItems&quot;:[{&quot;id&quot;:&quot;dc30af8b-83ef-3f9b-98ec-bea1ceb90396&quot;,&quot;itemData&quot;:{&quot;type&quot;:&quot;article-journal&quot;,&quot;id&quot;:&quot;dc30af8b-83ef-3f9b-98ec-bea1ceb90396&quot;,&quot;title&quot;:&quot;Ciprofloxacin-induced cutaneous adverse drug events: a systematic review of descriptive studies&quot;,&quot;author&quot;:[{&quot;family&quot;:&quot;Kashyap&quot;,&quot;given&quot;:&quot;Ananth&quot;,&quot;parse-names&quot;:false,&quot;dropping-particle&quot;:&quot;&quot;,&quot;non-dropping-particle&quot;:&quot;&quot;},{&quot;family&quot;:&quot;Sreenivasan&quot;,&quot;given&quot;:&quot;Sahana&quot;,&quot;parse-names&quot;:false,&quot;dropping-particle&quot;:&quot;&quot;,&quot;non-dropping-particle&quot;:&quot;&quot;},{&quot;family&quot;:&quot;Rajan&quot;,&quot;given&quot;:&quot;Asha K&quot;,&quot;parse-names&quot;:false,&quot;dropping-particle&quot;:&quot;&quot;,&quot;non-dropping-particle&quot;:&quot;&quot;},{&quot;family&quot;:&quot;Rashid&quot;,&quot;given&quot;:&quot;Muhammed&quot;,&quot;parse-names&quot;:false,&quot;dropping-particle&quot;:&quot;&quot;,&quot;non-dropping-particle&quot;:&quot;&quot;},{&quot;family&quot;:&quot;Chhabra&quot;,&quot;given&quot;:&quot;Manik&quot;,&quot;parse-names&quot;:false,&quot;dropping-particle&quot;:&quot;&quot;,&quot;non-dropping-particle&quot;:&quot;&quot;}],&quot;container-title&quot;:&quot;Journal of Basic and Clinical Physiology and Pharmacology&quot;,&quot;container-title-short&quot;:&quot;J. Basic Clin. Physiol. Pharmacol.&quot;,&quot;DOI&quot;:&quot;10.1515/jbcpp-2020-0115&quot;,&quot;ISSN&quot;:&quot;2191-0286&quot;,&quot;issued&quot;:{&quot;date-parts&quot;:[[2022,5,23]]},&quot;page&quot;:&quot;327-346&quot;,&quot;issue&quot;:&quot;3&quot;,&quot;volume&quot;:&quot;33&quot;},&quot;isTemporary&quot;:false}]},{&quot;citationID&quot;:&quot;MENDELEY_CITATION_f32552ff-4f68-4a65-b3fa-23367a8fea00&quot;,&quot;properties&quot;:{&quot;noteIndex&quot;:0},&quot;isEdited&quot;:false,&quot;manualOverride&quot;:{&quot;isManuallyOverridden&quot;:false,&quot;citeprocText&quot;:&quot;(Rusu et al., 2023)&quot;,&quot;manualOverrideText&quot;:&quot;&quot;},&quot;citationTag&quot;:&quot;MENDELEY_CITATION_v3_eyJjaXRhdGlvbklEIjoiTUVOREVMRVlfQ0lUQVRJT05fZjMyNTUyZmYtNGY2OC00YTY1LWIzZmEtMjMzNjdhOGZlYTAwIiwicHJvcGVydGllcyI6eyJub3RlSW5kZXgiOjB9LCJpc0VkaXRlZCI6ZmFsc2UsIm1hbnVhbE92ZXJyaWRlIjp7ImlzTWFudWFsbHlPdmVycmlkZGVuIjpmYWxzZSwiY2l0ZXByb2NUZXh0IjoiK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V19&quot;,&quot;citationItems&quot;:[{&quot;id&quot;:&quot;358d4a86-8582-3c0f-806e-533de39fa701&quot;,&quot;itemData&quot;:{&quot;type&quot;:&quot;article-journal&quot;,&quot;id&quot;:&quot;358d4a86-8582-3c0f-806e-533de39fa701&quot;,&quot;title&quot;:&quot;Overview of Side-Effects of Antibacterial Fluoroquinolones: New Drugs versus Old Drugs, a Step Forward in the Safety Profile?&quot;,&quot;author&quot;:[{&quot;family&quot;:&quot;Rusu&quot;,&quot;given&quot;:&quot;Aura&quot;,&quot;parse-names&quot;:false,&quot;dropping-particle&quot;:&quot;&quot;,&quot;non-dropping-particle&quot;:&quot;&quot;},{&quot;family&quot;:&quot;Munteanu&quot;,&quot;given&quot;:&quot;Alexandra-Cristina&quot;,&quot;parse-names&quot;:false,&quot;dropping-particle&quot;:&quot;&quot;,&quot;non-dropping-particle&quot;:&quot;&quot;},{&quot;family&quot;:&quot;Arbănași&quot;,&quot;given&quot;:&quot;Eliza-Mihaela&quot;,&quot;parse-names&quot;:false,&quot;dropping-particle&quot;:&quot;&quot;,&quot;non-dropping-particle&quot;:&quot;&quot;},{&quot;family&quot;:&quot;Uivarosi&quot;,&quot;given&quot;:&quot;Valentina&quot;,&quot;parse-names&quot;:false,&quot;dropping-particle&quot;:&quot;&quot;,&quot;non-dropping-particle&quot;:&quot;&quot;}],&quot;container-title&quot;:&quot;Pharmaceutics&quot;,&quot;container-title-short&quot;:&quot;Pharmaceutics&quot;,&quot;DOI&quot;:&quot;10.3390/pharmaceutics15030804&quot;,&quot;ISSN&quot;:&quot;1999-4923&quot;,&quot;PMID&quot;:&quot;36986665&quot;,&quot;issued&quot;:{&quot;date-parts&quot;:[[2023,3,1]]},&quot;abstract&quot;:&quot;Antibacterial fluoroquinolones (FQs) are frequently used in treating infections. However, the value of FQs is debatable due to their association with severe adverse effects (AEs). The Food and Drug Administration (FDA) issued safety warnings concerning their side-effects in 2008, followed by the European Medicine Agency (EMA) and regulatory authorities from other countries. Severe AEs associated with some FQs have been reported, leading to their withdrawal from the market. New systemic FQs have been recently approved. The FDA and EMA approved delafloxacin. Additionally, lascufloxacin, levonadifloxacin, nemonoxacin, sitafloxacin, and zabofloxacin were approved in their origin countries. The relevant AEs of FQs and their mechanisms of occurrence have been approached. New systemic FQs present potent antibacterial activity against many resistant bacteria (including resistance to FQs). Generally, in clinical studies, the new FQs were well-tolerated with mild or moderate AEs. All the new FQs approved in the origin countries require more clinical studies to meet FDA or EMA requirements. Post-marketing surveillance will confirm or infirm the known safety profile of these new antibacterial drugs. The main AEs of the FQs class were addressed, highlighting the existing data for the recently approved ones. In addition, the general management of AEs when they occur and the rational use and caution of modern FQs were outlined.&quot;,&quot;issue&quot;:&quot;3&quot;,&quot;volume&quot;:&quot;15&quot;},&quot;isTemporary&quot;:false}]},{&quot;citationID&quot;:&quot;MENDELEY_CITATION_f5acb79f-d136-476f-b817-a24350a434bd&quot;,&quot;properties&quot;:{&quot;noteIndex&quot;:0},&quot;isEdited&quot;:false,&quot;manualOverride&quot;:{&quot;isManuallyOverridden&quot;:false,&quot;citeprocText&quot;:&quot;(Iliyas et al., 2018)&quot;,&quot;manualOverrideText&quot;:&quot;&quot;},&quot;citationTag&quot;:&quot;MENDELEY_CITATION_v3_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&quot;,&quot;citationItems&quot;:[{&quot;id&quot;:&quot;6d4f3ce3-0e70-3509-8c29-afc6b94ce360&quot;,&quot;itemData&quot;:{&quot;type&quot;:&quot;article-journal&quot;,&quot;id&quot;:&quot;6d4f3ce3-0e70-3509-8c29-afc6b94ce360&quot;,&quot;title&quot;:&quot;Ciprofloxacin-induced generalised non-bullous fixed drug eruption.&quot;,&quot;author&quot;:[{&quot;family&quot;:&quot;Iliyas&quot;,&quot;given&quot;:&quot;Mohamed&quot;,&quot;parse-names&quot;:false,&quot;dropping-particle&quot;:&quot;&quot;,&quot;non-dropping-particle&quot;:&quot;&quot;},{&quot;family&quot;:&quot;Ram Subba Reddy&quot;,&quot;given&quot;:&quot;Mudda&quot;,&quot;parse-names&quot;:false,&quot;dropping-particle&quot;:&quot;&quot;,&quot;non-dropping-particle&quot;:&quot;&quot;},{&quot;family&quot;:&quot;Devi&quot;,&quot;given&quot;:&quot;Uma&quot;,&quot;parse-names&quot;:false,&quot;dropping-particle&quot;:&quot;&quot;,&quot;non-dropping-particle&quot;:&quot;&quot;}],&quot;container-title&quot;:&quot;BMJ case reports&quot;,&quot;container-title-short&quot;:&quot;BMJ Case Rep.&quot;,&quot;DOI&quot;:&quot;10.1136/bcr-2018-224858&quot;,&quot;ISSN&quot;:&quot;1757-790X&quot;,&quot;PMID&quot;:&quot;29866687&quot;,&quot;issued&quot;:{&quot;date-parts&quot;:[[2018,6,4]]},&quot;abstract&quot;:&quot;Ciprofloxacin, a very common antibiotic used in our day-to-day practice can cause adverse cutaneous reactions in 1-2% of patients. Photosensitivity, urticaria and maculopapular rash are the usual skin reactions. Fixed drug eruption (FDE) is an uncommon side effect of ciprofloxacin. Ciprofloxacin-induced generalised bullous FDEs have been very rarely reported in the literature. We report one such case of a young man who developed generalised non-bullous FDEs after treatment with ciprofloxacin.&quot;,&quot;volume&quot;:&quot;2018&quot;},&quot;isTemporary&quot;:false}]},{&quot;citationID&quot;:&quot;MENDELEY_CITATION_c808ac8c-7ebc-4b41-ae43-ed2e7a5b2309&quot;,&quot;properties&quot;:{&quot;noteIndex&quot;:0},&quot;isEdited&quot;:false,&quot;manualOverride&quot;:{&quot;isManuallyOverridden&quot;:false,&quot;citeprocText&quot;:&quot;(Collins et al., 2024; Hooper &amp;#38; Jacoby, 2016)&quot;,&quot;manualOverrideText&quot;:&quot;&quot;},&quot;citationTag&quot;:&quot;MENDELEY_CITATION_v3_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&quot;,&quot;citationItems&quot;:[{&quot;id&quot;:&quot;ba21805e-28f5-3ddd-bb4c-133e6b52d451&quot;,&quot;itemData&quot;:{&quot;type&quot;:&quot;article-journal&quot;,&quot;id&quot;:&quot;ba21805e-28f5-3ddd-bb4c-133e6b52d451&quot;,&quot;title&quot;:&quot;Topoisomerase inhibitors: Fluoroquinolone mechanisms of action and resistance&quot;,&quot;author&quot;:[{&quot;family&quot;:&quot;Hooper&quot;,&quot;given&quot;:&quot;David C.&quot;,&quot;parse-names&quot;:false,&quot;dropping-particle&quot;:&quot;&quot;,&quot;non-dropping-particle&quot;:&quot;&quot;},{&quot;family&quot;:&quot;Jacoby&quot;,&quot;given&quot;:&quot;George A.&quot;,&quot;parse-names&quot;:false,&quot;dropping-particle&quot;:&quot;&quot;,&quot;non-dropping-particle&quot;:&quot;&quot;}],&quot;container-title&quot;:&quot;Cold Spring Harbor Perspectives in Medicine&quot;,&quot;container-title-short&quot;:&quot;Cold Spring Harb. Perspect. Med.&quot;,&quot;DOI&quot;:&quot;10.1101/cshperspect.a025320&quot;,&quot;ISSN&quot;:&quot;21571422&quot;,&quot;PMID&quot;:&quot;27449972&quot;,&quot;issued&quot;:{&quot;date-parts&quot;:[[2016,9,1]]},&quot;abstract&quot;:&quot;Quinolone antimicrobials are widely used in clinical medicine and are the only current class of agents that directly inhibit bacterial DNA synthesis. Quinolones dually target DNA gyrase and topoisomerase IV binding to specific domains and conformations so as to block DNA strand passage catalysis and stabilize DNA-enzyme complexes that block the DNA replication apparatus and generate double breaks inDNA that underlie their bactericidal activity. Resistance has emerged with clinical use of these agents and is common in some bacterial pathogens. Mechanisms of resistance include mutational alterations in drug target affinity and efflux pump expression and acquisition of resistance-conferring genes. Resistance mutations in one or both of the two drug target enzymes are commonly in a localized domain of the GyrA and ParC subunits of gyrase and topoisomerase IV, respectively, and reduce drug binding to the enzyme-DNA complex. Other resistance mutations occur in regulatory genes that control the expression of native efflux pumps localized in the bacterial membrane(s). These pumps have broad substrate profiles that include other antimicrobials as well as quinolones. Mutations of both types can accumulate with selection pressure and produce highly resistant strains. Resistance genes acquired on plasmids confer low-level resistance that promotes the selection of mutational high-level resistance. Plasmid-encoded resistance is because of Qnr proteins that protect the target enzymes from quinolone action, a mutant aminoglycoside-modifying enzyme that also modifies certain quinolones, and mobile efflux pumps. Plasmids with these mechanisms often encode additional antimicrobial resistances and can transfer multidrug resistance that includes quinolones.&quot;,&quot;publisher&quot;:&quot;Cold Spring Harbor Laboratory Press&quot;,&quot;issue&quot;:&quot;9&quot;,&quot;volume&quot;:&quot;6&quot;},&quot;isTemporary&quot;:false},{&quot;id&quot;:&quot;5cdcb822-3a25-3b71-8030-1cf0997340fa&quot;,&quot;itemData&quot;:{&quot;type&quot;:&quot;article-journal&quot;,&quot;id&quot;:&quot;5cdcb822-3a25-3b71-8030-1cf0997340fa&quot;,&quot;title&quot;:&quot;Target-Mediated Fluoroquinolone Resistance in Neisseria gonorrhoeae: Actions of Ciprofloxacin against Gyrase and Topoisomerase IV&quot;,&quot;author&quot;:[{&quot;family&quot;:&quot;Collins&quot;,&quot;given&quot;:&quot;Jessica A.&quot;,&quot;parse-names&quot;:false,&quot;dropping-particle&quot;:&quot;&quot;,&quot;non-dropping-particle&quot;:&quot;&quot;},{&quot;family&quot;:&quot;Oviatt&quot;,&quot;given&quot;:&quot;Alexandria A.&quot;,&quot;parse-names&quot;:false,&quot;dropping-particle&quot;:&quot;&quot;,&quot;non-dropping-particle&quot;:&quot;&quot;},{&quot;family&quot;:&quot;Chan&quot;,&quot;given&quot;:&quot;Pan F.&quot;,&quot;parse-names&quot;:false,&quot;dropping-particle&quot;:&quot;&quot;,&quot;non-dropping-particle&quot;:&quot;&quot;},{&quot;family&quot;:&quot;Osheroff&quot;,&quot;given&quot;:&quot;Neil&quot;,&quot;parse-names&quot;:false,&quot;dropping-particle&quot;:&quot;&quot;,&quot;non-dropping-particle&quot;:&quot;&quot;}],&quot;container-title&quot;:&quot;ACS Infectious Diseases&quot;,&quot;container-title-short&quot;:&quot;ACS Infect. Dis.&quot;,&quot;DOI&quot;:&quot;10.1021/acsinfecdis.4c00041&quot;,&quot;ISSN&quot;:&quot;23738227&quot;,&quot;PMID&quot;:&quot;38606464&quot;,&quot;issued&quot;:{&quot;date-parts&quot;:[[2024,4,12]]},&quot;page&quot;:&quot;1351-1360&quot;,&quot;abstract&quot;:&quot;Fluoroquinolones make up a critically important class of antibacterials administered worldwide to treat human infections. However, their clinical utility has been curtailed by target-mediated resistance, which is caused by mutations in the fluoroquinolone targets, gyrase and topoisomerase IV. An important pathogen that has been affected by this resistance is Neisseria gonorrhoeae, the causative agent of gonorrhea. Over 82 million new cases of this sexually transmitted infection were reported globally in 2020. Despite the impact of fluoroquinolone resistance on gonorrhea treatment, little is known about the interactions of this drug class with its targets in this bacterium. Therefore, we investigated the effects of the fluoroquinolone ciprofloxacin on the catalytic and DNA cleavage activities of wild-type gyrase and topoisomerase IV and the corresponding enzymes that harbor mutations associated with cellular and clinical resistance to fluoroquinolones. Results indicate that ciprofloxacin interacts with both gyrase (its primary target) and topoisomerase IV (its secondary target) through a water-metal ion bridge that has been described in other species. Moreover, mutations in amino acid residues that anchor this bridge diminish the susceptibility of the enzymes for the drug, leading to fluoroquinolone resistance. Results further suggest that ciprofloxacin primarily induces its cytotoxic effects by enhancing gyrase-mediated DNA cleavage as opposed to inhibiting the DNA supercoiling activity of the enzyme. In conclusion, this work links the effects of ciprofloxacin on wild-type and resistant gyrase to results reported for cellular and clinical studies and provides a mechanistic explanation for the targeting and resistance of fluoroquinolones in N. gonorrhoeae.&quot;,&quot;publisher&quot;:&quot;American Chemical Society&quot;,&quot;issue&quot;:&quot;4&quot;,&quot;volume&quot;:&quot;10&quot;},&quot;isTemporary&quot;:false}]},{&quot;citationID&quot;:&quot;MENDELEY_CITATION_b8c056a5-e69a-4f44-919a-4e08abd73495&quot;,&quot;properties&quot;:{&quot;noteIndex&quot;:0},&quot;isEdited&quot;:false,&quot;manualOverride&quot;:{&quot;isManuallyOverridden&quot;:false,&quot;citeprocText&quot;:&quot;(Baggio &amp;#38; Ananda-Rajah, 2021)&quot;,&quot;manualOverrideText&quot;:&quot;&quot;},&quot;citationTag&quot;:&quot;MENDELEY_CITATION_v3_eyJjaXRhdGlvbklEIjoiTUVOREVMRVlfQ0lUQVRJT05fYjhjMDU2YTUtZTY5YS00ZjQ0LTkxOWEtNGUwOGFiZDczNDk1IiwicHJvcGVydGllcyI6eyJub3RlSW5kZXgiOjB9LCJpc0VkaXRlZCI6ZmFsc2UsIm1hbnVhbE92ZXJyaWRlIjp7ImlzTWFudWFsbHlPdmVycmlkZGVuIjpmYWxzZSwiY2l0ZXByb2NUZXh0IjoiKEJhZ2dpbyAmIzM4OyBBbmFuZGEtUmFqYWgsIDIwMjEpIiwibWFudWFsT3ZlcnJpZGVUZXh0IjoiIn0sImNpdGF0aW9uSXRlbXMiOlt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quot;,&quot;citationItems&quot;:[{&quot;id&quot;:&quot;956ed2af-c7b3-309b-81cd-b775e881e650&quot;,&quot;itemData&quot;:{&quot;type&quot;:&quot;article-journal&quot;,&quot;id&quot;:&quot;956ed2af-c7b3-309b-81cd-b775e881e650&quot;,&quot;title&quot;:&quot;Fluoroquinolone antibiotics and adverse events&quot;,&quot;author&quot;:[{&quot;family&quot;:&quot;Baggio&quot;,&quot;given&quot;:&quot;Diva&quot;,&quot;parse-names&quot;:false,&quot;dropping-particle&quot;:&quot;&quot;,&quot;non-dropping-particle&quot;:&quot;&quot;},{&quot;family&quot;:&quot;Ananda-Rajah&quot;,&quot;given&quot;:&quot;Michelle R.&quot;,&quot;parse-names&quot;:false,&quot;dropping-particle&quot;:&quot;&quot;,&quot;non-dropping-particle&quot;:&quot;&quot;}],&quot;container-title&quot;:&quot;Australian Prescriber&quot;,&quot;container-title-short&quot;:&quot;Aust. Prescr.&quot;,&quot;DOI&quot;:&quot;10.18773/austprescr.2021.035&quot;,&quot;ISSN&quot;:&quot;18393942&quot;,&quot;issued&quot;:{&quot;date-parts&quot;:[[2021,10,1]]},&quot;page&quot;:&quot;161-164&quot;,&quot;abstract&quot;:&quot;Fluoroquinolones are broad-spectrum antibiotics with good oral bioavailability. They are used for the treatment of a wide variety of infections, but there are restrictions on prescribing these drugs. Epidemiological studies have reported an increased risk of rare adverse effects. These include tendinopathy and tendon rupture, peripheral neuropathy and aortic aneurysm. Safe prescribing of fluroquinolones requires recognition of patients with risk factors for toxicity. Prompt drug discontinuation is recommended in the event of an adverse reaction. Practising antimicrobial stewardship by prescribing fluoroquinolones only when alternative drugs are unavailable is also key to limiting adverse events and antibiotic resistance.&quot;,&quot;publisher&quot;:&quot;NPS MedicineWise&quot;,&quot;issue&quot;:&quot;5&quot;,&quot;volume&quot;:&quot;44&quot;},&quot;isTemporary&quot;:false}]},{&quot;citationID&quot;:&quot;MENDELEY_CITATION_90a87d44-da51-45ff-ba6b-1e3c3668f1d8&quot;,&quot;properties&quot;:{&quot;noteIndex&quot;:0},&quot;isEdited&quot;:false,&quot;manualOverride&quot;:{&quot;isManuallyOverridden&quot;:false,&quot;citeprocText&quot;:&quot;(Kulthanan et al., 2011)&quot;,&quot;manualOverrideText&quot;:&quot;&quot;},&quot;citationTag&quot;:&quot;MENDELEY_CITATION_v3_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&quot;,&quot;citationItems&quot;:[{&quot;id&quot;:&quot;29c92e81-6f44-37cd-a758-3e5fc237be67&quot;,&quot;itemData&quot;:{&quot;type&quot;:&quot;article-journal&quot;,&quot;id&quot;:&quot;29c92e81-6f44-37cd-a758-3e5fc237be67&quot;,&quot;title&quot;:&quot;Cutaneous adverse reactions to fluoroquinolones.&quot;,&quot;author&quot;:[{&quot;family&quot;:&quot;Kulthanan&quot;,&quot;given&quot;:&quot;Kanokvalai&quot;,&quot;parse-names&quot;:false,&quot;dropping-particle&quot;:&quot;&quot;,&quot;non-dropping-particle&quot;:&quot;&quot;},{&quot;family&quot;:&quot;Chularojanamontri&quot;,&quot;given&quot;:&quot;Leena&quot;,&quot;parse-names&quot;:false,&quot;dropping-particle&quot;:&quot;&quot;,&quot;non-dropping-particle&quot;:&quot;&quot;},{&quot;family&quot;:&quot;Manapajon&quot;,&quot;given&quot;:&quot;Araya&quot;,&quot;parse-names&quot;:false,&quot;dropping-particle&quot;:&quot;&quot;,&quot;non-dropping-particle&quot;:&quot;&quot;},{&quot;family&quot;:&quot;Dhana&quot;,&quot;given&quot;:&quot;Naruemon&quot;,&quot;parse-names&quot;:false,&quot;dropping-particle&quot;:&quot;&quot;,&quot;non-dropping-particle&quot;:&quot;&quot;},{&quot;family&quot;:&quot;Jongjarearnprasert&quot;,&quot;given&quot;:&quot;Kowit&quot;,&quot;parse-names&quot;:false,&quot;dropping-particle&quot;:&quot;&quot;,&quot;non-dropping-particle&quot;:&quot;&quot;}],&quot;container-title&quot;:&quot;Dermatitis : contact, atopic, occupational, drug&quot;,&quot;container-title-short&quot;:&quot;Dermatitis&quot;,&quot;ISSN&quot;:&quot;2162-5220&quot;,&quot;PMID&quot;:&quot;21569745&quot;,&quot;issued&quot;:{&quot;date-parts&quot;:[[2011,5]]},&quot;page&quot;:&quot;155-60&quot;,&quot;abstract&quot;:&quot;BACKGROUND To date, even though there are some large studies on adverse reactions related to fluoroquinolones, there is no comprehensive study focusing on cutaneous adverse drug reactions associated with their use. OBJECTIVE To demonstrate the pattern of cutaneous reaction related to the administration of each type of fluoroquinolone and to study the cross-sensitivity between various types of fluoroquinolones. METHODS Voluntary reports of any adverse events associated with fluoroquinolone use as reported from January 2004 to December 2008 and obtained from the Adverse Drug Reaction Center, Siriraj Hospital, Thailand, were reviewed. RESULTS Among 166,736 patients who had been treated with fluoroquinolones, the prevalences of adverse reaction and cutaneous adverse reaction were 0.13% and 0.09%, respectively. The prevalence of cutaneous reaction to individual fluoroquinolones varies between 0.04% and 0.37%. One hundred fifty-one subjects were enrolled. Most cutaneous reactions were attributed to ciprofloxacin (n = 93), and the most frequent adverse cutaneous reaction seen was maculopapular rash (39.7%). Thirteen cases (8.6%) involved a previous history of fluoroquinolone hypersensitivity; among these, 15.4% had cross-reactivity potential. CONCLUSION These data suggest that individual fluoroquinolones are responsible for different types and frequencies of cutaneous reactions, with some potentiality of cross-reactivity between different generations.&quot;,&quot;issue&quot;:&quot;3&quot;,&quot;volume&quot;:&quot;22&quot;},&quot;isTemporary&quot;:false}]},{&quot;citationID&quot;:&quot;MENDELEY_CITATION_da3794f8-450a-411c-8609-22887c251ee8&quot;,&quot;properties&quot;:{&quot;noteIndex&quot;:0},&quot;isEdited&quot;:false,&quot;manualOverride&quot;:{&quot;isManuallyOverridden&quot;:false,&quot;citeprocText&quot;:&quot;(Blanca-López et al., 2011; Neuman et al., 2015)&quot;,&quot;manualOverrideText&quot;:&quot;&quot;},&quot;citationTag&quot;:&quot;MENDELEY_CITATION_v3_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&quot;,&quot;citationItems&quot;:[{&quot;id&quot;:&quot;f4032fd6-b417-3a45-8dac-31c13a0a4e2e&quot;,&quot;itemData&quot;:{&quot;type&quot;:&quot;article-journal&quot;,&quot;id&quot;:&quot;f4032fd6-b417-3a45-8dac-31c13a0a4e2e&quot;,&quot;title&quot;:&quot;Quinolones-induced hypersensitivity reactions.&quot;,&quot;author&quot;:[{&quot;family&quot;:&quot;Neuman&quot;,&quot;given&quot;:&quot;Manuela G&quot;,&quot;parse-names&quot;:false,&quot;dropping-particle&quot;:&quot;&quot;,&quot;non-dropping-particle&quot;:&quot;&quot;},{&quot;family&quot;:&quot;Cohen&quot;,&quot;given&quot;:&quot;Lawrence B&quot;,&quot;parse-names&quot;:false,&quot;dropping-particle&quot;:&quot;&quot;,&quot;non-dropping-particle&quot;:&quot;&quot;},{&quot;family&quot;:&quot;Nanau&quot;,&quot;given&quot;:&quot;Radu M&quot;,&quot;parse-names&quot;:false,&quot;dropping-particle&quot;:&quot;&quot;,&quot;non-dropping-particle&quot;:&quot;&quot;}],&quot;container-title&quot;:&quot;Clinical biochemistry&quot;,&quot;container-title-short&quot;:&quot;Clin. Biochem.&quot;,&quot;DOI&quot;:&quot;10.1016/j.clinbiochem.2015.04.006&quot;,&quot;ISSN&quot;:&quot;1873-2933&quot;,&quot;PMID&quot;:&quot;25895484&quot;,&quot;issued&quot;:{&quot;date-parts&quot;:[[2015,7]]},&quot;page&quot;:&quot;716-39&quot;,&quot;abstract&quot;:&quot;UNLABELLED Quinolones are broad spectrum antibiotics that are intensively used and can induce immediate- and delayed-type hypersensitivity reactions, either IgE or T-cell mediated, in about 2-3% of treated patients. OBJECTIVE To better understand how T cells interact with quinolones to produce the hypersensitivity and to describe the possible prevention of the reactions. METHODS We search in PubMed for quinolones and adverse reactions naming each one of the therapeutics in use and the possible hypersensitivity reactions e.g., anaphylaxis, drug-induced delayed reactions, and hypersensitivity syndrome reactions. We also performed a search on organ-specific hypersensitivity reactions including cutaneous reactions, hepatic reactions, and renal reactions. RESULTS Our data show that T cells are involved in delayed immune reactions to quinolones and that cross-reactivity among the different quinolones is frequent. The predictive tests for quinolone-induced hypersensitivity should be used in patients before they are given the medication. CONCLUSIONS Early identification of the mechanism of toxicity, quantitative assessment using laboratory tests, analysis of risk factors for patient susceptibility to the quinolones, and possible drug-drug interactions may lead to appropriate patient selection for therapy, monitoring the injury early and discontinuation of the therapeutic agent.&quot;,&quot;issue&quot;:&quot;10-11&quot;,&quot;volume&quot;:&quot;48&quot;},&quot;isTemporary&quot;:false},{&quot;id&quot;:&quot;7936d5af-89db-3631-9e78-7cf0ccb0726f&quot;,&quot;itemData&quot;:{&quot;type&quot;:&quot;article-journal&quot;,&quot;id&quot;:&quot;7936d5af-89db-3631-9e78-7cf0ccb0726f&quot;,&quot;title&quot;:&quot;Hypersensitivity reactions to quinolones.&quot;,&quot;author&quot;:[{&quot;family&quot;:&quot;Blanca-López&quot;,&quot;given&quot;:&quot;Natalia&quot;,&quot;parse-names&quot;:false,&quot;dropping-particle&quot;:&quot;&quot;,&quot;non-dropping-particle&quot;:&quot;&quot;},{&quot;family&quot;:&quot;Andreu&quot;,&quot;given&quot;:&quot;Inmaculada&quot;,&quot;parse-names&quot;:false,&quot;dropping-particle&quot;:&quot;&quot;,&quot;non-dropping-particle&quot;:&quot;&quot;},{&quot;family&quot;:&quot;Torres Jaén&quot;,&quot;given&quot;:&quot;Maria J&quot;,&quot;parse-names&quot;:false,&quot;dropping-particle&quot;:&quot;&quot;,&quot;non-dropping-particle&quot;:&quot;&quot;}],&quot;container-title&quot;:&quot;Current opinion in allergy and clinical immunology&quot;,&quot;container-title-short&quot;:&quot;Curr. Opin. Allergy Clin. Immunol.&quot;,&quot;DOI&quot;:&quot;10.1097/ACI.0b013e3283489bc3&quot;,&quot;ISSN&quot;:&quot;1473-6322&quot;,&quot;PMID&quot;:&quot;21659860&quot;,&quot;issued&quot;:{&quot;date-parts&quot;:[[2011,8]]},&quot;page&quot;:&quot;285-91&quot;,&quot;abstract&quot;:&quot;PURPOSE OF REVIEW The purpose of this review is to examine in detail the new advances in the pathomechanisms and diagnosis of immediate and nonimmediate hypersensitivity reactions to quinolones, as well as analyze cross-reactivity among different quinolones. RECENT FINDINGS Hypersensitivity reactions to quinolones, especially anaphylactic reactions, have become more common in the past decade. This phenomenon could be related to their increased consumption. Although attempts have been made to standardize skin testing, the diagnosis of immediate hypersensitivity reactions to quinolones is mainly based on drug provocation. Some in-vitro, radioimmunoassay and basophil activation tests have also been used for diagnostic purposes, with results indicating that they could be complementary to in-vivo tests. Cross-reactivity seems to exist between first and second-generation quinolones, with lower levels with the third and fourth generations. However, no general rules exist for predicting cross-reactivity and it needs to be analyzed patient by patient. Nonimmediate hypersensitivity reactions also exist, especially maculopapular exanthema and fixed drug eruptions, and a T-cell mechanism has been demonstrated. SUMMARY Over the past decade the number of hypersensitivity reactions to quinolones has increased. These reactions can be severe and diagnosis difficult to confirm. Although new in-vitro tests hold promise, drug provocation testing remains the most frequently used and reliable diagnostic method.&quot;,&quot;issue&quot;:&quot;4&quot;,&quot;volume&quot;:&quot;11&quot;},&quot;isTemporary&quot;:false}]},{&quot;citationID&quot;:&quot;MENDELEY_CITATION_6e8bc8b0-caa5-41bd-be6f-f2fa53ed0a00&quot;,&quot;properties&quot;:{&quot;noteIndex&quot;:0},&quot;isEdited&quot;:false,&quot;manualOverride&quot;:{&quot;isManuallyOverridden&quot;:false,&quot;citeprocText&quot;:&quot;(Dhar &amp;#38; Sharma, 1996; Jain &amp;#38; Jain, 2013)&quot;,&quot;manualOverrideText&quot;:&quot;&quot;},&quot;citationTag&quot;:&quot;MENDELEY_CITATION_v3_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&quot;,&quot;citationItems&quot;:[{&quot;id&quot;:&quot;201e549a-100f-3716-9189-66685e65d415&quot;,&quot;itemData&quot;:{&quot;type&quot;:&quot;article-journal&quot;,&quot;id&quot;:&quot;201e549a-100f-3716-9189-66685e65d415&quot;,&quot;title&quot;:&quot;Fixed drug eruption due to ciprofloxacin.&quot;,&quot;author&quot;:[{&quot;family&quot;:&quot;Dhar&quot;,&quot;given&quot;:&quot;S&quot;,&quot;parse-names&quot;:false,&quot;dropping-particle&quot;:&quot;&quot;,&quot;non-dropping-particle&quot;:&quot;&quot;},{&quot;family&quot;:&quot;Sharma&quot;,&quot;given&quot;:&quot;V K&quot;,&quot;parse-names&quot;:false,&quot;dropping-particle&quot;:&quot;&quot;,&quot;non-dropping-particle&quot;:&quot;&quot;}],&quot;container-title&quot;:&quot;The British journal of dermatology&quot;,&quot;container-title-short&quot;:&quot;Br. J. Dermatol.&quot;,&quot;ISSN&quot;:&quot;0007-0963&quot;,&quot;PMID&quot;:&quot;8745905&quot;,&quot;issued&quot;:{&quot;date-parts&quot;:[[1996,1]]},&quot;page&quot;:&quot;156-8&quot;,&quot;abstract&quot;:&quot;We describe seven patients with fixed drug eruption (FDE) due to ciprofloxacin, five confirmed by rechallenge. These cases make up 8.75% of all cases of FDE seen by us during 1992-93. Isolated, and striking involvement of the lips was seen in two patients. To our knowledge, only a single case of FDE to ciprofloxacin previously has been reported. Our experience suggests that, with widespread use, ciprofloxacin could become one of the common drugs causing FDE.&quot;,&quot;issue&quot;:&quot;1&quot;,&quot;volume&quot;:&quot;134&quot;},&quot;isTemporary&quot;:false},{&quot;id&quot;:&quot;a65b49b3-2507-3d77-98c1-32844aad32a0&quot;,&quot;itemData&quot;:{&quot;type&quot;:&quot;article-journal&quot;,&quot;id&quot;:&quot;a65b49b3-2507-3d77-98c1-32844aad32a0&quot;,&quot;title&quot;:&quot;Bullous fixed drug eruption to ciprofloxacin: a case report.&quot;,&quot;author&quot;:[{&quot;family&quot;:&quot;Jain&quot;,&quot;given&quot;:&quot;Sonia Pramod&quot;,&quot;parse-names&quot;:false,&quot;dropping-particle&quot;:&quot;&quot;,&quot;non-dropping-particle&quot;:&quot;&quot;},{&quot;family&quot;:&quot;Jain&quot;,&quot;given&quot;:&quot;Pramod Ajit&quot;,&quot;parse-names&quot;:false,&quot;dropping-particle&quot;:&quot;&quot;,&quot;non-dropping-particle&quot;:&quot;&quot;}],&quot;container-title&quot;:&quot;Journal of clinical and diagnostic research : JCDR&quot;,&quot;container-title-short&quot;:&quot;J. Clin. Diagn. Res.&quot;,&quot;DOI&quot;:&quot;10.7860/JCDR/2013/4757.2901&quot;,&quot;ISSN&quot;:&quot;2249-782X&quot;,&quot;PMID&quot;:&quot;23730666&quot;,&quot;issued&quot;:{&quot;date-parts&quot;:[[2013,4]]},&quot;page&quot;:&quot;744-5&quot;,&quot;abstract&quot;:&quot;Adverse reactions to medications are extremely common and display a characteristic clinical morphology such as fixed drug eruption (FDE), Stevens-Johnson syndrome, urticaria, morbilliform exanthem, hypersensitivity syndrome, pigmentary changes, lichenoid, dermatitis, acute generalized exanthematous pustulosis, photosensitivity, vasculitis etc. Here we report a case of a 60 year old male who presented to us with multiple bullous eruptions over both the hands and feet after oral ingestion of ciprofloxacin.&quot;,&quot;issue&quot;:&quot;4&quot;,&quot;volume&quot;:&quot;7&quot;},&quot;isTemporary&quot;:false}]},{&quot;citationID&quot;:&quot;MENDELEY_CITATION_26e0c6da-aab9-4756-ad61-9f0076438a87&quot;,&quot;properties&quot;:{&quot;noteIndex&quot;:0},&quot;isEdited&quot;:false,&quot;manualOverride&quot;:{&quot;isManuallyOverridden&quot;:false,&quot;citeprocText&quot;:&quot;(Hausermann et al., 2005)&quot;,&quot;manualOverrideText&quot;:&quot;&quot;},&quot;citationTag&quot;:&quot;MENDELEY_CITATION_v3_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&quot;,&quot;citationItems&quot;:[{&quot;id&quot;:&quot;e76561e0-dc60-37c0-97d8-35fdcaba3d9a&quot;,&quot;itemData&quot;:{&quot;type&quot;:&quot;article-journal&quot;,&quot;id&quot;:&quot;e76561e0-dc60-37c0-97d8-35fdcaba3d9a&quot;,&quot;title&quot;:&quot;Ciprofloxacin-induced acute generalized exanthematous pustulosis mimicking bullous drug eruption confirmed by a positive patch test.&quot;,&quot;author&quot;:[{&quot;family&quot;:&quot;Hausermann&quot;,&quot;given&quot;:&quot;P&quot;,&quot;parse-names&quot;:false,&quot;dropping-particle&quot;:&quot;&quot;,&quot;non-dropping-particle&quot;:&quot;&quot;},{&quot;family&quot;:&quot;Scherer&quot;,&quot;given&quot;:&quot;K&quot;,&quot;parse-names&quot;:false,&quot;dropping-particle&quot;:&quot;&quot;,&quot;non-dropping-particle&quot;:&quot;&quot;},{&quot;family&quot;:&quot;Weber&quot;,&quot;given&quot;:&quot;M&quot;,&quot;parse-names&quot;:false,&quot;dropping-particle&quot;:&quot;&quot;,&quot;non-dropping-particle&quot;:&quot;&quot;},{&quot;family&quot;:&quot;Bircher&quot;,&quot;given&quot;:&quot;A J&quot;,&quot;parse-names&quot;:false,&quot;dropping-particle&quot;:&quot;&quot;,&quot;non-dropping-particle&quot;:&quot;&quot;}],&quot;container-title&quot;:&quot;Dermatology (Basel, Switzerland)&quot;,&quot;container-title-short&quot;:&quot;Dermatology&quot;,&quot;DOI&quot;:&quot;10.1159/000087024&quot;,&quot;ISSN&quot;:&quot;1018-8665&quot;,&quot;PMID&quot;:&quot;16205075&quot;,&quot;issued&quot;:{&quot;date-parts&quot;:[[2005]]},&quot;page&quot;:&quot;277-80&quot;,&quot;abstract&quot;:&quot;We report the case of an 80-year-old woman presenting with ciprofloxacin-induced acute generalized exanthematous pustulosis (AGEP) confirmed by a positive patch test. Cutaneous morphology, course and histological findings were consistent with a definite diagnosis according to the AGEP validation score of the EuroSCAR study group. We point to the rarity of quinolone-induced AGEP and discuss immunological mechanisms, the value of in vivo and in vitro tests as well as the main differential diagnosis. Furthermore, we highlight in this particular case the challenging differentiation from bullous drug eruption.&quot;,&quot;issue&quot;:&quot;3&quot;,&quot;volume&quot;:&quot;211&quot;},&quot;isTemporary&quot;:false}]},{&quot;citationID&quot;:&quot;MENDELEY_CITATION_6c1b5a23-ab02-4ab8-b57d-0dca6de7068f&quot;,&quot;properties&quot;:{&quot;noteIndex&quot;:0},&quot;isEdited&quot;:false,&quot;manualOverride&quot;:{&quot;isManuallyOverridden&quot;:false,&quot;citeprocText&quot;:&quot;(Naranjo et al., 1981)&quot;,&quot;manualOverrideText&quot;:&quot;&quot;},&quot;citationTag&quot;:&quot;MENDELEY_CITATION_v3_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&quot;,&quot;citationItems&quot;:[{&quot;id&quot;:&quot;bcc05313-f96e-3fa0-bb10-101fe5bf0786&quot;,&quot;itemData&quot;:{&quot;type&quot;:&quot;article-journal&quot;,&quot;id&quot;:&quot;bcc05313-f96e-3fa0-bb10-101fe5bf0786&quot;,&quot;title&quot;:&quot;A method for estimating the probability of adverse drug reactions.&quot;,&quot;author&quot;:[{&quot;family&quot;:&quot;Naranjo&quot;,&quot;given&quot;:&quot;C A&quot;,&quot;parse-names&quot;:false,&quot;dropping-particle&quot;:&quot;&quot;,&quot;non-dropping-particle&quot;:&quot;&quot;},{&quot;family&quot;:&quot;Busto&quot;,&quot;given&quot;:&quot;U&quot;,&quot;parse-names&quot;:false,&quot;dropping-particle&quot;:&quot;&quot;,&quot;non-dropping-particle&quot;:&quot;&quot;},{&quot;family&quot;:&quot;Sellers&quot;,&quot;given&quot;:&quot;E M&quot;,&quot;parse-names&quot;:false,&quot;dropping-particle&quot;:&quot;&quot;,&quot;non-dropping-particle&quot;:&quot;&quot;},{&quot;family&quot;:&quot;Sandor&quot;,&quot;given&quot;:&quot;P&quot;,&quot;parse-names&quot;:false,&quot;dropping-particle&quot;:&quot;&quot;,&quot;non-dropping-particle&quot;:&quot;&quot;},{&quot;family&quot;:&quot;Ruiz&quot;,&quot;given&quot;:&quot;I&quot;,&quot;parse-names&quot;:false,&quot;dropping-particle&quot;:&quot;&quot;,&quot;non-dropping-particle&quot;:&quot;&quot;},{&quot;family&quot;:&quot;Roberts&quot;,&quot;given&quot;:&quot;E A&quot;,&quot;parse-names&quot;:false,&quot;dropping-particle&quot;:&quot;&quot;,&quot;non-dropping-particle&quot;:&quot;&quot;},{&quot;family&quot;:&quot;Janecek&quot;,&quot;given&quot;:&quot;E&quot;,&quot;parse-names&quot;:false,&quot;dropping-particle&quot;:&quot;&quot;,&quot;non-dropping-particle&quot;:&quot;&quot;},{&quot;family&quot;:&quot;Domecq&quot;,&quot;given&quot;:&quot;C&quot;,&quot;parse-names&quot;:false,&quot;dropping-particle&quot;:&quot;&quot;,&quot;non-dropping-particle&quot;:&quot;&quot;},{&quot;family&quot;:&quot;Greenblatt&quot;,&quot;given&quot;:&quot;D J&quot;,&quot;parse-names&quot;:false,&quot;dropping-particle&quot;:&quot;&quot;,&quot;non-dropping-particle&quot;:&quot;&quot;}],&quot;container-title&quot;:&quot;Clinical pharmacology and therapeutics&quot;,&quot;container-title-short&quot;:&quot;Clin. Pharmacol. Ther.&quot;,&quot;DOI&quot;:&quot;10.1038/clpt.1981.154&quot;,&quot;ISSN&quot;:&quot;0009-9236&quot;,&quot;PMID&quot;:&quot;7249508&quot;,&quot;issued&quot;:{&quot;date-parts&quot;:[[1981,8]]},&quot;page&quot;:&quot;239-45&quot;,&quot;issue&quot;:&quot;2&quot;,&quot;volume&quot;:&quot;30&quot;},&quot;isTemporary&quot;:false}]},{&quot;citationID&quot;:&quot;MENDELEY_CITATION_e416c071-4d70-4ef3-87ca-c812a2c8a981&quot;,&quot;properties&quot;:{&quot;noteIndex&quot;:0},&quot;isEdited&quot;:false,&quot;manualOverride&quot;:{&quot;isManuallyOverridden&quot;:false,&quot;citeprocText&quot;:&quot;(Baggio &amp;#38; Ananda-Rajah, 2021; Rusu et al., 2023)&quot;,&quot;manualOverrideText&quot;:&quot;&quot;},&quot;citationTag&quot;:&quot;MENDELEY_CITATION_v3_eyJjaXRhdGlvbklEIjoiTUVOREVMRVlfQ0lUQVRJT05fZTQxNmMwNzEtNGQ3MC00ZWYzLTg3Y2EtYzgxMmEyYzhhOTgxIiwicHJvcGVydGllcyI6eyJub3RlSW5kZXgiOjB9LCJpc0VkaXRlZCI6ZmFsc2UsIm1hbnVhbE92ZXJyaWRlIjp7ImlzTWFudWFsbHlPdmVycmlkZGVuIjpmYWxzZSwiY2l0ZXByb2NUZXh0IjoiKEJhZ2dpbyAmIzM4OyBBbmFuZGEtUmFqYWgsIDIwMjE7I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Sx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quot;,&quot;citationItems&quot;:[{&quot;id&quot;:&quot;358d4a86-8582-3c0f-806e-533de39fa701&quot;,&quot;itemData&quot;:{&quot;type&quot;:&quot;article-journal&quot;,&quot;id&quot;:&quot;358d4a86-8582-3c0f-806e-533de39fa701&quot;,&quot;title&quot;:&quot;Overview of Side-Effects of Antibacterial Fluoroquinolones: New Drugs versus Old Drugs, a Step Forward in the Safety Profile?&quot;,&quot;author&quot;:[{&quot;family&quot;:&quot;Rusu&quot;,&quot;given&quot;:&quot;Aura&quot;,&quot;parse-names&quot;:false,&quot;dropping-particle&quot;:&quot;&quot;,&quot;non-dropping-particle&quot;:&quot;&quot;},{&quot;family&quot;:&quot;Munteanu&quot;,&quot;given&quot;:&quot;Alexandra-Cristina&quot;,&quot;parse-names&quot;:false,&quot;dropping-particle&quot;:&quot;&quot;,&quot;non-dropping-particle&quot;:&quot;&quot;},{&quot;family&quot;:&quot;Arbănași&quot;,&quot;given&quot;:&quot;Eliza-Mihaela&quot;,&quot;parse-names&quot;:false,&quot;dropping-particle&quot;:&quot;&quot;,&quot;non-dropping-particle&quot;:&quot;&quot;},{&quot;family&quot;:&quot;Uivarosi&quot;,&quot;given&quot;:&quot;Valentina&quot;,&quot;parse-names&quot;:false,&quot;dropping-particle&quot;:&quot;&quot;,&quot;non-dropping-particle&quot;:&quot;&quot;}],&quot;container-title&quot;:&quot;Pharmaceutics&quot;,&quot;container-title-short&quot;:&quot;Pharmaceutics&quot;,&quot;DOI&quot;:&quot;10.3390/pharmaceutics15030804&quot;,&quot;ISSN&quot;:&quot;1999-4923&quot;,&quot;PMID&quot;:&quot;36986665&quot;,&quot;issued&quot;:{&quot;date-parts&quot;:[[2023,3,1]]},&quot;abstract&quot;:&quot;Antibacterial fluoroquinolones (FQs) are frequently used in treating infections. However, the value of FQs is debatable due to their association with severe adverse effects (AEs). The Food and Drug Administration (FDA) issued safety warnings concerning their side-effects in 2008, followed by the European Medicine Agency (EMA) and regulatory authorities from other countries. Severe AEs associated with some FQs have been reported, leading to their withdrawal from the market. New systemic FQs have been recently approved. The FDA and EMA approved delafloxacin. Additionally, lascufloxacin, levonadifloxacin, nemonoxacin, sitafloxacin, and zabofloxacin were approved in their origin countries. The relevant AEs of FQs and their mechanisms of occurrence have been approached. New systemic FQs present potent antibacterial activity against many resistant bacteria (including resistance to FQs). Generally, in clinical studies, the new FQs were well-tolerated with mild or moderate AEs. All the new FQs approved in the origin countries require more clinical studies to meet FDA or EMA requirements. Post-marketing surveillance will confirm or infirm the known safety profile of these new antibacterial drugs. The main AEs of the FQs class were addressed, highlighting the existing data for the recently approved ones. In addition, the general management of AEs when they occur and the rational use and caution of modern FQs were outlined.&quot;,&quot;issue&quot;:&quot;3&quot;,&quot;volume&quot;:&quot;15&quot;},&quot;isTemporary&quot;:false},{&quot;id&quot;:&quot;956ed2af-c7b3-309b-81cd-b775e881e650&quot;,&quot;itemData&quot;:{&quot;type&quot;:&quot;article-journal&quot;,&quot;id&quot;:&quot;956ed2af-c7b3-309b-81cd-b775e881e650&quot;,&quot;title&quot;:&quot;Fluoroquinolone antibiotics and adverse events&quot;,&quot;author&quot;:[{&quot;family&quot;:&quot;Baggio&quot;,&quot;given&quot;:&quot;Diva&quot;,&quot;parse-names&quot;:false,&quot;dropping-particle&quot;:&quot;&quot;,&quot;non-dropping-particle&quot;:&quot;&quot;},{&quot;family&quot;:&quot;Ananda-Rajah&quot;,&quot;given&quot;:&quot;Michelle R.&quot;,&quot;parse-names&quot;:false,&quot;dropping-particle&quot;:&quot;&quot;,&quot;non-dropping-particle&quot;:&quot;&quot;}],&quot;container-title&quot;:&quot;Australian Prescriber&quot;,&quot;container-title-short&quot;:&quot;Aust. Prescr.&quot;,&quot;DOI&quot;:&quot;10.18773/austprescr.2021.035&quot;,&quot;ISSN&quot;:&quot;18393942&quot;,&quot;issued&quot;:{&quot;date-parts&quot;:[[2021,10,1]]},&quot;page&quot;:&quot;161-164&quot;,&quot;abstract&quot;:&quot;Fluoroquinolones are broad-spectrum antibiotics with good oral bioavailability. They are used for the treatment of a wide variety of infections, but there are restrictions on prescribing these drugs. Epidemiological studies have reported an increased risk of rare adverse effects. These include tendinopathy and tendon rupture, peripheral neuropathy and aortic aneurysm. Safe prescribing of fluroquinolones requires recognition of patients with risk factors for toxicity. Prompt drug discontinuation is recommended in the event of an adverse reaction. Practising antimicrobial stewardship by prescribing fluoroquinolones only when alternative drugs are unavailable is also key to limiting adverse events and antibiotic resistance.&quot;,&quot;publisher&quot;:&quot;NPS MedicineWise&quot;,&quot;issue&quot;:&quot;5&quot;,&quot;volume&quot;:&quot;44&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83</TotalTime>
  <Pages>6</Pages>
  <Words>2887</Words>
  <Characters>16459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19308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11</cp:revision>
  <cp:lastPrinted>1999-07-06T11:00:00Z</cp:lastPrinted>
  <dcterms:created xsi:type="dcterms:W3CDTF">2026-08-19T17:03:00Z</dcterms:created>
  <dcterms:modified xsi:type="dcterms:W3CDTF">2026-08-20T12:37:00Z</dcterms:modified>
</cp:coreProperties>
</file>