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84F20" w14:textId="482117B2" w:rsidR="003250BA" w:rsidRPr="007C5C3A" w:rsidRDefault="003250BA">
      <w:pPr>
        <w:rPr>
          <w:rFonts w:ascii="Times New Roman" w:hAnsi="Times New Roman" w:cs="Times New Roman"/>
          <w:b/>
          <w:bCs/>
          <w:sz w:val="24"/>
          <w:szCs w:val="24"/>
        </w:rPr>
      </w:pPr>
      <w:r w:rsidRPr="007C5C3A">
        <w:rPr>
          <w:rFonts w:ascii="Times New Roman" w:hAnsi="Times New Roman" w:cs="Times New Roman"/>
          <w:b/>
          <w:bCs/>
          <w:sz w:val="24"/>
          <w:szCs w:val="24"/>
        </w:rPr>
        <w:t xml:space="preserve">Protective Effects of </w:t>
      </w:r>
      <w:r w:rsidRPr="00614C73">
        <w:rPr>
          <w:rFonts w:ascii="Times New Roman" w:hAnsi="Times New Roman" w:cs="Times New Roman"/>
          <w:b/>
          <w:bCs/>
          <w:i/>
          <w:iCs/>
          <w:sz w:val="24"/>
          <w:szCs w:val="24"/>
        </w:rPr>
        <w:t>Syzygium aromaticum</w:t>
      </w:r>
      <w:r w:rsidRPr="007C5C3A">
        <w:rPr>
          <w:rFonts w:ascii="Times New Roman" w:hAnsi="Times New Roman" w:cs="Times New Roman"/>
          <w:b/>
          <w:bCs/>
          <w:sz w:val="24"/>
          <w:szCs w:val="24"/>
        </w:rPr>
        <w:t xml:space="preserve"> on Oxidative Stress Biomarkers Following Aluminium and Benzo[a]pyrene Toxicity</w:t>
      </w:r>
    </w:p>
    <w:p w14:paraId="1F70CC7C" w14:textId="77777777" w:rsidR="003250BA" w:rsidRPr="007C5C3A" w:rsidRDefault="003250BA">
      <w:pPr>
        <w:rPr>
          <w:rFonts w:ascii="Times New Roman" w:hAnsi="Times New Roman" w:cs="Times New Roman"/>
          <w:b/>
          <w:bCs/>
          <w:sz w:val="24"/>
          <w:szCs w:val="24"/>
        </w:rPr>
      </w:pPr>
    </w:p>
    <w:p w14:paraId="4966D36D" w14:textId="77777777" w:rsidR="0069107B" w:rsidRDefault="0069107B" w:rsidP="00F64C25">
      <w:pPr>
        <w:jc w:val="center"/>
        <w:rPr>
          <w:rFonts w:ascii="Times New Roman" w:hAnsi="Times New Roman" w:cs="Times New Roman"/>
          <w:b/>
          <w:bCs/>
          <w:sz w:val="24"/>
          <w:szCs w:val="24"/>
        </w:rPr>
      </w:pPr>
    </w:p>
    <w:p w14:paraId="4961965D" w14:textId="3426A3CE" w:rsidR="00F64C25" w:rsidRPr="007C5C3A" w:rsidRDefault="00F64C25" w:rsidP="00F64C25">
      <w:pPr>
        <w:jc w:val="center"/>
        <w:rPr>
          <w:rFonts w:ascii="Times New Roman" w:hAnsi="Times New Roman" w:cs="Times New Roman"/>
          <w:sz w:val="24"/>
          <w:szCs w:val="24"/>
        </w:rPr>
      </w:pPr>
      <w:r w:rsidRPr="007C5C3A">
        <w:rPr>
          <w:rFonts w:ascii="Times New Roman" w:hAnsi="Times New Roman" w:cs="Times New Roman"/>
          <w:b/>
          <w:bCs/>
          <w:sz w:val="24"/>
          <w:szCs w:val="24"/>
        </w:rPr>
        <w:t>ABSTRACT</w:t>
      </w:r>
    </w:p>
    <w:p w14:paraId="3FD249B9" w14:textId="11CCB3DB" w:rsidR="00F64C25" w:rsidRPr="007C5C3A" w:rsidRDefault="00F64C25" w:rsidP="00F64C25">
      <w:pPr>
        <w:jc w:val="both"/>
        <w:rPr>
          <w:rFonts w:ascii="Times New Roman" w:hAnsi="Times New Roman" w:cs="Times New Roman"/>
          <w:sz w:val="24"/>
          <w:szCs w:val="24"/>
        </w:rPr>
      </w:pPr>
      <w:r w:rsidRPr="007C5C3A">
        <w:rPr>
          <w:rFonts w:ascii="Times New Roman" w:hAnsi="Times New Roman" w:cs="Times New Roman"/>
          <w:sz w:val="24"/>
          <w:szCs w:val="24"/>
        </w:rPr>
        <w:t xml:space="preserve">Oxidative stress is a principal mechanism underlying the toxicity of environmental pollutants such as aluminium (Al) and benzo[a]pyrene (BaP), with co-exposure promoting excessive reactive oxygen species generation, lipid peroxidation, and depletion of antioxidant defenses.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(clove), a phenolic-rich medicinal plant with documented antioxidant properties, has not been adequately evaluated against oxidative damage from combined Al and BaP exposure. This study investigated the protective effects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extract on oxidative stress biomarkers in male Wistar rats exposed to combined Al and BaP toxicity. </w:t>
      </w:r>
      <w:r w:rsidR="007C5C3A">
        <w:rPr>
          <w:rFonts w:ascii="Times New Roman" w:hAnsi="Times New Roman" w:cs="Times New Roman"/>
          <w:sz w:val="24"/>
          <w:szCs w:val="24"/>
        </w:rPr>
        <w:t xml:space="preserve">54 </w:t>
      </w:r>
      <w:r w:rsidRPr="007C5C3A">
        <w:rPr>
          <w:rFonts w:ascii="Times New Roman" w:hAnsi="Times New Roman" w:cs="Times New Roman"/>
          <w:sz w:val="24"/>
          <w:szCs w:val="24"/>
        </w:rPr>
        <w:t xml:space="preserve">rats were allocated into nine groups (n = 6): normal control, Al-treated, BaP-treated, Al+BaP-treated, Al+BaP with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(1000, 1500, or 2000 mg/kg), S. aromaticum alone, and Al+BaP with ascorbic acid. Malondialdehyde (MDA), superoxide dismutase (SOD), catalase (CAT), glutathione peroxidase (GPx), and reduced glutathione (GSH) were determined using standard methods, with data analysed by one-way ANOVA and appropriate post hoc test (p &lt; 0.05). Al and BaP, individually and combined, significantly increased MDA while reducing SOD, CAT, GPx, and GSH, with combined exposure producing more pronounced damage.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dose-dependently attenuated lipid peroxidation and restored antioxidant enzyme activities, with the highest dose matching ascorbic acid's efficacy. These findings support </w:t>
      </w:r>
      <w:r w:rsidRPr="007C5C3A">
        <w:rPr>
          <w:rFonts w:ascii="Times New Roman" w:hAnsi="Times New Roman" w:cs="Times New Roman"/>
          <w:i/>
          <w:iCs/>
          <w:sz w:val="24"/>
          <w:szCs w:val="24"/>
        </w:rPr>
        <w:t>S.</w:t>
      </w:r>
      <w:r w:rsidRPr="007C5C3A">
        <w:rPr>
          <w:rFonts w:ascii="Times New Roman" w:hAnsi="Times New Roman" w:cs="Times New Roman"/>
          <w:sz w:val="24"/>
          <w:szCs w:val="24"/>
        </w:rPr>
        <w:t xml:space="preserve"> </w:t>
      </w:r>
      <w:r w:rsidRPr="007C5C3A">
        <w:rPr>
          <w:rFonts w:ascii="Times New Roman" w:hAnsi="Times New Roman" w:cs="Times New Roman"/>
          <w:i/>
          <w:iCs/>
          <w:sz w:val="24"/>
          <w:szCs w:val="24"/>
        </w:rPr>
        <w:t>aromaticum's</w:t>
      </w:r>
      <w:r w:rsidRPr="007C5C3A">
        <w:rPr>
          <w:rFonts w:ascii="Times New Roman" w:hAnsi="Times New Roman" w:cs="Times New Roman"/>
          <w:sz w:val="24"/>
          <w:szCs w:val="24"/>
        </w:rPr>
        <w:t xml:space="preserve"> therapeutic potential as a natural antioxidant against combined toxicant-induced oxidative injury.</w:t>
      </w:r>
    </w:p>
    <w:p w14:paraId="73993629" w14:textId="7132D3DE" w:rsidR="003250BA" w:rsidRPr="007C5C3A" w:rsidRDefault="003250BA" w:rsidP="003250BA">
      <w:pPr>
        <w:jc w:val="both"/>
        <w:rPr>
          <w:rFonts w:ascii="Times New Roman" w:hAnsi="Times New Roman" w:cs="Times New Roman"/>
          <w:sz w:val="24"/>
          <w:szCs w:val="24"/>
        </w:rPr>
      </w:pPr>
    </w:p>
    <w:p w14:paraId="57BFC4AB" w14:textId="77777777" w:rsidR="003250BA" w:rsidRPr="007C5C3A" w:rsidRDefault="003250BA" w:rsidP="003250BA">
      <w:pPr>
        <w:rPr>
          <w:rFonts w:ascii="Times New Roman" w:hAnsi="Times New Roman" w:cs="Times New Roman"/>
          <w:sz w:val="24"/>
          <w:szCs w:val="24"/>
        </w:rPr>
      </w:pPr>
      <w:r w:rsidRPr="007C5C3A">
        <w:rPr>
          <w:rFonts w:ascii="Times New Roman" w:hAnsi="Times New Roman" w:cs="Times New Roman"/>
          <w:b/>
          <w:bCs/>
          <w:sz w:val="24"/>
          <w:szCs w:val="24"/>
        </w:rPr>
        <w:t>Keywords:</w:t>
      </w:r>
      <w:r w:rsidRPr="007C5C3A">
        <w:rPr>
          <w:rFonts w:ascii="Times New Roman" w:hAnsi="Times New Roman" w:cs="Times New Roman"/>
          <w:sz w:val="24"/>
          <w:szCs w:val="24"/>
        </w:rPr>
        <w:t xml:space="preserve">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aluminium; benzo[a]pyrene; oxidative stress; malondialdehyde; antioxidant enzymes; reactive oxygen species; Wistar rats.</w:t>
      </w:r>
    </w:p>
    <w:p w14:paraId="42BFE962" w14:textId="773C386C"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1FBAB239" w14:textId="1FBAD94E" w:rsidR="003250BA" w:rsidRPr="007C5C3A" w:rsidRDefault="00A23E89" w:rsidP="00A23E89">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INTRODUCTION</w:t>
      </w:r>
    </w:p>
    <w:p w14:paraId="5853E8C8" w14:textId="5E2F5489"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Environmental pollution has become a major global public health concern owing to the increasing release of toxic chemicals into the ecosystem through industrialization, urbanization, agricultural activities, and fossil fuel combustion. Chronic exposure to environmental contaminants has been implicated in the pathogenesis of numerous diseases affecting the nervous, cardiovascular, hepatic, renal, and reproductive systems. Among the various mechanisms responsible for toxicant-induced tissue injury, oxidative stress has emerged as one of the most extensively studied and universally accepted pathways</w:t>
      </w:r>
      <w:r w:rsidR="00222CF6" w:rsidRPr="007C5C3A">
        <w:rPr>
          <w:rFonts w:ascii="Times New Roman" w:hAnsi="Times New Roman" w:cs="Times New Roman"/>
          <w:sz w:val="24"/>
          <w:szCs w:val="24"/>
        </w:rPr>
        <w:t xml:space="preserve"> (Adeniji et al., 2019; Amirdivani et al., 2019)</w:t>
      </w:r>
      <w:r w:rsidRPr="007C5C3A">
        <w:rPr>
          <w:rFonts w:ascii="Times New Roman" w:hAnsi="Times New Roman" w:cs="Times New Roman"/>
          <w:sz w:val="24"/>
          <w:szCs w:val="24"/>
        </w:rPr>
        <w:t>. Oxidative stress results from an imbalance between the production of reactive oxygen species (ROS) and the antioxidant defense system, leading to oxidative damage of lipids, proteins, nucleic acids, and cellular organelles. Persistent oxidative stress disrupts normal cellular homeostasis and contributes significantly to the initiation and progression of several pathological conditions.</w:t>
      </w:r>
    </w:p>
    <w:p w14:paraId="261623B7" w14:textId="55D0DCAD"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Aluminium (Al) is one of the most abundant metallic elements in the Earth's crust and is extensively utilized in food packaging, pharmaceuticals, water treatment, cosmetics, construction materials, and numerous industrial applications. Consequently, human exposure to aluminium has become virtually unavoidable through dietary intake, drinking water, occupational exposure, and environmental contamination. Although aluminium possesses no known physiological function in humans, excessive accumulation within biological tissues has been associated with neurotoxicity, hepatotoxicity, nephrotoxicity, immunotoxicity, and reproductive dysfunction</w:t>
      </w:r>
      <w:r w:rsidR="009972B2" w:rsidRPr="007C5C3A">
        <w:rPr>
          <w:rFonts w:ascii="Times New Roman" w:hAnsi="Times New Roman" w:cs="Times New Roman"/>
          <w:sz w:val="24"/>
          <w:szCs w:val="24"/>
        </w:rPr>
        <w:t xml:space="preserve"> </w:t>
      </w:r>
      <w:r w:rsidR="009972B2" w:rsidRPr="007C5C3A">
        <w:rPr>
          <w:rFonts w:ascii="Times New Roman" w:eastAsia="Times New Roman" w:hAnsi="Times New Roman" w:cs="Times New Roman"/>
          <w:bCs/>
          <w:sz w:val="24"/>
          <w:szCs w:val="24"/>
        </w:rPr>
        <w:t>(Rajeswari &amp; Sailaja, 2014; Mitra et al, 2022</w:t>
      </w:r>
      <w:r w:rsidRPr="007C5C3A">
        <w:rPr>
          <w:rFonts w:ascii="Times New Roman" w:hAnsi="Times New Roman" w:cs="Times New Roman"/>
          <w:sz w:val="24"/>
          <w:szCs w:val="24"/>
        </w:rPr>
        <w:t>. Experimental evidence suggests that aluminium toxicity is mediated primarily through excessive generation of reactive oxygen species, mitochondrial dysfunction, lipid peroxidation, impairment of antioxidant enzymes, and activation of inflammatory pathways. These oxidative events ultimately result in structural and functional damage to susceptible tissues.</w:t>
      </w:r>
    </w:p>
    <w:p w14:paraId="3A64DBE7" w14:textId="32251894"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Benzo[a]pyrene (BaP) is a high-molecular-weight polycyclic aromatic hydrocarbon (PAH) generated during the incomplete combustion of organic materials. Major sources of exposure include cigarette smoke, automobile exhaust, industrial emissions, grilled and smoked foods, crude oil combustion, and biomass burning</w:t>
      </w:r>
      <w:r w:rsidR="009972B2" w:rsidRPr="007C5C3A">
        <w:rPr>
          <w:rFonts w:ascii="Times New Roman" w:hAnsi="Times New Roman" w:cs="Times New Roman"/>
          <w:sz w:val="24"/>
          <w:szCs w:val="24"/>
        </w:rPr>
        <w:t xml:space="preserve"> (Jorge et al, 2021)</w:t>
      </w:r>
      <w:r w:rsidRPr="007C5C3A">
        <w:rPr>
          <w:rFonts w:ascii="Times New Roman" w:hAnsi="Times New Roman" w:cs="Times New Roman"/>
          <w:sz w:val="24"/>
          <w:szCs w:val="24"/>
        </w:rPr>
        <w:t>. Following absorption, BaP undergoes metabolic activation by cytochrome P450 enzymes to produce highly reactive intermediates capable of generating excessive reactive oxygen species and forming DNA adducts</w:t>
      </w:r>
      <w:r w:rsidR="007F3E63" w:rsidRPr="007C5C3A">
        <w:rPr>
          <w:rFonts w:ascii="Times New Roman" w:hAnsi="Times New Roman" w:cs="Times New Roman"/>
          <w:sz w:val="24"/>
          <w:szCs w:val="24"/>
        </w:rPr>
        <w:t xml:space="preserve"> (Traini et al, 2023)</w:t>
      </w:r>
      <w:r w:rsidRPr="007C5C3A">
        <w:rPr>
          <w:rFonts w:ascii="Times New Roman" w:hAnsi="Times New Roman" w:cs="Times New Roman"/>
          <w:sz w:val="24"/>
          <w:szCs w:val="24"/>
        </w:rPr>
        <w:t>. These metabolites induce oxidative stress, inflammation, apoptosis, and cellular dysfunction in multiple organs</w:t>
      </w:r>
      <w:r w:rsidR="009972B2" w:rsidRPr="007C5C3A">
        <w:rPr>
          <w:rFonts w:ascii="Times New Roman" w:hAnsi="Times New Roman" w:cs="Times New Roman"/>
          <w:sz w:val="24"/>
          <w:szCs w:val="24"/>
        </w:rPr>
        <w:t xml:space="preserve"> </w:t>
      </w:r>
      <w:r w:rsidR="009972B2" w:rsidRPr="007C5C3A">
        <w:rPr>
          <w:rFonts w:ascii="Times New Roman" w:eastAsiaTheme="minorEastAsia" w:hAnsi="Times New Roman" w:cs="Times New Roman"/>
          <w:sz w:val="24"/>
          <w:szCs w:val="24"/>
        </w:rPr>
        <w:t>(</w:t>
      </w:r>
      <w:r w:rsidR="009972B2" w:rsidRPr="007C5C3A">
        <w:rPr>
          <w:rFonts w:ascii="Times New Roman" w:hAnsi="Times New Roman" w:cs="Times New Roman"/>
          <w:sz w:val="24"/>
          <w:szCs w:val="24"/>
        </w:rPr>
        <w:t>Traini et al, 2023)</w:t>
      </w:r>
      <w:r w:rsidRPr="007C5C3A">
        <w:rPr>
          <w:rFonts w:ascii="Times New Roman" w:hAnsi="Times New Roman" w:cs="Times New Roman"/>
          <w:sz w:val="24"/>
          <w:szCs w:val="24"/>
        </w:rPr>
        <w:t>. Numerous toxicological studies have demonstrated that BaP exposure is associated with significant alterations in antioxidant defense mechanisms, increased lipid peroxidation, and progressive tissue injur</w:t>
      </w:r>
      <w:r w:rsidR="007F3E63" w:rsidRPr="007C5C3A">
        <w:rPr>
          <w:rFonts w:ascii="Times New Roman" w:hAnsi="Times New Roman" w:cs="Times New Roman"/>
          <w:sz w:val="24"/>
          <w:szCs w:val="24"/>
        </w:rPr>
        <w:t>y (Traini et al., 2023; Jorge et al., 2021).</w:t>
      </w:r>
    </w:p>
    <w:p w14:paraId="4A54FE24" w14:textId="2553FFC3"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In real-world environmental settings, humans are seldom exposed to a single toxicant. Rather, simultaneous exposure to multiple pollutants occurs through contaminated air, food, water, and occupational environments. Such combined exposure may produce additive or synergistic toxic effects that exceed those produced by individual toxicants because several contaminants converge on common molecular pathways, particularly oxidative stress and inflammation</w:t>
      </w:r>
      <w:r w:rsidR="007F3E63" w:rsidRPr="007C5C3A">
        <w:rPr>
          <w:rFonts w:ascii="Times New Roman" w:hAnsi="Times New Roman" w:cs="Times New Roman"/>
          <w:sz w:val="24"/>
          <w:szCs w:val="24"/>
        </w:rPr>
        <w:t xml:space="preserve"> (Zeng et al, 2022)</w:t>
      </w:r>
      <w:r w:rsidRPr="007C5C3A">
        <w:rPr>
          <w:rFonts w:ascii="Times New Roman" w:hAnsi="Times New Roman" w:cs="Times New Roman"/>
          <w:sz w:val="24"/>
          <w:szCs w:val="24"/>
        </w:rPr>
        <w:t xml:space="preserve">. Despite the widespread occurrence of both aluminium and benzo[a]pyrene, relatively few studies have investigated the biochemical consequences of their combined exposure. Understanding the interaction between these toxicants is essential for accurately </w:t>
      </w:r>
      <w:r w:rsidRPr="007C5C3A">
        <w:rPr>
          <w:rFonts w:ascii="Times New Roman" w:hAnsi="Times New Roman" w:cs="Times New Roman"/>
          <w:sz w:val="24"/>
          <w:szCs w:val="24"/>
        </w:rPr>
        <w:lastRenderedPageBreak/>
        <w:t>assessing environmental health risks and identifying effective therapeutic interventions capable of mitigating their cumulative toxicity.</w:t>
      </w:r>
    </w:p>
    <w:p w14:paraId="39A68106" w14:textId="475B4806"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Oxidative stress represents a critical mechanism underlying the toxicity of both aluminium and benzo[a]pyrene. Reactive oxygen species generated following toxicant exposure readily attack membrane phospholipids, resulting in lipid peroxidation and formation of malondialdehyde (MDA), a widely recognized biomarker of oxidative damage</w:t>
      </w:r>
      <w:r w:rsidR="00222CF6" w:rsidRPr="007C5C3A">
        <w:rPr>
          <w:rFonts w:ascii="Times New Roman" w:hAnsi="Times New Roman" w:cs="Times New Roman"/>
          <w:sz w:val="24"/>
          <w:szCs w:val="24"/>
        </w:rPr>
        <w:t xml:space="preserve"> (Dahiru et al., 2022)</w:t>
      </w:r>
      <w:r w:rsidRPr="007C5C3A">
        <w:rPr>
          <w:rFonts w:ascii="Times New Roman" w:hAnsi="Times New Roman" w:cs="Times New Roman"/>
          <w:sz w:val="24"/>
          <w:szCs w:val="24"/>
        </w:rPr>
        <w:t>. Concurrently, endogenous antioxidant defense systems become overwhelmed, leading to reduced activities of enzymatic antioxidants such as superoxide dismutase (SOD), catalase (CAT), and glutathione peroxidase (GPx), together with depletion of reduced glutathione (GSH), one of the principal non-enzymatic antioxidants responsible for maintaining intracellular redox homeostasis. The depletion of these antioxidant defenses further amplifies oxidative injury, perpetuating cellular dysfunction and tissue degeneration</w:t>
      </w:r>
      <w:r w:rsidR="007F3E63" w:rsidRPr="007C5C3A">
        <w:rPr>
          <w:rFonts w:ascii="Times New Roman" w:hAnsi="Times New Roman" w:cs="Times New Roman"/>
          <w:sz w:val="24"/>
          <w:szCs w:val="24"/>
        </w:rPr>
        <w:t xml:space="preserve"> (Mannucci et al, 2022)</w:t>
      </w:r>
      <w:r w:rsidRPr="007C5C3A">
        <w:rPr>
          <w:rFonts w:ascii="Times New Roman" w:hAnsi="Times New Roman" w:cs="Times New Roman"/>
          <w:sz w:val="24"/>
          <w:szCs w:val="24"/>
        </w:rPr>
        <w:t>.</w:t>
      </w:r>
    </w:p>
    <w:p w14:paraId="43B083C5" w14:textId="6937C2AF"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Because oxidative stress is central to the pathogenesis of toxicant-induced diseases, considerable attention has been directed toward identifying naturally occurring antioxidants capable of restoring redox balance and protecting biological systems from oxidative injury. Plant-derived phytochemicals have emerged as promising therapeutic agents because of their ability to scavenge free radicals, enhance endogenous antioxidant enzyme activities, inhibit lipid peroxidation, and modulate inflammatory </w:t>
      </w:r>
      <w:r w:rsidR="00A23E89" w:rsidRPr="007C5C3A">
        <w:rPr>
          <w:rFonts w:ascii="Times New Roman" w:hAnsi="Times New Roman" w:cs="Times New Roman"/>
          <w:sz w:val="24"/>
          <w:szCs w:val="24"/>
        </w:rPr>
        <w:t>signalling</w:t>
      </w:r>
      <w:r w:rsidRPr="007C5C3A">
        <w:rPr>
          <w:rFonts w:ascii="Times New Roman" w:hAnsi="Times New Roman" w:cs="Times New Roman"/>
          <w:sz w:val="24"/>
          <w:szCs w:val="24"/>
        </w:rPr>
        <w:t xml:space="preserve"> pathways</w:t>
      </w:r>
      <w:r w:rsidR="007F3E63"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 Their relative safety, accessibility, and broad pharmacological activities have stimulated increasing interest in their application as complementary strategies for the prevention and management of environmentally induced toxicity.</w:t>
      </w:r>
    </w:p>
    <w:p w14:paraId="65BBE612" w14:textId="648C2124"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(L.) Merr. &amp; L.M. Perry, commonly known as clove, is an aromatic medicinal plant belonging to the family Myrtaceae. Its dried flower buds are rich in bioactive phytochemicals, including eugenol, eugenyl acetate, β-caryophyllene, flavonoids, tannins, and phenolic acids</w:t>
      </w:r>
      <w:r w:rsidR="007F3E63"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 Among these constituents, eugenol is regarded as the principal bioactive compound responsible for many of the biological activities of clove</w:t>
      </w:r>
      <w:r w:rsidR="007F3E63" w:rsidRPr="007C5C3A">
        <w:rPr>
          <w:rFonts w:ascii="Times New Roman" w:hAnsi="Times New Roman" w:cs="Times New Roman"/>
          <w:sz w:val="24"/>
          <w:szCs w:val="24"/>
        </w:rPr>
        <w:t xml:space="preserve"> (Khalil &amp; Ashour, 2021)</w:t>
      </w:r>
      <w:r w:rsidRPr="007C5C3A">
        <w:rPr>
          <w:rFonts w:ascii="Times New Roman" w:hAnsi="Times New Roman" w:cs="Times New Roman"/>
          <w:sz w:val="24"/>
          <w:szCs w:val="24"/>
        </w:rPr>
        <w:t xml:space="preserve">. Numerous experimental studies have demonstrated that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exhibits potent antioxidant, anti-inflammatory, antimicrobial, anti-apoptotic, and cytoprotective properties. These pharmacological effects have largely been attributed to its capacity to neutralize reactive oxygen species, inhibit lipid peroxidation, preserve membrane integrity, and enhance endogenous antioxidant defense systems. Consequently,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has been investigated as a potential therapeutic agent against oxidative stress-mediated disorders affecting various organs.</w:t>
      </w:r>
    </w:p>
    <w:p w14:paraId="747621A5" w14:textId="59841E80"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Although previous investigations have reported the antioxidant activities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in several experimental models, evidence regarding its protective efficacy against oxidative stress induced by the combined exposure to aluminium and benzo[a]pyrene remains limited</w:t>
      </w:r>
      <w:r w:rsidR="007F3E63" w:rsidRPr="007C5C3A">
        <w:rPr>
          <w:rFonts w:ascii="Times New Roman" w:hAnsi="Times New Roman" w:cs="Times New Roman"/>
          <w:sz w:val="24"/>
          <w:szCs w:val="24"/>
        </w:rPr>
        <w:t xml:space="preserve"> (Taghipour et al., 2023; Akinwande et al., 2019)</w:t>
      </w:r>
      <w:r w:rsidRPr="007C5C3A">
        <w:rPr>
          <w:rFonts w:ascii="Times New Roman" w:hAnsi="Times New Roman" w:cs="Times New Roman"/>
          <w:sz w:val="24"/>
          <w:szCs w:val="24"/>
        </w:rPr>
        <w:t xml:space="preserve">. Most available studies have focused on single-toxicant exposure, which does not adequately reflect the complex environmental conditions encountered by human populations. Furthermore, limited information exists regarding the ability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to restore both enzymatic and non-enzymatic antioxidant defense mechanisms following concurrent exposure to these environmentally relevant toxicants. Addressing this knowledge gap is important for advancing the understanding of natural antioxidant interventions against mixed toxicant exposure.</w:t>
      </w:r>
    </w:p>
    <w:p w14:paraId="72F5A05D"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Therefore, the present study investigated the protective effects of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on oxidative stress biomarkers in male Wistar rats exposed to aluminium and benzo[a]pyrene, administered individually and in combination. Specifically, the study evaluated alterations in malondialdehyde (MDA), superoxide dismutase (SOD), catalase (CAT), glutathione peroxidase (GPx), and reduced glutathione (GSH) following toxicant exposure and assessed the capacity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to ameliorate oxidative damage through restoration of endogenous antioxidant defense systems. The findings of this study are expected to provide further insight into the therapeutic potential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as a natural antioxidant against oxidative stress associated with environmental toxicant exposure.</w:t>
      </w:r>
    </w:p>
    <w:p w14:paraId="5C4D6E09" w14:textId="40580F93"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68357221" w14:textId="77777777" w:rsidR="003250BA" w:rsidRPr="007C5C3A" w:rsidRDefault="003250BA" w:rsidP="00774A37">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Materials and Methods</w:t>
      </w:r>
    </w:p>
    <w:p w14:paraId="6568391F"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Chemicals and Reagents</w:t>
      </w:r>
    </w:p>
    <w:p w14:paraId="6A6451FF"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Analytical-grade aluminium chloride (AlCl₃) and benzo[a]pyrene (BaP) were used as the experimental toxicants. Ascorbic acid served as the reference antioxidant. All chemicals and reagents used for the biochemical analyses were of analytical grade and procured from certified commercial suppliers. Diagnostic assay reagents used for the estimation of oxidative stress biomarkers were prepared according to the manufacturers' instructions.</w:t>
      </w:r>
    </w:p>
    <w:p w14:paraId="25AA8785"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Collection and Authentication of Plant Material</w:t>
      </w:r>
    </w:p>
    <w:p w14:paraId="506B86B1" w14:textId="49592409" w:rsidR="009972B2" w:rsidRPr="007C5C3A" w:rsidRDefault="009972B2" w:rsidP="009972B2">
      <w:pPr>
        <w:jc w:val="both"/>
        <w:rPr>
          <w:rFonts w:ascii="Times New Roman" w:hAnsi="Times New Roman" w:cs="Times New Roman"/>
          <w:sz w:val="24"/>
          <w:szCs w:val="24"/>
        </w:rPr>
      </w:pPr>
      <w:r w:rsidRPr="007C5C3A">
        <w:rPr>
          <w:rFonts w:ascii="Times New Roman" w:hAnsi="Times New Roman" w:cs="Times New Roman"/>
          <w:sz w:val="24"/>
          <w:szCs w:val="24"/>
        </w:rPr>
        <w:t xml:space="preserve">Dried flower buds of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(L.) Merr. &amp; L.M. Perry were obtained from a certified herbal market in Nigeria. Botanical authentication was carried out by a qualified taxonomist in the Department of Plant Science and Biotechnology, University of Port Harcourt (UNIPORT), Nigeria.</w:t>
      </w:r>
    </w:p>
    <w:p w14:paraId="00359104"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 xml:space="preserve">Preparation of </w:t>
      </w:r>
      <w:r w:rsidRPr="007C5C3A">
        <w:rPr>
          <w:rFonts w:ascii="Times New Roman" w:hAnsi="Times New Roman" w:cs="Times New Roman"/>
          <w:b/>
          <w:bCs/>
          <w:i/>
          <w:iCs/>
          <w:sz w:val="24"/>
          <w:szCs w:val="24"/>
        </w:rPr>
        <w:t>Syzygium aromaticum</w:t>
      </w:r>
      <w:r w:rsidRPr="007C5C3A">
        <w:rPr>
          <w:rFonts w:ascii="Times New Roman" w:hAnsi="Times New Roman" w:cs="Times New Roman"/>
          <w:b/>
          <w:bCs/>
          <w:sz w:val="24"/>
          <w:szCs w:val="24"/>
        </w:rPr>
        <w:t xml:space="preserve"> Extract</w:t>
      </w:r>
    </w:p>
    <w:p w14:paraId="5E0803E6" w14:textId="77777777" w:rsidR="009972B2" w:rsidRPr="007C5C3A" w:rsidRDefault="009972B2" w:rsidP="009972B2">
      <w:pPr>
        <w:jc w:val="both"/>
        <w:rPr>
          <w:rFonts w:ascii="Times New Roman" w:hAnsi="Times New Roman" w:cs="Times New Roman"/>
          <w:sz w:val="24"/>
          <w:szCs w:val="24"/>
        </w:rPr>
      </w:pPr>
      <w:r w:rsidRPr="007C5C3A">
        <w:rPr>
          <w:rFonts w:ascii="Times New Roman" w:hAnsi="Times New Roman" w:cs="Times New Roman"/>
          <w:sz w:val="24"/>
          <w:szCs w:val="24"/>
        </w:rPr>
        <w:t>The dried flower buds were thoroughly cleaned, air-dried where necessary, and pulverized into a fine powder using an electric grinder. The powdered material was extracted using distilled water by maceration for 7 days with intermittent agitation. The extract was filtered through Whatman No. 1 filter paper and concentrated under reduced pressure using a rotary evaporator at controlled temperature. The concentrated extract was further dried to obtain a stable crude extract, which was stored at 4°C until use. Fresh suspensions were prepared daily in distilled water immediately before administration.</w:t>
      </w:r>
    </w:p>
    <w:p w14:paraId="4D7190BF"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Animals</w:t>
      </w:r>
    </w:p>
    <w:p w14:paraId="18CACACD" w14:textId="7AEEAE8B"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Fifty-four healthy adult male Wistar rats weighing </w:t>
      </w:r>
      <w:r w:rsidR="002C578A">
        <w:rPr>
          <w:rFonts w:ascii="Times New Roman" w:hAnsi="Times New Roman" w:cs="Times New Roman"/>
          <w:sz w:val="24"/>
          <w:szCs w:val="24"/>
        </w:rPr>
        <w:t xml:space="preserve">approximately 160g </w:t>
      </w:r>
      <w:r w:rsidRPr="007C5C3A">
        <w:rPr>
          <w:rFonts w:ascii="Times New Roman" w:hAnsi="Times New Roman" w:cs="Times New Roman"/>
          <w:sz w:val="24"/>
          <w:szCs w:val="24"/>
        </w:rPr>
        <w:t>were obtained from the Animal House of</w:t>
      </w:r>
      <w:r w:rsidR="002C578A">
        <w:rPr>
          <w:rFonts w:ascii="Times New Roman" w:hAnsi="Times New Roman" w:cs="Times New Roman"/>
          <w:sz w:val="24"/>
          <w:szCs w:val="24"/>
        </w:rPr>
        <w:t xml:space="preserve"> University of Port Harcourt (UNIPORT)</w:t>
      </w:r>
      <w:r w:rsidRPr="007C5C3A">
        <w:rPr>
          <w:rFonts w:ascii="Times New Roman" w:hAnsi="Times New Roman" w:cs="Times New Roman"/>
          <w:sz w:val="24"/>
          <w:szCs w:val="24"/>
        </w:rPr>
        <w:t>. Animals were housed in clean polypropylene cages under standard laboratory conditions (22 ± 2°C; relative humidity 50–60%; 12-hour light/12-hour dark cycle) with unrestricted access to standard laboratory feed and clean drinking water. The animals were acclimatized for two weeks before the commencement of the experiment.</w:t>
      </w:r>
    </w:p>
    <w:p w14:paraId="17690DFE"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Design</w:t>
      </w:r>
    </w:p>
    <w:p w14:paraId="344A97CD"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Following acclimatization, the animals were randomly assigned into nine experimental groups (n = 6 per group):</w:t>
      </w:r>
    </w:p>
    <w:p w14:paraId="2CAE54BD"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 (Normal Control):</w:t>
      </w:r>
      <w:r w:rsidRPr="007C5C3A">
        <w:rPr>
          <w:rFonts w:ascii="Times New Roman" w:hAnsi="Times New Roman" w:cs="Times New Roman"/>
          <w:sz w:val="24"/>
          <w:szCs w:val="24"/>
        </w:rPr>
        <w:t xml:space="preserve"> Received distilled water only.</w:t>
      </w:r>
    </w:p>
    <w:p w14:paraId="36F59227"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II (Aluminium):</w:t>
      </w:r>
      <w:r w:rsidRPr="007C5C3A">
        <w:rPr>
          <w:rFonts w:ascii="Times New Roman" w:hAnsi="Times New Roman" w:cs="Times New Roman"/>
          <w:sz w:val="24"/>
          <w:szCs w:val="24"/>
        </w:rPr>
        <w:t xml:space="preserve"> Received aluminium chloride (100 mg/kg body weight).</w:t>
      </w:r>
    </w:p>
    <w:p w14:paraId="05F4C48D"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III (Benzo[a]pyrene):</w:t>
      </w:r>
      <w:r w:rsidRPr="007C5C3A">
        <w:rPr>
          <w:rFonts w:ascii="Times New Roman" w:hAnsi="Times New Roman" w:cs="Times New Roman"/>
          <w:sz w:val="24"/>
          <w:szCs w:val="24"/>
        </w:rPr>
        <w:t xml:space="preserve"> Received benzo[a]pyrene (100 mg/kg body weight).</w:t>
      </w:r>
    </w:p>
    <w:p w14:paraId="1A251BA8"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IV (Aluminium + Benzo[a]pyrene):</w:t>
      </w:r>
      <w:r w:rsidRPr="007C5C3A">
        <w:rPr>
          <w:rFonts w:ascii="Times New Roman" w:hAnsi="Times New Roman" w:cs="Times New Roman"/>
          <w:sz w:val="24"/>
          <w:szCs w:val="24"/>
        </w:rPr>
        <w:t xml:space="preserve"> Received aluminium chloride (100 mg/kg) and benzo[a]pyrene (100 mg/kg).</w:t>
      </w:r>
    </w:p>
    <w:p w14:paraId="1CA2CBFB"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 (Al + BaP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1000 mg/kg):</w:t>
      </w:r>
      <w:r w:rsidRPr="007C5C3A">
        <w:rPr>
          <w:rFonts w:ascii="Times New Roman" w:hAnsi="Times New Roman" w:cs="Times New Roman"/>
          <w:sz w:val="24"/>
          <w:szCs w:val="24"/>
        </w:rPr>
        <w:t xml:space="preserve"> Received aluminium chloride, benzo[a]pyrene, and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(1000 mg/kg body weight).</w:t>
      </w:r>
    </w:p>
    <w:p w14:paraId="2C782EC2"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lastRenderedPageBreak/>
        <w:t xml:space="preserve">Group VI (Al + BaP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1500 mg/kg):</w:t>
      </w:r>
      <w:r w:rsidRPr="007C5C3A">
        <w:rPr>
          <w:rFonts w:ascii="Times New Roman" w:hAnsi="Times New Roman" w:cs="Times New Roman"/>
          <w:sz w:val="24"/>
          <w:szCs w:val="24"/>
        </w:rPr>
        <w:t xml:space="preserve"> Received aluminium chloride, benzo[a]pyrene, and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(1500 mg/kg body weight).</w:t>
      </w:r>
    </w:p>
    <w:p w14:paraId="19A68266" w14:textId="77777777"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VII (Al + BaP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2000 mg/kg):</w:t>
      </w:r>
      <w:r w:rsidRPr="007C5C3A">
        <w:rPr>
          <w:rFonts w:ascii="Times New Roman" w:hAnsi="Times New Roman" w:cs="Times New Roman"/>
          <w:sz w:val="24"/>
          <w:szCs w:val="24"/>
        </w:rPr>
        <w:t xml:space="preserve"> Received aluminium chloride, benzo[a]pyrene, and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(2000 mg/kg body weight).</w:t>
      </w:r>
    </w:p>
    <w:p w14:paraId="23E54631" w14:textId="7DA32841" w:rsidR="003250BA"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VIII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only):</w:t>
      </w:r>
      <w:r w:rsidRPr="007C5C3A">
        <w:rPr>
          <w:rFonts w:ascii="Times New Roman" w:hAnsi="Times New Roman" w:cs="Times New Roman"/>
          <w:sz w:val="24"/>
          <w:szCs w:val="24"/>
        </w:rPr>
        <w:t xml:space="preserve"> Received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w:t>
      </w:r>
      <w:r w:rsidR="00774A37" w:rsidRPr="007C5C3A">
        <w:rPr>
          <w:rFonts w:ascii="Times New Roman" w:hAnsi="Times New Roman" w:cs="Times New Roman"/>
          <w:sz w:val="24"/>
          <w:szCs w:val="24"/>
        </w:rPr>
        <w:t>1</w:t>
      </w:r>
      <w:r w:rsidRPr="007C5C3A">
        <w:rPr>
          <w:rFonts w:ascii="Times New Roman" w:hAnsi="Times New Roman" w:cs="Times New Roman"/>
          <w:sz w:val="24"/>
          <w:szCs w:val="24"/>
        </w:rPr>
        <w:t>000 mg/kg body weight).</w:t>
      </w:r>
    </w:p>
    <w:p w14:paraId="7E562B29" w14:textId="56C1E3D9" w:rsidR="009972B2" w:rsidRPr="007C5C3A" w:rsidRDefault="003250BA" w:rsidP="00A23E89">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IX (Al + BaP + Ascorbic Acid</w:t>
      </w:r>
      <w:r w:rsidR="009972B2" w:rsidRPr="007C5C3A">
        <w:rPr>
          <w:rFonts w:ascii="Times New Roman" w:hAnsi="Times New Roman" w:cs="Times New Roman"/>
          <w:sz w:val="24"/>
          <w:szCs w:val="24"/>
        </w:rPr>
        <w:t xml:space="preserve"> Received aluminium chloride, benzo[a]pyrene, and ascorbic acid (100 mg/kg body weight).</w:t>
      </w:r>
    </w:p>
    <w:p w14:paraId="1D0338CE" w14:textId="60F60069" w:rsidR="003250BA" w:rsidRPr="007C5C3A" w:rsidRDefault="003250BA" w:rsidP="009972B2">
      <w:pPr>
        <w:ind w:left="360"/>
        <w:jc w:val="both"/>
        <w:rPr>
          <w:rFonts w:ascii="Times New Roman" w:hAnsi="Times New Roman" w:cs="Times New Roman"/>
          <w:sz w:val="24"/>
          <w:szCs w:val="24"/>
        </w:rPr>
      </w:pPr>
      <w:r w:rsidRPr="007C5C3A">
        <w:rPr>
          <w:rFonts w:ascii="Times New Roman" w:hAnsi="Times New Roman" w:cs="Times New Roman"/>
          <w:sz w:val="24"/>
          <w:szCs w:val="24"/>
        </w:rPr>
        <w:t xml:space="preserve">All treatments were administered orally once daily for </w:t>
      </w:r>
      <w:r w:rsidR="009972B2" w:rsidRPr="007C5C3A">
        <w:rPr>
          <w:rFonts w:ascii="Times New Roman" w:hAnsi="Times New Roman" w:cs="Times New Roman"/>
          <w:sz w:val="24"/>
          <w:szCs w:val="24"/>
        </w:rPr>
        <w:t>28 days</w:t>
      </w:r>
      <w:r w:rsidRPr="007C5C3A">
        <w:rPr>
          <w:rFonts w:ascii="Times New Roman" w:hAnsi="Times New Roman" w:cs="Times New Roman"/>
          <w:sz w:val="24"/>
          <w:szCs w:val="24"/>
        </w:rPr>
        <w:t>.</w:t>
      </w:r>
    </w:p>
    <w:p w14:paraId="1FA706A3"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Sample Collection</w:t>
      </w:r>
    </w:p>
    <w:p w14:paraId="65B65FD9" w14:textId="720FEB1B"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 xml:space="preserve">Twenty-four hours after the final treatment, the animals were fasted overnight and anaesthetized using </w:t>
      </w:r>
      <w:r w:rsidR="00373486">
        <w:rPr>
          <w:rFonts w:ascii="Times New Roman" w:hAnsi="Times New Roman" w:cs="Times New Roman"/>
          <w:sz w:val="24"/>
          <w:szCs w:val="24"/>
        </w:rPr>
        <w:t>diethyl ether</w:t>
      </w:r>
      <w:r w:rsidRPr="007C5C3A">
        <w:rPr>
          <w:rFonts w:ascii="Times New Roman" w:hAnsi="Times New Roman" w:cs="Times New Roman"/>
          <w:sz w:val="24"/>
          <w:szCs w:val="24"/>
        </w:rPr>
        <w:t>. Blood samples were collected by cardiac puncture, and serum was separated by centrifugation at 3000 rpm for 10 minutes. The testes were excised immediately, rinsed in ice-cold normal saline, blotted dry, weighed, and homogenized in phosphate-buffered saline (pH 7.4). The homogenates were centrifuged at 10,000 × g for 15 minutes at 4°C, and the resulting supernatants were collected and stored at −20°C until biochemical analyses.</w:t>
      </w:r>
    </w:p>
    <w:p w14:paraId="2087F05C"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Determination of Oxidative Stress Biomarkers</w:t>
      </w:r>
    </w:p>
    <w:p w14:paraId="1A1CBBD0"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Lipid Peroxidation Assay</w:t>
      </w:r>
    </w:p>
    <w:p w14:paraId="5B5DCB7D" w14:textId="64AD64B4"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Lipid peroxidation was evaluated by determining malondialdehyde (MDA) concentration using the thiobarbituric acid reactive substances (TBARS) method</w:t>
      </w:r>
      <w:r w:rsidR="00C6078E">
        <w:rPr>
          <w:rFonts w:ascii="Times New Roman" w:hAnsi="Times New Roman" w:cs="Times New Roman"/>
          <w:sz w:val="24"/>
          <w:szCs w:val="24"/>
        </w:rPr>
        <w:t xml:space="preserve"> (Aguilar &amp; Borges, 2020)</w:t>
      </w:r>
      <w:r w:rsidRPr="007C5C3A">
        <w:rPr>
          <w:rFonts w:ascii="Times New Roman" w:hAnsi="Times New Roman" w:cs="Times New Roman"/>
          <w:sz w:val="24"/>
          <w:szCs w:val="24"/>
        </w:rPr>
        <w:t>. The assay is based on the reaction between malondialdehyde and thiobarbituric acid under acidic conditions and elevated temperature to produce a pink chromogen, the absorbance of which was measured spectrophotometrically at 532 nm. Results were expressed as nmol MDA/mg protein.</w:t>
      </w:r>
    </w:p>
    <w:p w14:paraId="38546BB4"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Superoxide Dismutase (SOD) Activity</w:t>
      </w:r>
    </w:p>
    <w:p w14:paraId="19B4A472" w14:textId="603899DD"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Superoxide dismutase activity was determined using the method based on the enzyme's ability to inhibit the autoxidation of epinephrine under alkaline conditions</w:t>
      </w:r>
      <w:r w:rsidR="00C6078E">
        <w:rPr>
          <w:rFonts w:ascii="Times New Roman" w:hAnsi="Times New Roman" w:cs="Times New Roman"/>
          <w:sz w:val="24"/>
          <w:szCs w:val="24"/>
        </w:rPr>
        <w:t xml:space="preserve"> (</w:t>
      </w:r>
      <w:r w:rsidR="00C6078E" w:rsidRPr="00C6078E">
        <w:rPr>
          <w:rFonts w:ascii="Times New Roman" w:hAnsi="Times New Roman" w:cs="Times New Roman"/>
          <w:sz w:val="24"/>
          <w:szCs w:val="24"/>
        </w:rPr>
        <w:t>Sun et al</w:t>
      </w:r>
      <w:r w:rsidR="00C6078E">
        <w:rPr>
          <w:rFonts w:ascii="Times New Roman" w:hAnsi="Times New Roman" w:cs="Times New Roman"/>
          <w:sz w:val="24"/>
          <w:szCs w:val="24"/>
        </w:rPr>
        <w:t xml:space="preserve">, </w:t>
      </w:r>
      <w:r w:rsidR="00C6078E" w:rsidRPr="00C6078E">
        <w:rPr>
          <w:rFonts w:ascii="Times New Roman" w:hAnsi="Times New Roman" w:cs="Times New Roman"/>
          <w:sz w:val="24"/>
          <w:szCs w:val="24"/>
        </w:rPr>
        <w:t>1988)</w:t>
      </w:r>
      <w:r w:rsidRPr="007C5C3A">
        <w:rPr>
          <w:rFonts w:ascii="Times New Roman" w:hAnsi="Times New Roman" w:cs="Times New Roman"/>
          <w:sz w:val="24"/>
          <w:szCs w:val="24"/>
        </w:rPr>
        <w:t>. Absorbance changes were monitored spectrophotometrically, and enzyme activity was expressed as units per milligram of protein (U/mg protein).</w:t>
      </w:r>
    </w:p>
    <w:p w14:paraId="42156AE7"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Catalase (CAT) Activity</w:t>
      </w:r>
    </w:p>
    <w:p w14:paraId="4AB2F051" w14:textId="69ECD2C9"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Catalase activity was estimated by measuring the rate of decomposition of hydrogen peroxide. The decrease in absorbance resulting from hydrogen peroxide degradation was monitored spectrophotometrically at 240 nm, and enzyme activity was expressed as U/mg protein</w:t>
      </w:r>
      <w:r w:rsidR="00C6078E">
        <w:rPr>
          <w:rFonts w:ascii="Times New Roman" w:hAnsi="Times New Roman" w:cs="Times New Roman"/>
          <w:sz w:val="24"/>
          <w:szCs w:val="24"/>
        </w:rPr>
        <w:t xml:space="preserve"> (Hamza &amp; Hadwan, 2020)</w:t>
      </w:r>
    </w:p>
    <w:p w14:paraId="4DBA2971"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Glutathione Peroxidase (GPx) Activity</w:t>
      </w:r>
    </w:p>
    <w:p w14:paraId="79D4C1F8" w14:textId="0AF3E424"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lastRenderedPageBreak/>
        <w:t>Glutathione peroxidase activity was determined by measuring the rate at which reduced glutathione was oxidized in the presence of hydrogen peroxide</w:t>
      </w:r>
      <w:r w:rsidR="00C6078E">
        <w:rPr>
          <w:rFonts w:ascii="Times New Roman" w:hAnsi="Times New Roman" w:cs="Times New Roman"/>
          <w:sz w:val="24"/>
          <w:szCs w:val="24"/>
        </w:rPr>
        <w:t xml:space="preserve"> (Sattar et al, 2024)</w:t>
      </w:r>
      <w:r w:rsidRPr="007C5C3A">
        <w:rPr>
          <w:rFonts w:ascii="Times New Roman" w:hAnsi="Times New Roman" w:cs="Times New Roman"/>
          <w:sz w:val="24"/>
          <w:szCs w:val="24"/>
        </w:rPr>
        <w:t>. Enzyme activity was quantified spectrophotometrically according to the standard assay protocol and expressed as U/mg protein.</w:t>
      </w:r>
    </w:p>
    <w:p w14:paraId="722232D7"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Reduced Glutathione (GSH)</w:t>
      </w:r>
    </w:p>
    <w:p w14:paraId="250543BD" w14:textId="40DFEFC8"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Reduced glutathione concentration was determined using Ellman's reagent (5,5'-dithiobis-(2-nitrobenzoic acid), DTNB), which reacts with sulfhydryl groups to produce a yellow-colored chromophore measurable at 412 nm. GSH concentration was expressed as μmol/mg protein</w:t>
      </w:r>
      <w:r w:rsidR="00C6078E">
        <w:rPr>
          <w:rFonts w:ascii="Times New Roman" w:hAnsi="Times New Roman" w:cs="Times New Roman"/>
          <w:sz w:val="24"/>
          <w:szCs w:val="24"/>
        </w:rPr>
        <w:t xml:space="preserve"> (</w:t>
      </w:r>
      <w:r w:rsidR="00C6078E" w:rsidRPr="00C6078E">
        <w:rPr>
          <w:rFonts w:ascii="Times New Roman" w:hAnsi="Times New Roman" w:cs="Times New Roman"/>
          <w:sz w:val="24"/>
          <w:szCs w:val="24"/>
        </w:rPr>
        <w:t>Ellman</w:t>
      </w:r>
      <w:r w:rsidR="00C6078E">
        <w:rPr>
          <w:rFonts w:ascii="Times New Roman" w:hAnsi="Times New Roman" w:cs="Times New Roman"/>
          <w:sz w:val="24"/>
          <w:szCs w:val="24"/>
        </w:rPr>
        <w:t xml:space="preserve">, </w:t>
      </w:r>
      <w:r w:rsidR="00C6078E" w:rsidRPr="00C6078E">
        <w:rPr>
          <w:rFonts w:ascii="Times New Roman" w:hAnsi="Times New Roman" w:cs="Times New Roman"/>
          <w:sz w:val="24"/>
          <w:szCs w:val="24"/>
        </w:rPr>
        <w:t>1959)</w:t>
      </w:r>
      <w:r w:rsidRPr="007C5C3A">
        <w:rPr>
          <w:rFonts w:ascii="Times New Roman" w:hAnsi="Times New Roman" w:cs="Times New Roman"/>
          <w:sz w:val="24"/>
          <w:szCs w:val="24"/>
        </w:rPr>
        <w:t>.</w:t>
      </w:r>
    </w:p>
    <w:p w14:paraId="2BD9764E" w14:textId="77777777" w:rsidR="003250BA" w:rsidRPr="007C5C3A" w:rsidRDefault="003250BA" w:rsidP="003250BA">
      <w:pPr>
        <w:jc w:val="both"/>
        <w:rPr>
          <w:rFonts w:ascii="Times New Roman" w:hAnsi="Times New Roman" w:cs="Times New Roman"/>
          <w:b/>
          <w:bCs/>
          <w:sz w:val="24"/>
          <w:szCs w:val="24"/>
        </w:rPr>
      </w:pPr>
      <w:r w:rsidRPr="007C5C3A">
        <w:rPr>
          <w:rFonts w:ascii="Times New Roman" w:hAnsi="Times New Roman" w:cs="Times New Roman"/>
          <w:b/>
          <w:bCs/>
          <w:sz w:val="24"/>
          <w:szCs w:val="24"/>
        </w:rPr>
        <w:t>Statistical Analysis</w:t>
      </w:r>
    </w:p>
    <w:p w14:paraId="3B68218B"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t>All data were collected and expressed as Mean ± Standard Error of Mean (SEM). Statistical analysis was performed using IBM SPSS Statistics (Version 27) and GraphPad Prism (Version 10.4.2). To determine significant differences between group means, a One-way Analysis of Variance (ANOVA) was conducted. Where significant differences were observed, Tukey’s Multiple Comparisons Test (Tukey’s HSD) was used as the post-hoc test to separate the means. A probability value of less than 0.05 (p &lt; 0.05) was considered statistically significant. The results were presented in graphical forms. A single asterisk (*) indicates an adjusted p-value ≤ 0.05; two asterisks (**) indicate p ≤ 0.01; three asterisks (***) indicate p ≤ 0.001; and four asterisks (****) indicate a highly significant difference at p ≤ 0.0001.</w:t>
      </w:r>
    </w:p>
    <w:p w14:paraId="509C6BD9" w14:textId="6E7FE459" w:rsidR="003250BA" w:rsidRPr="007C5C3A" w:rsidRDefault="003250BA" w:rsidP="003250BA">
      <w:pPr>
        <w:jc w:val="both"/>
        <w:rPr>
          <w:rFonts w:ascii="Times New Roman" w:hAnsi="Times New Roman" w:cs="Times New Roman"/>
          <w:sz w:val="24"/>
          <w:szCs w:val="24"/>
        </w:rPr>
      </w:pPr>
    </w:p>
    <w:p w14:paraId="0D5A421D" w14:textId="5B9041B5"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01991E22" w14:textId="77777777" w:rsidR="00774A37" w:rsidRPr="007C5C3A" w:rsidRDefault="00774A37" w:rsidP="00774A37">
      <w:pPr>
        <w:spacing w:line="480" w:lineRule="auto"/>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RESULTS</w:t>
      </w:r>
    </w:p>
    <w:p w14:paraId="119AA1D0" w14:textId="47FE4B3C" w:rsidR="003250BA" w:rsidRPr="007C5C3A" w:rsidRDefault="003250BA" w:rsidP="00774A37">
      <w:pPr>
        <w:spacing w:line="480" w:lineRule="auto"/>
        <w:jc w:val="both"/>
        <w:rPr>
          <w:rFonts w:ascii="Times New Roman" w:hAnsi="Times New Roman" w:cs="Times New Roman"/>
          <w:b/>
          <w:bCs/>
          <w:sz w:val="24"/>
          <w:szCs w:val="24"/>
        </w:rPr>
      </w:pPr>
      <w:r w:rsidRPr="007C5C3A">
        <w:rPr>
          <w:rFonts w:ascii="Times New Roman" w:eastAsia="Times New Roman" w:hAnsi="Times New Roman" w:cs="Times New Roman"/>
          <w:b/>
          <w:sz w:val="24"/>
          <w:szCs w:val="24"/>
        </w:rPr>
        <w:t>Effect on Superoxide Dismutase (SOD)</w:t>
      </w:r>
    </w:p>
    <w:p w14:paraId="743E6F11" w14:textId="77777777" w:rsidR="003250BA" w:rsidRPr="007C5C3A" w:rsidRDefault="003250BA" w:rsidP="003250BA">
      <w:pPr>
        <w:spacing w:line="480" w:lineRule="auto"/>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Significant reduction in antioxidant enzymes (SOD, CAT, GPx) in toxicant groups indicate oxidative stress. Clove extract restored enzyme levels, demonstrating strong antioxidant activity.</w:t>
      </w:r>
    </w:p>
    <w:p w14:paraId="1A37DC75" w14:textId="77777777" w:rsidR="003250BA" w:rsidRPr="007C5C3A" w:rsidRDefault="003250BA" w:rsidP="003250BA">
      <w:pPr>
        <w:spacing w:line="480" w:lineRule="auto"/>
        <w:rPr>
          <w:rFonts w:ascii="Times New Roman" w:hAnsi="Times New Roman" w:cs="Times New Roman"/>
          <w:sz w:val="24"/>
          <w:szCs w:val="24"/>
        </w:rPr>
      </w:pPr>
      <w:r w:rsidRPr="007C5C3A">
        <w:rPr>
          <w:rFonts w:ascii="Times New Roman" w:hAnsi="Times New Roman" w:cs="Times New Roman"/>
          <w:sz w:val="24"/>
          <w:szCs w:val="24"/>
        </w:rPr>
        <w:object w:dxaOrig="6614" w:dyaOrig="7956" w14:anchorId="6BCAF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397.5pt" o:ole="">
            <v:imagedata r:id="rId7" o:title=""/>
          </v:shape>
          <o:OLEObject Type="Embed" ProgID="Prism10.Document" ShapeID="_x0000_i1025" DrawAspect="Content" ObjectID="_1848066051" r:id="rId8"/>
        </w:object>
      </w:r>
    </w:p>
    <w:p w14:paraId="6C1142F4" w14:textId="3A8709D3" w:rsidR="003250BA" w:rsidRPr="007C5C3A" w:rsidRDefault="003250BA" w:rsidP="003250BA">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w:t>
      </w:r>
      <w:r w:rsidR="00774A37" w:rsidRPr="007C5C3A">
        <w:rPr>
          <w:rFonts w:ascii="Times New Roman" w:eastAsia="Times New Roman" w:hAnsi="Times New Roman" w:cs="Times New Roman"/>
          <w:b/>
          <w:bCs/>
          <w:sz w:val="24"/>
          <w:szCs w:val="24"/>
        </w:rPr>
        <w:t>1</w:t>
      </w:r>
      <w:r w:rsidRPr="007C5C3A">
        <w:rPr>
          <w:rFonts w:ascii="Times New Roman" w:eastAsia="Times New Roman" w:hAnsi="Times New Roman" w:cs="Times New Roman"/>
          <w:b/>
          <w:bCs/>
          <w:sz w:val="24"/>
          <w:szCs w:val="24"/>
        </w:rPr>
        <w:t xml:space="preserve">: Effect of Extract on Superoxide Dismutase Level. </w:t>
      </w:r>
    </w:p>
    <w:p w14:paraId="6D426B4C" w14:textId="77777777" w:rsidR="003250BA" w:rsidRPr="007C5C3A" w:rsidRDefault="003250BA" w:rsidP="003250BA">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281B28BD" w14:textId="77777777" w:rsidR="003250BA" w:rsidRPr="007C5C3A" w:rsidRDefault="003250BA" w:rsidP="003250BA">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34F6A451" w14:textId="306B70D7" w:rsidR="003250BA" w:rsidRPr="007C5C3A" w:rsidRDefault="003250BA" w:rsidP="003250BA">
      <w:pPr>
        <w:spacing w:line="48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MDA</w:t>
      </w:r>
    </w:p>
    <w:p w14:paraId="750A801A" w14:textId="77777777" w:rsidR="003250BA" w:rsidRPr="007C5C3A" w:rsidRDefault="003250BA" w:rsidP="003250BA">
      <w:pPr>
        <w:spacing w:line="480" w:lineRule="auto"/>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Elevated MDA levels indicate lipid peroxidation. Clove extracts significantly reduced MDA, confirming inhibition of oxidative damage.</w:t>
      </w:r>
    </w:p>
    <w:p w14:paraId="191F1661" w14:textId="0E49F34F" w:rsidR="003250BA" w:rsidRPr="007C5C3A" w:rsidRDefault="003250BA" w:rsidP="00774A37">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43" w14:anchorId="63AD018C">
          <v:shape id="_x0000_i1026" type="#_x0000_t75" style="width:428.25pt;height:387pt" o:ole="">
            <v:imagedata r:id="rId9" o:title=""/>
          </v:shape>
          <o:OLEObject Type="Embed" ProgID="Prism10.Document" ShapeID="_x0000_i1026" DrawAspect="Content" ObjectID="_1848066052" r:id="rId10"/>
        </w:object>
      </w:r>
    </w:p>
    <w:p w14:paraId="58AA535D" w14:textId="4B2640A2" w:rsidR="003250BA" w:rsidRPr="007C5C3A" w:rsidRDefault="003250BA" w:rsidP="003250BA">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w:t>
      </w:r>
      <w:r w:rsidR="00774A37" w:rsidRPr="007C5C3A">
        <w:rPr>
          <w:rFonts w:ascii="Times New Roman" w:eastAsia="Times New Roman" w:hAnsi="Times New Roman" w:cs="Times New Roman"/>
          <w:b/>
          <w:bCs/>
          <w:sz w:val="24"/>
          <w:szCs w:val="24"/>
        </w:rPr>
        <w:t>2</w:t>
      </w:r>
      <w:r w:rsidRPr="007C5C3A">
        <w:rPr>
          <w:rFonts w:ascii="Times New Roman" w:eastAsia="Times New Roman" w:hAnsi="Times New Roman" w:cs="Times New Roman"/>
          <w:b/>
          <w:bCs/>
          <w:sz w:val="24"/>
          <w:szCs w:val="24"/>
        </w:rPr>
        <w:t xml:space="preserve">: Effect of </w:t>
      </w:r>
      <w:r w:rsidRPr="007C5C3A">
        <w:rPr>
          <w:rFonts w:ascii="Times New Roman" w:eastAsia="Times New Roman" w:hAnsi="Times New Roman" w:cs="Times New Roman"/>
          <w:b/>
          <w:bCs/>
          <w:i/>
          <w:iCs/>
          <w:sz w:val="24"/>
          <w:szCs w:val="24"/>
        </w:rPr>
        <w:t>Syzygium aromaticum</w:t>
      </w:r>
      <w:r w:rsidRPr="007C5C3A">
        <w:rPr>
          <w:rFonts w:ascii="Times New Roman" w:eastAsia="Times New Roman" w:hAnsi="Times New Roman" w:cs="Times New Roman"/>
          <w:b/>
          <w:bCs/>
          <w:sz w:val="24"/>
          <w:szCs w:val="24"/>
        </w:rPr>
        <w:t xml:space="preserve"> Extract on MDA level. </w:t>
      </w:r>
    </w:p>
    <w:p w14:paraId="194D059B" w14:textId="77777777" w:rsidR="003250BA" w:rsidRPr="007C5C3A" w:rsidRDefault="003250BA" w:rsidP="003250BA">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3ADCD796" w14:textId="77777777" w:rsidR="003250BA" w:rsidRPr="007C5C3A" w:rsidRDefault="003250BA" w:rsidP="003250BA">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45476BE2" w14:textId="019018CA" w:rsidR="003250BA" w:rsidRPr="007C5C3A" w:rsidRDefault="003250BA" w:rsidP="003250BA">
      <w:pPr>
        <w:spacing w:line="48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Catalase</w:t>
      </w:r>
    </w:p>
    <w:p w14:paraId="6002A780" w14:textId="77777777" w:rsidR="003250BA" w:rsidRPr="007C5C3A" w:rsidRDefault="003250BA" w:rsidP="003250BA">
      <w:pPr>
        <w:spacing w:line="480" w:lineRule="auto"/>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Significant reduction in antioxidant enzymes (SOD, CAT, GPx) in toxicant groups indicate oxidative stress. Clove extract restored enzyme levels, demonstrating strong antioxidant activity.</w:t>
      </w:r>
    </w:p>
    <w:p w14:paraId="26E566EF" w14:textId="60EFFD03" w:rsidR="003250BA" w:rsidRPr="007C5C3A" w:rsidRDefault="003250BA" w:rsidP="00FF1293">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86" w14:anchorId="7F215177">
          <v:shape id="_x0000_i1027" type="#_x0000_t75" style="width:436.5pt;height:389.25pt" o:ole="">
            <v:imagedata r:id="rId11" o:title=""/>
          </v:shape>
          <o:OLEObject Type="Embed" ProgID="Prism10.Document" ShapeID="_x0000_i1027" DrawAspect="Content" ObjectID="_1848066053" r:id="rId12"/>
        </w:object>
      </w:r>
    </w:p>
    <w:p w14:paraId="49AAB31E" w14:textId="0AA91FA1" w:rsidR="003250BA" w:rsidRPr="007C5C3A" w:rsidRDefault="003250BA" w:rsidP="003250BA">
      <w:pPr>
        <w:spacing w:after="0" w:line="240" w:lineRule="auto"/>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w:t>
      </w:r>
      <w:r w:rsidR="00C00D49" w:rsidRPr="007C5C3A">
        <w:rPr>
          <w:rFonts w:ascii="Times New Roman" w:eastAsia="Times New Roman" w:hAnsi="Times New Roman" w:cs="Times New Roman"/>
          <w:b/>
          <w:bCs/>
          <w:sz w:val="24"/>
          <w:szCs w:val="24"/>
        </w:rPr>
        <w:t>3</w:t>
      </w:r>
      <w:r w:rsidRPr="007C5C3A">
        <w:rPr>
          <w:rFonts w:ascii="Times New Roman" w:eastAsia="Times New Roman" w:hAnsi="Times New Roman" w:cs="Times New Roman"/>
          <w:b/>
          <w:bCs/>
          <w:sz w:val="24"/>
          <w:szCs w:val="24"/>
        </w:rPr>
        <w:t xml:space="preserve">: Effect of </w:t>
      </w:r>
      <w:r w:rsidRPr="007C5C3A">
        <w:rPr>
          <w:rFonts w:ascii="Times New Roman" w:eastAsia="Times New Roman" w:hAnsi="Times New Roman" w:cs="Times New Roman"/>
          <w:b/>
          <w:bCs/>
          <w:i/>
          <w:iCs/>
          <w:sz w:val="24"/>
          <w:szCs w:val="24"/>
        </w:rPr>
        <w:t>Syzygium aromaticum</w:t>
      </w:r>
      <w:r w:rsidRPr="007C5C3A">
        <w:rPr>
          <w:rFonts w:ascii="Times New Roman" w:eastAsia="Times New Roman" w:hAnsi="Times New Roman" w:cs="Times New Roman"/>
          <w:b/>
          <w:bCs/>
          <w:sz w:val="24"/>
          <w:szCs w:val="24"/>
        </w:rPr>
        <w:t xml:space="preserve"> Extract on Catalase level.</w:t>
      </w:r>
      <w:r w:rsidRPr="007C5C3A">
        <w:rPr>
          <w:rFonts w:ascii="Times New Roman" w:eastAsia="Times New Roman" w:hAnsi="Times New Roman" w:cs="Times New Roman"/>
          <w:sz w:val="24"/>
          <w:szCs w:val="24"/>
        </w:rPr>
        <w:t xml:space="preserve"> </w:t>
      </w:r>
    </w:p>
    <w:p w14:paraId="34A66D00" w14:textId="77777777" w:rsidR="003250BA" w:rsidRPr="007C5C3A" w:rsidRDefault="003250BA" w:rsidP="003250BA">
      <w:pPr>
        <w:spacing w:after="0" w:line="240" w:lineRule="auto"/>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(p&lt;0.05)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6FB07070" w14:textId="77777777" w:rsidR="003250BA" w:rsidRPr="007C5C3A" w:rsidRDefault="003250BA" w:rsidP="003250BA">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5ED677EA" w14:textId="418BD664" w:rsidR="003250BA" w:rsidRPr="007C5C3A" w:rsidRDefault="003250BA" w:rsidP="003250BA">
      <w:pPr>
        <w:spacing w:line="48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GPX</w:t>
      </w:r>
    </w:p>
    <w:p w14:paraId="64C33654" w14:textId="77777777" w:rsidR="003250BA" w:rsidRPr="007C5C3A" w:rsidRDefault="003250BA" w:rsidP="003250BA">
      <w:pPr>
        <w:spacing w:line="480" w:lineRule="auto"/>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Significant reduction in antioxidant enzymes (SOD, CAT, GPx) in toxicant groups indicate oxidative stress. Clove extract restored enzyme levels, demonstrating strong antioxidant activity.</w:t>
      </w:r>
    </w:p>
    <w:p w14:paraId="44687933" w14:textId="71F9BB98" w:rsidR="003250BA" w:rsidRPr="007C5C3A" w:rsidRDefault="003250BA" w:rsidP="00C00D49">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821" w14:anchorId="3C3F3ADE">
          <v:shape id="_x0000_i1028" type="#_x0000_t75" style="width:330.75pt;height:390.75pt" o:ole="">
            <v:imagedata r:id="rId13" o:title=""/>
          </v:shape>
          <o:OLEObject Type="Embed" ProgID="Prism10.Document" ShapeID="_x0000_i1028" DrawAspect="Content" ObjectID="_1848066054" r:id="rId14"/>
        </w:object>
      </w:r>
    </w:p>
    <w:p w14:paraId="76FE6D72" w14:textId="1B127DE0" w:rsidR="003250BA" w:rsidRPr="007C5C3A" w:rsidRDefault="003250BA" w:rsidP="003250BA">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4: Effect of </w:t>
      </w:r>
      <w:r w:rsidRPr="007C5C3A">
        <w:rPr>
          <w:rFonts w:ascii="Times New Roman" w:eastAsia="Times New Roman" w:hAnsi="Times New Roman" w:cs="Times New Roman"/>
          <w:b/>
          <w:bCs/>
          <w:i/>
          <w:iCs/>
          <w:sz w:val="24"/>
          <w:szCs w:val="24"/>
        </w:rPr>
        <w:t>Syzygium aromaticum</w:t>
      </w:r>
      <w:r w:rsidRPr="007C5C3A">
        <w:rPr>
          <w:rFonts w:ascii="Times New Roman" w:eastAsia="Times New Roman" w:hAnsi="Times New Roman" w:cs="Times New Roman"/>
          <w:b/>
          <w:bCs/>
          <w:sz w:val="24"/>
          <w:szCs w:val="24"/>
        </w:rPr>
        <w:t xml:space="preserve"> Extract on GPX level.</w:t>
      </w:r>
      <w:r w:rsidRPr="007C5C3A">
        <w:rPr>
          <w:rFonts w:ascii="Times New Roman" w:eastAsia="Times New Roman" w:hAnsi="Times New Roman" w:cs="Times New Roman"/>
          <w:sz w:val="24"/>
          <w:szCs w:val="24"/>
        </w:rPr>
        <w:t xml:space="preserve"> </w:t>
      </w:r>
    </w:p>
    <w:p w14:paraId="19B9990A" w14:textId="77777777" w:rsidR="003250BA" w:rsidRPr="007C5C3A" w:rsidRDefault="003250BA" w:rsidP="003250BA">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 &lt; 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0030DA65" w14:textId="77777777" w:rsidR="003250BA" w:rsidRPr="007C5C3A" w:rsidRDefault="003250BA" w:rsidP="003250BA">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6D370C49" w14:textId="2E2C9FC1" w:rsidR="003250BA" w:rsidRPr="007C5C3A" w:rsidRDefault="003250BA" w:rsidP="003250BA">
      <w:pPr>
        <w:spacing w:line="48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GSH</w:t>
      </w:r>
    </w:p>
    <w:p w14:paraId="73DF442E" w14:textId="77777777" w:rsidR="003250BA" w:rsidRPr="007C5C3A" w:rsidRDefault="003250BA" w:rsidP="003250BA">
      <w:pPr>
        <w:spacing w:line="480" w:lineRule="auto"/>
        <w:rPr>
          <w:rFonts w:ascii="Times New Roman" w:eastAsia="Times New Roman" w:hAnsi="Times New Roman" w:cs="Times New Roman"/>
          <w:bCs/>
          <w:sz w:val="24"/>
          <w:szCs w:val="24"/>
        </w:rPr>
      </w:pPr>
      <w:r w:rsidRPr="007C5C3A">
        <w:rPr>
          <w:rFonts w:ascii="Times New Roman" w:eastAsia="Times New Roman" w:hAnsi="Times New Roman" w:cs="Times New Roman"/>
          <w:bCs/>
          <w:sz w:val="24"/>
          <w:szCs w:val="24"/>
        </w:rPr>
        <w:t>Reduced glutathione levels confirm oxidative depletion. Treatment increased GSH, indicating restoration of intracellular antioxidant defence.</w:t>
      </w:r>
    </w:p>
    <w:p w14:paraId="6DA2FEB4" w14:textId="607B0E02" w:rsidR="003250BA" w:rsidRPr="007C5C3A" w:rsidRDefault="00373486" w:rsidP="00C00D49">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11189" w14:anchorId="60C21B35">
          <v:shape id="_x0000_i1029" type="#_x0000_t75" style="width:408.75pt;height:481.5pt" o:ole="">
            <v:imagedata r:id="rId15" o:title=""/>
          </v:shape>
          <o:OLEObject Type="Embed" ProgID="Prism10.Document" ShapeID="_x0000_i1029" DrawAspect="Content" ObjectID="_1848066055" r:id="rId16"/>
        </w:object>
      </w:r>
    </w:p>
    <w:p w14:paraId="211240DE" w14:textId="174E2164" w:rsidR="003250BA" w:rsidRPr="007C5C3A" w:rsidRDefault="003250BA" w:rsidP="003250BA">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w:t>
      </w:r>
      <w:r w:rsidR="00C00D49" w:rsidRPr="007C5C3A">
        <w:rPr>
          <w:rFonts w:ascii="Times New Roman" w:eastAsia="Times New Roman" w:hAnsi="Times New Roman" w:cs="Times New Roman"/>
          <w:b/>
          <w:bCs/>
          <w:sz w:val="24"/>
          <w:szCs w:val="24"/>
        </w:rPr>
        <w:t>5</w:t>
      </w:r>
      <w:r w:rsidRPr="007C5C3A">
        <w:rPr>
          <w:rFonts w:ascii="Times New Roman" w:eastAsia="Times New Roman" w:hAnsi="Times New Roman" w:cs="Times New Roman"/>
          <w:b/>
          <w:bCs/>
          <w:sz w:val="24"/>
          <w:szCs w:val="24"/>
        </w:rPr>
        <w:t>: Effect of Extract on GSH level.</w:t>
      </w:r>
      <w:r w:rsidRPr="007C5C3A">
        <w:rPr>
          <w:rFonts w:ascii="Times New Roman" w:eastAsia="Times New Roman" w:hAnsi="Times New Roman" w:cs="Times New Roman"/>
          <w:sz w:val="24"/>
          <w:szCs w:val="24"/>
        </w:rPr>
        <w:t xml:space="preserve"> 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6EC73862" w14:textId="544F59B1" w:rsidR="003250BA" w:rsidRPr="007C5C3A" w:rsidRDefault="003250BA" w:rsidP="003250BA">
      <w:pPr>
        <w:rPr>
          <w:rFonts w:ascii="Times New Roman" w:hAnsi="Times New Roman" w:cs="Times New Roman"/>
          <w:b/>
          <w:bCs/>
          <w:sz w:val="24"/>
          <w:szCs w:val="24"/>
        </w:rPr>
      </w:pPr>
      <w:r w:rsidRPr="007C5C3A">
        <w:rPr>
          <w:rFonts w:ascii="Times New Roman" w:eastAsia="Times New Roman" w:hAnsi="Times New Roman" w:cs="Times New Roman"/>
          <w:b/>
          <w:sz w:val="24"/>
          <w:szCs w:val="24"/>
        </w:rPr>
        <w:br w:type="page"/>
      </w:r>
    </w:p>
    <w:p w14:paraId="49B94B3F" w14:textId="5F1431F5" w:rsidR="003250BA" w:rsidRPr="007C5C3A" w:rsidRDefault="00A23E89" w:rsidP="00A23E89">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DISCUSSION</w:t>
      </w:r>
    </w:p>
    <w:p w14:paraId="64888920" w14:textId="77777777"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 xml:space="preserve">The present study investigated the protective effects of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against oxidative stress induced by aluminium and benzo[a]pyrene exposure in male Wistar rats. The findings demonstrated that exposure to either toxicant individually significantly disrupted the antioxidant defense system, while combined exposure produced a more pronounced oxidative imbalance. This was evidenced by elevated malondialdehyde (MDA) levels and concomitant reductions in the activities of superoxide dismutase (SOD), catalase (CAT), glutathione peroxidase (GPx), and reduced glutathione (GSH). Administration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extract effectively attenuated these alterations in a dose-dependent manner, indicating a substantial antioxidant and cytoprotective effect.</w:t>
      </w:r>
    </w:p>
    <w:p w14:paraId="65017746" w14:textId="16A38D27"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Lipid peroxidation is one of the earliest biochemical consequences of excessive reactive oxygen species (ROS) generation</w:t>
      </w:r>
      <w:r w:rsidR="007F3E63" w:rsidRPr="007C5C3A">
        <w:rPr>
          <w:rFonts w:ascii="Times New Roman" w:hAnsi="Times New Roman" w:cs="Times New Roman"/>
          <w:sz w:val="24"/>
          <w:szCs w:val="24"/>
        </w:rPr>
        <w:t xml:space="preserve"> (Mannucci et al., 2022</w:t>
      </w:r>
      <w:r w:rsidR="00222CF6" w:rsidRPr="007C5C3A">
        <w:rPr>
          <w:rFonts w:ascii="Times New Roman" w:hAnsi="Times New Roman" w:cs="Times New Roman"/>
          <w:sz w:val="24"/>
          <w:szCs w:val="24"/>
        </w:rPr>
        <w:t>; Dahiru et al., 2022</w:t>
      </w:r>
      <w:r w:rsidR="007F3E63" w:rsidRPr="007C5C3A">
        <w:rPr>
          <w:rFonts w:ascii="Times New Roman" w:hAnsi="Times New Roman" w:cs="Times New Roman"/>
          <w:sz w:val="24"/>
          <w:szCs w:val="24"/>
        </w:rPr>
        <w:t>)</w:t>
      </w:r>
      <w:r w:rsidRPr="007C5C3A">
        <w:rPr>
          <w:rFonts w:ascii="Times New Roman" w:hAnsi="Times New Roman" w:cs="Times New Roman"/>
          <w:sz w:val="24"/>
          <w:szCs w:val="24"/>
        </w:rPr>
        <w:t>. In the present study, exposure to aluminium and benzo[a]pyrene significantly increased MDA concentrations, indicating enhanced oxidative degradation of membrane lipids. Malondialdehyde is a widely recognized biomarker of oxidative stress because it reflects the extent of free radical-mediated peroxidation of polyunsaturated fatty acids within cellular membranes. Elevated MDA levels suggest severe disruption of membrane integrity, increased cellular permeability, and impairment of normal cellular functions. The more pronounced increase observed following combined exposure indicates that aluminium and benzo[a]pyrene may exert additive or synergistic effects through convergent oxidative pathways</w:t>
      </w:r>
      <w:r w:rsidR="007F1CC0" w:rsidRPr="007C5C3A">
        <w:rPr>
          <w:rFonts w:ascii="Times New Roman" w:hAnsi="Times New Roman" w:cs="Times New Roman"/>
          <w:sz w:val="24"/>
          <w:szCs w:val="24"/>
        </w:rPr>
        <w:t xml:space="preserve"> (Zeng et al, 2022).</w:t>
      </w:r>
      <w:r w:rsidRPr="007C5C3A">
        <w:rPr>
          <w:rFonts w:ascii="Times New Roman" w:hAnsi="Times New Roman" w:cs="Times New Roman"/>
          <w:sz w:val="24"/>
          <w:szCs w:val="24"/>
        </w:rPr>
        <w:t xml:space="preserve"> Aluminium has been shown to promote ROS generation through interference with mitochondrial electron transport and disruption of intracellular iron homeostasis, whereas benzo[a]pyrene undergoes cytochrome P450-mediated bioactivation to reactive metabolites capable of generating free radicals and initiating lipid peroxidation</w:t>
      </w:r>
      <w:r w:rsidR="007F1CC0" w:rsidRPr="007C5C3A">
        <w:rPr>
          <w:rFonts w:ascii="Times New Roman" w:hAnsi="Times New Roman" w:cs="Times New Roman"/>
          <w:sz w:val="24"/>
          <w:szCs w:val="24"/>
        </w:rPr>
        <w:t xml:space="preserve"> (Jorge et al., 2021; Traini et al., 2023)</w:t>
      </w:r>
      <w:r w:rsidRPr="007C5C3A">
        <w:rPr>
          <w:rFonts w:ascii="Times New Roman" w:hAnsi="Times New Roman" w:cs="Times New Roman"/>
          <w:sz w:val="24"/>
          <w:szCs w:val="24"/>
        </w:rPr>
        <w:t>. The interaction of these mechanism</w:t>
      </w:r>
      <w:r w:rsidR="00A23E89" w:rsidRPr="007C5C3A">
        <w:rPr>
          <w:rFonts w:ascii="Times New Roman" w:hAnsi="Times New Roman" w:cs="Times New Roman"/>
          <w:sz w:val="24"/>
          <w:szCs w:val="24"/>
        </w:rPr>
        <w:t>s</w:t>
      </w:r>
      <w:r w:rsidRPr="007C5C3A">
        <w:rPr>
          <w:rFonts w:ascii="Times New Roman" w:hAnsi="Times New Roman" w:cs="Times New Roman"/>
          <w:sz w:val="24"/>
          <w:szCs w:val="24"/>
        </w:rPr>
        <w:t xml:space="preserve"> likely accounts for the greater oxidative injury observed in animals exposed to both toxicants simultaneously.</w:t>
      </w:r>
      <w:r w:rsidR="00222CF6" w:rsidRPr="007C5C3A">
        <w:rPr>
          <w:rFonts w:ascii="Times New Roman" w:hAnsi="Times New Roman" w:cs="Times New Roman"/>
          <w:sz w:val="24"/>
          <w:szCs w:val="24"/>
        </w:rPr>
        <w:t xml:space="preserve"> This aligns with previous findings by Wild et al. (2004), Oboh et al. (2017), and Emejuru et al. (2023), suggesting that flavonoids in the extract may regulate liver enzyme activities, thereby protecting hepatic health.</w:t>
      </w:r>
    </w:p>
    <w:p w14:paraId="0449B2CB" w14:textId="3A788D0E"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The significant reduction in superoxide dismutase activity observed following toxicant exposure further confirms impairment of endogenous antioxidant defense mechanisms. Superoxide dismutase constitutes the first enzymatic line of defense against oxidative stress by catalysing the conversion of superoxide anions into hydrogen peroxide</w:t>
      </w:r>
      <w:r w:rsidR="007F1CC0" w:rsidRPr="007C5C3A">
        <w:rPr>
          <w:rFonts w:ascii="Times New Roman" w:hAnsi="Times New Roman" w:cs="Times New Roman"/>
          <w:sz w:val="24"/>
          <w:szCs w:val="24"/>
        </w:rPr>
        <w:t xml:space="preserve"> (Yu &amp; Xiao, 2021)</w:t>
      </w:r>
      <w:r w:rsidRPr="007C5C3A">
        <w:rPr>
          <w:rFonts w:ascii="Times New Roman" w:hAnsi="Times New Roman" w:cs="Times New Roman"/>
          <w:sz w:val="24"/>
          <w:szCs w:val="24"/>
        </w:rPr>
        <w:t>. Reduced SOD activity therefore permits the accumulation of superoxide radicals, thereby amplifying oxidative damage and promoting secondary free radical reactions. Similar reductions in SOD activity have been reported in experimental models of aluminium and polycyclic aromatic hydrocarbon toxicity, where excessive ROS generation overwhelms endogenous antioxidant capacity</w:t>
      </w:r>
      <w:r w:rsidR="007F1CC0" w:rsidRPr="007C5C3A">
        <w:rPr>
          <w:rFonts w:ascii="Times New Roman" w:hAnsi="Times New Roman" w:cs="Times New Roman"/>
          <w:sz w:val="24"/>
          <w:szCs w:val="24"/>
        </w:rPr>
        <w:t xml:space="preserve"> (Olanrewaju et al., 2021; Zeng et al., 2022)</w:t>
      </w:r>
      <w:r w:rsidRPr="007C5C3A">
        <w:rPr>
          <w:rFonts w:ascii="Times New Roman" w:hAnsi="Times New Roman" w:cs="Times New Roman"/>
          <w:sz w:val="24"/>
          <w:szCs w:val="24"/>
        </w:rPr>
        <w:t xml:space="preserve">. Restoration of SOD activity following treatment with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indicates preservation of antioxidant enzyme function and enhanced scavenging of superoxide radicals, thereby limiting oxidative injury.</w:t>
      </w:r>
    </w:p>
    <w:p w14:paraId="1A5CBA9D" w14:textId="6FE63E84"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Catalase activity was also significantly suppressed in toxicant-treated animals. Catalase plays an essential role in cellular antioxidant defense by rapidly converting hydrogen peroxide into water and molecular oxygen, thereby preventing the formation of highly reactive hydroxyl radicals through Fenton-type reactions</w:t>
      </w:r>
      <w:r w:rsidR="007F1CC0" w:rsidRPr="007C5C3A">
        <w:rPr>
          <w:rFonts w:ascii="Times New Roman" w:hAnsi="Times New Roman" w:cs="Times New Roman"/>
          <w:sz w:val="24"/>
          <w:szCs w:val="24"/>
        </w:rPr>
        <w:t xml:space="preserve"> (Yu &amp; Xiao, 2021)</w:t>
      </w:r>
      <w:r w:rsidRPr="007C5C3A">
        <w:rPr>
          <w:rFonts w:ascii="Times New Roman" w:hAnsi="Times New Roman" w:cs="Times New Roman"/>
          <w:sz w:val="24"/>
          <w:szCs w:val="24"/>
        </w:rPr>
        <w:t xml:space="preserve">. Decreased catalase activity </w:t>
      </w:r>
      <w:r w:rsidRPr="007C5C3A">
        <w:rPr>
          <w:rFonts w:ascii="Times New Roman" w:hAnsi="Times New Roman" w:cs="Times New Roman"/>
          <w:sz w:val="24"/>
          <w:szCs w:val="24"/>
        </w:rPr>
        <w:lastRenderedPageBreak/>
        <w:t xml:space="preserve">therefore predisposes tissues to hydrogen peroxide accumulation and subsequent oxidative damage. The observed restoration of catalase activity following administration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suggests that the extract effectively preserved antioxidant enzyme integrity and improved the detoxification of hydrogen peroxide. This finding agrees with previous reports demonstrating the ability of clove-derived phytochemicals to enhance endogenous antioxidant enzyme activities under conditions of oxidative stress</w:t>
      </w:r>
      <w:r w:rsidR="007F1CC0" w:rsidRPr="007C5C3A">
        <w:rPr>
          <w:rFonts w:ascii="Times New Roman" w:hAnsi="Times New Roman" w:cs="Times New Roman"/>
          <w:sz w:val="24"/>
          <w:szCs w:val="24"/>
        </w:rPr>
        <w:t xml:space="preserve"> (Taghipour et al., 2023; Akinwande et al., 2019)</w:t>
      </w:r>
      <w:r w:rsidRPr="007C5C3A">
        <w:rPr>
          <w:rFonts w:ascii="Times New Roman" w:hAnsi="Times New Roman" w:cs="Times New Roman"/>
          <w:sz w:val="24"/>
          <w:szCs w:val="24"/>
        </w:rPr>
        <w:t>.</w:t>
      </w:r>
    </w:p>
    <w:p w14:paraId="726FDA98" w14:textId="126FBF95"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Glutathione peroxidase and reduced glutathione constitute another critical component of intracellular antioxidant defense. Glutathione peroxidase utilizes reduced glutathione as a cofactor to detoxify hydrogen peroxide and lipid hydroperoxides, thereby protecting cellular membranes from oxidative injury</w:t>
      </w:r>
      <w:r w:rsidR="007F1CC0" w:rsidRPr="007C5C3A">
        <w:rPr>
          <w:rFonts w:ascii="Times New Roman" w:hAnsi="Times New Roman" w:cs="Times New Roman"/>
          <w:sz w:val="24"/>
          <w:szCs w:val="24"/>
        </w:rPr>
        <w:t xml:space="preserve"> (Mannucci et al., 2022)</w:t>
      </w:r>
      <w:r w:rsidRPr="007C5C3A">
        <w:rPr>
          <w:rFonts w:ascii="Times New Roman" w:hAnsi="Times New Roman" w:cs="Times New Roman"/>
          <w:sz w:val="24"/>
          <w:szCs w:val="24"/>
        </w:rPr>
        <w:t>. In the present study, significant reductions in GPx activity and GSH concentration following aluminium and benzo[a]pyrene exposure indicate depletion of intracellular antioxidant reserves as a consequence of sustained oxidative stress. Depletion of GSH compromises cellular redox homeostasis, enhances susceptibility to oxidative injury, and promotes mitochondrial dysfunction and apoptosis</w:t>
      </w:r>
      <w:r w:rsidR="007F1CC0" w:rsidRPr="007C5C3A">
        <w:rPr>
          <w:rFonts w:ascii="Times New Roman" w:hAnsi="Times New Roman" w:cs="Times New Roman"/>
          <w:sz w:val="24"/>
          <w:szCs w:val="24"/>
        </w:rPr>
        <w:t xml:space="preserve"> (Yu &amp; Xiao, 2021)</w:t>
      </w:r>
      <w:r w:rsidRPr="007C5C3A">
        <w:rPr>
          <w:rFonts w:ascii="Times New Roman" w:hAnsi="Times New Roman" w:cs="Times New Roman"/>
          <w:sz w:val="24"/>
          <w:szCs w:val="24"/>
        </w:rPr>
        <w:t xml:space="preserve">. The ability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extract to restore both GPx activity and GSH concentration suggests improved maintenance of intracellular redox balance and enhanced capacity to neutralize reactive oxygen species generated during toxicant exposure.</w:t>
      </w:r>
    </w:p>
    <w:p w14:paraId="4821F6F3" w14:textId="63EAA399"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 xml:space="preserve">The antioxidant effects observed in the present study are likely attributable to the diverse phytochemical constituents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particularly eugenol, which has been extensively reported as one of the most potent naturally occurring phenolic antioxidants</w:t>
      </w:r>
      <w:r w:rsidR="007F1CC0" w:rsidRPr="007C5C3A">
        <w:rPr>
          <w:rFonts w:ascii="Times New Roman" w:hAnsi="Times New Roman" w:cs="Times New Roman"/>
          <w:sz w:val="24"/>
          <w:szCs w:val="24"/>
        </w:rPr>
        <w:t xml:space="preserve"> (Khalil &amp; Ashour, 2021).</w:t>
      </w:r>
      <w:r w:rsidRPr="007C5C3A">
        <w:rPr>
          <w:rFonts w:ascii="Times New Roman" w:hAnsi="Times New Roman" w:cs="Times New Roman"/>
          <w:sz w:val="24"/>
          <w:szCs w:val="24"/>
        </w:rPr>
        <w:t xml:space="preserve"> Eugenol possesses a phenolic hydroxyl group capable of donating hydrogen atoms to neutralize free radicals, thereby terminating lipid peroxidation chain reactions. In addition to direct free radical scavenging, eugenol and other phenolic constituents of clove have been reported to enhance endogenous antioxidant enzyme activities, preserve glutathione homeostasis, inhibit inflammatory mediators, stabilize biological membranes, and reduce mitochondrial oxidative damage</w:t>
      </w:r>
      <w:r w:rsidR="007F1CC0"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 xml:space="preserve">. Other bioactive compounds identified in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including flavonoids, tannins, and β-caryophyllene, may also contribute synergistically to the observed antioxidant effects through complementary mechanisms involving radical scavenging, metal ion chelation, and modulation of oxidative stress signaling pathways</w:t>
      </w:r>
      <w:r w:rsidR="007F1CC0" w:rsidRPr="007C5C3A">
        <w:rPr>
          <w:rFonts w:ascii="Times New Roman" w:hAnsi="Times New Roman" w:cs="Times New Roman"/>
          <w:sz w:val="24"/>
          <w:szCs w:val="24"/>
        </w:rPr>
        <w:t xml:space="preserve"> (Taghipour et al., 2023)</w:t>
      </w:r>
      <w:r w:rsidRPr="007C5C3A">
        <w:rPr>
          <w:rFonts w:ascii="Times New Roman" w:hAnsi="Times New Roman" w:cs="Times New Roman"/>
          <w:sz w:val="24"/>
          <w:szCs w:val="24"/>
        </w:rPr>
        <w:t>.</w:t>
      </w:r>
    </w:p>
    <w:p w14:paraId="5A0B9A53" w14:textId="77777777"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 xml:space="preserve">The dose-dependent improvement observed following administration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further supports its pharmacological potential. Progressive restoration of antioxidant biomarkers with increasing extract doses suggests enhanced bioavailability of antioxidant phytochemicals capable of counteracting toxicant-induced oxidative damage. Notably, the highest dose produced antioxidant effects comparable to those observed with ascorbic acid, a well-established antioxidant reference compound. This finding indicates that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possesses considerable antioxidant efficacy and may represent a promising natural alternative for mitigating oxidative stress associated with environmental toxicant exposure.</w:t>
      </w:r>
    </w:p>
    <w:p w14:paraId="0A2C3806" w14:textId="423AAEC1"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The present findings are consistent with previous reports demonstrating that natural antioxidant-rich plant extracts protect against chemically induced oxidative injury through enhancement of endogenous antioxidant defenses and suppression of lipid peroxidation</w:t>
      </w:r>
      <w:r w:rsidR="007F1CC0" w:rsidRPr="007C5C3A">
        <w:rPr>
          <w:rFonts w:ascii="Times New Roman" w:hAnsi="Times New Roman" w:cs="Times New Roman"/>
          <w:sz w:val="24"/>
          <w:szCs w:val="24"/>
        </w:rPr>
        <w:t xml:space="preserve"> (Akinwande et al., 2019; Falade et al., 2022)</w:t>
      </w:r>
      <w:r w:rsidRPr="007C5C3A">
        <w:rPr>
          <w:rFonts w:ascii="Times New Roman" w:hAnsi="Times New Roman" w:cs="Times New Roman"/>
          <w:sz w:val="24"/>
          <w:szCs w:val="24"/>
        </w:rPr>
        <w:t xml:space="preserve">. However, unlike many earlier investigations that evaluated single-toxicant exposure, the present study employed a combined aluminium and </w:t>
      </w:r>
      <w:r w:rsidRPr="007C5C3A">
        <w:rPr>
          <w:rFonts w:ascii="Times New Roman" w:hAnsi="Times New Roman" w:cs="Times New Roman"/>
          <w:sz w:val="24"/>
          <w:szCs w:val="24"/>
        </w:rPr>
        <w:lastRenderedPageBreak/>
        <w:t>benzo[a]pyrene exposure model that more closely reflects real-life environmental conditions</w:t>
      </w:r>
      <w:r w:rsidR="007F1CC0" w:rsidRPr="007C5C3A">
        <w:rPr>
          <w:rFonts w:ascii="Times New Roman" w:hAnsi="Times New Roman" w:cs="Times New Roman"/>
          <w:sz w:val="24"/>
          <w:szCs w:val="24"/>
        </w:rPr>
        <w:t xml:space="preserve"> (Zeng et al., 2022; Mitra et al., 2022)</w:t>
      </w:r>
      <w:r w:rsidRPr="007C5C3A">
        <w:rPr>
          <w:rFonts w:ascii="Times New Roman" w:hAnsi="Times New Roman" w:cs="Times New Roman"/>
          <w:sz w:val="24"/>
          <w:szCs w:val="24"/>
        </w:rPr>
        <w:t xml:space="preserve">. This experimental design strengthens the translational relevance of the findings and provides additional evidence supporting the therapeutic potential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under complex environmental exposure scenarios.</w:t>
      </w:r>
    </w:p>
    <w:p w14:paraId="5D6DF7CC" w14:textId="4752C321"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 xml:space="preserve">Although the present study demonstrates significant antioxidant effects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certain limitations should be acknowledged. The study primarily evaluated biochemical indices of oxidative stress without investigating molecular pathways regulating antioxidant responses, such as nuclear factor erythroid 2-related factor 2 (Nrf2), heme oxygenase-1 (HO-1), nuclear factor-kappa B (NF-κB), or apoptotic signaling proteins</w:t>
      </w:r>
      <w:r w:rsidR="00F21DAF" w:rsidRPr="007C5C3A">
        <w:rPr>
          <w:rFonts w:ascii="Times New Roman" w:hAnsi="Times New Roman" w:cs="Times New Roman"/>
          <w:sz w:val="24"/>
          <w:szCs w:val="24"/>
        </w:rPr>
        <w:t xml:space="preserve"> (Yu &amp; Xiao, 2021)</w:t>
      </w:r>
      <w:r w:rsidRPr="007C5C3A">
        <w:rPr>
          <w:rFonts w:ascii="Times New Roman" w:hAnsi="Times New Roman" w:cs="Times New Roman"/>
          <w:sz w:val="24"/>
          <w:szCs w:val="24"/>
        </w:rPr>
        <w:t xml:space="preserve">. Furthermore, characterization of individual phytochemicals responsible for the observed biological effects was beyond the scope of this investigation. Future studies incorporating molecular analyses, gene and protein expression profiling, molecular dynamics simulations, and pharmacokinetic evaluation would provide a more comprehensive understanding of the mechanisms through which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confers protection against mixed environmental toxicant exposure.</w:t>
      </w:r>
    </w:p>
    <w:p w14:paraId="4835A069" w14:textId="3FBD5994"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19DBE8E9" w14:textId="6CE3BEA2" w:rsidR="003250BA" w:rsidRPr="007C5C3A" w:rsidRDefault="00A23E89" w:rsidP="00A23E89">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CONCLUSION</w:t>
      </w:r>
    </w:p>
    <w:p w14:paraId="2482ED9D" w14:textId="77777777"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The findings of the present study demonstrate that exposure to aluminium and benzo[a]pyrene, both individually and in combination, induces significant oxidative stress by disrupting the endogenous antioxidant defense system and promoting lipid peroxidation. The observed elevation in malondialdehyde levels, together with the depletion of superoxide dismutase, catalase, glutathione peroxidase, and reduced glutathione, confirms that oxidative stress is a major mechanism underlying the toxicity of these environmental contaminants. Notably, combined exposure produced more severe oxidative damage than exposure to either toxicant alone, suggesting additive or synergistic interactions between aluminium and benzo[a]pyrene.</w:t>
      </w:r>
    </w:p>
    <w:p w14:paraId="4DE27800" w14:textId="77777777" w:rsidR="003250BA" w:rsidRPr="007C5C3A" w:rsidRDefault="003250BA" w:rsidP="00C00D49">
      <w:pPr>
        <w:jc w:val="both"/>
        <w:rPr>
          <w:rFonts w:ascii="Times New Roman" w:hAnsi="Times New Roman" w:cs="Times New Roman"/>
          <w:sz w:val="24"/>
          <w:szCs w:val="24"/>
        </w:rPr>
      </w:pPr>
      <w:r w:rsidRPr="007C5C3A">
        <w:rPr>
          <w:rFonts w:ascii="Times New Roman" w:hAnsi="Times New Roman" w:cs="Times New Roman"/>
          <w:sz w:val="24"/>
          <w:szCs w:val="24"/>
        </w:rPr>
        <w:t xml:space="preserve">Administration of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extract effectively ameliorated these alterations in a dose-dependent manner by suppressing lipid peroxidation and restoring both enzymatic and non-enzymatic antioxidant defenses. The marked improvement in oxidative stress biomarkers demonstrates the ability of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to preserve cellular redox homeostasis and protect biological tissues against free radical-mediated injury. These protective effects are likely attributable to the synergistic actions of its bioactive phytochemicals, particularly eugenol and other phenolic constituents, which possess potent free radical scavenging and antioxidant properties.</w:t>
      </w:r>
    </w:p>
    <w:p w14:paraId="3E41D96C" w14:textId="77777777" w:rsidR="004D5966" w:rsidRDefault="003250BA" w:rsidP="004D5966">
      <w:pPr>
        <w:jc w:val="both"/>
        <w:rPr>
          <w:rFonts w:ascii="Times New Roman" w:hAnsi="Times New Roman" w:cs="Times New Roman"/>
          <w:sz w:val="24"/>
          <w:szCs w:val="24"/>
        </w:rPr>
      </w:pPr>
      <w:r w:rsidRPr="007C5C3A">
        <w:rPr>
          <w:rFonts w:ascii="Times New Roman" w:hAnsi="Times New Roman" w:cs="Times New Roman"/>
          <w:sz w:val="24"/>
          <w:szCs w:val="24"/>
        </w:rPr>
        <w:t xml:space="preserve">Overall, the present study provides experimental evidence supporting the antioxidant potential of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as a natural therapeutic agent against oxidative damage induced by mixed environmental toxicants. Given the increasing human exposure to multiple environmental pollutants, the use of antioxidant-rich medicinal plants such as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may represent a promising complementary strategy for reducing oxidative injury and its associated pathological consequences. Future studies should focus on elucidating the molecular mechanisms underlying these protective effects through gene and protein expression analyses, advanced computational modelling, and well-designed clinical investigations to facilitate the translation of these findings into preventive and therapeutic applications.</w:t>
      </w:r>
    </w:p>
    <w:p w14:paraId="3307B463" w14:textId="77777777" w:rsidR="004D5966" w:rsidRDefault="004D5966" w:rsidP="004D5966">
      <w:pPr>
        <w:jc w:val="both"/>
        <w:rPr>
          <w:rFonts w:ascii="Times New Roman" w:hAnsi="Times New Roman" w:cs="Times New Roman"/>
          <w:b/>
          <w:bCs/>
          <w:sz w:val="24"/>
          <w:szCs w:val="24"/>
        </w:rPr>
      </w:pPr>
    </w:p>
    <w:p w14:paraId="10495D7B" w14:textId="77777777" w:rsidR="00373486" w:rsidRPr="005F7880" w:rsidRDefault="00373486" w:rsidP="00373486">
      <w:pPr>
        <w:jc w:val="center"/>
        <w:rPr>
          <w:rFonts w:ascii="Times New Roman" w:hAnsi="Times New Roman" w:cs="Times New Roman"/>
          <w:sz w:val="24"/>
          <w:szCs w:val="24"/>
        </w:rPr>
      </w:pPr>
      <w:r w:rsidRPr="005F7880">
        <w:rPr>
          <w:rFonts w:ascii="Times New Roman" w:hAnsi="Times New Roman" w:cs="Times New Roman"/>
          <w:b/>
          <w:bCs/>
          <w:sz w:val="24"/>
          <w:szCs w:val="24"/>
        </w:rPr>
        <w:t>DATA AVAILABILITY STATEMENT</w:t>
      </w:r>
    </w:p>
    <w:p w14:paraId="6C3843FA" w14:textId="49A00FD5" w:rsidR="00373486" w:rsidRDefault="00373486" w:rsidP="004D5966">
      <w:pPr>
        <w:jc w:val="both"/>
        <w:rPr>
          <w:rFonts w:ascii="Times New Roman" w:hAnsi="Times New Roman" w:cs="Times New Roman"/>
          <w:sz w:val="24"/>
          <w:szCs w:val="24"/>
        </w:rPr>
      </w:pPr>
      <w:r w:rsidRPr="005F7880">
        <w:rPr>
          <w:rFonts w:ascii="Times New Roman" w:hAnsi="Times New Roman" w:cs="Times New Roman"/>
          <w:sz w:val="24"/>
          <w:szCs w:val="24"/>
        </w:rPr>
        <w:t>The data supporting the findings of this study are available from the corresponding author upon reasonable request.</w:t>
      </w:r>
      <w:r>
        <w:rPr>
          <w:rFonts w:ascii="Times New Roman" w:hAnsi="Times New Roman" w:cs="Times New Roman"/>
          <w:sz w:val="24"/>
          <w:szCs w:val="24"/>
        </w:rPr>
        <w:br w:type="page"/>
      </w:r>
    </w:p>
    <w:p w14:paraId="4594B632" w14:textId="77777777" w:rsidR="00373486" w:rsidRDefault="00373486" w:rsidP="00373486">
      <w:pPr>
        <w:jc w:val="center"/>
        <w:rPr>
          <w:rFonts w:ascii="Times New Roman" w:hAnsi="Times New Roman" w:cs="Times New Roman"/>
          <w:sz w:val="24"/>
          <w:szCs w:val="24"/>
        </w:rPr>
      </w:pPr>
      <w:r w:rsidRPr="00212C8E">
        <w:rPr>
          <w:rFonts w:ascii="Times New Roman" w:hAnsi="Times New Roman" w:cs="Times New Roman"/>
          <w:b/>
          <w:bCs/>
          <w:sz w:val="24"/>
          <w:szCs w:val="24"/>
        </w:rPr>
        <w:lastRenderedPageBreak/>
        <w:t>CONFLICT OF INTEREST</w:t>
      </w:r>
    </w:p>
    <w:p w14:paraId="12A35ED9" w14:textId="21C3F3E1" w:rsidR="00373486" w:rsidRDefault="00373486" w:rsidP="004D5966">
      <w:pPr>
        <w:jc w:val="both"/>
        <w:rPr>
          <w:rFonts w:ascii="Times New Roman" w:hAnsi="Times New Roman" w:cs="Times New Roman"/>
          <w:sz w:val="24"/>
          <w:szCs w:val="24"/>
        </w:rPr>
      </w:pPr>
      <w:r w:rsidRPr="00212C8E">
        <w:rPr>
          <w:rFonts w:ascii="Times New Roman" w:hAnsi="Times New Roman" w:cs="Times New Roman"/>
          <w:sz w:val="24"/>
          <w:szCs w:val="24"/>
        </w:rPr>
        <w:t>The authors declare that they have no known competing financial interests or personal relationships that could have appeared to influence the work reported in this paper.</w:t>
      </w:r>
    </w:p>
    <w:p w14:paraId="5BF1B8AC" w14:textId="77777777" w:rsidR="004D5966" w:rsidRDefault="004D5966" w:rsidP="004D5966">
      <w:pPr>
        <w:jc w:val="both"/>
        <w:rPr>
          <w:rFonts w:ascii="Times New Roman" w:hAnsi="Times New Roman" w:cs="Times New Roman"/>
          <w:b/>
          <w:bCs/>
          <w:sz w:val="24"/>
          <w:szCs w:val="24"/>
        </w:rPr>
      </w:pPr>
    </w:p>
    <w:p w14:paraId="6B9C4737" w14:textId="77777777" w:rsidR="004D5966" w:rsidRPr="000839CE" w:rsidRDefault="004D5966" w:rsidP="004D5966">
      <w:pPr>
        <w:rPr>
          <w:rFonts w:ascii="Times New Roman" w:hAnsi="Times New Roman" w:cs="Times New Roman"/>
          <w:b/>
        </w:rPr>
      </w:pPr>
      <w:r w:rsidRPr="000839CE">
        <w:rPr>
          <w:rFonts w:ascii="Times New Roman" w:hAnsi="Times New Roman" w:cs="Times New Roman"/>
          <w:b/>
        </w:rPr>
        <w:t>Declaration of AI Use</w:t>
      </w:r>
    </w:p>
    <w:p w14:paraId="6564E79D" w14:textId="77777777" w:rsidR="004D5966" w:rsidRPr="000839CE" w:rsidRDefault="004D5966" w:rsidP="004D5966">
      <w:pPr>
        <w:rPr>
          <w:rFonts w:ascii="Times New Roman" w:hAnsi="Times New Roman" w:cs="Times New Roman"/>
        </w:rPr>
      </w:pPr>
    </w:p>
    <w:p w14:paraId="6B165BC2" w14:textId="77777777" w:rsidR="004D5966" w:rsidRPr="000839CE" w:rsidRDefault="004D5966" w:rsidP="004D5966">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F675E5F" w14:textId="77777777" w:rsidR="004D5966" w:rsidRDefault="004D5966" w:rsidP="004D5966">
      <w:pPr>
        <w:jc w:val="both"/>
        <w:rPr>
          <w:rFonts w:ascii="Times New Roman" w:hAnsi="Times New Roman" w:cs="Times New Roman"/>
          <w:b/>
          <w:bCs/>
          <w:sz w:val="24"/>
          <w:szCs w:val="24"/>
        </w:rPr>
      </w:pPr>
    </w:p>
    <w:p w14:paraId="043AFFF8" w14:textId="207A73BD" w:rsidR="00C6078E" w:rsidRPr="00373486" w:rsidRDefault="00A23E89" w:rsidP="00373486">
      <w:pPr>
        <w:jc w:val="center"/>
        <w:rPr>
          <w:rFonts w:ascii="Times New Roman" w:hAnsi="Times New Roman" w:cs="Times New Roman"/>
          <w:b/>
          <w:bCs/>
          <w:sz w:val="24"/>
          <w:szCs w:val="24"/>
        </w:rPr>
      </w:pPr>
      <w:r w:rsidRPr="007C5C3A">
        <w:rPr>
          <w:rFonts w:ascii="Times New Roman" w:hAnsi="Times New Roman" w:cs="Times New Roman"/>
          <w:b/>
          <w:bCs/>
          <w:sz w:val="24"/>
          <w:szCs w:val="24"/>
        </w:rPr>
        <w:t>REFERENCES</w:t>
      </w:r>
    </w:p>
    <w:p w14:paraId="667A88BC"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Adeniji, A., Okoh, O. &amp; Okoh, A. (2019). Levels of polycyclic aromatic hydrocarbons in the water and sediment of Buffalo River estuary, South Africa and their health risk assessment. </w:t>
      </w:r>
      <w:r w:rsidRPr="007C5C3A">
        <w:rPr>
          <w:rFonts w:ascii="Times New Roman" w:hAnsi="Times New Roman" w:cs="Times New Roman"/>
          <w:i/>
          <w:iCs/>
          <w:sz w:val="24"/>
          <w:szCs w:val="24"/>
        </w:rPr>
        <w:t xml:space="preserve">Arch. Environ. Con. Tox., </w:t>
      </w:r>
      <w:r w:rsidRPr="007C5C3A">
        <w:rPr>
          <w:rFonts w:ascii="Times New Roman" w:hAnsi="Times New Roman" w:cs="Times New Roman"/>
          <w:sz w:val="24"/>
          <w:szCs w:val="24"/>
        </w:rPr>
        <w:t>76, 657-669.</w:t>
      </w:r>
    </w:p>
    <w:p w14:paraId="05DC849E" w14:textId="77777777" w:rsidR="00C6078E" w:rsidRDefault="00C6078E" w:rsidP="00C6078E">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Aguilar Diaz De Leon, J., &amp; Borges, C. R. (2020). Evaluation of oxidative stress in biological samples using the thiobarbituric acid reactive substances assay. </w:t>
      </w:r>
      <w:r w:rsidRPr="00C6078E">
        <w:rPr>
          <w:rFonts w:ascii="Times New Roman" w:hAnsi="Times New Roman" w:cs="Times New Roman"/>
          <w:i/>
          <w:iCs/>
          <w:sz w:val="24"/>
          <w:szCs w:val="24"/>
        </w:rPr>
        <w:t>Journal of Visualized Experiments</w:t>
      </w:r>
      <w:r w:rsidRPr="00C6078E">
        <w:rPr>
          <w:rFonts w:ascii="Times New Roman" w:hAnsi="Times New Roman" w:cs="Times New Roman"/>
          <w:sz w:val="24"/>
          <w:szCs w:val="24"/>
        </w:rPr>
        <w:t xml:space="preserve">, (159), e61122. </w:t>
      </w:r>
      <w:hyperlink r:id="rId17" w:history="1">
        <w:r w:rsidRPr="00C6078E">
          <w:rPr>
            <w:rStyle w:val="Hyperlink"/>
            <w:rFonts w:ascii="Times New Roman" w:hAnsi="Times New Roman" w:cs="Times New Roman"/>
            <w:sz w:val="24"/>
            <w:szCs w:val="24"/>
          </w:rPr>
          <w:t>https://doi.org/10.3791/61122</w:t>
        </w:r>
      </w:hyperlink>
    </w:p>
    <w:p w14:paraId="77D85F96"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Akinwande, D. V., Adeyemi, J. A., Olawuyi, S. T., Akinola, B. K., &amp; Adedire, C. O. (2019). Protective effects of </w:t>
      </w:r>
      <w:r w:rsidRPr="007C5C3A">
        <w:rPr>
          <w:rFonts w:ascii="Times New Roman" w:hAnsi="Times New Roman" w:cs="Times New Roman"/>
          <w:i/>
          <w:iCs/>
          <w:sz w:val="24"/>
          <w:szCs w:val="24"/>
        </w:rPr>
        <w:t>Camellia sinensis</w:t>
      </w:r>
      <w:r w:rsidRPr="007C5C3A">
        <w:rPr>
          <w:rFonts w:ascii="Times New Roman" w:hAnsi="Times New Roman" w:cs="Times New Roman"/>
          <w:sz w:val="24"/>
          <w:szCs w:val="24"/>
        </w:rPr>
        <w:t xml:space="preserve"> on </w:t>
      </w:r>
      <w:r w:rsidRPr="007C5C3A">
        <w:rPr>
          <w:rFonts w:ascii="Times New Roman" w:hAnsi="Times New Roman" w:cs="Times New Roman"/>
          <w:i/>
          <w:iCs/>
          <w:sz w:val="24"/>
          <w:szCs w:val="24"/>
        </w:rPr>
        <w:t>Syzygium aromaticum</w:t>
      </w:r>
      <w:r w:rsidRPr="007C5C3A">
        <w:rPr>
          <w:rFonts w:ascii="Times New Roman" w:hAnsi="Times New Roman" w:cs="Times New Roman"/>
          <w:sz w:val="24"/>
          <w:szCs w:val="24"/>
        </w:rPr>
        <w:t xml:space="preserve">- or chlorpyrifos-induced reproductive toxicity in male Wistar rats. </w:t>
      </w:r>
      <w:r w:rsidRPr="007C5C3A">
        <w:rPr>
          <w:rFonts w:ascii="Times New Roman" w:hAnsi="Times New Roman" w:cs="Times New Roman"/>
          <w:i/>
          <w:iCs/>
          <w:sz w:val="24"/>
          <w:szCs w:val="24"/>
        </w:rPr>
        <w:t>Journal of Basic and Applied Zoology</w:t>
      </w:r>
      <w:r w:rsidRPr="007C5C3A">
        <w:rPr>
          <w:rFonts w:ascii="Times New Roman" w:hAnsi="Times New Roman" w:cs="Times New Roman"/>
          <w:sz w:val="24"/>
          <w:szCs w:val="24"/>
        </w:rPr>
        <w:t>, 80, 9. https://doi.org/10.1186/s41936-019-0122-2</w:t>
      </w:r>
    </w:p>
    <w:p w14:paraId="42D7F48E"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Amirdivani, S., Khorshidian, N., Ghobadi Dana, M., Mohammadi, R., Mortazavian, A.M., Quiterio de Souza, S.L., Barbosa Rocha, H. &amp; Raices, R. (2019). Polycyclic aromatic hydrocarbons in milk and dairy products. </w:t>
      </w:r>
      <w:r w:rsidRPr="007C5C3A">
        <w:rPr>
          <w:rFonts w:ascii="Times New Roman" w:hAnsi="Times New Roman" w:cs="Times New Roman"/>
          <w:i/>
          <w:iCs/>
          <w:sz w:val="24"/>
          <w:szCs w:val="24"/>
        </w:rPr>
        <w:t>Int. J. Diary Technol., 72.</w:t>
      </w:r>
      <w:r w:rsidRPr="007C5C3A">
        <w:rPr>
          <w:rFonts w:ascii="Times New Roman" w:hAnsi="Times New Roman" w:cs="Times New Roman"/>
          <w:sz w:val="24"/>
          <w:szCs w:val="24"/>
        </w:rPr>
        <w:t xml:space="preserve"> Doi:10.1111/1471-0307.12567.</w:t>
      </w:r>
    </w:p>
    <w:p w14:paraId="71CDB730" w14:textId="77777777" w:rsidR="00C6078E" w:rsidRPr="00C6078E" w:rsidRDefault="00C6078E" w:rsidP="00C6078E">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lastRenderedPageBreak/>
        <w:t xml:space="preserve">Ellman, G. L. (1959). Tissue sulfhydryl groups. </w:t>
      </w:r>
      <w:r w:rsidRPr="00C6078E">
        <w:rPr>
          <w:rFonts w:ascii="Times New Roman" w:hAnsi="Times New Roman" w:cs="Times New Roman"/>
          <w:i/>
          <w:iCs/>
          <w:sz w:val="24"/>
          <w:szCs w:val="24"/>
        </w:rPr>
        <w:t>Archives of Biochemistry and Biophysics</w:t>
      </w:r>
      <w:r w:rsidRPr="00C6078E">
        <w:rPr>
          <w:rFonts w:ascii="Times New Roman" w:hAnsi="Times New Roman" w:cs="Times New Roman"/>
          <w:sz w:val="24"/>
          <w:szCs w:val="24"/>
        </w:rPr>
        <w:t xml:space="preserve">, 82(1), 70–77. </w:t>
      </w:r>
      <w:hyperlink r:id="rId18" w:history="1">
        <w:r w:rsidRPr="00C6078E">
          <w:rPr>
            <w:rStyle w:val="Hyperlink"/>
            <w:rFonts w:ascii="Times New Roman" w:hAnsi="Times New Roman" w:cs="Times New Roman"/>
            <w:sz w:val="24"/>
            <w:szCs w:val="24"/>
          </w:rPr>
          <w:t>https://doi.org/10.1016/0003-9861(59)90090-6</w:t>
        </w:r>
      </w:hyperlink>
    </w:p>
    <w:p w14:paraId="7BF990D7"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Emejuru SW, Onyegeme-Okerenta BM, Amadi BA. The ameliorative potential of aqueous extract of Hunteria unbellata on alloxan-induced diabetes and hyperlipidemia in Wistar rats. Scientia Africana. 2023;22(3):299-318.</w:t>
      </w:r>
    </w:p>
    <w:p w14:paraId="3036713B"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Falade, A. O., Adewole, K. E., Adekola, A. R., Ikokoh, H. A., Okaiyeto, K., &amp; Oguntibeju, O. O. (2022). Aqueous extract of bay leaf (</w:t>
      </w:r>
      <w:r w:rsidRPr="007C5C3A">
        <w:rPr>
          <w:rFonts w:ascii="Times New Roman" w:hAnsi="Times New Roman" w:cs="Times New Roman"/>
          <w:i/>
          <w:iCs/>
          <w:sz w:val="24"/>
          <w:szCs w:val="24"/>
        </w:rPr>
        <w:t>Laurus nobilis</w:t>
      </w:r>
      <w:r w:rsidRPr="007C5C3A">
        <w:rPr>
          <w:rFonts w:ascii="Times New Roman" w:hAnsi="Times New Roman" w:cs="Times New Roman"/>
          <w:sz w:val="24"/>
          <w:szCs w:val="24"/>
        </w:rPr>
        <w:t xml:space="preserve">) ameliorates testicular toxicity induced by aluminum chloride in rats. </w:t>
      </w:r>
      <w:r w:rsidRPr="007C5C3A">
        <w:rPr>
          <w:rFonts w:ascii="Times New Roman" w:hAnsi="Times New Roman" w:cs="Times New Roman"/>
          <w:i/>
          <w:iCs/>
          <w:sz w:val="24"/>
          <w:szCs w:val="24"/>
        </w:rPr>
        <w:t>Veterinary World</w:t>
      </w:r>
      <w:r w:rsidRPr="007C5C3A">
        <w:rPr>
          <w:rFonts w:ascii="Times New Roman" w:hAnsi="Times New Roman" w:cs="Times New Roman"/>
          <w:sz w:val="24"/>
          <w:szCs w:val="24"/>
        </w:rPr>
        <w:t>, 15(11), 2525–2534. https://doi.org/10.14202/vetworld.2022.2525-2534</w:t>
      </w:r>
    </w:p>
    <w:p w14:paraId="33A2B848" w14:textId="77777777" w:rsidR="00C6078E" w:rsidRDefault="00C6078E" w:rsidP="00C6078E">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Hamza, T. A., &amp; Hadwan, M. H. (2020). New spectrophotometric method for the assessment of catalase enzyme activity in biological tissues. </w:t>
      </w:r>
      <w:r w:rsidRPr="00C6078E">
        <w:rPr>
          <w:rFonts w:ascii="Times New Roman" w:hAnsi="Times New Roman" w:cs="Times New Roman"/>
          <w:i/>
          <w:iCs/>
          <w:sz w:val="24"/>
          <w:szCs w:val="24"/>
        </w:rPr>
        <w:t>Current Analytical Chemistry</w:t>
      </w:r>
      <w:r w:rsidRPr="00C6078E">
        <w:rPr>
          <w:rFonts w:ascii="Times New Roman" w:hAnsi="Times New Roman" w:cs="Times New Roman"/>
          <w:sz w:val="24"/>
          <w:szCs w:val="24"/>
        </w:rPr>
        <w:t xml:space="preserve">, 16(8), 1054–1062. </w:t>
      </w:r>
      <w:hyperlink r:id="rId19" w:history="1">
        <w:r w:rsidRPr="00C6078E">
          <w:rPr>
            <w:rStyle w:val="Hyperlink"/>
            <w:rFonts w:ascii="Times New Roman" w:hAnsi="Times New Roman" w:cs="Times New Roman"/>
            <w:sz w:val="24"/>
            <w:szCs w:val="24"/>
          </w:rPr>
          <w:t>https://doi.org/10.2174/1573411016666200116091238</w:t>
        </w:r>
      </w:hyperlink>
    </w:p>
    <w:p w14:paraId="04845F74"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Jorge, B. C., et al. (2021). Exposure to benzo(a)pyrene from juvenile period to peripubertal impairs male reproductive parameters in adult rats. </w:t>
      </w:r>
      <w:r w:rsidRPr="007C5C3A">
        <w:rPr>
          <w:rFonts w:ascii="Times New Roman" w:hAnsi="Times New Roman" w:cs="Times New Roman"/>
          <w:i/>
          <w:iCs/>
          <w:sz w:val="24"/>
          <w:szCs w:val="24"/>
        </w:rPr>
        <w:t>Chemosphere</w:t>
      </w:r>
      <w:r w:rsidRPr="007C5C3A">
        <w:rPr>
          <w:rFonts w:ascii="Times New Roman" w:hAnsi="Times New Roman" w:cs="Times New Roman"/>
          <w:sz w:val="24"/>
          <w:szCs w:val="24"/>
        </w:rPr>
        <w:t xml:space="preserve">, 263, 128016. Traini, G., et al. (2023). Effects of benzo[a]pyrene on human sperm functions: An in vitro study. </w:t>
      </w:r>
      <w:r w:rsidRPr="007C5C3A">
        <w:rPr>
          <w:rFonts w:ascii="Times New Roman" w:hAnsi="Times New Roman" w:cs="Times New Roman"/>
          <w:i/>
          <w:iCs/>
          <w:sz w:val="24"/>
          <w:szCs w:val="24"/>
        </w:rPr>
        <w:t>International Journal of Molecular Sciences</w:t>
      </w:r>
      <w:r w:rsidRPr="007C5C3A">
        <w:rPr>
          <w:rFonts w:ascii="Times New Roman" w:hAnsi="Times New Roman" w:cs="Times New Roman"/>
          <w:sz w:val="24"/>
          <w:szCs w:val="24"/>
        </w:rPr>
        <w:t>, 24(19), 14411.</w:t>
      </w:r>
    </w:p>
    <w:p w14:paraId="654E8894"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Khalil, N., &amp; Ashour, M. (2021). Eugenol: A comprehensive review of its pharmacological activities. </w:t>
      </w:r>
    </w:p>
    <w:p w14:paraId="10DA92C0"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Mannucci, A., Argento, F. R., Fini, E., Coccia, M. E., Taddei, N., Becatti, M., &amp; Fiorillo, C. (2022). The impact of oxidative stress in male infertility. </w:t>
      </w:r>
      <w:r w:rsidRPr="007C5C3A">
        <w:rPr>
          <w:rFonts w:ascii="Times New Roman" w:hAnsi="Times New Roman" w:cs="Times New Roman"/>
          <w:i/>
          <w:iCs/>
          <w:sz w:val="24"/>
          <w:szCs w:val="24"/>
        </w:rPr>
        <w:t>Frontiers in Molecular Biosciences</w:t>
      </w:r>
      <w:r w:rsidRPr="007C5C3A">
        <w:rPr>
          <w:rFonts w:ascii="Times New Roman" w:hAnsi="Times New Roman" w:cs="Times New Roman"/>
          <w:sz w:val="24"/>
          <w:szCs w:val="24"/>
        </w:rPr>
        <w:t>, 8, 799294. https://doi.org/10.3389/fmolb.2021.799294</w:t>
      </w:r>
    </w:p>
    <w:p w14:paraId="2C3C8254"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Mitra, S., Chakraborty, A. J., Tareq, A. M., Emran, T. B., Nainu, F., Khusro, A., Idris, A. M., Khandaker, M. U., Osman, H., Alhumaydhi, F. A., &amp; Simal-Gandara, J. (2022). </w:t>
      </w:r>
      <w:r w:rsidRPr="007C5C3A">
        <w:rPr>
          <w:rFonts w:ascii="Times New Roman" w:hAnsi="Times New Roman" w:cs="Times New Roman"/>
          <w:sz w:val="24"/>
          <w:szCs w:val="24"/>
        </w:rPr>
        <w:lastRenderedPageBreak/>
        <w:t xml:space="preserve">Impact of heavy metals on the environment and human health: Novel therapeutic insights to counter the toxicity. </w:t>
      </w:r>
      <w:r w:rsidRPr="007C5C3A">
        <w:rPr>
          <w:rFonts w:ascii="Times New Roman" w:hAnsi="Times New Roman" w:cs="Times New Roman"/>
          <w:i/>
          <w:iCs/>
          <w:sz w:val="24"/>
          <w:szCs w:val="24"/>
        </w:rPr>
        <w:t>Journal of King Saud University – Science</w:t>
      </w:r>
      <w:r w:rsidRPr="007C5C3A">
        <w:rPr>
          <w:rFonts w:ascii="Times New Roman" w:hAnsi="Times New Roman" w:cs="Times New Roman"/>
          <w:sz w:val="24"/>
          <w:szCs w:val="24"/>
        </w:rPr>
        <w:t>, 34(3), 101865. https://doi.org/10.1016/j.jksus.2022.101865</w:t>
      </w:r>
    </w:p>
    <w:p w14:paraId="28609B4C"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Oboh G, Olasehinde TA, Ademosun AO. Inhibition of enzymes linked to type-2 diabetes and hypertension by essential oils from peels of orange and lemon. J Food Prop. 2017;20(1):S586-S594.</w:t>
      </w:r>
    </w:p>
    <w:p w14:paraId="1D3270BA"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Olanrewaju, J. A., Akinpade, T. G., Olatunji, S. Y., Owolabi, J. O., Enya, J. I., Adelodun, S. T., Fabiyi, S. O., &amp; Desalu, A. B. (2021). Observable protective activities of quercetin on aluminum chloride-induced testicular toxicity in adult male Wistar rat. </w:t>
      </w:r>
      <w:r w:rsidRPr="007C5C3A">
        <w:rPr>
          <w:rFonts w:ascii="Times New Roman" w:hAnsi="Times New Roman" w:cs="Times New Roman"/>
          <w:i/>
          <w:iCs/>
          <w:sz w:val="24"/>
          <w:szCs w:val="24"/>
        </w:rPr>
        <w:t>Journal of Human Reproductive Sciences</w:t>
      </w:r>
      <w:r w:rsidRPr="007C5C3A">
        <w:rPr>
          <w:rFonts w:ascii="Times New Roman" w:hAnsi="Times New Roman" w:cs="Times New Roman"/>
          <w:sz w:val="24"/>
          <w:szCs w:val="24"/>
        </w:rPr>
        <w:t>, 14(2), 113–120. https://doi.org/10.4103/jhrs.jhrs_190_20</w:t>
      </w:r>
    </w:p>
    <w:p w14:paraId="331B594D" w14:textId="77777777" w:rsidR="00C6078E" w:rsidRDefault="00C6078E" w:rsidP="00C6078E">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Sattar, A. A., Matin, A. A., Hadwan, M. H., Hadwan, A. M., &amp; Mohammed, R. M. (2024). Rapid and effective protocol to measure glutathione peroxidase activity. </w:t>
      </w:r>
      <w:r w:rsidRPr="00C6078E">
        <w:rPr>
          <w:rFonts w:ascii="Times New Roman" w:hAnsi="Times New Roman" w:cs="Times New Roman"/>
          <w:i/>
          <w:iCs/>
          <w:sz w:val="24"/>
          <w:szCs w:val="24"/>
        </w:rPr>
        <w:t>Bulletin of the National Research Centre</w:t>
      </w:r>
      <w:r w:rsidRPr="00C6078E">
        <w:rPr>
          <w:rFonts w:ascii="Times New Roman" w:hAnsi="Times New Roman" w:cs="Times New Roman"/>
          <w:sz w:val="24"/>
          <w:szCs w:val="24"/>
        </w:rPr>
        <w:t xml:space="preserve">, 48(1), 1–17. </w:t>
      </w:r>
      <w:hyperlink r:id="rId20" w:history="1">
        <w:r w:rsidRPr="00C6078E">
          <w:rPr>
            <w:rStyle w:val="Hyperlink"/>
            <w:rFonts w:ascii="Times New Roman" w:hAnsi="Times New Roman" w:cs="Times New Roman"/>
            <w:sz w:val="24"/>
            <w:szCs w:val="24"/>
          </w:rPr>
          <w:t>https://doi.org/10.1186/s42269-024-01250-x</w:t>
        </w:r>
      </w:hyperlink>
    </w:p>
    <w:p w14:paraId="3B3DAE9F" w14:textId="77777777" w:rsidR="00C6078E" w:rsidRPr="00C6078E" w:rsidRDefault="00C6078E" w:rsidP="00C6078E">
      <w:pPr>
        <w:spacing w:line="480" w:lineRule="auto"/>
        <w:ind w:left="1134" w:hanging="1134"/>
        <w:jc w:val="both"/>
        <w:rPr>
          <w:rFonts w:ascii="Times New Roman" w:hAnsi="Times New Roman" w:cs="Times New Roman"/>
          <w:sz w:val="24"/>
          <w:szCs w:val="24"/>
        </w:rPr>
      </w:pPr>
      <w:r w:rsidRPr="00C6078E">
        <w:rPr>
          <w:rFonts w:ascii="Times New Roman" w:hAnsi="Times New Roman" w:cs="Times New Roman"/>
          <w:sz w:val="24"/>
          <w:szCs w:val="24"/>
        </w:rPr>
        <w:t xml:space="preserve">Sun, Y., Oberley, L. W., &amp; Li, Y. (1988). A simple method for clinical assay of superoxide dismutase. </w:t>
      </w:r>
      <w:r w:rsidRPr="00C6078E">
        <w:rPr>
          <w:rFonts w:ascii="Times New Roman" w:hAnsi="Times New Roman" w:cs="Times New Roman"/>
          <w:i/>
          <w:iCs/>
          <w:sz w:val="24"/>
          <w:szCs w:val="24"/>
        </w:rPr>
        <w:t>Clinical Chemistry</w:t>
      </w:r>
      <w:r w:rsidRPr="00C6078E">
        <w:rPr>
          <w:rFonts w:ascii="Times New Roman" w:hAnsi="Times New Roman" w:cs="Times New Roman"/>
          <w:sz w:val="24"/>
          <w:szCs w:val="24"/>
        </w:rPr>
        <w:t xml:space="preserve">, 34(3), 497–500. </w:t>
      </w:r>
      <w:hyperlink r:id="rId21" w:history="1">
        <w:r w:rsidRPr="00C6078E">
          <w:rPr>
            <w:rStyle w:val="Hyperlink"/>
            <w:rFonts w:ascii="Times New Roman" w:hAnsi="Times New Roman" w:cs="Times New Roman"/>
            <w:sz w:val="24"/>
            <w:szCs w:val="24"/>
          </w:rPr>
          <w:t>https://doi.org/10.1093/clinchem/34.3.497</w:t>
        </w:r>
      </w:hyperlink>
    </w:p>
    <w:p w14:paraId="4860E6D3"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Taghipour, Z., Bahmanzadeh, M., &amp; Rahimi, R. (2023). The effects of clove and its constituents on reproductive system: A comprehensive review. </w:t>
      </w:r>
      <w:r w:rsidRPr="007C5C3A">
        <w:rPr>
          <w:rFonts w:ascii="Times New Roman" w:hAnsi="Times New Roman" w:cs="Times New Roman"/>
          <w:i/>
          <w:iCs/>
          <w:sz w:val="24"/>
          <w:szCs w:val="24"/>
        </w:rPr>
        <w:t>Reproductive Sciences</w:t>
      </w:r>
      <w:r w:rsidRPr="007C5C3A">
        <w:rPr>
          <w:rFonts w:ascii="Times New Roman" w:hAnsi="Times New Roman" w:cs="Times New Roman"/>
          <w:sz w:val="24"/>
          <w:szCs w:val="24"/>
        </w:rPr>
        <w:t>, 30(9), 2591–2614. https://doi.org/10.1007/s43032-023-01223-x</w:t>
      </w:r>
    </w:p>
    <w:p w14:paraId="4883F70E"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Wild S, Roglic G, Green A, Sicree R, King H. Global prevalence of diabetes: estimates for the year 2000 and projections for 2030. Diabetes Care. 2004;127(5):1047 1053.</w:t>
      </w:r>
    </w:p>
    <w:p w14:paraId="09A9BC17" w14:textId="77777777" w:rsidR="00C6078E" w:rsidRPr="007C5C3A" w:rsidRDefault="00C6078E" w:rsidP="00A23E89">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lastRenderedPageBreak/>
        <w:t xml:space="preserve">Yu, C., &amp; Xiao, J. H. (2021). The Keap1-Nrf2 system: A mediator between oxidative stress and aging. </w:t>
      </w:r>
      <w:r w:rsidRPr="007C5C3A">
        <w:rPr>
          <w:rFonts w:ascii="Times New Roman" w:hAnsi="Times New Roman" w:cs="Times New Roman"/>
          <w:i/>
          <w:iCs/>
          <w:sz w:val="24"/>
          <w:szCs w:val="24"/>
        </w:rPr>
        <w:t>Oxidative Medicine and Cellular Longevity</w:t>
      </w:r>
      <w:r w:rsidRPr="007C5C3A">
        <w:rPr>
          <w:rFonts w:ascii="Times New Roman" w:hAnsi="Times New Roman" w:cs="Times New Roman"/>
          <w:sz w:val="24"/>
          <w:szCs w:val="24"/>
        </w:rPr>
        <w:t xml:space="preserve">, 2021, 6635460. </w:t>
      </w:r>
      <w:hyperlink r:id="rId22" w:history="1">
        <w:r w:rsidRPr="007C5C3A">
          <w:rPr>
            <w:rStyle w:val="Hyperlink"/>
            <w:rFonts w:ascii="Times New Roman" w:hAnsi="Times New Roman" w:cs="Times New Roman"/>
            <w:sz w:val="24"/>
            <w:szCs w:val="24"/>
          </w:rPr>
          <w:t>https://doi.org/10.1155/2021/6635460</w:t>
        </w:r>
      </w:hyperlink>
      <w:r w:rsidRPr="007C5C3A">
        <w:rPr>
          <w:rFonts w:ascii="Times New Roman" w:hAnsi="Times New Roman" w:cs="Times New Roman"/>
          <w:sz w:val="24"/>
          <w:szCs w:val="24"/>
        </w:rPr>
        <w:t xml:space="preserve"> </w:t>
      </w:r>
    </w:p>
    <w:p w14:paraId="4FA17654" w14:textId="77777777" w:rsidR="00C6078E" w:rsidRDefault="00C6078E" w:rsidP="00C6078E">
      <w:pPr>
        <w:spacing w:line="480" w:lineRule="auto"/>
        <w:ind w:left="1134" w:hanging="1134"/>
        <w:jc w:val="both"/>
        <w:rPr>
          <w:rFonts w:ascii="Times New Roman" w:hAnsi="Times New Roman" w:cs="Times New Roman"/>
          <w:sz w:val="24"/>
          <w:szCs w:val="24"/>
        </w:rPr>
      </w:pPr>
      <w:r w:rsidRPr="007C5C3A">
        <w:rPr>
          <w:rFonts w:ascii="Times New Roman" w:hAnsi="Times New Roman" w:cs="Times New Roman"/>
          <w:sz w:val="24"/>
          <w:szCs w:val="24"/>
        </w:rPr>
        <w:t xml:space="preserve">Zeng, H., Fang, B., Hao, K., Wang, H., Zhang, L., Wang, M., Hao, Y., Wang, X., Wang, Q., Yang, W., &amp; Rong, S. (2022). Combined effects of exposure to polycyclic aromatic hydrocarbons and metals on oxidative stress among healthy adults in Caofeidian, China. </w:t>
      </w:r>
      <w:r w:rsidRPr="007C5C3A">
        <w:rPr>
          <w:rFonts w:ascii="Times New Roman" w:hAnsi="Times New Roman" w:cs="Times New Roman"/>
          <w:i/>
          <w:iCs/>
          <w:sz w:val="24"/>
          <w:szCs w:val="24"/>
        </w:rPr>
        <w:t>Ecotoxicology and Environmental Safety</w:t>
      </w:r>
      <w:r w:rsidRPr="007C5C3A">
        <w:rPr>
          <w:rFonts w:ascii="Times New Roman" w:hAnsi="Times New Roman" w:cs="Times New Roman"/>
          <w:sz w:val="24"/>
          <w:szCs w:val="24"/>
        </w:rPr>
        <w:t xml:space="preserve">, 230, 113168. </w:t>
      </w:r>
      <w:hyperlink r:id="rId23" w:history="1">
        <w:r w:rsidRPr="006047C6">
          <w:rPr>
            <w:rStyle w:val="Hyperlink"/>
            <w:rFonts w:ascii="Times New Roman" w:hAnsi="Times New Roman" w:cs="Times New Roman"/>
            <w:sz w:val="24"/>
            <w:szCs w:val="24"/>
          </w:rPr>
          <w:t>https://doi.org/10.1016/j.ecoenv.2022.113168</w:t>
        </w:r>
      </w:hyperlink>
    </w:p>
    <w:sectPr w:rsidR="00C6078E">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A9245" w14:textId="77777777" w:rsidR="00CA59B4" w:rsidRDefault="00CA59B4" w:rsidP="00CB706C">
      <w:pPr>
        <w:spacing w:after="0" w:line="240" w:lineRule="auto"/>
      </w:pPr>
      <w:r>
        <w:separator/>
      </w:r>
    </w:p>
  </w:endnote>
  <w:endnote w:type="continuationSeparator" w:id="0">
    <w:p w14:paraId="4F139028" w14:textId="77777777" w:rsidR="00CA59B4" w:rsidRDefault="00CA59B4" w:rsidP="00CB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107028"/>
      <w:docPartObj>
        <w:docPartGallery w:val="Page Numbers (Bottom of Page)"/>
        <w:docPartUnique/>
      </w:docPartObj>
    </w:sdtPr>
    <w:sdtEndPr>
      <w:rPr>
        <w:color w:val="7F7F7F" w:themeColor="background1" w:themeShade="7F"/>
        <w:spacing w:val="60"/>
      </w:rPr>
    </w:sdtEndPr>
    <w:sdtContent>
      <w:p w14:paraId="0F04497C" w14:textId="70505681" w:rsidR="00CB706C" w:rsidRDefault="00CB706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74C821D" w14:textId="77777777" w:rsidR="00CB706C" w:rsidRDefault="00CB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01A5" w14:textId="77777777" w:rsidR="00CA59B4" w:rsidRDefault="00CA59B4" w:rsidP="00CB706C">
      <w:pPr>
        <w:spacing w:after="0" w:line="240" w:lineRule="auto"/>
      </w:pPr>
      <w:r>
        <w:separator/>
      </w:r>
    </w:p>
  </w:footnote>
  <w:footnote w:type="continuationSeparator" w:id="0">
    <w:p w14:paraId="3900E163" w14:textId="77777777" w:rsidR="00CA59B4" w:rsidRDefault="00CA59B4" w:rsidP="00CB7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2C67"/>
    <w:multiLevelType w:val="multilevel"/>
    <w:tmpl w:val="FBF489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A5539"/>
    <w:multiLevelType w:val="multilevel"/>
    <w:tmpl w:val="8A5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33606"/>
    <w:multiLevelType w:val="multilevel"/>
    <w:tmpl w:val="716A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E3768"/>
    <w:multiLevelType w:val="hybridMultilevel"/>
    <w:tmpl w:val="7D4C721C"/>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965938600">
    <w:abstractNumId w:val="2"/>
  </w:num>
  <w:num w:numId="2" w16cid:durableId="743257217">
    <w:abstractNumId w:val="0"/>
  </w:num>
  <w:num w:numId="3" w16cid:durableId="1029992172">
    <w:abstractNumId w:val="1"/>
  </w:num>
  <w:num w:numId="4" w16cid:durableId="1491604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BA"/>
    <w:rsid w:val="000D57C8"/>
    <w:rsid w:val="001F1377"/>
    <w:rsid w:val="00222CF6"/>
    <w:rsid w:val="0024526C"/>
    <w:rsid w:val="002C578A"/>
    <w:rsid w:val="003250BA"/>
    <w:rsid w:val="0033655D"/>
    <w:rsid w:val="00373486"/>
    <w:rsid w:val="003A46B6"/>
    <w:rsid w:val="003E5AEA"/>
    <w:rsid w:val="00412A19"/>
    <w:rsid w:val="004D5966"/>
    <w:rsid w:val="00614C73"/>
    <w:rsid w:val="0069107B"/>
    <w:rsid w:val="006B5DD8"/>
    <w:rsid w:val="006E2DDB"/>
    <w:rsid w:val="00757C9C"/>
    <w:rsid w:val="00774A37"/>
    <w:rsid w:val="007C5C3A"/>
    <w:rsid w:val="007F1CC0"/>
    <w:rsid w:val="007F3E63"/>
    <w:rsid w:val="009972B2"/>
    <w:rsid w:val="00A05859"/>
    <w:rsid w:val="00A23E89"/>
    <w:rsid w:val="00A73844"/>
    <w:rsid w:val="00AF6110"/>
    <w:rsid w:val="00B459C5"/>
    <w:rsid w:val="00BB5243"/>
    <w:rsid w:val="00C00D49"/>
    <w:rsid w:val="00C6078E"/>
    <w:rsid w:val="00CA59B4"/>
    <w:rsid w:val="00CB706C"/>
    <w:rsid w:val="00D23853"/>
    <w:rsid w:val="00D523D2"/>
    <w:rsid w:val="00E937CB"/>
    <w:rsid w:val="00F21DAF"/>
    <w:rsid w:val="00F642E1"/>
    <w:rsid w:val="00F64C25"/>
    <w:rsid w:val="00FB360D"/>
    <w:rsid w:val="00FF1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7320"/>
  <w15:chartTrackingRefBased/>
  <w15:docId w15:val="{78CE1A9D-6350-412D-9707-3C63D9A3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5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5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5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5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5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5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5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5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5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0BA"/>
    <w:rPr>
      <w:rFonts w:eastAsiaTheme="majorEastAsia" w:cstheme="majorBidi"/>
      <w:color w:val="272727" w:themeColor="text1" w:themeTint="D8"/>
    </w:rPr>
  </w:style>
  <w:style w:type="paragraph" w:styleId="Title">
    <w:name w:val="Title"/>
    <w:basedOn w:val="Normal"/>
    <w:next w:val="Normal"/>
    <w:link w:val="TitleChar"/>
    <w:uiPriority w:val="10"/>
    <w:qFormat/>
    <w:rsid w:val="00325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0BA"/>
    <w:pPr>
      <w:spacing w:before="160"/>
      <w:jc w:val="center"/>
    </w:pPr>
    <w:rPr>
      <w:i/>
      <w:iCs/>
      <w:color w:val="404040" w:themeColor="text1" w:themeTint="BF"/>
    </w:rPr>
  </w:style>
  <w:style w:type="character" w:customStyle="1" w:styleId="QuoteChar">
    <w:name w:val="Quote Char"/>
    <w:basedOn w:val="DefaultParagraphFont"/>
    <w:link w:val="Quote"/>
    <w:uiPriority w:val="29"/>
    <w:rsid w:val="003250BA"/>
    <w:rPr>
      <w:i/>
      <w:iCs/>
      <w:color w:val="404040" w:themeColor="text1" w:themeTint="BF"/>
    </w:rPr>
  </w:style>
  <w:style w:type="paragraph" w:styleId="ListParagraph">
    <w:name w:val="List Paragraph"/>
    <w:basedOn w:val="Normal"/>
    <w:uiPriority w:val="34"/>
    <w:qFormat/>
    <w:rsid w:val="003250BA"/>
    <w:pPr>
      <w:ind w:left="720"/>
      <w:contextualSpacing/>
    </w:pPr>
  </w:style>
  <w:style w:type="character" w:styleId="IntenseEmphasis">
    <w:name w:val="Intense Emphasis"/>
    <w:basedOn w:val="DefaultParagraphFont"/>
    <w:uiPriority w:val="21"/>
    <w:qFormat/>
    <w:rsid w:val="003250BA"/>
    <w:rPr>
      <w:i/>
      <w:iCs/>
      <w:color w:val="2F5496" w:themeColor="accent1" w:themeShade="BF"/>
    </w:rPr>
  </w:style>
  <w:style w:type="paragraph" w:styleId="IntenseQuote">
    <w:name w:val="Intense Quote"/>
    <w:basedOn w:val="Normal"/>
    <w:next w:val="Normal"/>
    <w:link w:val="IntenseQuoteChar"/>
    <w:uiPriority w:val="30"/>
    <w:qFormat/>
    <w:rsid w:val="00325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50BA"/>
    <w:rPr>
      <w:i/>
      <w:iCs/>
      <w:color w:val="2F5496" w:themeColor="accent1" w:themeShade="BF"/>
    </w:rPr>
  </w:style>
  <w:style w:type="character" w:styleId="IntenseReference">
    <w:name w:val="Intense Reference"/>
    <w:basedOn w:val="DefaultParagraphFont"/>
    <w:uiPriority w:val="32"/>
    <w:qFormat/>
    <w:rsid w:val="003250BA"/>
    <w:rPr>
      <w:b/>
      <w:bCs/>
      <w:smallCaps/>
      <w:color w:val="2F5496" w:themeColor="accent1" w:themeShade="BF"/>
      <w:spacing w:val="5"/>
    </w:rPr>
  </w:style>
  <w:style w:type="character" w:styleId="Hyperlink">
    <w:name w:val="Hyperlink"/>
    <w:basedOn w:val="DefaultParagraphFont"/>
    <w:uiPriority w:val="99"/>
    <w:unhideWhenUsed/>
    <w:rsid w:val="006E2DDB"/>
    <w:rPr>
      <w:color w:val="0563C1" w:themeColor="hyperlink"/>
      <w:u w:val="single"/>
    </w:rPr>
  </w:style>
  <w:style w:type="character" w:styleId="UnresolvedMention">
    <w:name w:val="Unresolved Mention"/>
    <w:basedOn w:val="DefaultParagraphFont"/>
    <w:uiPriority w:val="99"/>
    <w:semiHidden/>
    <w:unhideWhenUsed/>
    <w:rsid w:val="006E2DDB"/>
    <w:rPr>
      <w:color w:val="605E5C"/>
      <w:shd w:val="clear" w:color="auto" w:fill="E1DFDD"/>
    </w:rPr>
  </w:style>
  <w:style w:type="character" w:styleId="FollowedHyperlink">
    <w:name w:val="FollowedHyperlink"/>
    <w:basedOn w:val="DefaultParagraphFont"/>
    <w:uiPriority w:val="99"/>
    <w:semiHidden/>
    <w:unhideWhenUsed/>
    <w:rsid w:val="006E2DDB"/>
    <w:rPr>
      <w:color w:val="954F72" w:themeColor="followedHyperlink"/>
      <w:u w:val="single"/>
    </w:rPr>
  </w:style>
  <w:style w:type="paragraph" w:styleId="Header">
    <w:name w:val="header"/>
    <w:basedOn w:val="Normal"/>
    <w:link w:val="HeaderChar"/>
    <w:uiPriority w:val="99"/>
    <w:unhideWhenUsed/>
    <w:rsid w:val="00CB7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06C"/>
  </w:style>
  <w:style w:type="paragraph" w:styleId="Footer">
    <w:name w:val="footer"/>
    <w:basedOn w:val="Normal"/>
    <w:link w:val="FooterChar"/>
    <w:uiPriority w:val="99"/>
    <w:unhideWhenUsed/>
    <w:rsid w:val="00CB7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hyperlink" Target="https://doi.org/10.1016/0003-9861(59)90090-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93/clinchem/34.3.497" TargetMode="Externa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hyperlink" Target="https://doi.org/10.3791/6112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hyperlink" Target="https://doi.org/10.1186/s42269-024-01250-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doi.org/10.1016/j.ecoenv.2022.113168" TargetMode="External"/><Relationship Id="rId10" Type="http://schemas.openxmlformats.org/officeDocument/2006/relationships/oleObject" Target="embeddings/oleObject2.bin"/><Relationship Id="rId19" Type="http://schemas.openxmlformats.org/officeDocument/2006/relationships/hyperlink" Target="https://doi.org/10.2174/1573411016666200116091238"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hyperlink" Target="https://doi.org/10.1155/2021/6635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20</Pages>
  <Words>5629</Words>
  <Characters>32089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Nebai Chinekwu Ogbonna</dc:creator>
  <cp:keywords/>
  <dc:description/>
  <cp:lastModifiedBy>SDI 1084</cp:lastModifiedBy>
  <cp:revision>12</cp:revision>
  <dcterms:created xsi:type="dcterms:W3CDTF">2026-07-29T19:20:00Z</dcterms:created>
  <dcterms:modified xsi:type="dcterms:W3CDTF">2026-08-12T13:24:00Z</dcterms:modified>
</cp:coreProperties>
</file>