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21F7A" w14:textId="77777777" w:rsidR="00C10854" w:rsidRDefault="00C10854">
      <w:pPr>
        <w:pStyle w:val="Title"/>
        <w:ind w:firstLine="0"/>
        <w:rPr>
          <w:rFonts w:ascii="Times New Roman" w:eastAsia="Times New Roman" w:hAnsi="Times New Roman"/>
        </w:rPr>
      </w:pPr>
      <w:r w:rsidRPr="00C10854">
        <w:rPr>
          <w:rFonts w:ascii="Times New Roman" w:eastAsia="Times New Roman" w:hAnsi="Times New Roman"/>
        </w:rPr>
        <w:t>Review Article</w:t>
      </w:r>
    </w:p>
    <w:p w14:paraId="3A7C38D3" w14:textId="77777777" w:rsidR="00C10854" w:rsidRDefault="00C10854">
      <w:pPr>
        <w:pStyle w:val="Title"/>
        <w:ind w:firstLine="0"/>
        <w:rPr>
          <w:rFonts w:ascii="Times New Roman" w:eastAsia="Times New Roman" w:hAnsi="Times New Roman"/>
        </w:rPr>
      </w:pPr>
    </w:p>
    <w:p w14:paraId="742492D7" w14:textId="4DAE8048" w:rsidR="00D1797A" w:rsidRDefault="00000000">
      <w:pPr>
        <w:pStyle w:val="Title"/>
        <w:ind w:firstLine="0"/>
      </w:pPr>
      <w:r>
        <w:rPr>
          <w:rFonts w:ascii="Times New Roman" w:eastAsia="Times New Roman" w:hAnsi="Times New Roman"/>
        </w:rPr>
        <w:t>Management of Snakebite Envenomation in Domestic Animals: A Critical Narrative Review of Diagnosis, Antivenom Use and Supportive Care</w:t>
      </w:r>
    </w:p>
    <w:p w14:paraId="3A2236FF" w14:textId="77777777" w:rsidR="00D1797A" w:rsidRDefault="00000000">
      <w:pPr>
        <w:pStyle w:val="AbstractHeading"/>
      </w:pPr>
      <w:r>
        <w:t>Abstract</w:t>
      </w:r>
    </w:p>
    <w:p w14:paraId="4DA495E6" w14:textId="77777777" w:rsidR="00D1797A" w:rsidRDefault="00000000">
      <w:pPr>
        <w:ind w:firstLine="0"/>
      </w:pPr>
      <w:r>
        <w:rPr>
          <w:sz w:val="21"/>
        </w:rPr>
        <w:t>Snakebite envenomation is an acute, time-dependent veterinary emergency whose clinical expression varies with snake taxonomy, venom composition, bite location, venom dose, animal species and access to regionally appropriate antivenom. The evidence base is uneven: dogs dominate clinical studies, while cats, horses, cattle and small ruminants are represented mainly by retrospective cohorts, case series and geographically restricted reports. This critical narrative review evaluates the diagnosis and management of snakebite envenomation in domestic animals, with emphasis on triage, antivenom decision-making, supportive care, species-specific risks and areas of therapeutic controversy. Literature published from January 1990 to 20 May 2026 was identified through accessible biomedical indexes, open scholarly platforms, journal and institutional records, and citation searching. Evidence was appraised for study design, case ascertainment, venom confirmation, treatment-selection bias, outcome definition and external validity. The strongest veterinary evidence supports early recognition of a progressive envenomation syndrome, repeated clinical and laboratory assessment, and prompt administration of an antivenom with credible neutralising coverage when systemic toxicity, rapidly advancing local injury, neurotoxicity or clinically important coagulopathy is present. Antivenom should be selected by regional snake fauna and product characteristics rather than by generic labels; response to treatment, not body mass alone, should guide additional dosing. Airway protection is especially important after facial bites in horses and in neurotoxic elapid envenomation. Fluid therapy, analgesia, blood components, ventilation, wound care and renal or cardiac support should be individualised to documented complications. Routine glucocorticoids, prophylactic antimicrobials, non-steroidal anti-inflammatory drugs and unvalidated first-aid procedures lack consistent benefit and may cause harm. Confidence in many recommendations remains limited by retrospective designs, confounding by indication, inconsistent severity scoring and sparse livestock data. A pragmatic management model based on syndrome recognition, antivenom suitability, serial reassessment and organ-directed support offers the most defensible approach while prospective, region-specific veterinary trials are developed.</w:t>
      </w:r>
    </w:p>
    <w:p w14:paraId="3E177A69" w14:textId="77777777" w:rsidR="00D1797A" w:rsidRDefault="00000000">
      <w:pPr>
        <w:pStyle w:val="Keywords"/>
      </w:pPr>
      <w:r>
        <w:rPr>
          <w:b/>
          <w:i/>
        </w:rPr>
        <w:t xml:space="preserve">Keywords: </w:t>
      </w:r>
      <w:r>
        <w:t>antivenom; canine envenomation; domestic animals; emergency veterinary medicine; haemotoxicity; neurotoxicity; snakebite; supportive care</w:t>
      </w:r>
    </w:p>
    <w:p w14:paraId="25BFF087" w14:textId="77777777" w:rsidR="00D1797A" w:rsidRDefault="00000000">
      <w:pPr>
        <w:pStyle w:val="Heading1"/>
        <w:ind w:firstLine="0"/>
      </w:pPr>
      <w:r>
        <w:rPr>
          <w:rFonts w:ascii="Times New Roman" w:eastAsia="Times New Roman" w:hAnsi="Times New Roman"/>
        </w:rPr>
        <w:t>1. Introduction</w:t>
      </w:r>
    </w:p>
    <w:p w14:paraId="4F7B317A" w14:textId="77777777" w:rsidR="00D1797A" w:rsidRDefault="00000000">
      <w:r>
        <w:t>Snakebite is more than a puncture wound. It is the clinical consequence of a variable inoculum of biologically active toxins delivered into a host whose anatomy, physiology and behaviour determine how rapidly those toxins reach critical tissues. In domestic animals, the problem is encountered in settings as different as an urban emergency clinic treating a dog bitten by a rattlesnake, an equine hospital receiving a horse with rapidly progressive muzzle swelling, and a rural household losing cattle or goats without access to antivenom or veterinary transport. The first global scoping review of snakebite in domestic animals found a literature concentrated in North America, Europe and Australia and disproportionately focused on dogs, cats and horses, despite evidence that livestock losses are substantial in under-represented regions (Bolon et al., 2019). Community-based work in Nepal and Cameroon further showed that animal snakebite is intertwined with livelihoods, household economics and human exposure, making it a One Health problem rather than a narrow toxicological event (Bolon et al., 2021).</w:t>
      </w:r>
    </w:p>
    <w:p w14:paraId="4425E545" w14:textId="77777777" w:rsidR="00D1797A" w:rsidRDefault="00000000">
      <w:r>
        <w:lastRenderedPageBreak/>
        <w:t>The term snakebite should be separated conceptually from snakebite envenomation. A bite may deposit no venom, too little venom to produce clinically important toxicity, or a dose sufficient to generate local, systemic or mixed disease. This distinction matters because unnecessary antivenom exposes the animal to cost and adverse-reaction risk, whereas delayed antivenom allows circulating toxins to bind targets and may leave local tissue injury, neuromuscular paralysis or consumptive coagulopathy less reversible. Venom phenotypes also overlap. Viperid and crotalid venoms are commonly associated with pain, oedema, haemorrhage, coagulopathy and tissue destruction, yet some species produce clinically important neurotoxicity or cardiotoxicity. Elapid venoms are often framed as neurotoxic, but Australian elapids may also produce venom-induced consumptive coagulopathy, haemolysis, myotoxicity and acute kidney injury. A syndrome-based approach is therefore safer than a rigid family-level classification (Gutiérrez et al., 2017; Slagboom et al., 2017).</w:t>
      </w:r>
    </w:p>
    <w:p w14:paraId="7CD95AA2" w14:textId="77777777" w:rsidR="00D1797A" w:rsidRDefault="00000000">
      <w:r>
        <w:t xml:space="preserve">Venom composition varies among species, populations, age classes and individual snakes. Proteomic work in </w:t>
      </w:r>
      <w:r>
        <w:rPr>
          <w:i/>
        </w:rPr>
        <w:t>Bothrops asper</w:t>
      </w:r>
      <w:r>
        <w:t>, for example, has demonstrated geographical and ontogenetic differences in toxin abundance, while experimental pathology shows that metalloproteinases and phospholipases A2 contribute differently to haemorrhage, blistering, myonecrosis and impaired tissue regeneration (Alape-Girón et al., 2009; Gutiérrez et al., 2009). Such variation explains why an antivenom effective against one regional venom may have incomplete clinical coverage elsewhere and why apparently similar bites can have different trajectories. It also cautions against transferring dosing schedules between products whose immunising venoms, antibody formats, neutralising potency and pharmacokinetics differ. The biologically relevant question is not whether a product is called polyvalent, but whether its antibodies neutralise the toxins likely to be present in the animal being treated (Alangode et al., 2020).</w:t>
      </w:r>
    </w:p>
    <w:p w14:paraId="3976FF80" w14:textId="77777777" w:rsidR="00D1797A" w:rsidRDefault="00000000">
      <w:r>
        <w:t>Clinical management is complicated by diagnostic uncertainty. The snake is often not seen, safely identified photographs are uncommon, fang marks may be obscured by hair or swelling, and laboratory abnormalities can lag behind clinical deterioration. Species confirmation through venom assays is rarely available in routine veterinary practice. Conversely, local swelling after an unwitnessed event may reflect trauma, insect stings, abscessation, allergic disease or other causes. The clinician must therefore make a probabilistic diagnosis using geography, season, exposure history, lesion pattern, neurological status and serial clinicopathological change. This approach accepts uncertainty while avoiding the more dangerous error of waiting for perfect confirmation in a time-dependent toxidrome (Gilliam &amp; Brunker, 2011; Goddard et al., 2011; Migliorisi et al., 2026).</w:t>
      </w:r>
    </w:p>
    <w:p w14:paraId="253494B6" w14:textId="77777777" w:rsidR="00D1797A" w:rsidRDefault="00000000">
      <w:r>
        <w:t>The therapeutic literature has advanced unevenly. A randomised multicentre canine trial supports clinical control with ovine Fab antivenom in progressive rattlesnake envenomation, and large retrospective cohorts provide useful outcome and safety data for several North American products (Carotenuto et al., 2021; McCown et al., 2009; Peterson et al., 2011). Recent observational work has linked a veterinary F(ab′)2 product with rapid venom removal and improvement in severity scores, but the absence of an untreated comparator and the small, mixed-species sample limit causal inference (Carotenuto et al., 2026). Outside this setting, management evidence is largely observational. European adder studies have clarified the limited value of routine prednisolone and the possibility of antivenom reactions, while Australian, Middle Eastern, South Asian and Latin American studies reveal very different combinations of coagulopathy, neurotoxicity, local injury and organ dysfunction (Adhikari et al., 2020; Brandeker et al., 2015; Day et al., 2025; Lund et al., 2013; Segev et al., 2004).</w:t>
      </w:r>
    </w:p>
    <w:p w14:paraId="6D39E155" w14:textId="77777777" w:rsidR="00D1797A" w:rsidRDefault="00000000">
      <w:pPr>
        <w:pStyle w:val="Heading2"/>
        <w:ind w:firstLine="0"/>
      </w:pPr>
      <w:r>
        <w:rPr>
          <w:rFonts w:ascii="Times New Roman" w:eastAsia="Times New Roman" w:hAnsi="Times New Roman"/>
        </w:rPr>
        <w:t>1.1 Scope, Research Gap and Objectives</w:t>
      </w:r>
    </w:p>
    <w:p w14:paraId="60866433" w14:textId="77777777" w:rsidR="00D1797A" w:rsidRDefault="00000000">
      <w:r>
        <w:t xml:space="preserve">This review examines the management of naturally occurring snakebite envenomation in domestic animals, principally dogs, cats, horses and cattle, with selective consideration of other livestock when evidence is available. It integrates venom biology only to the extent required for clinical decisions and does not attempt a taxonomic catalogue of venomous snakes. Wildlife rehabilitation, deliberate laboratory envenomation, antivenom manufacturing protocols and human-only treatment pathways are </w:t>
      </w:r>
      <w:r>
        <w:lastRenderedPageBreak/>
        <w:t>outside the main scope, although mechanistic evidence is used when it directly clarifies veterinary practice. The central gap is the absence of an integrated, evidence-calibrated management synthesis that connects syndrome recognition, antivenom selection, supportive care and species-specific constraints while explicitly separating established practice from convention. The objectives are to define a practical diagnostic and triage framework, critically appraise antivenom and adjunctive treatments, compare management across domestic species, explain major controversies and identify research priorities capable of improving survival, welfare and equitable access to care.</w:t>
      </w:r>
    </w:p>
    <w:p w14:paraId="1EBEEF24" w14:textId="77777777" w:rsidR="00D1797A" w:rsidRDefault="00000000">
      <w:pPr>
        <w:pStyle w:val="Heading1"/>
        <w:ind w:firstLine="0"/>
      </w:pPr>
      <w:r>
        <w:rPr>
          <w:rFonts w:ascii="Times New Roman" w:eastAsia="Times New Roman" w:hAnsi="Times New Roman"/>
        </w:rPr>
        <w:t>2. Methods for Literature Selection</w:t>
      </w:r>
    </w:p>
    <w:p w14:paraId="1DE90029" w14:textId="77777777" w:rsidR="00D1797A" w:rsidRDefault="00000000">
      <w:pPr>
        <w:pStyle w:val="Heading2"/>
        <w:ind w:firstLine="0"/>
      </w:pPr>
      <w:r>
        <w:rPr>
          <w:rFonts w:ascii="Times New Roman" w:eastAsia="Times New Roman" w:hAnsi="Times New Roman"/>
        </w:rPr>
        <w:t>2.1 Review Design and Rationale</w:t>
      </w:r>
    </w:p>
    <w:p w14:paraId="0EB7F4B2" w14:textId="77777777" w:rsidR="00D1797A" w:rsidRDefault="00000000">
      <w:r>
        <w:t>A critical narrative review was selected because the question spans heterogeneous venoms, animal species, geographical regions, clinical syndromes, antivenom products and study designs. A narrowly pooled estimate would have implied comparability that the literature does not possess. The review nevertheless used a structured and transparent process for discovery, eligibility assessment, appraisal and synthesis. Narrative-review quality principles were drawn from the SANRA framework and from best-evidence guidance for narrative literature reviews, particularly the need to state the review's importance and aims, describe information retrieval, appraise evidence level and present clinically relevant endpoints rather than relying on authority or citation frequency (Baethge et al., 2019; Green et al., 2006). No formal risk-of-bias score was assigned because many included reports were retrospective cohorts or case series and because the primary purpose was thematic critical synthesis rather than quantitative effect estimation.</w:t>
      </w:r>
    </w:p>
    <w:p w14:paraId="4233154C" w14:textId="77777777" w:rsidR="00D1797A" w:rsidRDefault="00000000">
      <w:pPr>
        <w:pStyle w:val="Heading2"/>
        <w:ind w:firstLine="0"/>
      </w:pPr>
      <w:r>
        <w:rPr>
          <w:rFonts w:ascii="Times New Roman" w:eastAsia="Times New Roman" w:hAnsi="Times New Roman"/>
        </w:rPr>
        <w:t>2.2 Information Sources</w:t>
      </w:r>
    </w:p>
    <w:p w14:paraId="3CC4ED23" w14:textId="77777777" w:rsidR="00D1797A" w:rsidRDefault="00000000">
      <w:r>
        <w:t>Searches were conducted in PubMed/MEDLINE, PubMed Central and the Directory of Open Access Journals, supplemented by scholarly web searches restricted to peer-reviewed or institutional records. Bibliographic details and digital object identifiers were checked against PubMed records, DOI landing pages, journal records and accessible full-text repositories. Backward citation searching was undertaken from recent veterinary reviews, the global scoping review and influential clinical cohorts. Forward and related-article searching were used to locate subsequent validation, correction, adverse-reaction and product-comparison studies. Records of corrections and errata were reviewed where indexed. Subscription databases for which no direct search access or complete export was available were not represented as searched.</w:t>
      </w:r>
    </w:p>
    <w:p w14:paraId="69CA1A19" w14:textId="77777777" w:rsidR="00D1797A" w:rsidRDefault="00000000">
      <w:pPr>
        <w:pStyle w:val="Heading2"/>
        <w:ind w:firstLine="0"/>
      </w:pPr>
      <w:r>
        <w:rPr>
          <w:rFonts w:ascii="Times New Roman" w:eastAsia="Times New Roman" w:hAnsi="Times New Roman"/>
        </w:rPr>
        <w:t>2.3 Search Strategy and Search Period</w:t>
      </w:r>
    </w:p>
    <w:p w14:paraId="09582EBE" w14:textId="77777777" w:rsidR="00D1797A" w:rsidRDefault="00000000">
      <w:r>
        <w:t xml:space="preserve">The principal search period was 1 January 1990 to 20 May 2026, with earlier foundational evidence retained only when necessary for interpretation. Search concepts combined the exposure, animal population, clinical syndrome and management intervention. A representative string was: (snakebite OR 'snake bite' OR envenomation OR envenoming) AND (dog OR canine OR cat OR feline OR horse OR equine OR cattle OR bovine OR livestock OR 'domestic animal') AND (antivenom OR antivenin OR treatment OR management OR emergency OR coagulopathy OR neurotoxicity OR haemolysis OR myotoxicity OR ventilation OR transfusion OR outcome). Additional searches substituted regional or taxonomic terms, including </w:t>
      </w:r>
      <w:r>
        <w:rPr>
          <w:i/>
        </w:rPr>
        <w:t>Crotalus</w:t>
      </w:r>
      <w:r>
        <w:t xml:space="preserve">, </w:t>
      </w:r>
      <w:r>
        <w:rPr>
          <w:i/>
        </w:rPr>
        <w:t>Bothrops</w:t>
      </w:r>
      <w:r>
        <w:t xml:space="preserve">, </w:t>
      </w:r>
      <w:r>
        <w:rPr>
          <w:i/>
        </w:rPr>
        <w:t>Vipera</w:t>
      </w:r>
      <w:r>
        <w:t xml:space="preserve">, </w:t>
      </w:r>
      <w:r>
        <w:rPr>
          <w:i/>
        </w:rPr>
        <w:t>Daboia</w:t>
      </w:r>
      <w:r>
        <w:t xml:space="preserve">, </w:t>
      </w:r>
      <w:r>
        <w:rPr>
          <w:i/>
        </w:rPr>
        <w:t>Naja</w:t>
      </w:r>
      <w:r>
        <w:t xml:space="preserve">, </w:t>
      </w:r>
      <w:r>
        <w:rPr>
          <w:i/>
        </w:rPr>
        <w:t>Pseudonaja</w:t>
      </w:r>
      <w:r>
        <w:t xml:space="preserve">, </w:t>
      </w:r>
      <w:r>
        <w:rPr>
          <w:i/>
        </w:rPr>
        <w:t>Notechis</w:t>
      </w:r>
      <w:r>
        <w:t>, viperid, crotalid and elapid, and focused terms such as glucocorticoid, prednisolone, thromboelastography, acute kidney injury, cardiac troponin, antivenom reaction and snakebite vaccine.</w:t>
      </w:r>
    </w:p>
    <w:p w14:paraId="1705D397" w14:textId="77777777" w:rsidR="00D1797A" w:rsidRDefault="00000000">
      <w:pPr>
        <w:pStyle w:val="Heading2"/>
        <w:ind w:firstLine="0"/>
      </w:pPr>
      <w:r>
        <w:rPr>
          <w:rFonts w:ascii="Times New Roman" w:eastAsia="Times New Roman" w:hAnsi="Times New Roman"/>
        </w:rPr>
        <w:t>2.4 Eligibility Criteria</w:t>
      </w:r>
    </w:p>
    <w:p w14:paraId="559313E8" w14:textId="77777777" w:rsidR="00D1797A" w:rsidRDefault="00000000">
      <w:r>
        <w:t xml:space="preserve">Eligible evidence comprised peer-reviewed original research, methodologically informative reviews and authoritative clinical syntheses addressing naturally occurring envenomation in domestic animals. Studies were included when they reported presentation, diagnosis, laboratory abnormalities, </w:t>
      </w:r>
      <w:r>
        <w:lastRenderedPageBreak/>
        <w:t>antivenom use, supportive treatment, complications, survival, functional outcome or a directly relevant venom mechanism. English-language publications were prioritised because reliable translation and full bibliographic verification were required. Human studies were not used as direct evidence of veterinary effectiveness, but high-quality toxinology sources were retained for mechanisms that are conserved across hosts. Case reports were included only for unusual, clinically important events not represented in larger datasets, such as delayed hypersensitivity or rare organ failure; isolated anecdotal claims were not used to establish routine practice.</w:t>
      </w:r>
    </w:p>
    <w:p w14:paraId="066F9323" w14:textId="77777777" w:rsidR="00D1797A" w:rsidRDefault="00000000">
      <w:r>
        <w:t>Exclusion criteria were non-scholarly webpages, commercial promotional material, patents, conference abstracts without sufficient methods, unverifiable citations, reports with irreconcilable metadata, duplicate publications and articles whose conclusions were unrelated to management. Studies that inferred snakebite solely from owner belief without a compatible syndrome or clinical assessment were used cautiously, particularly in livestock burden estimates. Experimental animal studies were not treated as clinical outcome evidence. Products or techniques were not described as effective merely because they neutralised venom in vitro. Where an article had a correction, the corrected bibliographic record was used and claims were restricted to information that remained supported.</w:t>
      </w:r>
    </w:p>
    <w:p w14:paraId="016C4FC1" w14:textId="77777777" w:rsidR="00D1797A" w:rsidRDefault="00000000">
      <w:pPr>
        <w:pStyle w:val="Heading2"/>
        <w:ind w:firstLine="0"/>
      </w:pPr>
      <w:r>
        <w:rPr>
          <w:rFonts w:ascii="Times New Roman" w:eastAsia="Times New Roman" w:hAnsi="Times New Roman"/>
        </w:rPr>
        <w:t>2.5 Screening, Duplicate Handling and Study Selection</w:t>
      </w:r>
    </w:p>
    <w:p w14:paraId="333C4EC5" w14:textId="77777777" w:rsidR="00D1797A" w:rsidRDefault="00000000">
      <w:r>
        <w:t>Titles and abstracts were assessed for relevance to veterinary snakebite management, followed by examination of available full text or sufficiently detailed indexed records. Duplicates were identified by DOI, title, author sequence and publication year. When the same clinical population appeared in more than one report, each paper was used only for the distinct outcome it analysed. Selection favoured studies with credible case definitions, documented antivenom exposure, serial clinical or laboratory observations and explicit outcomes. No screening counts are reported because the process was a critical narrative selection rather than a prospectively registered systematic review, and complete exports from all potentially relevant subscription databases were not available.</w:t>
      </w:r>
    </w:p>
    <w:p w14:paraId="2BA6A320" w14:textId="77777777" w:rsidR="00D1797A" w:rsidRDefault="00000000">
      <w:pPr>
        <w:pStyle w:val="Heading2"/>
        <w:ind w:firstLine="0"/>
      </w:pPr>
      <w:r>
        <w:rPr>
          <w:rFonts w:ascii="Times New Roman" w:eastAsia="Times New Roman" w:hAnsi="Times New Roman"/>
        </w:rPr>
        <w:t>2.6 Critical Appraisal and Evidence Synthesis</w:t>
      </w:r>
    </w:p>
    <w:p w14:paraId="32CCD383" w14:textId="77777777" w:rsidR="00D1797A" w:rsidRDefault="00000000">
      <w:r>
        <w:t>Evidence was appraised across six domains: certainty that envenomation occurred; appropriateness of design; comparability of treated and untreated or differently treated groups; completeness and timing of clinical measurements; suitability of outcome definitions; and transferability to other species, regions or antivenom products. Particular attention was given to confounding by indication, because severely affected animals are more likely to receive more antivenom, intensive care and blood products, creating misleading associations between treatment intensity and death. Retrospective dose-outcome relationships were therefore interpreted as severity markers unless supported by prospective allocation or biologically coherent serial response. Themes were developed around syndrome recognition, emergency stabilisation, antivenom, organ-directed support, species-specific management and implementation barriers. Agreement among independent cohorts increased confidence, while inconsistent findings were examined for differences in snake species, product formulation, treatment delay, host physiology and case mix.</w:t>
      </w:r>
    </w:p>
    <w:p w14:paraId="76DB125B" w14:textId="77777777" w:rsidR="00D1797A" w:rsidRDefault="00000000">
      <w:pPr>
        <w:pStyle w:val="Heading1"/>
        <w:ind w:firstLine="0"/>
      </w:pPr>
      <w:r>
        <w:rPr>
          <w:rFonts w:ascii="Times New Roman" w:eastAsia="Times New Roman" w:hAnsi="Times New Roman"/>
        </w:rPr>
        <w:t>3. From Venom Exposure to a Treatable Clinical Syndrome</w:t>
      </w:r>
    </w:p>
    <w:p w14:paraId="4D5C135F" w14:textId="77777777" w:rsidR="00D1797A" w:rsidRDefault="00000000">
      <w:r>
        <w:t xml:space="preserve">A management plan should begin with the distinction between toxin family, clinical syndrome and immediate threat. Taxonomy helps predict risk, but it cannot replace bedside assessment because venom composition varies and because mixed syndromes are common. Viperid and crotalid envenomation often produces rapidly progressive oedema, pain, ecchymosis, haemorrhage, thrombocytopenia, prolonged clotting times and shock. Metalloproteinases damage capillary basement membranes, phospholipases injure muscle and cell membranes, and procoagulant or anticoagulant toxins can generate a dynamic coagulopathy that is not equivalent to simple anticoagulant drug exposure </w:t>
      </w:r>
      <w:r>
        <w:lastRenderedPageBreak/>
        <w:t>(Gutiérrez et al., 2009; Slagboom et al., 2017). Local swelling is therefore both a marker of toxin action and, in anatomically constrained sites, a direct threat to airway or tissue viability.</w:t>
      </w:r>
    </w:p>
    <w:p w14:paraId="606011BB" w14:textId="77777777" w:rsidR="00D1797A" w:rsidRDefault="00000000">
      <w:r>
        <w:t xml:space="preserve">Elapid envenomation requires a wider lens than 'paralysis'. Postsynaptic and presynaptic neurotoxins may cause ptosis, dysphonia, dysphagia, generalised lower motor neuron weakness and respiratory failure; early signs can be subtle, especially in cats or horses. Some Australian elapids also produce coagulopathy, haemolysis, pigmenturia, myotoxicity and renal injury. In the large Eastern brown snake cohort, lower motor neuropathy and venom-induced consumptive coagulopathy were frequent, but haemorrhage differed between dogs and cats, showing that host species modifies phenotype even after exposure to the same snake (Day et al., 2025). A Sri Lankan prospective canine series of </w:t>
      </w:r>
      <w:r>
        <w:rPr>
          <w:i/>
        </w:rPr>
        <w:t>Naja naja</w:t>
      </w:r>
      <w:r>
        <w:t xml:space="preserve"> bites similarly combined local tissue injury with respiratory and neurological findings, supporting graded treatment according to the evolving syndrome rather than taxonomic shorthand (Adhikari et al., 2020).</w:t>
      </w:r>
    </w:p>
    <w:p w14:paraId="60951430" w14:textId="77777777" w:rsidR="00D1797A" w:rsidRDefault="00000000">
      <w:r>
        <w:t>Host factors influence both exposure and response. Dogs may actively investigate or attack snakes, receive multiple bites and present with facial or limb wounds. Cats may be bitten during hunting but can display different coagulation susceptibility and behavioural responses. In vitro work found that several procoagulant venoms acted faster on dog plasma than cat or human plasma, providing a plausible contribution to species differences, although laboratory clotting kinetics cannot by themselves predict clinical survival (Zdenek et al., 2020). Body size may affect the ratio of venom dose to circulating volume, but the actual inoculum is unknown and varies more than body mass. A small dog is not necessarily mildly envenomed, and a large horse can die from a muzzle bite that compromises airflow despite a modest systemic dose.</w:t>
      </w:r>
    </w:p>
    <w:p w14:paraId="52346CCC" w14:textId="77777777" w:rsidR="00D1797A" w:rsidRDefault="00000000">
      <w:r>
        <w:t>The anatomical site of the bite changes the priority of care. Facial bites in horses can cause severe upper-airway narrowing because horses are obligate nasal breathers; the threshold for securing an airway must consequently be lower than in many other species. Thoracic, lingual or intraoral bites may progress without readily visible distal swelling. Limb bites create concern about tissue pressure and perfusion, yet the swelling of snakebite is not automatically a surgical compartment syndrome. Premature fasciotomy can worsen bleeding and tissue damage unless compartment pressure and vascular compromise are objectively demonstrated after adequate antivenom. Bite-site location has also been associated with outcome in retrospective canine cohorts, but such associations may represent venom delivery, delayed recognition or case severity rather than an independent causal effect (Carotenuto et al., 2021; Willey &amp; Schaer, 2005).</w:t>
      </w:r>
    </w:p>
    <w:p w14:paraId="403EB583" w14:textId="77777777" w:rsidR="00D1797A" w:rsidRDefault="00000000">
      <w:r>
        <w:t>Clinical severity is dynamic. A dog that appears stable shortly after a witnessed bite may develop progressive swelling, thrombocytopenia or neurotoxicity over the next several hours. Conversely, an animal with dramatic local oedema may remain haemodynamically stable and never develop systemic toxicity. Serial examination is thus more informative than a single severity label. Standardised scores can improve communication and provide research endpoints, as in the canine antivenom trial and the recent veterinary F(ab′)2 study, but scores aggregate organ systems and may obscure a single life-threatening problem such as airway obstruction (Carotenuto et al., 2026; Peterson et al., 2011). Table 1 summarises the principal syndromes and the management implications that should be inferred cautiously from them.</w:t>
      </w:r>
    </w:p>
    <w:p w14:paraId="40C62F8B" w14:textId="77777777" w:rsidR="00D1797A" w:rsidRDefault="00D1797A">
      <w:pPr>
        <w:sectPr w:rsidR="00D1797A">
          <w:headerReference w:type="even" r:id="rId8"/>
          <w:headerReference w:type="default" r:id="rId9"/>
          <w:footerReference w:type="even" r:id="rId10"/>
          <w:footerReference w:type="default" r:id="rId11"/>
          <w:headerReference w:type="first" r:id="rId12"/>
          <w:footerReference w:type="first" r:id="rId13"/>
          <w:pgSz w:w="11906" w:h="16838"/>
          <w:pgMar w:top="1247" w:right="1361" w:bottom="1134" w:left="1361" w:header="454" w:footer="454" w:gutter="0"/>
          <w:cols w:space="720"/>
          <w:docGrid w:linePitch="360"/>
        </w:sectPr>
      </w:pPr>
    </w:p>
    <w:p w14:paraId="0E1AAFE1" w14:textId="77777777" w:rsidR="00D1797A" w:rsidRDefault="00000000">
      <w:pPr>
        <w:pStyle w:val="TableCaption"/>
        <w:keepNext/>
      </w:pPr>
      <w:r>
        <w:lastRenderedPageBreak/>
        <w:t>Table 1. Major venom syndromes in domestic animals and immediate management implications</w:t>
      </w: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580"/>
        <w:gridCol w:w="2580"/>
        <w:gridCol w:w="2580"/>
        <w:gridCol w:w="2580"/>
        <w:gridCol w:w="2580"/>
        <w:gridCol w:w="2580"/>
      </w:tblGrid>
      <w:tr w:rsidR="00D1797A" w14:paraId="63873060" w14:textId="77777777">
        <w:trPr>
          <w:cantSplit/>
          <w:tblHeader/>
          <w:jc w:val="center"/>
        </w:trPr>
        <w:tc>
          <w:tcPr>
            <w:tcW w:w="2580" w:type="dxa"/>
            <w:shd w:val="clear" w:color="auto" w:fill="D9E2F3"/>
            <w:tcMar>
              <w:top w:w="70" w:type="dxa"/>
              <w:left w:w="70" w:type="dxa"/>
              <w:bottom w:w="70" w:type="dxa"/>
              <w:right w:w="70" w:type="dxa"/>
            </w:tcMar>
            <w:vAlign w:val="center"/>
          </w:tcPr>
          <w:p w14:paraId="30DA100C" w14:textId="77777777" w:rsidR="00D1797A" w:rsidRDefault="00000000">
            <w:pPr>
              <w:spacing w:after="0"/>
              <w:jc w:val="center"/>
            </w:pPr>
            <w:r>
              <w:rPr>
                <w:rFonts w:ascii="Arial" w:eastAsia="Arial" w:hAnsi="Arial"/>
                <w:b/>
                <w:sz w:val="15"/>
              </w:rPr>
              <w:t>Predominant syndrome</w:t>
            </w:r>
          </w:p>
        </w:tc>
        <w:tc>
          <w:tcPr>
            <w:tcW w:w="2580" w:type="dxa"/>
            <w:shd w:val="clear" w:color="auto" w:fill="D9E2F3"/>
            <w:tcMar>
              <w:top w:w="70" w:type="dxa"/>
              <w:left w:w="70" w:type="dxa"/>
              <w:bottom w:w="70" w:type="dxa"/>
              <w:right w:w="70" w:type="dxa"/>
            </w:tcMar>
            <w:vAlign w:val="center"/>
          </w:tcPr>
          <w:p w14:paraId="38A676E0" w14:textId="77777777" w:rsidR="00D1797A" w:rsidRDefault="00000000">
            <w:pPr>
              <w:spacing w:after="0"/>
              <w:jc w:val="center"/>
            </w:pPr>
            <w:r>
              <w:rPr>
                <w:rFonts w:ascii="Arial" w:eastAsia="Arial" w:hAnsi="Arial"/>
                <w:b/>
                <w:sz w:val="15"/>
              </w:rPr>
              <w:t>Typical venom actions</w:t>
            </w:r>
          </w:p>
        </w:tc>
        <w:tc>
          <w:tcPr>
            <w:tcW w:w="2580" w:type="dxa"/>
            <w:shd w:val="clear" w:color="auto" w:fill="D9E2F3"/>
            <w:tcMar>
              <w:top w:w="70" w:type="dxa"/>
              <w:left w:w="70" w:type="dxa"/>
              <w:bottom w:w="70" w:type="dxa"/>
              <w:right w:w="70" w:type="dxa"/>
            </w:tcMar>
            <w:vAlign w:val="center"/>
          </w:tcPr>
          <w:p w14:paraId="652B3309" w14:textId="77777777" w:rsidR="00D1797A" w:rsidRDefault="00000000">
            <w:pPr>
              <w:spacing w:after="0"/>
              <w:jc w:val="center"/>
            </w:pPr>
            <w:r>
              <w:rPr>
                <w:rFonts w:ascii="Arial" w:eastAsia="Arial" w:hAnsi="Arial"/>
                <w:b/>
                <w:sz w:val="15"/>
              </w:rPr>
              <w:t>Indicative clinical findings</w:t>
            </w:r>
          </w:p>
        </w:tc>
        <w:tc>
          <w:tcPr>
            <w:tcW w:w="2580" w:type="dxa"/>
            <w:shd w:val="clear" w:color="auto" w:fill="D9E2F3"/>
            <w:tcMar>
              <w:top w:w="70" w:type="dxa"/>
              <w:left w:w="70" w:type="dxa"/>
              <w:bottom w:w="70" w:type="dxa"/>
              <w:right w:w="70" w:type="dxa"/>
            </w:tcMar>
            <w:vAlign w:val="center"/>
          </w:tcPr>
          <w:p w14:paraId="4551BAEF" w14:textId="77777777" w:rsidR="00D1797A" w:rsidRDefault="00000000">
            <w:pPr>
              <w:spacing w:after="0"/>
              <w:jc w:val="center"/>
            </w:pPr>
            <w:r>
              <w:rPr>
                <w:rFonts w:ascii="Arial" w:eastAsia="Arial" w:hAnsi="Arial"/>
                <w:b/>
                <w:sz w:val="15"/>
              </w:rPr>
              <w:t>Immediate threats</w:t>
            </w:r>
          </w:p>
        </w:tc>
        <w:tc>
          <w:tcPr>
            <w:tcW w:w="2580" w:type="dxa"/>
            <w:shd w:val="clear" w:color="auto" w:fill="D9E2F3"/>
            <w:tcMar>
              <w:top w:w="70" w:type="dxa"/>
              <w:left w:w="70" w:type="dxa"/>
              <w:bottom w:w="70" w:type="dxa"/>
              <w:right w:w="70" w:type="dxa"/>
            </w:tcMar>
            <w:vAlign w:val="center"/>
          </w:tcPr>
          <w:p w14:paraId="6B7D346B" w14:textId="77777777" w:rsidR="00D1797A" w:rsidRDefault="00000000">
            <w:pPr>
              <w:spacing w:after="0"/>
              <w:jc w:val="center"/>
            </w:pPr>
            <w:r>
              <w:rPr>
                <w:rFonts w:ascii="Arial" w:eastAsia="Arial" w:hAnsi="Arial"/>
                <w:b/>
                <w:sz w:val="15"/>
              </w:rPr>
              <w:t>Management implication</w:t>
            </w:r>
          </w:p>
        </w:tc>
        <w:tc>
          <w:tcPr>
            <w:tcW w:w="2580" w:type="dxa"/>
            <w:shd w:val="clear" w:color="auto" w:fill="D9E2F3"/>
            <w:tcMar>
              <w:top w:w="70" w:type="dxa"/>
              <w:left w:w="70" w:type="dxa"/>
              <w:bottom w:w="70" w:type="dxa"/>
              <w:right w:w="70" w:type="dxa"/>
            </w:tcMar>
            <w:vAlign w:val="center"/>
          </w:tcPr>
          <w:p w14:paraId="3D50E5A8" w14:textId="77777777" w:rsidR="00D1797A" w:rsidRDefault="00000000">
            <w:pPr>
              <w:spacing w:after="0"/>
              <w:jc w:val="center"/>
            </w:pPr>
            <w:r>
              <w:rPr>
                <w:rFonts w:ascii="Arial" w:eastAsia="Arial" w:hAnsi="Arial"/>
                <w:b/>
                <w:sz w:val="15"/>
              </w:rPr>
              <w:t>Supporting references</w:t>
            </w:r>
          </w:p>
        </w:tc>
      </w:tr>
      <w:tr w:rsidR="00D1797A" w14:paraId="12A60764" w14:textId="77777777">
        <w:trPr>
          <w:cantSplit/>
          <w:jc w:val="center"/>
        </w:trPr>
        <w:tc>
          <w:tcPr>
            <w:tcW w:w="2580" w:type="dxa"/>
            <w:tcMar>
              <w:top w:w="70" w:type="dxa"/>
              <w:left w:w="70" w:type="dxa"/>
              <w:bottom w:w="70" w:type="dxa"/>
              <w:right w:w="70" w:type="dxa"/>
            </w:tcMar>
          </w:tcPr>
          <w:p w14:paraId="5457C49D" w14:textId="77777777" w:rsidR="00D1797A" w:rsidRDefault="00000000">
            <w:pPr>
              <w:spacing w:after="0" w:line="240" w:lineRule="auto"/>
              <w:jc w:val="left"/>
            </w:pPr>
            <w:r>
              <w:rPr>
                <w:rFonts w:ascii="Arial" w:eastAsia="Arial" w:hAnsi="Arial"/>
                <w:sz w:val="15"/>
              </w:rPr>
              <w:t>Viperid/crotalid local tissue injury</w:t>
            </w:r>
          </w:p>
        </w:tc>
        <w:tc>
          <w:tcPr>
            <w:tcW w:w="2580" w:type="dxa"/>
            <w:tcMar>
              <w:top w:w="70" w:type="dxa"/>
              <w:left w:w="70" w:type="dxa"/>
              <w:bottom w:w="70" w:type="dxa"/>
              <w:right w:w="70" w:type="dxa"/>
            </w:tcMar>
          </w:tcPr>
          <w:p w14:paraId="461EB0E6" w14:textId="77777777" w:rsidR="00D1797A" w:rsidRDefault="00000000">
            <w:pPr>
              <w:spacing w:after="0" w:line="240" w:lineRule="auto"/>
              <w:jc w:val="left"/>
            </w:pPr>
            <w:r>
              <w:rPr>
                <w:rFonts w:ascii="Arial" w:eastAsia="Arial" w:hAnsi="Arial"/>
                <w:sz w:val="15"/>
              </w:rPr>
              <w:t>Metalloproteinase-mediated vascular injury, phospholipase-mediated myonecrosis, inflammatory oedema</w:t>
            </w:r>
          </w:p>
        </w:tc>
        <w:tc>
          <w:tcPr>
            <w:tcW w:w="2580" w:type="dxa"/>
            <w:tcMar>
              <w:top w:w="70" w:type="dxa"/>
              <w:left w:w="70" w:type="dxa"/>
              <w:bottom w:w="70" w:type="dxa"/>
              <w:right w:w="70" w:type="dxa"/>
            </w:tcMar>
          </w:tcPr>
          <w:p w14:paraId="227536AE" w14:textId="77777777" w:rsidR="00D1797A" w:rsidRDefault="00000000">
            <w:pPr>
              <w:spacing w:after="0" w:line="240" w:lineRule="auto"/>
              <w:jc w:val="left"/>
            </w:pPr>
            <w:r>
              <w:rPr>
                <w:rFonts w:ascii="Arial" w:eastAsia="Arial" w:hAnsi="Arial"/>
                <w:sz w:val="15"/>
              </w:rPr>
              <w:t>Pain, progressive swelling, ecchymosis, blistering, necrosis</w:t>
            </w:r>
          </w:p>
        </w:tc>
        <w:tc>
          <w:tcPr>
            <w:tcW w:w="2580" w:type="dxa"/>
            <w:tcMar>
              <w:top w:w="70" w:type="dxa"/>
              <w:left w:w="70" w:type="dxa"/>
              <w:bottom w:w="70" w:type="dxa"/>
              <w:right w:w="70" w:type="dxa"/>
            </w:tcMar>
          </w:tcPr>
          <w:p w14:paraId="05BF83DC" w14:textId="77777777" w:rsidR="00D1797A" w:rsidRDefault="00000000">
            <w:pPr>
              <w:spacing w:after="0" w:line="240" w:lineRule="auto"/>
              <w:jc w:val="left"/>
            </w:pPr>
            <w:r>
              <w:rPr>
                <w:rFonts w:ascii="Arial" w:eastAsia="Arial" w:hAnsi="Arial"/>
                <w:sz w:val="15"/>
              </w:rPr>
              <w:t>Airway obstruction after facial bites; hypovolaemia; tissue loss</w:t>
            </w:r>
          </w:p>
        </w:tc>
        <w:tc>
          <w:tcPr>
            <w:tcW w:w="2580" w:type="dxa"/>
            <w:tcMar>
              <w:top w:w="70" w:type="dxa"/>
              <w:left w:w="70" w:type="dxa"/>
              <w:bottom w:w="70" w:type="dxa"/>
              <w:right w:w="70" w:type="dxa"/>
            </w:tcMar>
          </w:tcPr>
          <w:p w14:paraId="1F324FD0" w14:textId="77777777" w:rsidR="00D1797A" w:rsidRDefault="00000000">
            <w:pPr>
              <w:spacing w:after="0" w:line="240" w:lineRule="auto"/>
              <w:jc w:val="left"/>
            </w:pPr>
            <w:r>
              <w:rPr>
                <w:rFonts w:ascii="Arial" w:eastAsia="Arial" w:hAnsi="Arial"/>
                <w:sz w:val="15"/>
              </w:rPr>
              <w:t>Early antivenom for progressive or severe disease; map swelling; avoid routine incision, suction and early debridement</w:t>
            </w:r>
          </w:p>
        </w:tc>
        <w:tc>
          <w:tcPr>
            <w:tcW w:w="2580" w:type="dxa"/>
            <w:tcMar>
              <w:top w:w="70" w:type="dxa"/>
              <w:left w:w="70" w:type="dxa"/>
              <w:bottom w:w="70" w:type="dxa"/>
              <w:right w:w="70" w:type="dxa"/>
            </w:tcMar>
          </w:tcPr>
          <w:p w14:paraId="682C9D93" w14:textId="77777777" w:rsidR="00D1797A" w:rsidRDefault="00000000">
            <w:pPr>
              <w:spacing w:after="0" w:line="240" w:lineRule="auto"/>
              <w:jc w:val="left"/>
            </w:pPr>
            <w:r>
              <w:rPr>
                <w:rFonts w:ascii="Arial" w:eastAsia="Arial" w:hAnsi="Arial"/>
                <w:sz w:val="15"/>
              </w:rPr>
              <w:t>Gutiérrez et al. (2009); Gilliam and Brunker (2011)</w:t>
            </w:r>
          </w:p>
        </w:tc>
      </w:tr>
      <w:tr w:rsidR="00D1797A" w14:paraId="6F184616" w14:textId="77777777">
        <w:trPr>
          <w:cantSplit/>
          <w:jc w:val="center"/>
        </w:trPr>
        <w:tc>
          <w:tcPr>
            <w:tcW w:w="2580" w:type="dxa"/>
            <w:shd w:val="clear" w:color="auto" w:fill="F7F9FC"/>
            <w:tcMar>
              <w:top w:w="70" w:type="dxa"/>
              <w:left w:w="70" w:type="dxa"/>
              <w:bottom w:w="70" w:type="dxa"/>
              <w:right w:w="70" w:type="dxa"/>
            </w:tcMar>
          </w:tcPr>
          <w:p w14:paraId="06764BE4" w14:textId="77777777" w:rsidR="00D1797A" w:rsidRDefault="00000000">
            <w:pPr>
              <w:spacing w:after="0" w:line="240" w:lineRule="auto"/>
              <w:jc w:val="left"/>
            </w:pPr>
            <w:r>
              <w:rPr>
                <w:rFonts w:ascii="Arial" w:eastAsia="Arial" w:hAnsi="Arial"/>
                <w:sz w:val="15"/>
              </w:rPr>
              <w:t>Haemotoxic/coagulopathic</w:t>
            </w:r>
          </w:p>
        </w:tc>
        <w:tc>
          <w:tcPr>
            <w:tcW w:w="2580" w:type="dxa"/>
            <w:shd w:val="clear" w:color="auto" w:fill="F7F9FC"/>
            <w:tcMar>
              <w:top w:w="70" w:type="dxa"/>
              <w:left w:w="70" w:type="dxa"/>
              <w:bottom w:w="70" w:type="dxa"/>
              <w:right w:w="70" w:type="dxa"/>
            </w:tcMar>
          </w:tcPr>
          <w:p w14:paraId="034A2507" w14:textId="77777777" w:rsidR="00D1797A" w:rsidRDefault="00000000">
            <w:pPr>
              <w:spacing w:after="0" w:line="240" w:lineRule="auto"/>
              <w:jc w:val="left"/>
            </w:pPr>
            <w:r>
              <w:rPr>
                <w:rFonts w:ascii="Arial" w:eastAsia="Arial" w:hAnsi="Arial"/>
                <w:sz w:val="15"/>
              </w:rPr>
              <w:t>Procoagulant activation, factor consumption, platelet effects, endothelial injury, fibrinolysis</w:t>
            </w:r>
          </w:p>
        </w:tc>
        <w:tc>
          <w:tcPr>
            <w:tcW w:w="2580" w:type="dxa"/>
            <w:shd w:val="clear" w:color="auto" w:fill="F7F9FC"/>
            <w:tcMar>
              <w:top w:w="70" w:type="dxa"/>
              <w:left w:w="70" w:type="dxa"/>
              <w:bottom w:w="70" w:type="dxa"/>
              <w:right w:w="70" w:type="dxa"/>
            </w:tcMar>
          </w:tcPr>
          <w:p w14:paraId="4E7B1DB0" w14:textId="77777777" w:rsidR="00D1797A" w:rsidRDefault="00000000">
            <w:pPr>
              <w:spacing w:after="0" w:line="240" w:lineRule="auto"/>
              <w:jc w:val="left"/>
            </w:pPr>
            <w:r>
              <w:rPr>
                <w:rFonts w:ascii="Arial" w:eastAsia="Arial" w:hAnsi="Arial"/>
                <w:sz w:val="15"/>
              </w:rPr>
              <w:t>Petechiae, bleeding, prolonged clotting times, thrombocytopenia, low fibrinogen</w:t>
            </w:r>
          </w:p>
        </w:tc>
        <w:tc>
          <w:tcPr>
            <w:tcW w:w="2580" w:type="dxa"/>
            <w:shd w:val="clear" w:color="auto" w:fill="F7F9FC"/>
            <w:tcMar>
              <w:top w:w="70" w:type="dxa"/>
              <w:left w:w="70" w:type="dxa"/>
              <w:bottom w:w="70" w:type="dxa"/>
              <w:right w:w="70" w:type="dxa"/>
            </w:tcMar>
          </w:tcPr>
          <w:p w14:paraId="642EBFDB" w14:textId="77777777" w:rsidR="00D1797A" w:rsidRDefault="00000000">
            <w:pPr>
              <w:spacing w:after="0" w:line="240" w:lineRule="auto"/>
              <w:jc w:val="left"/>
            </w:pPr>
            <w:r>
              <w:rPr>
                <w:rFonts w:ascii="Arial" w:eastAsia="Arial" w:hAnsi="Arial"/>
                <w:sz w:val="15"/>
              </w:rPr>
              <w:t>Major haemorrhage, shock, recurrent coagulopathy</w:t>
            </w:r>
          </w:p>
        </w:tc>
        <w:tc>
          <w:tcPr>
            <w:tcW w:w="2580" w:type="dxa"/>
            <w:shd w:val="clear" w:color="auto" w:fill="F7F9FC"/>
            <w:tcMar>
              <w:top w:w="70" w:type="dxa"/>
              <w:left w:w="70" w:type="dxa"/>
              <w:bottom w:w="70" w:type="dxa"/>
              <w:right w:w="70" w:type="dxa"/>
            </w:tcMar>
          </w:tcPr>
          <w:p w14:paraId="70831A02" w14:textId="77777777" w:rsidR="00D1797A" w:rsidRDefault="00000000">
            <w:pPr>
              <w:spacing w:after="0" w:line="240" w:lineRule="auto"/>
              <w:jc w:val="left"/>
            </w:pPr>
            <w:r>
              <w:rPr>
                <w:rFonts w:ascii="Arial" w:eastAsia="Arial" w:hAnsi="Arial"/>
                <w:sz w:val="15"/>
              </w:rPr>
              <w:t>Antivenom first; serial coagulation; blood components for clinically important bleeding after or with neutralisation</w:t>
            </w:r>
          </w:p>
        </w:tc>
        <w:tc>
          <w:tcPr>
            <w:tcW w:w="2580" w:type="dxa"/>
            <w:shd w:val="clear" w:color="auto" w:fill="F7F9FC"/>
            <w:tcMar>
              <w:top w:w="70" w:type="dxa"/>
              <w:left w:w="70" w:type="dxa"/>
              <w:bottom w:w="70" w:type="dxa"/>
              <w:right w:w="70" w:type="dxa"/>
            </w:tcMar>
          </w:tcPr>
          <w:p w14:paraId="7089BCAE" w14:textId="77777777" w:rsidR="00D1797A" w:rsidRDefault="00000000">
            <w:pPr>
              <w:spacing w:after="0" w:line="240" w:lineRule="auto"/>
              <w:jc w:val="left"/>
            </w:pPr>
            <w:r>
              <w:rPr>
                <w:rFonts w:ascii="Arial" w:eastAsia="Arial" w:hAnsi="Arial"/>
                <w:sz w:val="15"/>
              </w:rPr>
              <w:t>Aroch et al. (2010); Slagboom et al. (2017); Day et al. (2025)</w:t>
            </w:r>
          </w:p>
        </w:tc>
      </w:tr>
      <w:tr w:rsidR="00D1797A" w14:paraId="542A6A27" w14:textId="77777777">
        <w:trPr>
          <w:cantSplit/>
          <w:jc w:val="center"/>
        </w:trPr>
        <w:tc>
          <w:tcPr>
            <w:tcW w:w="2580" w:type="dxa"/>
            <w:tcMar>
              <w:top w:w="70" w:type="dxa"/>
              <w:left w:w="70" w:type="dxa"/>
              <w:bottom w:w="70" w:type="dxa"/>
              <w:right w:w="70" w:type="dxa"/>
            </w:tcMar>
          </w:tcPr>
          <w:p w14:paraId="1145A2F8" w14:textId="77777777" w:rsidR="00D1797A" w:rsidRDefault="00000000">
            <w:pPr>
              <w:spacing w:after="0" w:line="240" w:lineRule="auto"/>
              <w:jc w:val="left"/>
            </w:pPr>
            <w:r>
              <w:rPr>
                <w:rFonts w:ascii="Arial" w:eastAsia="Arial" w:hAnsi="Arial"/>
                <w:sz w:val="15"/>
              </w:rPr>
              <w:t>Neurotoxic</w:t>
            </w:r>
          </w:p>
        </w:tc>
        <w:tc>
          <w:tcPr>
            <w:tcW w:w="2580" w:type="dxa"/>
            <w:tcMar>
              <w:top w:w="70" w:type="dxa"/>
              <w:left w:w="70" w:type="dxa"/>
              <w:bottom w:w="70" w:type="dxa"/>
              <w:right w:w="70" w:type="dxa"/>
            </w:tcMar>
          </w:tcPr>
          <w:p w14:paraId="3789CA01" w14:textId="77777777" w:rsidR="00D1797A" w:rsidRDefault="00000000">
            <w:pPr>
              <w:spacing w:after="0" w:line="240" w:lineRule="auto"/>
              <w:jc w:val="left"/>
            </w:pPr>
            <w:r>
              <w:rPr>
                <w:rFonts w:ascii="Arial" w:eastAsia="Arial" w:hAnsi="Arial"/>
                <w:sz w:val="15"/>
              </w:rPr>
              <w:t>Pre- or postsynaptic neuromuscular blockade and cranial nerve dysfunction</w:t>
            </w:r>
          </w:p>
        </w:tc>
        <w:tc>
          <w:tcPr>
            <w:tcW w:w="2580" w:type="dxa"/>
            <w:tcMar>
              <w:top w:w="70" w:type="dxa"/>
              <w:left w:w="70" w:type="dxa"/>
              <w:bottom w:w="70" w:type="dxa"/>
              <w:right w:w="70" w:type="dxa"/>
            </w:tcMar>
          </w:tcPr>
          <w:p w14:paraId="3C174DE6" w14:textId="77777777" w:rsidR="00D1797A" w:rsidRDefault="00000000">
            <w:pPr>
              <w:spacing w:after="0" w:line="240" w:lineRule="auto"/>
              <w:jc w:val="left"/>
            </w:pPr>
            <w:r>
              <w:rPr>
                <w:rFonts w:ascii="Arial" w:eastAsia="Arial" w:hAnsi="Arial"/>
                <w:sz w:val="15"/>
              </w:rPr>
              <w:t>Ptosis, mydriasis, dysphagia, weakness, recumbency, hypoventilation</w:t>
            </w:r>
          </w:p>
        </w:tc>
        <w:tc>
          <w:tcPr>
            <w:tcW w:w="2580" w:type="dxa"/>
            <w:tcMar>
              <w:top w:w="70" w:type="dxa"/>
              <w:left w:w="70" w:type="dxa"/>
              <w:bottom w:w="70" w:type="dxa"/>
              <w:right w:w="70" w:type="dxa"/>
            </w:tcMar>
          </w:tcPr>
          <w:p w14:paraId="6514399C" w14:textId="77777777" w:rsidR="00D1797A" w:rsidRDefault="00000000">
            <w:pPr>
              <w:spacing w:after="0" w:line="240" w:lineRule="auto"/>
              <w:jc w:val="left"/>
            </w:pPr>
            <w:r>
              <w:rPr>
                <w:rFonts w:ascii="Arial" w:eastAsia="Arial" w:hAnsi="Arial"/>
                <w:sz w:val="15"/>
              </w:rPr>
              <w:t>Aspiration and respiratory failure</w:t>
            </w:r>
          </w:p>
        </w:tc>
        <w:tc>
          <w:tcPr>
            <w:tcW w:w="2580" w:type="dxa"/>
            <w:tcMar>
              <w:top w:w="70" w:type="dxa"/>
              <w:left w:w="70" w:type="dxa"/>
              <w:bottom w:w="70" w:type="dxa"/>
              <w:right w:w="70" w:type="dxa"/>
            </w:tcMar>
          </w:tcPr>
          <w:p w14:paraId="53F2F355" w14:textId="77777777" w:rsidR="00D1797A" w:rsidRDefault="00000000">
            <w:pPr>
              <w:spacing w:after="0" w:line="240" w:lineRule="auto"/>
              <w:jc w:val="left"/>
            </w:pPr>
            <w:r>
              <w:rPr>
                <w:rFonts w:ascii="Arial" w:eastAsia="Arial" w:hAnsi="Arial"/>
                <w:sz w:val="15"/>
              </w:rPr>
              <w:t>Antivenom without waiting for swelling; early airway and ventilation planning</w:t>
            </w:r>
          </w:p>
        </w:tc>
        <w:tc>
          <w:tcPr>
            <w:tcW w:w="2580" w:type="dxa"/>
            <w:tcMar>
              <w:top w:w="70" w:type="dxa"/>
              <w:left w:w="70" w:type="dxa"/>
              <w:bottom w:w="70" w:type="dxa"/>
              <w:right w:w="70" w:type="dxa"/>
            </w:tcMar>
          </w:tcPr>
          <w:p w14:paraId="2A6DDFAB" w14:textId="77777777" w:rsidR="00D1797A" w:rsidRDefault="00000000">
            <w:pPr>
              <w:spacing w:after="0" w:line="240" w:lineRule="auto"/>
              <w:jc w:val="left"/>
            </w:pPr>
            <w:r>
              <w:rPr>
                <w:rFonts w:ascii="Arial" w:eastAsia="Arial" w:hAnsi="Arial"/>
                <w:sz w:val="15"/>
              </w:rPr>
              <w:t>Adhikari et al. (2020); Bamford et al. (2018); Day et al. (2025)</w:t>
            </w:r>
          </w:p>
        </w:tc>
      </w:tr>
      <w:tr w:rsidR="00D1797A" w14:paraId="106C4E69" w14:textId="77777777">
        <w:trPr>
          <w:cantSplit/>
          <w:jc w:val="center"/>
        </w:trPr>
        <w:tc>
          <w:tcPr>
            <w:tcW w:w="2580" w:type="dxa"/>
            <w:shd w:val="clear" w:color="auto" w:fill="F7F9FC"/>
            <w:tcMar>
              <w:top w:w="70" w:type="dxa"/>
              <w:left w:w="70" w:type="dxa"/>
              <w:bottom w:w="70" w:type="dxa"/>
              <w:right w:w="70" w:type="dxa"/>
            </w:tcMar>
          </w:tcPr>
          <w:p w14:paraId="7A373B7F" w14:textId="77777777" w:rsidR="00D1797A" w:rsidRDefault="00000000">
            <w:pPr>
              <w:spacing w:after="0" w:line="240" w:lineRule="auto"/>
              <w:jc w:val="left"/>
            </w:pPr>
            <w:r>
              <w:rPr>
                <w:rFonts w:ascii="Arial" w:eastAsia="Arial" w:hAnsi="Arial"/>
                <w:sz w:val="15"/>
              </w:rPr>
              <w:t>Myotoxic/haemolytic</w:t>
            </w:r>
          </w:p>
        </w:tc>
        <w:tc>
          <w:tcPr>
            <w:tcW w:w="2580" w:type="dxa"/>
            <w:shd w:val="clear" w:color="auto" w:fill="F7F9FC"/>
            <w:tcMar>
              <w:top w:w="70" w:type="dxa"/>
              <w:left w:w="70" w:type="dxa"/>
              <w:bottom w:w="70" w:type="dxa"/>
              <w:right w:w="70" w:type="dxa"/>
            </w:tcMar>
          </w:tcPr>
          <w:p w14:paraId="33F27578" w14:textId="77777777" w:rsidR="00D1797A" w:rsidRDefault="00000000">
            <w:pPr>
              <w:spacing w:after="0" w:line="240" w:lineRule="auto"/>
              <w:jc w:val="left"/>
            </w:pPr>
            <w:r>
              <w:rPr>
                <w:rFonts w:ascii="Arial" w:eastAsia="Arial" w:hAnsi="Arial"/>
                <w:sz w:val="15"/>
              </w:rPr>
              <w:t>Sarcolemmal injury, phospholipase activity, red-cell damage</w:t>
            </w:r>
          </w:p>
        </w:tc>
        <w:tc>
          <w:tcPr>
            <w:tcW w:w="2580" w:type="dxa"/>
            <w:shd w:val="clear" w:color="auto" w:fill="F7F9FC"/>
            <w:tcMar>
              <w:top w:w="70" w:type="dxa"/>
              <w:left w:w="70" w:type="dxa"/>
              <w:bottom w:w="70" w:type="dxa"/>
              <w:right w:w="70" w:type="dxa"/>
            </w:tcMar>
          </w:tcPr>
          <w:p w14:paraId="779139A8" w14:textId="77777777" w:rsidR="00D1797A" w:rsidRDefault="00000000">
            <w:pPr>
              <w:spacing w:after="0" w:line="240" w:lineRule="auto"/>
              <w:jc w:val="left"/>
            </w:pPr>
            <w:r>
              <w:rPr>
                <w:rFonts w:ascii="Arial" w:eastAsia="Arial" w:hAnsi="Arial"/>
                <w:sz w:val="15"/>
              </w:rPr>
              <w:t>Muscle pain, high creatine kinase, pigmenturia, anaemia, weakness</w:t>
            </w:r>
          </w:p>
        </w:tc>
        <w:tc>
          <w:tcPr>
            <w:tcW w:w="2580" w:type="dxa"/>
            <w:shd w:val="clear" w:color="auto" w:fill="F7F9FC"/>
            <w:tcMar>
              <w:top w:w="70" w:type="dxa"/>
              <w:left w:w="70" w:type="dxa"/>
              <w:bottom w:w="70" w:type="dxa"/>
              <w:right w:w="70" w:type="dxa"/>
            </w:tcMar>
          </w:tcPr>
          <w:p w14:paraId="195DE3A9" w14:textId="77777777" w:rsidR="00D1797A" w:rsidRDefault="00000000">
            <w:pPr>
              <w:spacing w:after="0" w:line="240" w:lineRule="auto"/>
              <w:jc w:val="left"/>
            </w:pPr>
            <w:r>
              <w:rPr>
                <w:rFonts w:ascii="Arial" w:eastAsia="Arial" w:hAnsi="Arial"/>
                <w:sz w:val="15"/>
              </w:rPr>
              <w:t>Hyperkalaemia, acute kidney injury, respiratory muscle involvement</w:t>
            </w:r>
          </w:p>
        </w:tc>
        <w:tc>
          <w:tcPr>
            <w:tcW w:w="2580" w:type="dxa"/>
            <w:shd w:val="clear" w:color="auto" w:fill="F7F9FC"/>
            <w:tcMar>
              <w:top w:w="70" w:type="dxa"/>
              <w:left w:w="70" w:type="dxa"/>
              <w:bottom w:w="70" w:type="dxa"/>
              <w:right w:w="70" w:type="dxa"/>
            </w:tcMar>
          </w:tcPr>
          <w:p w14:paraId="41F38729" w14:textId="77777777" w:rsidR="00D1797A" w:rsidRDefault="00000000">
            <w:pPr>
              <w:spacing w:after="0" w:line="240" w:lineRule="auto"/>
              <w:jc w:val="left"/>
            </w:pPr>
            <w:r>
              <w:rPr>
                <w:rFonts w:ascii="Arial" w:eastAsia="Arial" w:hAnsi="Arial"/>
                <w:sz w:val="15"/>
              </w:rPr>
              <w:t>Neutralise venom; monitor electrolytes, urine output and renal function; maintain euvolaemia</w:t>
            </w:r>
          </w:p>
        </w:tc>
        <w:tc>
          <w:tcPr>
            <w:tcW w:w="2580" w:type="dxa"/>
            <w:shd w:val="clear" w:color="auto" w:fill="F7F9FC"/>
            <w:tcMar>
              <w:top w:w="70" w:type="dxa"/>
              <w:left w:w="70" w:type="dxa"/>
              <w:bottom w:w="70" w:type="dxa"/>
              <w:right w:w="70" w:type="dxa"/>
            </w:tcMar>
          </w:tcPr>
          <w:p w14:paraId="369515A6" w14:textId="77777777" w:rsidR="00D1797A" w:rsidRDefault="00000000">
            <w:pPr>
              <w:spacing w:after="0" w:line="240" w:lineRule="auto"/>
              <w:jc w:val="left"/>
            </w:pPr>
            <w:r>
              <w:rPr>
                <w:rFonts w:ascii="Arial" w:eastAsia="Arial" w:hAnsi="Arial"/>
                <w:sz w:val="15"/>
              </w:rPr>
              <w:t>Gutiérrez et al. (2017); Day et al. (2025)</w:t>
            </w:r>
          </w:p>
        </w:tc>
      </w:tr>
      <w:tr w:rsidR="00D1797A" w14:paraId="3851A768" w14:textId="77777777">
        <w:trPr>
          <w:cantSplit/>
          <w:jc w:val="center"/>
        </w:trPr>
        <w:tc>
          <w:tcPr>
            <w:tcW w:w="2580" w:type="dxa"/>
            <w:tcMar>
              <w:top w:w="70" w:type="dxa"/>
              <w:left w:w="70" w:type="dxa"/>
              <w:bottom w:w="70" w:type="dxa"/>
              <w:right w:w="70" w:type="dxa"/>
            </w:tcMar>
          </w:tcPr>
          <w:p w14:paraId="2608C21A" w14:textId="77777777" w:rsidR="00D1797A" w:rsidRDefault="00000000">
            <w:pPr>
              <w:spacing w:after="0" w:line="240" w:lineRule="auto"/>
              <w:jc w:val="left"/>
            </w:pPr>
            <w:r>
              <w:rPr>
                <w:rFonts w:ascii="Arial" w:eastAsia="Arial" w:hAnsi="Arial"/>
                <w:sz w:val="15"/>
              </w:rPr>
              <w:t>Cardiovascular/cardiotoxic</w:t>
            </w:r>
          </w:p>
        </w:tc>
        <w:tc>
          <w:tcPr>
            <w:tcW w:w="2580" w:type="dxa"/>
            <w:tcMar>
              <w:top w:w="70" w:type="dxa"/>
              <w:left w:w="70" w:type="dxa"/>
              <w:bottom w:w="70" w:type="dxa"/>
              <w:right w:w="70" w:type="dxa"/>
            </w:tcMar>
          </w:tcPr>
          <w:p w14:paraId="390B1C83" w14:textId="77777777" w:rsidR="00D1797A" w:rsidRDefault="00000000">
            <w:pPr>
              <w:spacing w:after="0" w:line="240" w:lineRule="auto"/>
              <w:jc w:val="left"/>
            </w:pPr>
            <w:r>
              <w:rPr>
                <w:rFonts w:ascii="Arial" w:eastAsia="Arial" w:hAnsi="Arial"/>
                <w:sz w:val="15"/>
              </w:rPr>
              <w:t>Vasodilation, capillary leak, direct or indirect myocardial injury, dysrhythmia</w:t>
            </w:r>
          </w:p>
        </w:tc>
        <w:tc>
          <w:tcPr>
            <w:tcW w:w="2580" w:type="dxa"/>
            <w:tcMar>
              <w:top w:w="70" w:type="dxa"/>
              <w:left w:w="70" w:type="dxa"/>
              <w:bottom w:w="70" w:type="dxa"/>
              <w:right w:w="70" w:type="dxa"/>
            </w:tcMar>
          </w:tcPr>
          <w:p w14:paraId="7A51A8D9" w14:textId="77777777" w:rsidR="00D1797A" w:rsidRDefault="00000000">
            <w:pPr>
              <w:spacing w:after="0" w:line="240" w:lineRule="auto"/>
              <w:jc w:val="left"/>
            </w:pPr>
            <w:r>
              <w:rPr>
                <w:rFonts w:ascii="Arial" w:eastAsia="Arial" w:hAnsi="Arial"/>
                <w:sz w:val="15"/>
              </w:rPr>
              <w:t>Tachycardia, hypotension, arrhythmia, increased troponin</w:t>
            </w:r>
          </w:p>
        </w:tc>
        <w:tc>
          <w:tcPr>
            <w:tcW w:w="2580" w:type="dxa"/>
            <w:tcMar>
              <w:top w:w="70" w:type="dxa"/>
              <w:left w:w="70" w:type="dxa"/>
              <w:bottom w:w="70" w:type="dxa"/>
              <w:right w:w="70" w:type="dxa"/>
            </w:tcMar>
          </w:tcPr>
          <w:p w14:paraId="29C7962D" w14:textId="77777777" w:rsidR="00D1797A" w:rsidRDefault="00000000">
            <w:pPr>
              <w:spacing w:after="0" w:line="240" w:lineRule="auto"/>
              <w:jc w:val="left"/>
            </w:pPr>
            <w:r>
              <w:rPr>
                <w:rFonts w:ascii="Arial" w:eastAsia="Arial" w:hAnsi="Arial"/>
                <w:sz w:val="15"/>
              </w:rPr>
              <w:t>Shock and haemodynamically important rhythm disturbance</w:t>
            </w:r>
          </w:p>
        </w:tc>
        <w:tc>
          <w:tcPr>
            <w:tcW w:w="2580" w:type="dxa"/>
            <w:tcMar>
              <w:top w:w="70" w:type="dxa"/>
              <w:left w:w="70" w:type="dxa"/>
              <w:bottom w:w="70" w:type="dxa"/>
              <w:right w:w="70" w:type="dxa"/>
            </w:tcMar>
          </w:tcPr>
          <w:p w14:paraId="68D9143D" w14:textId="77777777" w:rsidR="00D1797A" w:rsidRDefault="00000000">
            <w:pPr>
              <w:spacing w:after="0" w:line="240" w:lineRule="auto"/>
              <w:jc w:val="left"/>
            </w:pPr>
            <w:r>
              <w:rPr>
                <w:rFonts w:ascii="Arial" w:eastAsia="Arial" w:hAnsi="Arial"/>
                <w:sz w:val="15"/>
              </w:rPr>
              <w:t>Antivenom and perfusion support; ECG and targeted cardiac monitoring in moderate-to-severe cases</w:t>
            </w:r>
          </w:p>
        </w:tc>
        <w:tc>
          <w:tcPr>
            <w:tcW w:w="2580" w:type="dxa"/>
            <w:tcMar>
              <w:top w:w="70" w:type="dxa"/>
              <w:left w:w="70" w:type="dxa"/>
              <w:bottom w:w="70" w:type="dxa"/>
              <w:right w:w="70" w:type="dxa"/>
            </w:tcMar>
          </w:tcPr>
          <w:p w14:paraId="6AEA4478" w14:textId="77777777" w:rsidR="00D1797A" w:rsidRDefault="00000000">
            <w:pPr>
              <w:spacing w:after="0" w:line="240" w:lineRule="auto"/>
              <w:jc w:val="left"/>
            </w:pPr>
            <w:r>
              <w:rPr>
                <w:rFonts w:ascii="Arial" w:eastAsia="Arial" w:hAnsi="Arial"/>
                <w:sz w:val="15"/>
              </w:rPr>
              <w:t>Langhorn et al. (2014); Gilliam et al. (2012); Vestberg et al. (2017)</w:t>
            </w:r>
          </w:p>
        </w:tc>
      </w:tr>
      <w:tr w:rsidR="00D1797A" w14:paraId="641CA5E8" w14:textId="77777777">
        <w:trPr>
          <w:cantSplit/>
          <w:jc w:val="center"/>
        </w:trPr>
        <w:tc>
          <w:tcPr>
            <w:tcW w:w="2580" w:type="dxa"/>
            <w:shd w:val="clear" w:color="auto" w:fill="F7F9FC"/>
            <w:tcMar>
              <w:top w:w="70" w:type="dxa"/>
              <w:left w:w="70" w:type="dxa"/>
              <w:bottom w:w="70" w:type="dxa"/>
              <w:right w:w="70" w:type="dxa"/>
            </w:tcMar>
          </w:tcPr>
          <w:p w14:paraId="2F900558" w14:textId="77777777" w:rsidR="00D1797A" w:rsidRDefault="00000000">
            <w:pPr>
              <w:spacing w:after="0" w:line="240" w:lineRule="auto"/>
              <w:jc w:val="left"/>
            </w:pPr>
            <w:r>
              <w:rPr>
                <w:rFonts w:ascii="Arial" w:eastAsia="Arial" w:hAnsi="Arial"/>
                <w:sz w:val="15"/>
              </w:rPr>
              <w:t>Mixed syndrome</w:t>
            </w:r>
          </w:p>
        </w:tc>
        <w:tc>
          <w:tcPr>
            <w:tcW w:w="2580" w:type="dxa"/>
            <w:shd w:val="clear" w:color="auto" w:fill="F7F9FC"/>
            <w:tcMar>
              <w:top w:w="70" w:type="dxa"/>
              <w:left w:w="70" w:type="dxa"/>
              <w:bottom w:w="70" w:type="dxa"/>
              <w:right w:w="70" w:type="dxa"/>
            </w:tcMar>
          </w:tcPr>
          <w:p w14:paraId="4329BC2A" w14:textId="77777777" w:rsidR="00D1797A" w:rsidRDefault="00000000">
            <w:pPr>
              <w:spacing w:after="0" w:line="240" w:lineRule="auto"/>
              <w:jc w:val="left"/>
            </w:pPr>
            <w:r>
              <w:rPr>
                <w:rFonts w:ascii="Arial" w:eastAsia="Arial" w:hAnsi="Arial"/>
                <w:sz w:val="15"/>
              </w:rPr>
              <w:t>Concurrent toxin families and host-specific response</w:t>
            </w:r>
          </w:p>
        </w:tc>
        <w:tc>
          <w:tcPr>
            <w:tcW w:w="2580" w:type="dxa"/>
            <w:shd w:val="clear" w:color="auto" w:fill="F7F9FC"/>
            <w:tcMar>
              <w:top w:w="70" w:type="dxa"/>
              <w:left w:w="70" w:type="dxa"/>
              <w:bottom w:w="70" w:type="dxa"/>
              <w:right w:w="70" w:type="dxa"/>
            </w:tcMar>
          </w:tcPr>
          <w:p w14:paraId="33245DC4" w14:textId="77777777" w:rsidR="00D1797A" w:rsidRDefault="00000000">
            <w:pPr>
              <w:spacing w:after="0" w:line="240" w:lineRule="auto"/>
              <w:jc w:val="left"/>
            </w:pPr>
            <w:r>
              <w:rPr>
                <w:rFonts w:ascii="Arial" w:eastAsia="Arial" w:hAnsi="Arial"/>
                <w:sz w:val="15"/>
              </w:rPr>
              <w:t>Combinations of local injury, coagulopathy, neurotoxicity, haemolysis or renal injury</w:t>
            </w:r>
          </w:p>
        </w:tc>
        <w:tc>
          <w:tcPr>
            <w:tcW w:w="2580" w:type="dxa"/>
            <w:shd w:val="clear" w:color="auto" w:fill="F7F9FC"/>
            <w:tcMar>
              <w:top w:w="70" w:type="dxa"/>
              <w:left w:w="70" w:type="dxa"/>
              <w:bottom w:w="70" w:type="dxa"/>
              <w:right w:w="70" w:type="dxa"/>
            </w:tcMar>
          </w:tcPr>
          <w:p w14:paraId="152DFF1F" w14:textId="77777777" w:rsidR="00D1797A" w:rsidRDefault="00000000">
            <w:pPr>
              <w:spacing w:after="0" w:line="240" w:lineRule="auto"/>
              <w:jc w:val="left"/>
            </w:pPr>
            <w:r>
              <w:rPr>
                <w:rFonts w:ascii="Arial" w:eastAsia="Arial" w:hAnsi="Arial"/>
                <w:sz w:val="15"/>
              </w:rPr>
              <w:t>Failure to recognise the dominant life-threatening component</w:t>
            </w:r>
          </w:p>
        </w:tc>
        <w:tc>
          <w:tcPr>
            <w:tcW w:w="2580" w:type="dxa"/>
            <w:shd w:val="clear" w:color="auto" w:fill="F7F9FC"/>
            <w:tcMar>
              <w:top w:w="70" w:type="dxa"/>
              <w:left w:w="70" w:type="dxa"/>
              <w:bottom w:w="70" w:type="dxa"/>
              <w:right w:w="70" w:type="dxa"/>
            </w:tcMar>
          </w:tcPr>
          <w:p w14:paraId="20A116B7" w14:textId="77777777" w:rsidR="00D1797A" w:rsidRDefault="00000000">
            <w:pPr>
              <w:spacing w:after="0" w:line="240" w:lineRule="auto"/>
              <w:jc w:val="left"/>
            </w:pPr>
            <w:r>
              <w:rPr>
                <w:rFonts w:ascii="Arial" w:eastAsia="Arial" w:hAnsi="Arial"/>
                <w:sz w:val="15"/>
              </w:rPr>
              <w:t>Prioritise airway, breathing and circulation; reassess organ systems separately rather than relying on one label</w:t>
            </w:r>
          </w:p>
        </w:tc>
        <w:tc>
          <w:tcPr>
            <w:tcW w:w="2580" w:type="dxa"/>
            <w:shd w:val="clear" w:color="auto" w:fill="F7F9FC"/>
            <w:tcMar>
              <w:top w:w="70" w:type="dxa"/>
              <w:left w:w="70" w:type="dxa"/>
              <w:bottom w:w="70" w:type="dxa"/>
              <w:right w:w="70" w:type="dxa"/>
            </w:tcMar>
          </w:tcPr>
          <w:p w14:paraId="5EF124C6" w14:textId="77777777" w:rsidR="00D1797A" w:rsidRDefault="00000000">
            <w:pPr>
              <w:spacing w:after="0" w:line="240" w:lineRule="auto"/>
              <w:jc w:val="left"/>
            </w:pPr>
            <w:r>
              <w:rPr>
                <w:rFonts w:ascii="Arial" w:eastAsia="Arial" w:hAnsi="Arial"/>
                <w:sz w:val="15"/>
              </w:rPr>
              <w:t>Goddard et al. (2011); Migliorisi et al. (2026)</w:t>
            </w:r>
          </w:p>
        </w:tc>
      </w:tr>
    </w:tbl>
    <w:p w14:paraId="3A15974A" w14:textId="77777777" w:rsidR="00D1797A" w:rsidRDefault="00000000">
      <w:pPr>
        <w:pStyle w:val="TableNote"/>
      </w:pPr>
      <w:r>
        <w:t>Note. Syndromes overlap, and taxonomy alone does not establish the clinical phenotype.</w:t>
      </w:r>
    </w:p>
    <w:p w14:paraId="6959BBD6" w14:textId="77777777" w:rsidR="00D1797A" w:rsidRDefault="00D1797A">
      <w:pPr>
        <w:sectPr w:rsidR="00D1797A">
          <w:pgSz w:w="16838" w:h="11906" w:orient="landscape"/>
          <w:pgMar w:top="737" w:right="680" w:bottom="737" w:left="680" w:header="454" w:footer="454" w:gutter="0"/>
          <w:cols w:space="720"/>
          <w:docGrid w:linePitch="360"/>
        </w:sectPr>
      </w:pPr>
    </w:p>
    <w:p w14:paraId="3287E54C" w14:textId="77777777" w:rsidR="00D1797A" w:rsidRDefault="00000000">
      <w:pPr>
        <w:pStyle w:val="Heading1"/>
        <w:ind w:firstLine="0"/>
      </w:pPr>
      <w:r>
        <w:rPr>
          <w:rFonts w:ascii="Times New Roman" w:eastAsia="Times New Roman" w:hAnsi="Times New Roman"/>
        </w:rPr>
        <w:lastRenderedPageBreak/>
        <w:t>4. Recognition, Triage and Diagnostic Reasoning</w:t>
      </w:r>
    </w:p>
    <w:p w14:paraId="2274654F" w14:textId="77777777" w:rsidR="00D1797A" w:rsidRDefault="00000000">
      <w:pPr>
        <w:pStyle w:val="Heading2"/>
        <w:ind w:firstLine="0"/>
      </w:pPr>
      <w:r>
        <w:rPr>
          <w:rFonts w:ascii="Times New Roman" w:eastAsia="Times New Roman" w:hAnsi="Times New Roman"/>
        </w:rPr>
        <w:t>4.1 Prehospital Priorities and Safe Transport</w:t>
      </w:r>
    </w:p>
    <w:p w14:paraId="665F533A" w14:textId="77777777" w:rsidR="00D1797A" w:rsidRDefault="00000000">
      <w:r>
        <w:t>The first management interval begins before hospital arrival. The animal should be removed from further snake exposure without attempting to capture or kill the snake. A photograph taken from a safe distance may aid identification, but a dead snake remains capable of reflex envenomation and should not be handled. Activity should be minimised because muscular movement and increased perfusion may accelerate systemic distribution. Small animals should be carried where feasible; horses and livestock should be moved calmly and only as far as required for safety and transport. Collars, halters and restrictive equipment around an enlarging head or neck should be loosened early. These measures are low-risk and physiologically coherent, whereas incision, suction, cryotherapy, electric shock, tight arterial tourniquets and application of chemicals to the wound have no defensible veterinary benefit and can increase ischaemia, infection or delay (Gilliam, 2024; Gilliam &amp; Brunker, 2011; Migliorisi et al., 2026).</w:t>
      </w:r>
    </w:p>
    <w:p w14:paraId="7208B581" w14:textId="77777777" w:rsidR="00D1797A" w:rsidRDefault="00000000">
      <w:r>
        <w:t>Pressure immobilisation is not a universal snakebite intervention. It was developed for selected neurotoxic elapid bites in people and depends on correct technique, limb anatomy and an exposure in which limiting lymphatic spread outweighs the risk of trapping tissue-destructive venom. Domestic animals seldom tolerate a consistent bandage, and viperid or cytotoxic envenomation may be worsened by prolonged local pressure. It should therefore not be improvised as generic first aid. The more transferable principle is controlled movement, rapid transport and prior notification of the receiving facility so that antivenom, airway equipment, blood products and monitoring capacity can be prepared.</w:t>
      </w:r>
    </w:p>
    <w:p w14:paraId="5328031C" w14:textId="77777777" w:rsidR="00D1797A" w:rsidRDefault="00000000">
      <w:pPr>
        <w:pStyle w:val="Heading2"/>
        <w:ind w:firstLine="0"/>
      </w:pPr>
      <w:r>
        <w:rPr>
          <w:rFonts w:ascii="Times New Roman" w:eastAsia="Times New Roman" w:hAnsi="Times New Roman"/>
        </w:rPr>
        <w:t>4.2 Primary Survey and Triage</w:t>
      </w:r>
    </w:p>
    <w:p w14:paraId="410C1CB8" w14:textId="77777777" w:rsidR="00D1797A" w:rsidRDefault="00000000">
      <w:r>
        <w:t>Arrival assessment should follow an airway, breathing, circulation, disability and exposure sequence while history is gathered in parallel. Airway noise, facial swelling, drooling, dysphagia, weak gag reflex, altered phonation and progressive neuromuscular weakness require immediate escalation. Pulse oximetry is helpful but does not exclude hypoventilation; carbon dioxide monitoring or blood gas analysis is more informative when weakness is present. Respiratory effort may initially increase before fatigue. In horses with muzzle or pharyngeal swelling, equipment and personnel for nasotracheal intubation or tracheotomy should be available before obstruction becomes critical (Bamford et al., 2018; Fielding et al., 2011; Gilliam, 2024).</w:t>
      </w:r>
    </w:p>
    <w:p w14:paraId="08B686A1" w14:textId="77777777" w:rsidR="00D1797A" w:rsidRDefault="00000000">
      <w:r>
        <w:t>Circulatory assessment should integrate heart rate, pulse quality, mucous membranes, capillary refill, blood pressure, temperature and mentation. Tachycardia may reflect pain, hypovolaemia, systemic inflammation, myocardial injury or fear. Hypotension should trigger cautious resuscitation while recognising that excessive crystalloid loading can worsen oedema and dilute coagulation factors. External bleeding, petechiae, ecchymoses, haematuria, melena and bleeding from venepuncture sites suggest clinically important haemostatic disturbance. Neurological assessment should distinguish central depression from lower motor neuron weakness and should document cranial nerve function, ability to swallow, posture and respiratory muscle performance.</w:t>
      </w:r>
    </w:p>
    <w:p w14:paraId="5D57826A" w14:textId="77777777" w:rsidR="00D1797A" w:rsidRDefault="00000000">
      <w:r>
        <w:t>Exposure examination includes clipping hair where safe, mapping swelling margins, measuring limb or head circumference at reproducible landmarks and recording fang marks without probing them. Repeated photographs can document progression. The clinician should also search for multiple bite sites and for injuries sustained during collapse or interaction with the snake. A normal bite site does not exclude envenomation, especially with neurotoxic species. Conversely, fang marks without progression do not prove clinically important venom delivery. The decision to treat should be based on objective progression or systemic effects rather than the visual drama of punctures alone.</w:t>
      </w:r>
    </w:p>
    <w:p w14:paraId="0132F1A1" w14:textId="77777777" w:rsidR="00D1797A" w:rsidRDefault="00000000">
      <w:pPr>
        <w:pStyle w:val="Heading2"/>
        <w:ind w:firstLine="0"/>
      </w:pPr>
      <w:r>
        <w:rPr>
          <w:rFonts w:ascii="Times New Roman" w:eastAsia="Times New Roman" w:hAnsi="Times New Roman"/>
        </w:rPr>
        <w:lastRenderedPageBreak/>
        <w:t>4.3 Baseline and Serial Laboratory Assessment</w:t>
      </w:r>
    </w:p>
    <w:p w14:paraId="1A6C6E27" w14:textId="77777777" w:rsidR="00D1797A" w:rsidRDefault="00000000">
      <w:r>
        <w:t>No single laboratory test confirms all snake envenomations. A minimum baseline panel in a systemically affected dog or cat commonly includes packed cell volume or haematocrit, total solids, platelet count, blood smear, prothrombin time, activated partial thromboplastin time, serum biochemistry, electrolytes and urinalysis. Creatine kinase is useful when myotoxicity is plausible, and lactate, blood gas variables and renal markers help define shock and organ injury. In horses and cattle, practical testing may be more limited, but serial haematology, fibrinogen, coagulation times, creatinine, muscle enzymes and urine colour can still identify clinically meaningful change. Point-of-care values should be interpreted with awareness of species-specific reference intervals and sample artefact (Goddard et al., 2011).</w:t>
      </w:r>
    </w:p>
    <w:p w14:paraId="4CCA9EA4" w14:textId="77777777" w:rsidR="00D1797A" w:rsidRDefault="00000000">
      <w:r>
        <w:t xml:space="preserve">A coagulation result is a physiological snapshot, not a binary diagnosis. Venom may consume fibrinogen and factors, activate fibrinolysis, impair platelets or damage endothelium; clotting times can be normal early, become profoundly prolonged and then improve after neutralisation. Aroch et al. (2010) documented diverse haemostatic abnormalities in dogs with </w:t>
      </w:r>
      <w:r>
        <w:rPr>
          <w:i/>
        </w:rPr>
        <w:t>Vipera palaestinae</w:t>
      </w:r>
      <w:r>
        <w:t xml:space="preserve"> envenomation, while the Eastern brown snake cohort showed that consumptive coagulopathy was common and generally resolved over time after treatment, although haemorrhage and neurological signs remained prognostically relevant (Day et al., 2025). Thromboelastography can reveal global clot development and lysis that conventional assays miss, but results are affected by timing, platform and reference ranges. The canine crotalid study by Armentano et al. (2014) demonstrated feasibility rather than establishing a universal treatment threshold.</w:t>
      </w:r>
    </w:p>
    <w:p w14:paraId="1434E212" w14:textId="77777777" w:rsidR="00D1797A" w:rsidRDefault="00000000">
      <w:r>
        <w:t>The platelet count deserves confirmation on a smear because clumping can mimic thrombocytopenia, particularly in cats. Packed cell volume and total solids should be trended together: a falling packed cell volume with stable or falling solids may support blood loss or haemolysis, while haemoconcentration may reflect fluid shifts. Pigmenturia should be differentiated where possible into haemoglobin, myoglobin and intact red cells. Renal injury may be multifactorial, involving hypotension, haemolysis, myoglobin, direct nephrotoxicity or microvascular disturbance. A normal creatinine at presentation does not exclude evolving injury; urine output and repeated measurements matter more than a single value.</w:t>
      </w:r>
    </w:p>
    <w:p w14:paraId="4BD1784C" w14:textId="77777777" w:rsidR="00D1797A" w:rsidRDefault="00000000">
      <w:r>
        <w:t>Cardiac assessment should be targeted rather than ritualised. Electrocardiography is indicated when arrhythmia, weakness disproportionate to other findings, hypotension or myocardial injury is suspected. Studies in dogs bitten by European adders and other vipers have identified arrhythmias and increased cardiac troponin, but the relationship between biomarker elevation, clinically consequential myocardial dysfunction and treatment remains uncertain (Langhorn et al., 2014; Vestberg et al., 2017). In horses, rattlesnake envenomation has been associated with troponin increases and rhythm abnormalities, supporting extended monitoring in moderate or severe cases (Gilliam et al., 2012). Biomarkers should inform surveillance and haemodynamic management rather than automatically trigger cardiotropic drugs.</w:t>
      </w:r>
    </w:p>
    <w:p w14:paraId="3E00D872" w14:textId="77777777" w:rsidR="00D1797A" w:rsidRDefault="00000000">
      <w:pPr>
        <w:pStyle w:val="Heading2"/>
        <w:ind w:firstLine="0"/>
      </w:pPr>
      <w:r>
        <w:rPr>
          <w:rFonts w:ascii="Times New Roman" w:eastAsia="Times New Roman" w:hAnsi="Times New Roman"/>
        </w:rPr>
        <w:t>4.4 Diagnostic Confirmation and Differential Diagnosis</w:t>
      </w:r>
    </w:p>
    <w:p w14:paraId="417C6947" w14:textId="77777777" w:rsidR="00D1797A" w:rsidRDefault="00000000">
      <w:r>
        <w:t xml:space="preserve">Definitive venom detection is uncommon in routine veterinary practice. Research assays have demonstrated detectable venom and proteomic signatures in naturally envenomed dogs, as in the Norwegian </w:t>
      </w:r>
      <w:r>
        <w:rPr>
          <w:i/>
        </w:rPr>
        <w:t>Vipera berus</w:t>
      </w:r>
      <w:r>
        <w:t xml:space="preserve"> study, but assay availability, timing and cross-reactivity currently limit bedside use (Nicolaysen et al., 2024). Safe, expert identification of the snake can refine antivenom choice, yet owner identification is unreliable when based on colour or fear. The most useful identification data are location, habitat, time of day, season, a clear photograph and local herpetological knowledge. Management should not be delayed for taxonomic certainty when a compatible progressive syndrome is present.</w:t>
      </w:r>
    </w:p>
    <w:p w14:paraId="5CDF96CB" w14:textId="77777777" w:rsidR="00D1797A" w:rsidRDefault="00000000">
      <w:r>
        <w:lastRenderedPageBreak/>
        <w:t>Differential diagnoses depend on the dominant syndrome. Rapid facial swelling may follow insect envenomation, angio-oedema, trauma, salivary disease or infection. Bleeding may reflect anticoagulant rodenticide exposure, immune-mediated thrombocytopenia, disseminated intravascular coagulation, liver failure or inherited haemostatic disease. Acute weakness and collapse can result from heat illness, cardiac disease, hypoglycaemia, tick paralysis, botulism, organophosphate toxicity or other neurotoxins. Pigmenturia and myonecrosis have broad toxic and exertional differentials. The diagnosis strengthens when a geographically plausible exposure, compatible bite site and serially coherent multi-system pattern converge, and weakens when the course is static or contradicts known regional syndromes.</w:t>
      </w:r>
    </w:p>
    <w:p w14:paraId="08A8C6F6" w14:textId="77777777" w:rsidR="00D1797A" w:rsidRDefault="00000000">
      <w:r>
        <w:t>A deliberately short observation period is defensible for an asymptomatic animal after a credible bite only when rapid return is possible and the regional venom profile is understood. The observation window must be longer when delayed neurotoxicity, recurrent coagulopathy or an unreliable history is plausible. Discharge after apparent stabilisation should include written instructions to return for renewed swelling, bleeding, weakness, dark urine, reduced urination, vomiting, collapse or respiratory change. Table 2 links clinical questions to serial measurements and highlights interpretive pitfalls.</w:t>
      </w:r>
    </w:p>
    <w:p w14:paraId="4DE57D58" w14:textId="77777777" w:rsidR="00D1797A" w:rsidRDefault="00D1797A">
      <w:pPr>
        <w:sectPr w:rsidR="00D1797A">
          <w:pgSz w:w="11906" w:h="16838"/>
          <w:pgMar w:top="1247" w:right="1361" w:bottom="1134" w:left="1361" w:header="454" w:footer="454" w:gutter="0"/>
          <w:cols w:space="720"/>
          <w:docGrid w:linePitch="360"/>
        </w:sectPr>
      </w:pPr>
    </w:p>
    <w:p w14:paraId="780678B9" w14:textId="77777777" w:rsidR="00D1797A" w:rsidRDefault="00000000">
      <w:pPr>
        <w:pStyle w:val="TableCaption"/>
        <w:keepNext/>
      </w:pPr>
      <w:r>
        <w:lastRenderedPageBreak/>
        <w:t>Table 2. Serial assessment framework for suspected snakebite envenomation</w:t>
      </w: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3096"/>
        <w:gridCol w:w="3096"/>
        <w:gridCol w:w="3096"/>
        <w:gridCol w:w="3096"/>
        <w:gridCol w:w="3096"/>
      </w:tblGrid>
      <w:tr w:rsidR="00D1797A" w14:paraId="3D4F9208" w14:textId="77777777">
        <w:trPr>
          <w:cantSplit/>
          <w:tblHeader/>
          <w:jc w:val="center"/>
        </w:trPr>
        <w:tc>
          <w:tcPr>
            <w:tcW w:w="3096" w:type="dxa"/>
            <w:shd w:val="clear" w:color="auto" w:fill="D9E2F3"/>
            <w:tcMar>
              <w:top w:w="70" w:type="dxa"/>
              <w:left w:w="70" w:type="dxa"/>
              <w:bottom w:w="70" w:type="dxa"/>
              <w:right w:w="70" w:type="dxa"/>
            </w:tcMar>
            <w:vAlign w:val="center"/>
          </w:tcPr>
          <w:p w14:paraId="2B5256A8" w14:textId="77777777" w:rsidR="00D1797A" w:rsidRDefault="00000000">
            <w:pPr>
              <w:spacing w:after="0"/>
              <w:jc w:val="center"/>
            </w:pPr>
            <w:r>
              <w:rPr>
                <w:rFonts w:ascii="Arial" w:eastAsia="Arial" w:hAnsi="Arial"/>
                <w:b/>
                <w:sz w:val="15"/>
              </w:rPr>
              <w:t>Clinical question</w:t>
            </w:r>
          </w:p>
        </w:tc>
        <w:tc>
          <w:tcPr>
            <w:tcW w:w="3096" w:type="dxa"/>
            <w:shd w:val="clear" w:color="auto" w:fill="D9E2F3"/>
            <w:tcMar>
              <w:top w:w="70" w:type="dxa"/>
              <w:left w:w="70" w:type="dxa"/>
              <w:bottom w:w="70" w:type="dxa"/>
              <w:right w:w="70" w:type="dxa"/>
            </w:tcMar>
            <w:vAlign w:val="center"/>
          </w:tcPr>
          <w:p w14:paraId="10D331D7" w14:textId="77777777" w:rsidR="00D1797A" w:rsidRDefault="00000000">
            <w:pPr>
              <w:spacing w:after="0"/>
              <w:jc w:val="center"/>
            </w:pPr>
            <w:r>
              <w:rPr>
                <w:rFonts w:ascii="Arial" w:eastAsia="Arial" w:hAnsi="Arial"/>
                <w:b/>
                <w:sz w:val="15"/>
              </w:rPr>
              <w:t>Baseline assessment</w:t>
            </w:r>
          </w:p>
        </w:tc>
        <w:tc>
          <w:tcPr>
            <w:tcW w:w="3096" w:type="dxa"/>
            <w:shd w:val="clear" w:color="auto" w:fill="D9E2F3"/>
            <w:tcMar>
              <w:top w:w="70" w:type="dxa"/>
              <w:left w:w="70" w:type="dxa"/>
              <w:bottom w:w="70" w:type="dxa"/>
              <w:right w:w="70" w:type="dxa"/>
            </w:tcMar>
            <w:vAlign w:val="center"/>
          </w:tcPr>
          <w:p w14:paraId="112BD189" w14:textId="77777777" w:rsidR="00D1797A" w:rsidRDefault="00000000">
            <w:pPr>
              <w:spacing w:after="0"/>
              <w:jc w:val="center"/>
            </w:pPr>
            <w:r>
              <w:rPr>
                <w:rFonts w:ascii="Arial" w:eastAsia="Arial" w:hAnsi="Arial"/>
                <w:b/>
                <w:sz w:val="15"/>
              </w:rPr>
              <w:t>Serial trigger or trend</w:t>
            </w:r>
          </w:p>
        </w:tc>
        <w:tc>
          <w:tcPr>
            <w:tcW w:w="3096" w:type="dxa"/>
            <w:shd w:val="clear" w:color="auto" w:fill="D9E2F3"/>
            <w:tcMar>
              <w:top w:w="70" w:type="dxa"/>
              <w:left w:w="70" w:type="dxa"/>
              <w:bottom w:w="70" w:type="dxa"/>
              <w:right w:w="70" w:type="dxa"/>
            </w:tcMar>
            <w:vAlign w:val="center"/>
          </w:tcPr>
          <w:p w14:paraId="591232BC" w14:textId="77777777" w:rsidR="00D1797A" w:rsidRDefault="00000000">
            <w:pPr>
              <w:spacing w:after="0"/>
              <w:jc w:val="center"/>
            </w:pPr>
            <w:r>
              <w:rPr>
                <w:rFonts w:ascii="Arial" w:eastAsia="Arial" w:hAnsi="Arial"/>
                <w:b/>
                <w:sz w:val="15"/>
              </w:rPr>
              <w:t>Interpretive caution</w:t>
            </w:r>
          </w:p>
        </w:tc>
        <w:tc>
          <w:tcPr>
            <w:tcW w:w="3096" w:type="dxa"/>
            <w:shd w:val="clear" w:color="auto" w:fill="D9E2F3"/>
            <w:tcMar>
              <w:top w:w="70" w:type="dxa"/>
              <w:left w:w="70" w:type="dxa"/>
              <w:bottom w:w="70" w:type="dxa"/>
              <w:right w:w="70" w:type="dxa"/>
            </w:tcMar>
            <w:vAlign w:val="center"/>
          </w:tcPr>
          <w:p w14:paraId="2A313874" w14:textId="77777777" w:rsidR="00D1797A" w:rsidRDefault="00000000">
            <w:pPr>
              <w:spacing w:after="0"/>
              <w:jc w:val="center"/>
            </w:pPr>
            <w:r>
              <w:rPr>
                <w:rFonts w:ascii="Arial" w:eastAsia="Arial" w:hAnsi="Arial"/>
                <w:b/>
                <w:sz w:val="15"/>
              </w:rPr>
              <w:t>Supporting references</w:t>
            </w:r>
          </w:p>
        </w:tc>
      </w:tr>
      <w:tr w:rsidR="00D1797A" w14:paraId="361FE7BE" w14:textId="77777777">
        <w:trPr>
          <w:cantSplit/>
          <w:jc w:val="center"/>
        </w:trPr>
        <w:tc>
          <w:tcPr>
            <w:tcW w:w="3096" w:type="dxa"/>
            <w:tcMar>
              <w:top w:w="70" w:type="dxa"/>
              <w:left w:w="70" w:type="dxa"/>
              <w:bottom w:w="70" w:type="dxa"/>
              <w:right w:w="70" w:type="dxa"/>
            </w:tcMar>
          </w:tcPr>
          <w:p w14:paraId="30A21938" w14:textId="77777777" w:rsidR="00D1797A" w:rsidRDefault="00000000">
            <w:pPr>
              <w:spacing w:after="0" w:line="240" w:lineRule="auto"/>
              <w:jc w:val="left"/>
            </w:pPr>
            <w:r>
              <w:rPr>
                <w:rFonts w:ascii="Arial" w:eastAsia="Arial" w:hAnsi="Arial"/>
                <w:sz w:val="15"/>
              </w:rPr>
              <w:t>Is the airway threatened?</w:t>
            </w:r>
          </w:p>
        </w:tc>
        <w:tc>
          <w:tcPr>
            <w:tcW w:w="3096" w:type="dxa"/>
            <w:tcMar>
              <w:top w:w="70" w:type="dxa"/>
              <w:left w:w="70" w:type="dxa"/>
              <w:bottom w:w="70" w:type="dxa"/>
              <w:right w:w="70" w:type="dxa"/>
            </w:tcMar>
          </w:tcPr>
          <w:p w14:paraId="55AE4ACA" w14:textId="77777777" w:rsidR="00D1797A" w:rsidRDefault="00000000">
            <w:pPr>
              <w:spacing w:after="0" w:line="240" w:lineRule="auto"/>
              <w:jc w:val="left"/>
            </w:pPr>
            <w:r>
              <w:rPr>
                <w:rFonts w:ascii="Arial" w:eastAsia="Arial" w:hAnsi="Arial"/>
                <w:sz w:val="15"/>
              </w:rPr>
              <w:t>Facial and pharyngeal swelling, airflow, phonation, gag and swallow, respiratory effort</w:t>
            </w:r>
          </w:p>
        </w:tc>
        <w:tc>
          <w:tcPr>
            <w:tcW w:w="3096" w:type="dxa"/>
            <w:tcMar>
              <w:top w:w="70" w:type="dxa"/>
              <w:left w:w="70" w:type="dxa"/>
              <w:bottom w:w="70" w:type="dxa"/>
              <w:right w:w="70" w:type="dxa"/>
            </w:tcMar>
          </w:tcPr>
          <w:p w14:paraId="1A78123C" w14:textId="77777777" w:rsidR="00D1797A" w:rsidRDefault="00000000">
            <w:pPr>
              <w:spacing w:after="0" w:line="240" w:lineRule="auto"/>
              <w:jc w:val="left"/>
            </w:pPr>
            <w:r>
              <w:rPr>
                <w:rFonts w:ascii="Arial" w:eastAsia="Arial" w:hAnsi="Arial"/>
                <w:sz w:val="15"/>
              </w:rPr>
              <w:t>Increasing stridor, reduced airflow, dysphagia, cranial nerve weakness or rising carbon dioxide</w:t>
            </w:r>
          </w:p>
        </w:tc>
        <w:tc>
          <w:tcPr>
            <w:tcW w:w="3096" w:type="dxa"/>
            <w:tcMar>
              <w:top w:w="70" w:type="dxa"/>
              <w:left w:w="70" w:type="dxa"/>
              <w:bottom w:w="70" w:type="dxa"/>
              <w:right w:w="70" w:type="dxa"/>
            </w:tcMar>
          </w:tcPr>
          <w:p w14:paraId="0B603C07" w14:textId="77777777" w:rsidR="00D1797A" w:rsidRDefault="00000000">
            <w:pPr>
              <w:spacing w:after="0" w:line="240" w:lineRule="auto"/>
              <w:jc w:val="left"/>
            </w:pPr>
            <w:r>
              <w:rPr>
                <w:rFonts w:ascii="Arial" w:eastAsia="Arial" w:hAnsi="Arial"/>
                <w:sz w:val="15"/>
              </w:rPr>
              <w:t>Normal oxygen saturation does not exclude hypoventilation</w:t>
            </w:r>
          </w:p>
        </w:tc>
        <w:tc>
          <w:tcPr>
            <w:tcW w:w="3096" w:type="dxa"/>
            <w:tcMar>
              <w:top w:w="70" w:type="dxa"/>
              <w:left w:w="70" w:type="dxa"/>
              <w:bottom w:w="70" w:type="dxa"/>
              <w:right w:w="70" w:type="dxa"/>
            </w:tcMar>
          </w:tcPr>
          <w:p w14:paraId="05EB7CD0" w14:textId="77777777" w:rsidR="00D1797A" w:rsidRDefault="00000000">
            <w:pPr>
              <w:spacing w:after="0" w:line="240" w:lineRule="auto"/>
              <w:jc w:val="left"/>
            </w:pPr>
            <w:r>
              <w:rPr>
                <w:rFonts w:ascii="Arial" w:eastAsia="Arial" w:hAnsi="Arial"/>
                <w:sz w:val="15"/>
              </w:rPr>
              <w:t>Bamford et al. (2018); Gilliam (2024)</w:t>
            </w:r>
          </w:p>
        </w:tc>
      </w:tr>
      <w:tr w:rsidR="00D1797A" w14:paraId="26E8A876" w14:textId="77777777">
        <w:trPr>
          <w:cantSplit/>
          <w:jc w:val="center"/>
        </w:trPr>
        <w:tc>
          <w:tcPr>
            <w:tcW w:w="3096" w:type="dxa"/>
            <w:shd w:val="clear" w:color="auto" w:fill="F7F9FC"/>
            <w:tcMar>
              <w:top w:w="70" w:type="dxa"/>
              <w:left w:w="70" w:type="dxa"/>
              <w:bottom w:w="70" w:type="dxa"/>
              <w:right w:w="70" w:type="dxa"/>
            </w:tcMar>
          </w:tcPr>
          <w:p w14:paraId="010A3600" w14:textId="77777777" w:rsidR="00D1797A" w:rsidRDefault="00000000">
            <w:pPr>
              <w:spacing w:after="0" w:line="240" w:lineRule="auto"/>
              <w:jc w:val="left"/>
            </w:pPr>
            <w:r>
              <w:rPr>
                <w:rFonts w:ascii="Arial" w:eastAsia="Arial" w:hAnsi="Arial"/>
                <w:sz w:val="15"/>
              </w:rPr>
              <w:t>Is haemostasis deteriorating?</w:t>
            </w:r>
          </w:p>
        </w:tc>
        <w:tc>
          <w:tcPr>
            <w:tcW w:w="3096" w:type="dxa"/>
            <w:shd w:val="clear" w:color="auto" w:fill="F7F9FC"/>
            <w:tcMar>
              <w:top w:w="70" w:type="dxa"/>
              <w:left w:w="70" w:type="dxa"/>
              <w:bottom w:w="70" w:type="dxa"/>
              <w:right w:w="70" w:type="dxa"/>
            </w:tcMar>
          </w:tcPr>
          <w:p w14:paraId="7FC64688" w14:textId="77777777" w:rsidR="00D1797A" w:rsidRDefault="00000000">
            <w:pPr>
              <w:spacing w:after="0" w:line="240" w:lineRule="auto"/>
              <w:jc w:val="left"/>
            </w:pPr>
            <w:r>
              <w:rPr>
                <w:rFonts w:ascii="Arial" w:eastAsia="Arial" w:hAnsi="Arial"/>
                <w:sz w:val="15"/>
              </w:rPr>
              <w:t>Platelets with smear, PT, aPTT, fibrinogen where available, visible bleeding</w:t>
            </w:r>
          </w:p>
        </w:tc>
        <w:tc>
          <w:tcPr>
            <w:tcW w:w="3096" w:type="dxa"/>
            <w:shd w:val="clear" w:color="auto" w:fill="F7F9FC"/>
            <w:tcMar>
              <w:top w:w="70" w:type="dxa"/>
              <w:left w:w="70" w:type="dxa"/>
              <w:bottom w:w="70" w:type="dxa"/>
              <w:right w:w="70" w:type="dxa"/>
            </w:tcMar>
          </w:tcPr>
          <w:p w14:paraId="748CD9DF" w14:textId="77777777" w:rsidR="00D1797A" w:rsidRDefault="00000000">
            <w:pPr>
              <w:spacing w:after="0" w:line="240" w:lineRule="auto"/>
              <w:jc w:val="left"/>
            </w:pPr>
            <w:r>
              <w:rPr>
                <w:rFonts w:ascii="Arial" w:eastAsia="Arial" w:hAnsi="Arial"/>
                <w:sz w:val="15"/>
              </w:rPr>
              <w:t>New bleeding, falling platelets or fibrinogen, prolonged clotting or recurrent abnormality</w:t>
            </w:r>
          </w:p>
        </w:tc>
        <w:tc>
          <w:tcPr>
            <w:tcW w:w="3096" w:type="dxa"/>
            <w:shd w:val="clear" w:color="auto" w:fill="F7F9FC"/>
            <w:tcMar>
              <w:top w:w="70" w:type="dxa"/>
              <w:left w:w="70" w:type="dxa"/>
              <w:bottom w:w="70" w:type="dxa"/>
              <w:right w:w="70" w:type="dxa"/>
            </w:tcMar>
          </w:tcPr>
          <w:p w14:paraId="5A8F3F2A" w14:textId="77777777" w:rsidR="00D1797A" w:rsidRDefault="00000000">
            <w:pPr>
              <w:spacing w:after="0" w:line="240" w:lineRule="auto"/>
              <w:jc w:val="left"/>
            </w:pPr>
            <w:r>
              <w:rPr>
                <w:rFonts w:ascii="Arial" w:eastAsia="Arial" w:hAnsi="Arial"/>
                <w:sz w:val="15"/>
              </w:rPr>
              <w:t>Early tests may be normal; feline platelet clumping and assay differences can mislead</w:t>
            </w:r>
          </w:p>
        </w:tc>
        <w:tc>
          <w:tcPr>
            <w:tcW w:w="3096" w:type="dxa"/>
            <w:shd w:val="clear" w:color="auto" w:fill="F7F9FC"/>
            <w:tcMar>
              <w:top w:w="70" w:type="dxa"/>
              <w:left w:w="70" w:type="dxa"/>
              <w:bottom w:w="70" w:type="dxa"/>
              <w:right w:w="70" w:type="dxa"/>
            </w:tcMar>
          </w:tcPr>
          <w:p w14:paraId="4477118A" w14:textId="77777777" w:rsidR="00D1797A" w:rsidRDefault="00000000">
            <w:pPr>
              <w:spacing w:after="0" w:line="240" w:lineRule="auto"/>
              <w:jc w:val="left"/>
            </w:pPr>
            <w:r>
              <w:rPr>
                <w:rFonts w:ascii="Arial" w:eastAsia="Arial" w:hAnsi="Arial"/>
                <w:sz w:val="15"/>
              </w:rPr>
              <w:t>Aroch et al. (2010); Day et al. (2025); Goddard et al. (2011)</w:t>
            </w:r>
          </w:p>
        </w:tc>
      </w:tr>
      <w:tr w:rsidR="00D1797A" w14:paraId="326AAAC5" w14:textId="77777777">
        <w:trPr>
          <w:cantSplit/>
          <w:jc w:val="center"/>
        </w:trPr>
        <w:tc>
          <w:tcPr>
            <w:tcW w:w="3096" w:type="dxa"/>
            <w:tcMar>
              <w:top w:w="70" w:type="dxa"/>
              <w:left w:w="70" w:type="dxa"/>
              <w:bottom w:w="70" w:type="dxa"/>
              <w:right w:w="70" w:type="dxa"/>
            </w:tcMar>
          </w:tcPr>
          <w:p w14:paraId="46937BBA" w14:textId="77777777" w:rsidR="00D1797A" w:rsidRDefault="00000000">
            <w:pPr>
              <w:spacing w:after="0" w:line="240" w:lineRule="auto"/>
              <w:jc w:val="left"/>
            </w:pPr>
            <w:r>
              <w:rPr>
                <w:rFonts w:ascii="Arial" w:eastAsia="Arial" w:hAnsi="Arial"/>
                <w:sz w:val="15"/>
              </w:rPr>
              <w:t>Is shock present?</w:t>
            </w:r>
          </w:p>
        </w:tc>
        <w:tc>
          <w:tcPr>
            <w:tcW w:w="3096" w:type="dxa"/>
            <w:tcMar>
              <w:top w:w="70" w:type="dxa"/>
              <w:left w:w="70" w:type="dxa"/>
              <w:bottom w:w="70" w:type="dxa"/>
              <w:right w:w="70" w:type="dxa"/>
            </w:tcMar>
          </w:tcPr>
          <w:p w14:paraId="22FE65A4" w14:textId="77777777" w:rsidR="00D1797A" w:rsidRDefault="00000000">
            <w:pPr>
              <w:spacing w:after="0" w:line="240" w:lineRule="auto"/>
              <w:jc w:val="left"/>
            </w:pPr>
            <w:r>
              <w:rPr>
                <w:rFonts w:ascii="Arial" w:eastAsia="Arial" w:hAnsi="Arial"/>
                <w:sz w:val="15"/>
              </w:rPr>
              <w:t>Heart rate, pulses, mucous membranes, blood pressure, lactate, mentation</w:t>
            </w:r>
          </w:p>
        </w:tc>
        <w:tc>
          <w:tcPr>
            <w:tcW w:w="3096" w:type="dxa"/>
            <w:tcMar>
              <w:top w:w="70" w:type="dxa"/>
              <w:left w:w="70" w:type="dxa"/>
              <w:bottom w:w="70" w:type="dxa"/>
              <w:right w:w="70" w:type="dxa"/>
            </w:tcMar>
          </w:tcPr>
          <w:p w14:paraId="148DFA9B" w14:textId="77777777" w:rsidR="00D1797A" w:rsidRDefault="00000000">
            <w:pPr>
              <w:spacing w:after="0" w:line="240" w:lineRule="auto"/>
              <w:jc w:val="left"/>
            </w:pPr>
            <w:r>
              <w:rPr>
                <w:rFonts w:ascii="Arial" w:eastAsia="Arial" w:hAnsi="Arial"/>
                <w:sz w:val="15"/>
              </w:rPr>
              <w:t>Persistent hypotension, rising lactate, oliguria or worsening perfusion</w:t>
            </w:r>
          </w:p>
        </w:tc>
        <w:tc>
          <w:tcPr>
            <w:tcW w:w="3096" w:type="dxa"/>
            <w:tcMar>
              <w:top w:w="70" w:type="dxa"/>
              <w:left w:w="70" w:type="dxa"/>
              <w:bottom w:w="70" w:type="dxa"/>
              <w:right w:w="70" w:type="dxa"/>
            </w:tcMar>
          </w:tcPr>
          <w:p w14:paraId="25D3BE5D" w14:textId="77777777" w:rsidR="00D1797A" w:rsidRDefault="00000000">
            <w:pPr>
              <w:spacing w:after="0" w:line="240" w:lineRule="auto"/>
              <w:jc w:val="left"/>
            </w:pPr>
            <w:r>
              <w:rPr>
                <w:rFonts w:ascii="Arial" w:eastAsia="Arial" w:hAnsi="Arial"/>
                <w:sz w:val="15"/>
              </w:rPr>
              <w:t>Pain and fear can cause tachycardia; oedema can coexist with intravascular depletion</w:t>
            </w:r>
          </w:p>
        </w:tc>
        <w:tc>
          <w:tcPr>
            <w:tcW w:w="3096" w:type="dxa"/>
            <w:tcMar>
              <w:top w:w="70" w:type="dxa"/>
              <w:left w:w="70" w:type="dxa"/>
              <w:bottom w:w="70" w:type="dxa"/>
              <w:right w:w="70" w:type="dxa"/>
            </w:tcMar>
          </w:tcPr>
          <w:p w14:paraId="473AB626" w14:textId="77777777" w:rsidR="00D1797A" w:rsidRDefault="00000000">
            <w:pPr>
              <w:spacing w:after="0" w:line="240" w:lineRule="auto"/>
              <w:jc w:val="left"/>
            </w:pPr>
            <w:r>
              <w:rPr>
                <w:rFonts w:ascii="Arial" w:eastAsia="Arial" w:hAnsi="Arial"/>
                <w:sz w:val="15"/>
              </w:rPr>
              <w:t>Hackett et al. (2002); Segev et al. (2004)</w:t>
            </w:r>
          </w:p>
        </w:tc>
      </w:tr>
      <w:tr w:rsidR="00D1797A" w14:paraId="054A5592" w14:textId="77777777">
        <w:trPr>
          <w:cantSplit/>
          <w:jc w:val="center"/>
        </w:trPr>
        <w:tc>
          <w:tcPr>
            <w:tcW w:w="3096" w:type="dxa"/>
            <w:shd w:val="clear" w:color="auto" w:fill="F7F9FC"/>
            <w:tcMar>
              <w:top w:w="70" w:type="dxa"/>
              <w:left w:w="70" w:type="dxa"/>
              <w:bottom w:w="70" w:type="dxa"/>
              <w:right w:w="70" w:type="dxa"/>
            </w:tcMar>
          </w:tcPr>
          <w:p w14:paraId="41260EAC" w14:textId="77777777" w:rsidR="00D1797A" w:rsidRDefault="00000000">
            <w:pPr>
              <w:spacing w:after="0" w:line="240" w:lineRule="auto"/>
              <w:jc w:val="left"/>
            </w:pPr>
            <w:r>
              <w:rPr>
                <w:rFonts w:ascii="Arial" w:eastAsia="Arial" w:hAnsi="Arial"/>
                <w:sz w:val="15"/>
              </w:rPr>
              <w:t>Is muscle or red-cell injury occurring?</w:t>
            </w:r>
          </w:p>
        </w:tc>
        <w:tc>
          <w:tcPr>
            <w:tcW w:w="3096" w:type="dxa"/>
            <w:shd w:val="clear" w:color="auto" w:fill="F7F9FC"/>
            <w:tcMar>
              <w:top w:w="70" w:type="dxa"/>
              <w:left w:w="70" w:type="dxa"/>
              <w:bottom w:w="70" w:type="dxa"/>
              <w:right w:w="70" w:type="dxa"/>
            </w:tcMar>
          </w:tcPr>
          <w:p w14:paraId="6C0DC4C8" w14:textId="77777777" w:rsidR="00D1797A" w:rsidRDefault="00000000">
            <w:pPr>
              <w:spacing w:after="0" w:line="240" w:lineRule="auto"/>
              <w:jc w:val="left"/>
            </w:pPr>
            <w:r>
              <w:rPr>
                <w:rFonts w:ascii="Arial" w:eastAsia="Arial" w:hAnsi="Arial"/>
                <w:sz w:val="15"/>
              </w:rPr>
              <w:t>Creatine kinase, haematocrit, plasma colour, urinalysis and electrolytes</w:t>
            </w:r>
          </w:p>
        </w:tc>
        <w:tc>
          <w:tcPr>
            <w:tcW w:w="3096" w:type="dxa"/>
            <w:shd w:val="clear" w:color="auto" w:fill="F7F9FC"/>
            <w:tcMar>
              <w:top w:w="70" w:type="dxa"/>
              <w:left w:w="70" w:type="dxa"/>
              <w:bottom w:w="70" w:type="dxa"/>
              <w:right w:w="70" w:type="dxa"/>
            </w:tcMar>
          </w:tcPr>
          <w:p w14:paraId="674326DD" w14:textId="77777777" w:rsidR="00D1797A" w:rsidRDefault="00000000">
            <w:pPr>
              <w:spacing w:after="0" w:line="240" w:lineRule="auto"/>
              <w:jc w:val="left"/>
            </w:pPr>
            <w:r>
              <w:rPr>
                <w:rFonts w:ascii="Arial" w:eastAsia="Arial" w:hAnsi="Arial"/>
                <w:sz w:val="15"/>
              </w:rPr>
              <w:t>Increasing pigmenturia, creatine kinase, potassium or anaemia</w:t>
            </w:r>
          </w:p>
        </w:tc>
        <w:tc>
          <w:tcPr>
            <w:tcW w:w="3096" w:type="dxa"/>
            <w:shd w:val="clear" w:color="auto" w:fill="F7F9FC"/>
            <w:tcMar>
              <w:top w:w="70" w:type="dxa"/>
              <w:left w:w="70" w:type="dxa"/>
              <w:bottom w:w="70" w:type="dxa"/>
              <w:right w:w="70" w:type="dxa"/>
            </w:tcMar>
          </w:tcPr>
          <w:p w14:paraId="1636D005" w14:textId="77777777" w:rsidR="00D1797A" w:rsidRDefault="00000000">
            <w:pPr>
              <w:spacing w:after="0" w:line="240" w:lineRule="auto"/>
              <w:jc w:val="left"/>
            </w:pPr>
            <w:r>
              <w:rPr>
                <w:rFonts w:ascii="Arial" w:eastAsia="Arial" w:hAnsi="Arial"/>
                <w:sz w:val="15"/>
              </w:rPr>
              <w:t>Urine dipsticks do not distinguish haemoglobin from myoglobin</w:t>
            </w:r>
          </w:p>
        </w:tc>
        <w:tc>
          <w:tcPr>
            <w:tcW w:w="3096" w:type="dxa"/>
            <w:shd w:val="clear" w:color="auto" w:fill="F7F9FC"/>
            <w:tcMar>
              <w:top w:w="70" w:type="dxa"/>
              <w:left w:w="70" w:type="dxa"/>
              <w:bottom w:w="70" w:type="dxa"/>
              <w:right w:w="70" w:type="dxa"/>
            </w:tcMar>
          </w:tcPr>
          <w:p w14:paraId="4FD6FA3A" w14:textId="77777777" w:rsidR="00D1797A" w:rsidRDefault="00000000">
            <w:pPr>
              <w:spacing w:after="0" w:line="240" w:lineRule="auto"/>
              <w:jc w:val="left"/>
            </w:pPr>
            <w:r>
              <w:rPr>
                <w:rFonts w:ascii="Arial" w:eastAsia="Arial" w:hAnsi="Arial"/>
                <w:sz w:val="15"/>
              </w:rPr>
              <w:t>Day et al. (2025); Gutiérrez et al. (2017)</w:t>
            </w:r>
          </w:p>
        </w:tc>
      </w:tr>
      <w:tr w:rsidR="00D1797A" w14:paraId="6EAEDBDC" w14:textId="77777777">
        <w:trPr>
          <w:cantSplit/>
          <w:jc w:val="center"/>
        </w:trPr>
        <w:tc>
          <w:tcPr>
            <w:tcW w:w="3096" w:type="dxa"/>
            <w:tcMar>
              <w:top w:w="70" w:type="dxa"/>
              <w:left w:w="70" w:type="dxa"/>
              <w:bottom w:w="70" w:type="dxa"/>
              <w:right w:w="70" w:type="dxa"/>
            </w:tcMar>
          </w:tcPr>
          <w:p w14:paraId="0FC174FE" w14:textId="77777777" w:rsidR="00D1797A" w:rsidRDefault="00000000">
            <w:pPr>
              <w:spacing w:after="0" w:line="240" w:lineRule="auto"/>
              <w:jc w:val="left"/>
            </w:pPr>
            <w:r>
              <w:rPr>
                <w:rFonts w:ascii="Arial" w:eastAsia="Arial" w:hAnsi="Arial"/>
                <w:sz w:val="15"/>
              </w:rPr>
              <w:t>Is kidney injury evolving?</w:t>
            </w:r>
          </w:p>
        </w:tc>
        <w:tc>
          <w:tcPr>
            <w:tcW w:w="3096" w:type="dxa"/>
            <w:tcMar>
              <w:top w:w="70" w:type="dxa"/>
              <w:left w:w="70" w:type="dxa"/>
              <w:bottom w:w="70" w:type="dxa"/>
              <w:right w:w="70" w:type="dxa"/>
            </w:tcMar>
          </w:tcPr>
          <w:p w14:paraId="0BB1FB89" w14:textId="77777777" w:rsidR="00D1797A" w:rsidRDefault="00000000">
            <w:pPr>
              <w:spacing w:after="0" w:line="240" w:lineRule="auto"/>
              <w:jc w:val="left"/>
            </w:pPr>
            <w:r>
              <w:rPr>
                <w:rFonts w:ascii="Arial" w:eastAsia="Arial" w:hAnsi="Arial"/>
                <w:sz w:val="15"/>
              </w:rPr>
              <w:t>Creatinine, electrolytes, urinalysis, hydration and urine output</w:t>
            </w:r>
          </w:p>
        </w:tc>
        <w:tc>
          <w:tcPr>
            <w:tcW w:w="3096" w:type="dxa"/>
            <w:tcMar>
              <w:top w:w="70" w:type="dxa"/>
              <w:left w:w="70" w:type="dxa"/>
              <w:bottom w:w="70" w:type="dxa"/>
              <w:right w:w="70" w:type="dxa"/>
            </w:tcMar>
          </w:tcPr>
          <w:p w14:paraId="460B6048" w14:textId="77777777" w:rsidR="00D1797A" w:rsidRDefault="00000000">
            <w:pPr>
              <w:spacing w:after="0" w:line="240" w:lineRule="auto"/>
              <w:jc w:val="left"/>
            </w:pPr>
            <w:r>
              <w:rPr>
                <w:rFonts w:ascii="Arial" w:eastAsia="Arial" w:hAnsi="Arial"/>
                <w:sz w:val="15"/>
              </w:rPr>
              <w:t>Oliguria, rising creatinine or potassium, fluid intolerance</w:t>
            </w:r>
          </w:p>
        </w:tc>
        <w:tc>
          <w:tcPr>
            <w:tcW w:w="3096" w:type="dxa"/>
            <w:tcMar>
              <w:top w:w="70" w:type="dxa"/>
              <w:left w:w="70" w:type="dxa"/>
              <w:bottom w:w="70" w:type="dxa"/>
              <w:right w:w="70" w:type="dxa"/>
            </w:tcMar>
          </w:tcPr>
          <w:p w14:paraId="3D7975C2" w14:textId="77777777" w:rsidR="00D1797A" w:rsidRDefault="00000000">
            <w:pPr>
              <w:spacing w:after="0" w:line="240" w:lineRule="auto"/>
              <w:jc w:val="left"/>
            </w:pPr>
            <w:r>
              <w:rPr>
                <w:rFonts w:ascii="Arial" w:eastAsia="Arial" w:hAnsi="Arial"/>
                <w:sz w:val="15"/>
              </w:rPr>
              <w:t>A normal admission creatinine does not exclude delayed injury</w:t>
            </w:r>
          </w:p>
        </w:tc>
        <w:tc>
          <w:tcPr>
            <w:tcW w:w="3096" w:type="dxa"/>
            <w:tcMar>
              <w:top w:w="70" w:type="dxa"/>
              <w:left w:w="70" w:type="dxa"/>
              <w:bottom w:w="70" w:type="dxa"/>
              <w:right w:w="70" w:type="dxa"/>
            </w:tcMar>
          </w:tcPr>
          <w:p w14:paraId="77A777E1" w14:textId="77777777" w:rsidR="00D1797A" w:rsidRDefault="00000000">
            <w:pPr>
              <w:spacing w:after="0" w:line="240" w:lineRule="auto"/>
              <w:jc w:val="left"/>
            </w:pPr>
            <w:r>
              <w:rPr>
                <w:rFonts w:ascii="Arial" w:eastAsia="Arial" w:hAnsi="Arial"/>
                <w:sz w:val="15"/>
              </w:rPr>
              <w:t>Migliorisi et al. (2026)</w:t>
            </w:r>
          </w:p>
        </w:tc>
      </w:tr>
      <w:tr w:rsidR="00D1797A" w14:paraId="1D917C7C" w14:textId="77777777">
        <w:trPr>
          <w:cantSplit/>
          <w:jc w:val="center"/>
        </w:trPr>
        <w:tc>
          <w:tcPr>
            <w:tcW w:w="3096" w:type="dxa"/>
            <w:shd w:val="clear" w:color="auto" w:fill="F7F9FC"/>
            <w:tcMar>
              <w:top w:w="70" w:type="dxa"/>
              <w:left w:w="70" w:type="dxa"/>
              <w:bottom w:w="70" w:type="dxa"/>
              <w:right w:w="70" w:type="dxa"/>
            </w:tcMar>
          </w:tcPr>
          <w:p w14:paraId="45358121" w14:textId="77777777" w:rsidR="00D1797A" w:rsidRDefault="00000000">
            <w:pPr>
              <w:spacing w:after="0" w:line="240" w:lineRule="auto"/>
              <w:jc w:val="left"/>
            </w:pPr>
            <w:r>
              <w:rPr>
                <w:rFonts w:ascii="Arial" w:eastAsia="Arial" w:hAnsi="Arial"/>
                <w:sz w:val="15"/>
              </w:rPr>
              <w:t>Is cardiac injury clinically relevant?</w:t>
            </w:r>
          </w:p>
        </w:tc>
        <w:tc>
          <w:tcPr>
            <w:tcW w:w="3096" w:type="dxa"/>
            <w:shd w:val="clear" w:color="auto" w:fill="F7F9FC"/>
            <w:tcMar>
              <w:top w:w="70" w:type="dxa"/>
              <w:left w:w="70" w:type="dxa"/>
              <w:bottom w:w="70" w:type="dxa"/>
              <w:right w:w="70" w:type="dxa"/>
            </w:tcMar>
          </w:tcPr>
          <w:p w14:paraId="30A7B2B8" w14:textId="77777777" w:rsidR="00D1797A" w:rsidRDefault="00000000">
            <w:pPr>
              <w:spacing w:after="0" w:line="240" w:lineRule="auto"/>
              <w:jc w:val="left"/>
            </w:pPr>
            <w:r>
              <w:rPr>
                <w:rFonts w:ascii="Arial" w:eastAsia="Arial" w:hAnsi="Arial"/>
                <w:sz w:val="15"/>
              </w:rPr>
              <w:t>ECG when indicated, blood pressure, perfusion, troponin in moderate-to-severe cases</w:t>
            </w:r>
          </w:p>
        </w:tc>
        <w:tc>
          <w:tcPr>
            <w:tcW w:w="3096" w:type="dxa"/>
            <w:shd w:val="clear" w:color="auto" w:fill="F7F9FC"/>
            <w:tcMar>
              <w:top w:w="70" w:type="dxa"/>
              <w:left w:w="70" w:type="dxa"/>
              <w:bottom w:w="70" w:type="dxa"/>
              <w:right w:w="70" w:type="dxa"/>
            </w:tcMar>
          </w:tcPr>
          <w:p w14:paraId="2C800D9E" w14:textId="77777777" w:rsidR="00D1797A" w:rsidRDefault="00000000">
            <w:pPr>
              <w:spacing w:after="0" w:line="240" w:lineRule="auto"/>
              <w:jc w:val="left"/>
            </w:pPr>
            <w:r>
              <w:rPr>
                <w:rFonts w:ascii="Arial" w:eastAsia="Arial" w:hAnsi="Arial"/>
                <w:sz w:val="15"/>
              </w:rPr>
              <w:t>Haemodynamic arrhythmia, persistent hypotension or rising biomarker</w:t>
            </w:r>
          </w:p>
        </w:tc>
        <w:tc>
          <w:tcPr>
            <w:tcW w:w="3096" w:type="dxa"/>
            <w:shd w:val="clear" w:color="auto" w:fill="F7F9FC"/>
            <w:tcMar>
              <w:top w:w="70" w:type="dxa"/>
              <w:left w:w="70" w:type="dxa"/>
              <w:bottom w:w="70" w:type="dxa"/>
              <w:right w:w="70" w:type="dxa"/>
            </w:tcMar>
          </w:tcPr>
          <w:p w14:paraId="479738E5" w14:textId="77777777" w:rsidR="00D1797A" w:rsidRDefault="00000000">
            <w:pPr>
              <w:spacing w:after="0" w:line="240" w:lineRule="auto"/>
              <w:jc w:val="left"/>
            </w:pPr>
            <w:r>
              <w:rPr>
                <w:rFonts w:ascii="Arial" w:eastAsia="Arial" w:hAnsi="Arial"/>
                <w:sz w:val="15"/>
              </w:rPr>
              <w:t>Troponin elevation alone does not prove a need for antiarrhythmic treatment</w:t>
            </w:r>
          </w:p>
        </w:tc>
        <w:tc>
          <w:tcPr>
            <w:tcW w:w="3096" w:type="dxa"/>
            <w:shd w:val="clear" w:color="auto" w:fill="F7F9FC"/>
            <w:tcMar>
              <w:top w:w="70" w:type="dxa"/>
              <w:left w:w="70" w:type="dxa"/>
              <w:bottom w:w="70" w:type="dxa"/>
              <w:right w:w="70" w:type="dxa"/>
            </w:tcMar>
          </w:tcPr>
          <w:p w14:paraId="0F6E8282" w14:textId="77777777" w:rsidR="00D1797A" w:rsidRDefault="00000000">
            <w:pPr>
              <w:spacing w:after="0" w:line="240" w:lineRule="auto"/>
              <w:jc w:val="left"/>
            </w:pPr>
            <w:r>
              <w:rPr>
                <w:rFonts w:ascii="Arial" w:eastAsia="Arial" w:hAnsi="Arial"/>
                <w:sz w:val="15"/>
              </w:rPr>
              <w:t>Gilliam et al. (2012); Langhorn et al. (2014); Vestberg et al. (2017)</w:t>
            </w:r>
          </w:p>
        </w:tc>
      </w:tr>
      <w:tr w:rsidR="00D1797A" w14:paraId="7A4EFAE0" w14:textId="77777777">
        <w:trPr>
          <w:cantSplit/>
          <w:jc w:val="center"/>
        </w:trPr>
        <w:tc>
          <w:tcPr>
            <w:tcW w:w="3096" w:type="dxa"/>
            <w:tcMar>
              <w:top w:w="70" w:type="dxa"/>
              <w:left w:w="70" w:type="dxa"/>
              <w:bottom w:w="70" w:type="dxa"/>
              <w:right w:w="70" w:type="dxa"/>
            </w:tcMar>
          </w:tcPr>
          <w:p w14:paraId="716170EB" w14:textId="77777777" w:rsidR="00D1797A" w:rsidRDefault="00000000">
            <w:pPr>
              <w:spacing w:after="0" w:line="240" w:lineRule="auto"/>
              <w:jc w:val="left"/>
            </w:pPr>
            <w:r>
              <w:rPr>
                <w:rFonts w:ascii="Arial" w:eastAsia="Arial" w:hAnsi="Arial"/>
                <w:sz w:val="15"/>
              </w:rPr>
              <w:t>Has antivenom achieved control?</w:t>
            </w:r>
          </w:p>
        </w:tc>
        <w:tc>
          <w:tcPr>
            <w:tcW w:w="3096" w:type="dxa"/>
            <w:tcMar>
              <w:top w:w="70" w:type="dxa"/>
              <w:left w:w="70" w:type="dxa"/>
              <w:bottom w:w="70" w:type="dxa"/>
              <w:right w:w="70" w:type="dxa"/>
            </w:tcMar>
          </w:tcPr>
          <w:p w14:paraId="4235D956" w14:textId="77777777" w:rsidR="00D1797A" w:rsidRDefault="00000000">
            <w:pPr>
              <w:spacing w:after="0" w:line="240" w:lineRule="auto"/>
              <w:jc w:val="left"/>
            </w:pPr>
            <w:r>
              <w:rPr>
                <w:rFonts w:ascii="Arial" w:eastAsia="Arial" w:hAnsi="Arial"/>
                <w:sz w:val="15"/>
              </w:rPr>
              <w:t>Documented local, neurological, haemostatic and cardiovascular status before infusion</w:t>
            </w:r>
          </w:p>
        </w:tc>
        <w:tc>
          <w:tcPr>
            <w:tcW w:w="3096" w:type="dxa"/>
            <w:tcMar>
              <w:top w:w="70" w:type="dxa"/>
              <w:left w:w="70" w:type="dxa"/>
              <w:bottom w:w="70" w:type="dxa"/>
              <w:right w:w="70" w:type="dxa"/>
            </w:tcMar>
          </w:tcPr>
          <w:p w14:paraId="26DF9CB9" w14:textId="77777777" w:rsidR="00D1797A" w:rsidRDefault="00000000">
            <w:pPr>
              <w:spacing w:after="0" w:line="240" w:lineRule="auto"/>
              <w:jc w:val="left"/>
            </w:pPr>
            <w:r>
              <w:rPr>
                <w:rFonts w:ascii="Arial" w:eastAsia="Arial" w:hAnsi="Arial"/>
                <w:sz w:val="15"/>
              </w:rPr>
              <w:t>Cessation or recurrence of clinically important progression</w:t>
            </w:r>
          </w:p>
        </w:tc>
        <w:tc>
          <w:tcPr>
            <w:tcW w:w="3096" w:type="dxa"/>
            <w:tcMar>
              <w:top w:w="70" w:type="dxa"/>
              <w:left w:w="70" w:type="dxa"/>
              <w:bottom w:w="70" w:type="dxa"/>
              <w:right w:w="70" w:type="dxa"/>
            </w:tcMar>
          </w:tcPr>
          <w:p w14:paraId="6B8C2EEF" w14:textId="77777777" w:rsidR="00D1797A" w:rsidRDefault="00000000">
            <w:pPr>
              <w:spacing w:after="0" w:line="240" w:lineRule="auto"/>
              <w:jc w:val="left"/>
            </w:pPr>
            <w:r>
              <w:rPr>
                <w:rFonts w:ascii="Arial" w:eastAsia="Arial" w:hAnsi="Arial"/>
                <w:sz w:val="15"/>
              </w:rPr>
              <w:t>A composite severity score may conceal a single high-risk organ problem</w:t>
            </w:r>
          </w:p>
        </w:tc>
        <w:tc>
          <w:tcPr>
            <w:tcW w:w="3096" w:type="dxa"/>
            <w:tcMar>
              <w:top w:w="70" w:type="dxa"/>
              <w:left w:w="70" w:type="dxa"/>
              <w:bottom w:w="70" w:type="dxa"/>
              <w:right w:w="70" w:type="dxa"/>
            </w:tcMar>
          </w:tcPr>
          <w:p w14:paraId="7BF17CD5" w14:textId="77777777" w:rsidR="00D1797A" w:rsidRDefault="00000000">
            <w:pPr>
              <w:spacing w:after="0" w:line="240" w:lineRule="auto"/>
              <w:jc w:val="left"/>
            </w:pPr>
            <w:r>
              <w:rPr>
                <w:rFonts w:ascii="Arial" w:eastAsia="Arial" w:hAnsi="Arial"/>
                <w:sz w:val="15"/>
              </w:rPr>
              <w:t>Carotenuto et al. (2026); Peterson et al. (2011)</w:t>
            </w:r>
          </w:p>
        </w:tc>
      </w:tr>
    </w:tbl>
    <w:p w14:paraId="42FB5B2F" w14:textId="77777777" w:rsidR="00D1797A" w:rsidRDefault="00000000">
      <w:pPr>
        <w:pStyle w:val="TableNote"/>
      </w:pPr>
      <w:r>
        <w:t>Note. aPTT = activated partial thromboplastin time; ECG = electrocardiography; PT = prothrombin time. Testing frequency should reflect syndrome severity and product characteristics.</w:t>
      </w:r>
    </w:p>
    <w:p w14:paraId="3FE604FF" w14:textId="77777777" w:rsidR="00D1797A" w:rsidRDefault="00D1797A">
      <w:pPr>
        <w:sectPr w:rsidR="00D1797A">
          <w:pgSz w:w="16838" w:h="11906" w:orient="landscape"/>
          <w:pgMar w:top="737" w:right="680" w:bottom="737" w:left="680" w:header="454" w:footer="454" w:gutter="0"/>
          <w:cols w:space="720"/>
          <w:docGrid w:linePitch="360"/>
        </w:sectPr>
      </w:pPr>
    </w:p>
    <w:p w14:paraId="765A8C31" w14:textId="77777777" w:rsidR="00D1797A" w:rsidRDefault="00000000">
      <w:pPr>
        <w:pStyle w:val="Heading1"/>
        <w:ind w:firstLine="0"/>
      </w:pPr>
      <w:r>
        <w:rPr>
          <w:rFonts w:ascii="Times New Roman" w:eastAsia="Times New Roman" w:hAnsi="Times New Roman"/>
        </w:rPr>
        <w:lastRenderedPageBreak/>
        <w:t>5. Antivenom as the Principal Disease-Modifying Treatment</w:t>
      </w:r>
    </w:p>
    <w:p w14:paraId="0AC120AD" w14:textId="77777777" w:rsidR="00D1797A" w:rsidRDefault="00000000">
      <w:pPr>
        <w:pStyle w:val="Heading2"/>
        <w:ind w:firstLine="0"/>
      </w:pPr>
      <w:r>
        <w:rPr>
          <w:rFonts w:ascii="Times New Roman" w:eastAsia="Times New Roman" w:hAnsi="Times New Roman"/>
        </w:rPr>
        <w:t>5.1 Therapeutic Logic and Indications</w:t>
      </w:r>
    </w:p>
    <w:p w14:paraId="2E0F3D7A" w14:textId="77777777" w:rsidR="00D1797A" w:rsidRDefault="00000000">
      <w:r>
        <w:t>Antivenom is the only established treatment that directly binds and neutralises circulating venom toxins. Supportive care can maintain oxygen delivery, perfusion and organ function, but it cannot remove the causal toxin. The therapeutic objective is to stop progression before irreversible receptor binding, tissue destruction or organ injury occurs. Indications are therefore clinical: progressive systemic toxicity, neurotoxicity, significant or worsening coagulopathy, cardiovascular instability, haemolysis, myotoxicity, rapidly advancing local injury, or swelling that threatens an airway or vital structure. A stable puncture wound without progression is not by itself an indication, and absence of visible swelling is not a reason to withhold antivenom in a compatible neurotoxic syndrome (Armentano &amp; Schaer, 2011; Gilliam &amp; Brunker, 2011; Migliorisi et al., 2026).</w:t>
      </w:r>
    </w:p>
    <w:p w14:paraId="19B646BE" w14:textId="77777777" w:rsidR="00D1797A" w:rsidRDefault="00000000">
      <w:r>
        <w:t>Timing matters because antivenom neutralises unbound or accessible toxins more effectively than damage already established. This does not mean that late treatment is futile. Ongoing coagulopathy, neurotoxicity or circulating venom may still respond, and delayed presentation should be judged by active progression rather than elapsed time alone. Local necrosis is less consistently reversed because toxin-mediated microvascular and muscle injury can develop rapidly and because antibody penetration into damaged tissue may be limited (Gutiérrez et al., 2009). Accordingly, antivenom should not be delayed while awaiting severe laboratory derangement when clinically important progression is already evident.</w:t>
      </w:r>
    </w:p>
    <w:p w14:paraId="00C49D33" w14:textId="77777777" w:rsidR="00D1797A" w:rsidRDefault="00000000">
      <w:pPr>
        <w:pStyle w:val="Heading2"/>
        <w:ind w:firstLine="0"/>
      </w:pPr>
      <w:r>
        <w:rPr>
          <w:rFonts w:ascii="Times New Roman" w:eastAsia="Times New Roman" w:hAnsi="Times New Roman"/>
        </w:rPr>
        <w:t>5.2 Product Selection</w:t>
      </w:r>
    </w:p>
    <w:p w14:paraId="11CF6D85" w14:textId="77777777" w:rsidR="00D1797A" w:rsidRDefault="00000000">
      <w:r>
        <w:t>Antivenom selection requires three linked decisions: whether the suspected venom is covered, whether neutralising potency is adequate, and whether the product can be administered safely in the available setting. Monovalent products may offer high potency against a defined species but are vulnerable to misidentification. Polyvalent products broaden taxonomic coverage at the cost of variable potency against individual venoms. Whole immunoglobulin G, F(ab′)2 and Fab products differ in molecular size, tissue distribution, persistence and reaction profile, but format alone does not determine clinical superiority. Manufacturing quality, purification, immunising venoms, vial potency, storage and regional validation are equally important (Alangode et al., 2020; Alape-Girón et al., 2009).</w:t>
      </w:r>
    </w:p>
    <w:p w14:paraId="5DA93F70" w14:textId="77777777" w:rsidR="00D1797A" w:rsidRDefault="00000000">
      <w:r>
        <w:t>Cross-neutralisation should never be presumed from a shared snake family. A product manufactured for North American crotalids is not a generic remedy for African vipers, European adders, Asian cobras or Australian elapids. Veterinary clinicians should maintain region-specific protocols that identify available products, target snakes, reconstitution time, recommended initial administration, emergency reaction management and referral contacts. When only a human-labelled product is available, use in animals may be clinically justified, but the decision should be documented and guided by toxinology expertise and local regulation. The key risk is not off-label status itself; it is using an antibody preparation without credible neutralising coverage.</w:t>
      </w:r>
    </w:p>
    <w:p w14:paraId="40F392E7" w14:textId="77777777" w:rsidR="00D1797A" w:rsidRDefault="00000000">
      <w:pPr>
        <w:pStyle w:val="Heading2"/>
        <w:ind w:firstLine="0"/>
      </w:pPr>
      <w:r>
        <w:rPr>
          <w:rFonts w:ascii="Times New Roman" w:eastAsia="Times New Roman" w:hAnsi="Times New Roman"/>
        </w:rPr>
        <w:t>5.3 Initial Dose, Administration and Reassessment</w:t>
      </w:r>
    </w:p>
    <w:p w14:paraId="5B577697" w14:textId="77777777" w:rsidR="00D1797A" w:rsidRDefault="00000000">
      <w:r>
        <w:t>The quantity of venom injected does not scale with the recipient's body mass, so antivenom dosing cannot be derived from milligrams per kilogram in the same manner as ordinary drugs. A snake can inject a similar venom load into a small or large host, although distribution volume and physiological reserve affect severity. Product-specific initial dosing should therefore be used to achieve clinical control, followed by reassessment. This principle does not justify indiscriminately large doses: vial potency varies, veterinary evidence is limited and cost can prevent treatment altogether. The practical endpoint is cessation of progression in swelling, coagulopathy, neurological weakness, shock or other active venom effects.</w:t>
      </w:r>
    </w:p>
    <w:p w14:paraId="456D746B" w14:textId="77777777" w:rsidR="00D1797A" w:rsidRDefault="00000000">
      <w:r>
        <w:lastRenderedPageBreak/>
        <w:t>Intravenous administration permits rapid neutralisation and titration. Reconstitution should follow the product instructions to avoid foaming and delay. A dedicated line is preferable, and baseline cardiorespiratory parameters should be recorded. The infusion may be started slowly in a closely monitored animal and advanced if no reaction develops, but excessively slow administration can postpone neutralisation in severe envenomation. Facilities administering antivenom must have epinephrine, oxygen, airway equipment, fluids and monitoring immediately available. Routine skin testing is not useful because it does not reliably predict systemic reaction and can itself sensitise or delay treatment.</w:t>
      </w:r>
    </w:p>
    <w:p w14:paraId="1318067D" w14:textId="77777777" w:rsidR="00D1797A" w:rsidRDefault="00000000">
      <w:r>
        <w:t>Reassessment is an active process. The bite site, neurological examination, blood pressure, perfusion, respiratory function and relevant laboratory values should be repeated at intervals determined by severity. Additional antivenom is warranted when clinically important progression continues after sufficient time for the product to circulate, or when recurrent toxicity emerges. A transiently abnormal coagulation test without bleeding or progression should be interpreted in context, particularly with shorter-lived antibody fragments. Conversely, improvement in a severity score should not obscure persisting dysphagia, respiratory weakness or airway swelling.</w:t>
      </w:r>
    </w:p>
    <w:p w14:paraId="1BBDA62E" w14:textId="77777777" w:rsidR="00D1797A" w:rsidRDefault="00000000">
      <w:pPr>
        <w:pStyle w:val="Heading2"/>
        <w:ind w:firstLine="0"/>
      </w:pPr>
      <w:r>
        <w:rPr>
          <w:rFonts w:ascii="Times New Roman" w:eastAsia="Times New Roman" w:hAnsi="Times New Roman"/>
        </w:rPr>
        <w:t>5.4 Evidence in Dogs and Cats</w:t>
      </w:r>
    </w:p>
    <w:p w14:paraId="559CF219" w14:textId="77777777" w:rsidR="00D1797A" w:rsidRDefault="00000000">
      <w:r>
        <w:t>Canine evidence is stronger than that for any other domestic species but remains product- and region-specific. Peterson et al. (2011) conducted a prospective randomised multicentre trial in dogs with progressive rattlesnake envenomation and found overall improvement in snakebite severity after ovine Fab antivenom, without a detectable difference between the two dosing schedules evaluated. The study supports biological and clinical activity, yet it did not compare antivenom with placebo, which would have been difficult ethically in progressive disease. Outcomes were influenced by supportive care and by the broad severity score, and the trial cannot establish equivalence among different products or venoms.</w:t>
      </w:r>
    </w:p>
    <w:p w14:paraId="01009C8D" w14:textId="77777777" w:rsidR="00D1797A" w:rsidRDefault="00000000">
      <w:r>
        <w:t>Retrospective studies provide scale but are vulnerable to confounding. McCown et al. (2009) observed that nonsurvivors received more vials than survivors, a finding sometimes misread as harm from antivenom. The more plausible interpretation is confounding by indication: animals with more severe or refractory envenomation received more treatment. Carotenuto et al. (2021) compared three antivenoms in 282 dogs and found high survival with all products, with higher infusion-reaction rates for the whole-IgG product than for the F(ab′)2 products. Because treatment was not randomised, product choice, case severity and clinician preference may have influenced both dosing and outcomes. The study is useful for safety and pragmatic selection but cannot prove equal efficacy.</w:t>
      </w:r>
    </w:p>
    <w:p w14:paraId="0F827D2E" w14:textId="77777777" w:rsidR="00D1797A" w:rsidRDefault="00000000">
      <w:r>
        <w:t>The recent multicentre evaluation of an equine F(ab′)2 veterinary antivenom linked treatment with rapid reduction of measurable serum venom and improving severity scores in dogs, one cat and one horse (Carotenuto et al., 2026). Direct venom measurement strengthens biological inference, but the cohort was small, retrospective and lacked a control group. These results support product activity in the studied North American viperid cases, not universal one-vial treatment. They also illustrate the value of pairing clinical scores with a pharmacodynamic marker, a design that future veterinary trials should adopt.</w:t>
      </w:r>
    </w:p>
    <w:p w14:paraId="1C090AC8" w14:textId="77777777" w:rsidR="00D1797A" w:rsidRDefault="00000000">
      <w:r>
        <w:t xml:space="preserve">Evidence from non-crotalid syndromes reinforces the need for regional protocols. In Sri Lanka, a prospective canine </w:t>
      </w:r>
      <w:r>
        <w:rPr>
          <w:i/>
        </w:rPr>
        <w:t>Naja naja</w:t>
      </w:r>
      <w:r>
        <w:t xml:space="preserve"> series used a graded clinical approach and Indian polyvalent antivenom, reporting treatment strategies aligned with local and systemic severity (Adhikari et al., 2020). In Australia, the large Eastern brown snake cohort found a survival advantage associated with antivenom overall, while additional doses above the commonly used threshold were not associated with a further survival advantage in the retrospective analysis (Day et al., 2025). This finding should not be converted into a fixed maximum dose because more severely affected patients may have preferentially received more antivenom and because unit potency is product-specific.</w:t>
      </w:r>
    </w:p>
    <w:p w14:paraId="21EF5B0F" w14:textId="77777777" w:rsidR="00D1797A" w:rsidRDefault="00000000">
      <w:r>
        <w:lastRenderedPageBreak/>
        <w:t xml:space="preserve">Cats are under-studied. A retrospective series of 18 cats with </w:t>
      </w:r>
      <w:r>
        <w:rPr>
          <w:i/>
        </w:rPr>
        <w:t>Vipera palaestinae</w:t>
      </w:r>
      <w:r>
        <w:t xml:space="preserve"> envenomation showed that feline disease can include marked local and systemic abnormalities, but the sample was too small for treatment-effect estimates (Lenchner et al., 2014). The Eastern brown snake cohort included substantially more cats and documented frequent lower motor neuropathy and coagulopathy, with a different haemorrhagic profile from dogs (Day et al., 2025). These data argue against assuming that cats are simply small dogs. Antivenom decisions should be based on feline clinical progression, with particular attention to respiratory weakness, coagulation and the difficulty of detecting subtle deterioration in a quiet or stressed cat.</w:t>
      </w:r>
    </w:p>
    <w:p w14:paraId="768519B6" w14:textId="77777777" w:rsidR="00D1797A" w:rsidRDefault="00000000">
      <w:pPr>
        <w:pStyle w:val="Heading2"/>
        <w:ind w:firstLine="0"/>
      </w:pPr>
      <w:r>
        <w:rPr>
          <w:rFonts w:ascii="Times New Roman" w:eastAsia="Times New Roman" w:hAnsi="Times New Roman"/>
        </w:rPr>
        <w:t>5.5 Evidence in Horses and Livestock</w:t>
      </w:r>
    </w:p>
    <w:p w14:paraId="6B3859B5" w14:textId="77777777" w:rsidR="00D1797A" w:rsidRDefault="00000000">
      <w:r>
        <w:t xml:space="preserve">Horses pose a management paradox: their large body mass does not protect them from a fixed venom inoculum when the bite threatens the upper airway, and antivenom access may be limited by cost and geography. In a 58-case rattlesnake series, facial swelling, systemic illness and complications varied widely, illustrating the importance of airway surveillance and supportive care (Fielding et al., 2011). Australian elapid envenomation in 52 horses frequently involved neuromuscular dysfunction, and prompt antivenom formed part of successful management, although the retrospective design prevents isolation of its effect (Bamford et al., 2018). A more recent Finnish series of suspected </w:t>
      </w:r>
      <w:r>
        <w:rPr>
          <w:i/>
        </w:rPr>
        <w:t>Vipera berus</w:t>
      </w:r>
      <w:r>
        <w:t xml:space="preserve"> bites reported survival of all 28 horses and no shorter hospital stay among moderately affected horses receiving antivenom, but treatment selection was non-random and mild-to-moderate disease predominated (Leppänen &amp; Mykkänen, 2024).</w:t>
      </w:r>
    </w:p>
    <w:p w14:paraId="6BD65D47" w14:textId="77777777" w:rsidR="00D1797A" w:rsidRDefault="00000000">
      <w:r>
        <w:t xml:space="preserve">Latin American evidence demonstrates that antivenom can be used across large domestic species when the product matches the venom. Nine horses with native </w:t>
      </w:r>
      <w:r>
        <w:rPr>
          <w:i/>
        </w:rPr>
        <w:t>Bothrops</w:t>
      </w:r>
      <w:r>
        <w:t xml:space="preserve"> envenomation in Brazil received syndrome-directed therapy that included antivenom, while cattle experimentally or naturally affected by </w:t>
      </w:r>
      <w:r>
        <w:rPr>
          <w:i/>
        </w:rPr>
        <w:t>Bothrops asper</w:t>
      </w:r>
      <w:r>
        <w:t xml:space="preserve"> showed clinical improvement after equine-derived whole-IgG antivenom in a small clinical series (Ferreira et al., 2020; Rodríguez et al., 2016). These reports establish feasibility and biological plausibility, not an optimised dose. Species-specific pharmacokinetics, the challenge of estimating venom burden and the economic value of the animal all influence decisions. Importantly, field attribution of sudden cattle deaths to snakebite can be inaccurate; pathological investigation in Brazil challenged the tendency to overdiagnose snakebite when other causes were more likely (Tokarnia &amp; Peixoto, 2006).</w:t>
      </w:r>
    </w:p>
    <w:p w14:paraId="19C5559F" w14:textId="77777777" w:rsidR="00D1797A" w:rsidRDefault="00000000">
      <w:pPr>
        <w:pStyle w:val="Heading2"/>
        <w:ind w:firstLine="0"/>
      </w:pPr>
      <w:r>
        <w:rPr>
          <w:rFonts w:ascii="Times New Roman" w:eastAsia="Times New Roman" w:hAnsi="Times New Roman"/>
        </w:rPr>
        <w:t>5.6 Adverse Reactions and Recurrent Toxicity</w:t>
      </w:r>
    </w:p>
    <w:p w14:paraId="42726CBC" w14:textId="77777777" w:rsidR="00D1797A" w:rsidRDefault="00000000">
      <w:r>
        <w:t>Acute antivenom reactions range from urticaria and vomiting to hypotension, bronchospasm and anaphylaxis. The immediate response is to pause the infusion, assess airway and circulation, and administer intramuscular or intravenous epinephrine according to species, severity and monitoring capability. Once controlled, the risk-benefit balance may favour cautious resumption with the same or an alternative product if active life-threatening envenomation persists. Antihistamines and glucocorticoids may treat selected manifestations but do not replace epinephrine in anaphylaxis. Pre-treatment does not reliably prevent severe reactions and can create false reassurance.</w:t>
      </w:r>
    </w:p>
    <w:p w14:paraId="3AC23613" w14:textId="77777777" w:rsidR="00D1797A" w:rsidRDefault="00000000">
      <w:r>
        <w:t xml:space="preserve">In 54 dogs treated with equine-derived F(ab′)2 antivenom for </w:t>
      </w:r>
      <w:r>
        <w:rPr>
          <w:i/>
        </w:rPr>
        <w:t>Vipera berus</w:t>
      </w:r>
      <w:r>
        <w:t>, acute adverse reactions were documented and provide an important reminder that fractionated products are not reaction-free (Lund et al., 2013). The North American product-comparison cohort found differences in infusion-reaction frequency across formulations, but retrospective detection and product-selection bias limit direct ranking (Carotenuto et al., 2021). Delayed serum sickness is uncommon in veterinary reports but possible. Owners should be advised to seek review for fever, urticaria, facial swelling, arthralgia or malaise developing days after treatment.</w:t>
      </w:r>
    </w:p>
    <w:p w14:paraId="47A13F35" w14:textId="77777777" w:rsidR="00D1797A" w:rsidRDefault="00000000">
      <w:r>
        <w:t>Recurrent toxicity can occur when antibody concentrations fall while venom redistributes from tissue or remains in circulation. It is most relevant to shorter-persistence fragments and to venoms producing delayed coagulopathy, but the clinical importance varies by product and syndrome. Follow-</w:t>
      </w:r>
      <w:r>
        <w:lastRenderedPageBreak/>
        <w:t>up testing should be based on the known venom phenotype, initial severity and treatment response. A patient should not be discharged solely because swelling has stopped if coagulation, renal function or neuromuscular performance remains unstable. Table 3 summarises representative antivenom evidence and its principal limitations.</w:t>
      </w:r>
    </w:p>
    <w:p w14:paraId="1002B8F6" w14:textId="77777777" w:rsidR="00D1797A" w:rsidRDefault="00D1797A">
      <w:pPr>
        <w:sectPr w:rsidR="00D1797A">
          <w:pgSz w:w="11906" w:h="16838"/>
          <w:pgMar w:top="1247" w:right="1361" w:bottom="1134" w:left="1361" w:header="454" w:footer="454" w:gutter="0"/>
          <w:cols w:space="720"/>
          <w:docGrid w:linePitch="360"/>
        </w:sectPr>
      </w:pPr>
    </w:p>
    <w:p w14:paraId="537E6DA3" w14:textId="77777777" w:rsidR="00D1797A" w:rsidRDefault="00000000">
      <w:pPr>
        <w:pStyle w:val="TableCaption"/>
        <w:keepNext/>
      </w:pPr>
      <w:r>
        <w:lastRenderedPageBreak/>
        <w:t>Table 3. Representative veterinary evidence on antivenom treatment</w:t>
      </w: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580"/>
        <w:gridCol w:w="2580"/>
        <w:gridCol w:w="2580"/>
        <w:gridCol w:w="2580"/>
        <w:gridCol w:w="2580"/>
        <w:gridCol w:w="2580"/>
      </w:tblGrid>
      <w:tr w:rsidR="00D1797A" w14:paraId="7D94AA33" w14:textId="77777777">
        <w:trPr>
          <w:cantSplit/>
          <w:tblHeader/>
          <w:jc w:val="center"/>
        </w:trPr>
        <w:tc>
          <w:tcPr>
            <w:tcW w:w="2580" w:type="dxa"/>
            <w:shd w:val="clear" w:color="auto" w:fill="D9E2F3"/>
            <w:tcMar>
              <w:top w:w="70" w:type="dxa"/>
              <w:left w:w="70" w:type="dxa"/>
              <w:bottom w:w="70" w:type="dxa"/>
              <w:right w:w="70" w:type="dxa"/>
            </w:tcMar>
            <w:vAlign w:val="center"/>
          </w:tcPr>
          <w:p w14:paraId="3440EFDD" w14:textId="77777777" w:rsidR="00D1797A" w:rsidRDefault="00000000">
            <w:pPr>
              <w:spacing w:after="0"/>
              <w:jc w:val="center"/>
            </w:pPr>
            <w:r>
              <w:rPr>
                <w:rFonts w:ascii="Arial" w:eastAsia="Arial" w:hAnsi="Arial"/>
                <w:b/>
                <w:sz w:val="15"/>
              </w:rPr>
              <w:t>Study and population</w:t>
            </w:r>
          </w:p>
        </w:tc>
        <w:tc>
          <w:tcPr>
            <w:tcW w:w="2580" w:type="dxa"/>
            <w:shd w:val="clear" w:color="auto" w:fill="D9E2F3"/>
            <w:tcMar>
              <w:top w:w="70" w:type="dxa"/>
              <w:left w:w="70" w:type="dxa"/>
              <w:bottom w:w="70" w:type="dxa"/>
              <w:right w:w="70" w:type="dxa"/>
            </w:tcMar>
            <w:vAlign w:val="center"/>
          </w:tcPr>
          <w:p w14:paraId="3A3ECF78" w14:textId="77777777" w:rsidR="00D1797A" w:rsidRDefault="00000000">
            <w:pPr>
              <w:spacing w:after="0"/>
              <w:jc w:val="center"/>
            </w:pPr>
            <w:r>
              <w:rPr>
                <w:rFonts w:ascii="Arial" w:eastAsia="Arial" w:hAnsi="Arial"/>
                <w:b/>
                <w:sz w:val="15"/>
              </w:rPr>
              <w:t>Design</w:t>
            </w:r>
          </w:p>
        </w:tc>
        <w:tc>
          <w:tcPr>
            <w:tcW w:w="2580" w:type="dxa"/>
            <w:shd w:val="clear" w:color="auto" w:fill="D9E2F3"/>
            <w:tcMar>
              <w:top w:w="70" w:type="dxa"/>
              <w:left w:w="70" w:type="dxa"/>
              <w:bottom w:w="70" w:type="dxa"/>
              <w:right w:w="70" w:type="dxa"/>
            </w:tcMar>
            <w:vAlign w:val="center"/>
          </w:tcPr>
          <w:p w14:paraId="16AA14CC" w14:textId="77777777" w:rsidR="00D1797A" w:rsidRDefault="00000000">
            <w:pPr>
              <w:spacing w:after="0"/>
              <w:jc w:val="center"/>
            </w:pPr>
            <w:r>
              <w:rPr>
                <w:rFonts w:ascii="Arial" w:eastAsia="Arial" w:hAnsi="Arial"/>
                <w:b/>
                <w:sz w:val="15"/>
              </w:rPr>
              <w:t>Treatment comparison or exposure</w:t>
            </w:r>
          </w:p>
        </w:tc>
        <w:tc>
          <w:tcPr>
            <w:tcW w:w="2580" w:type="dxa"/>
            <w:shd w:val="clear" w:color="auto" w:fill="D9E2F3"/>
            <w:tcMar>
              <w:top w:w="70" w:type="dxa"/>
              <w:left w:w="70" w:type="dxa"/>
              <w:bottom w:w="70" w:type="dxa"/>
              <w:right w:w="70" w:type="dxa"/>
            </w:tcMar>
            <w:vAlign w:val="center"/>
          </w:tcPr>
          <w:p w14:paraId="15ECA6A9" w14:textId="77777777" w:rsidR="00D1797A" w:rsidRDefault="00000000">
            <w:pPr>
              <w:spacing w:after="0"/>
              <w:jc w:val="center"/>
            </w:pPr>
            <w:r>
              <w:rPr>
                <w:rFonts w:ascii="Arial" w:eastAsia="Arial" w:hAnsi="Arial"/>
                <w:b/>
                <w:sz w:val="15"/>
              </w:rPr>
              <w:t>Principal signal</w:t>
            </w:r>
          </w:p>
        </w:tc>
        <w:tc>
          <w:tcPr>
            <w:tcW w:w="2580" w:type="dxa"/>
            <w:shd w:val="clear" w:color="auto" w:fill="D9E2F3"/>
            <w:tcMar>
              <w:top w:w="70" w:type="dxa"/>
              <w:left w:w="70" w:type="dxa"/>
              <w:bottom w:w="70" w:type="dxa"/>
              <w:right w:w="70" w:type="dxa"/>
            </w:tcMar>
            <w:vAlign w:val="center"/>
          </w:tcPr>
          <w:p w14:paraId="32C25EFD" w14:textId="77777777" w:rsidR="00D1797A" w:rsidRDefault="00000000">
            <w:pPr>
              <w:spacing w:after="0"/>
              <w:jc w:val="center"/>
            </w:pPr>
            <w:r>
              <w:rPr>
                <w:rFonts w:ascii="Arial" w:eastAsia="Arial" w:hAnsi="Arial"/>
                <w:b/>
                <w:sz w:val="15"/>
              </w:rPr>
              <w:t>Main limitation</w:t>
            </w:r>
          </w:p>
        </w:tc>
        <w:tc>
          <w:tcPr>
            <w:tcW w:w="2580" w:type="dxa"/>
            <w:shd w:val="clear" w:color="auto" w:fill="D9E2F3"/>
            <w:tcMar>
              <w:top w:w="70" w:type="dxa"/>
              <w:left w:w="70" w:type="dxa"/>
              <w:bottom w:w="70" w:type="dxa"/>
              <w:right w:w="70" w:type="dxa"/>
            </w:tcMar>
            <w:vAlign w:val="center"/>
          </w:tcPr>
          <w:p w14:paraId="65C2CF39" w14:textId="77777777" w:rsidR="00D1797A" w:rsidRDefault="00000000">
            <w:pPr>
              <w:spacing w:after="0"/>
              <w:jc w:val="center"/>
            </w:pPr>
            <w:r>
              <w:rPr>
                <w:rFonts w:ascii="Arial" w:eastAsia="Arial" w:hAnsi="Arial"/>
                <w:b/>
                <w:sz w:val="15"/>
              </w:rPr>
              <w:t>Supporting references</w:t>
            </w:r>
          </w:p>
        </w:tc>
      </w:tr>
      <w:tr w:rsidR="00D1797A" w14:paraId="7E8A44A5" w14:textId="77777777">
        <w:trPr>
          <w:cantSplit/>
          <w:jc w:val="center"/>
        </w:trPr>
        <w:tc>
          <w:tcPr>
            <w:tcW w:w="2580" w:type="dxa"/>
            <w:tcMar>
              <w:top w:w="70" w:type="dxa"/>
              <w:left w:w="70" w:type="dxa"/>
              <w:bottom w:w="70" w:type="dxa"/>
              <w:right w:w="70" w:type="dxa"/>
            </w:tcMar>
          </w:tcPr>
          <w:p w14:paraId="4B526754" w14:textId="77777777" w:rsidR="00D1797A" w:rsidRDefault="00000000">
            <w:pPr>
              <w:spacing w:after="0" w:line="240" w:lineRule="auto"/>
              <w:jc w:val="left"/>
            </w:pPr>
            <w:r>
              <w:rPr>
                <w:rFonts w:ascii="Arial" w:eastAsia="Arial" w:hAnsi="Arial"/>
                <w:sz w:val="15"/>
              </w:rPr>
              <w:t>Progressive rattlesnake envenomation in 115 dogs</w:t>
            </w:r>
          </w:p>
        </w:tc>
        <w:tc>
          <w:tcPr>
            <w:tcW w:w="2580" w:type="dxa"/>
            <w:tcMar>
              <w:top w:w="70" w:type="dxa"/>
              <w:left w:w="70" w:type="dxa"/>
              <w:bottom w:w="70" w:type="dxa"/>
              <w:right w:w="70" w:type="dxa"/>
            </w:tcMar>
          </w:tcPr>
          <w:p w14:paraId="3352E4A6" w14:textId="77777777" w:rsidR="00D1797A" w:rsidRDefault="00000000">
            <w:pPr>
              <w:spacing w:after="0" w:line="240" w:lineRule="auto"/>
              <w:jc w:val="left"/>
            </w:pPr>
            <w:r>
              <w:rPr>
                <w:rFonts w:ascii="Arial" w:eastAsia="Arial" w:hAnsi="Arial"/>
                <w:sz w:val="15"/>
              </w:rPr>
              <w:t>Prospective randomised multicentre trial</w:t>
            </w:r>
          </w:p>
        </w:tc>
        <w:tc>
          <w:tcPr>
            <w:tcW w:w="2580" w:type="dxa"/>
            <w:tcMar>
              <w:top w:w="70" w:type="dxa"/>
              <w:left w:w="70" w:type="dxa"/>
              <w:bottom w:w="70" w:type="dxa"/>
              <w:right w:w="70" w:type="dxa"/>
            </w:tcMar>
          </w:tcPr>
          <w:p w14:paraId="0E1A73B3" w14:textId="77777777" w:rsidR="00D1797A" w:rsidRDefault="00000000">
            <w:pPr>
              <w:spacing w:after="0" w:line="240" w:lineRule="auto"/>
              <w:jc w:val="left"/>
            </w:pPr>
            <w:r>
              <w:rPr>
                <w:rFonts w:ascii="Arial" w:eastAsia="Arial" w:hAnsi="Arial"/>
                <w:sz w:val="15"/>
              </w:rPr>
              <w:t>Two ovine Fab dosing schedules</w:t>
            </w:r>
          </w:p>
        </w:tc>
        <w:tc>
          <w:tcPr>
            <w:tcW w:w="2580" w:type="dxa"/>
            <w:tcMar>
              <w:top w:w="70" w:type="dxa"/>
              <w:left w:w="70" w:type="dxa"/>
              <w:bottom w:w="70" w:type="dxa"/>
              <w:right w:w="70" w:type="dxa"/>
            </w:tcMar>
          </w:tcPr>
          <w:p w14:paraId="27D540C4" w14:textId="77777777" w:rsidR="00D1797A" w:rsidRDefault="00000000">
            <w:pPr>
              <w:spacing w:after="0" w:line="240" w:lineRule="auto"/>
              <w:jc w:val="left"/>
            </w:pPr>
            <w:r>
              <w:rPr>
                <w:rFonts w:ascii="Arial" w:eastAsia="Arial" w:hAnsi="Arial"/>
                <w:sz w:val="15"/>
              </w:rPr>
              <w:t>Severity scores improved after treatment; no detected difference between schedules</w:t>
            </w:r>
          </w:p>
        </w:tc>
        <w:tc>
          <w:tcPr>
            <w:tcW w:w="2580" w:type="dxa"/>
            <w:tcMar>
              <w:top w:w="70" w:type="dxa"/>
              <w:left w:w="70" w:type="dxa"/>
              <w:bottom w:w="70" w:type="dxa"/>
              <w:right w:w="70" w:type="dxa"/>
            </w:tcMar>
          </w:tcPr>
          <w:p w14:paraId="3B227585" w14:textId="77777777" w:rsidR="00D1797A" w:rsidRDefault="00000000">
            <w:pPr>
              <w:spacing w:after="0" w:line="240" w:lineRule="auto"/>
              <w:jc w:val="left"/>
            </w:pPr>
            <w:r>
              <w:rPr>
                <w:rFonts w:ascii="Arial" w:eastAsia="Arial" w:hAnsi="Arial"/>
                <w:sz w:val="15"/>
              </w:rPr>
              <w:t>No placebo group; product- and region-specific</w:t>
            </w:r>
          </w:p>
        </w:tc>
        <w:tc>
          <w:tcPr>
            <w:tcW w:w="2580" w:type="dxa"/>
            <w:tcMar>
              <w:top w:w="70" w:type="dxa"/>
              <w:left w:w="70" w:type="dxa"/>
              <w:bottom w:w="70" w:type="dxa"/>
              <w:right w:w="70" w:type="dxa"/>
            </w:tcMar>
          </w:tcPr>
          <w:p w14:paraId="340352BF" w14:textId="77777777" w:rsidR="00D1797A" w:rsidRDefault="00000000">
            <w:pPr>
              <w:spacing w:after="0" w:line="240" w:lineRule="auto"/>
              <w:jc w:val="left"/>
            </w:pPr>
            <w:r>
              <w:rPr>
                <w:rFonts w:ascii="Arial" w:eastAsia="Arial" w:hAnsi="Arial"/>
                <w:sz w:val="15"/>
              </w:rPr>
              <w:t>Peterson et al. (2011)</w:t>
            </w:r>
          </w:p>
        </w:tc>
      </w:tr>
      <w:tr w:rsidR="00D1797A" w14:paraId="279C6F5A" w14:textId="77777777">
        <w:trPr>
          <w:cantSplit/>
          <w:jc w:val="center"/>
        </w:trPr>
        <w:tc>
          <w:tcPr>
            <w:tcW w:w="2580" w:type="dxa"/>
            <w:shd w:val="clear" w:color="auto" w:fill="F7F9FC"/>
            <w:tcMar>
              <w:top w:w="70" w:type="dxa"/>
              <w:left w:w="70" w:type="dxa"/>
              <w:bottom w:w="70" w:type="dxa"/>
              <w:right w:w="70" w:type="dxa"/>
            </w:tcMar>
          </w:tcPr>
          <w:p w14:paraId="1978774A" w14:textId="77777777" w:rsidR="00D1797A" w:rsidRDefault="00000000">
            <w:pPr>
              <w:spacing w:after="0" w:line="240" w:lineRule="auto"/>
              <w:jc w:val="left"/>
            </w:pPr>
            <w:r>
              <w:rPr>
                <w:rFonts w:ascii="Arial" w:eastAsia="Arial" w:hAnsi="Arial"/>
                <w:sz w:val="15"/>
              </w:rPr>
              <w:t>Crotalid envenomation in 218 dogs</w:t>
            </w:r>
          </w:p>
        </w:tc>
        <w:tc>
          <w:tcPr>
            <w:tcW w:w="2580" w:type="dxa"/>
            <w:shd w:val="clear" w:color="auto" w:fill="F7F9FC"/>
            <w:tcMar>
              <w:top w:w="70" w:type="dxa"/>
              <w:left w:w="70" w:type="dxa"/>
              <w:bottom w:w="70" w:type="dxa"/>
              <w:right w:w="70" w:type="dxa"/>
            </w:tcMar>
          </w:tcPr>
          <w:p w14:paraId="3D850369" w14:textId="77777777" w:rsidR="00D1797A" w:rsidRDefault="00000000">
            <w:pPr>
              <w:spacing w:after="0" w:line="240" w:lineRule="auto"/>
              <w:jc w:val="left"/>
            </w:pPr>
            <w:r>
              <w:rPr>
                <w:rFonts w:ascii="Arial" w:eastAsia="Arial" w:hAnsi="Arial"/>
                <w:sz w:val="15"/>
              </w:rPr>
              <w:t>Retrospective cohort</w:t>
            </w:r>
          </w:p>
        </w:tc>
        <w:tc>
          <w:tcPr>
            <w:tcW w:w="2580" w:type="dxa"/>
            <w:shd w:val="clear" w:color="auto" w:fill="F7F9FC"/>
            <w:tcMar>
              <w:top w:w="70" w:type="dxa"/>
              <w:left w:w="70" w:type="dxa"/>
              <w:bottom w:w="70" w:type="dxa"/>
              <w:right w:w="70" w:type="dxa"/>
            </w:tcMar>
          </w:tcPr>
          <w:p w14:paraId="32E0AF75" w14:textId="77777777" w:rsidR="00D1797A" w:rsidRDefault="00000000">
            <w:pPr>
              <w:spacing w:after="0" w:line="240" w:lineRule="auto"/>
              <w:jc w:val="left"/>
            </w:pPr>
            <w:r>
              <w:rPr>
                <w:rFonts w:ascii="Arial" w:eastAsia="Arial" w:hAnsi="Arial"/>
                <w:sz w:val="15"/>
              </w:rPr>
              <w:t>Variable equine antivenin doses</w:t>
            </w:r>
          </w:p>
        </w:tc>
        <w:tc>
          <w:tcPr>
            <w:tcW w:w="2580" w:type="dxa"/>
            <w:shd w:val="clear" w:color="auto" w:fill="F7F9FC"/>
            <w:tcMar>
              <w:top w:w="70" w:type="dxa"/>
              <w:left w:w="70" w:type="dxa"/>
              <w:bottom w:w="70" w:type="dxa"/>
              <w:right w:w="70" w:type="dxa"/>
            </w:tcMar>
          </w:tcPr>
          <w:p w14:paraId="70B7ECF3" w14:textId="77777777" w:rsidR="00D1797A" w:rsidRDefault="00000000">
            <w:pPr>
              <w:spacing w:after="0" w:line="240" w:lineRule="auto"/>
              <w:jc w:val="left"/>
            </w:pPr>
            <w:r>
              <w:rPr>
                <w:rFonts w:ascii="Arial" w:eastAsia="Arial" w:hAnsi="Arial"/>
                <w:sz w:val="15"/>
              </w:rPr>
              <w:t>Higher vial use in nonsurvivors reflected association, not established causation</w:t>
            </w:r>
          </w:p>
        </w:tc>
        <w:tc>
          <w:tcPr>
            <w:tcW w:w="2580" w:type="dxa"/>
            <w:shd w:val="clear" w:color="auto" w:fill="F7F9FC"/>
            <w:tcMar>
              <w:top w:w="70" w:type="dxa"/>
              <w:left w:w="70" w:type="dxa"/>
              <w:bottom w:w="70" w:type="dxa"/>
              <w:right w:w="70" w:type="dxa"/>
            </w:tcMar>
          </w:tcPr>
          <w:p w14:paraId="5B0A1120" w14:textId="77777777" w:rsidR="00D1797A" w:rsidRDefault="00000000">
            <w:pPr>
              <w:spacing w:after="0" w:line="240" w:lineRule="auto"/>
              <w:jc w:val="left"/>
            </w:pPr>
            <w:r>
              <w:rPr>
                <w:rFonts w:ascii="Arial" w:eastAsia="Arial" w:hAnsi="Arial"/>
                <w:sz w:val="15"/>
              </w:rPr>
              <w:t>Strong confounding by indication</w:t>
            </w:r>
          </w:p>
        </w:tc>
        <w:tc>
          <w:tcPr>
            <w:tcW w:w="2580" w:type="dxa"/>
            <w:shd w:val="clear" w:color="auto" w:fill="F7F9FC"/>
            <w:tcMar>
              <w:top w:w="70" w:type="dxa"/>
              <w:left w:w="70" w:type="dxa"/>
              <w:bottom w:w="70" w:type="dxa"/>
              <w:right w:w="70" w:type="dxa"/>
            </w:tcMar>
          </w:tcPr>
          <w:p w14:paraId="2C3FD35D" w14:textId="77777777" w:rsidR="00D1797A" w:rsidRDefault="00000000">
            <w:pPr>
              <w:spacing w:after="0" w:line="240" w:lineRule="auto"/>
              <w:jc w:val="left"/>
            </w:pPr>
            <w:r>
              <w:rPr>
                <w:rFonts w:ascii="Arial" w:eastAsia="Arial" w:hAnsi="Arial"/>
                <w:sz w:val="15"/>
              </w:rPr>
              <w:t>McCown et al. (2009)</w:t>
            </w:r>
          </w:p>
        </w:tc>
      </w:tr>
      <w:tr w:rsidR="00D1797A" w14:paraId="3109229F" w14:textId="77777777">
        <w:trPr>
          <w:cantSplit/>
          <w:jc w:val="center"/>
        </w:trPr>
        <w:tc>
          <w:tcPr>
            <w:tcW w:w="2580" w:type="dxa"/>
            <w:tcMar>
              <w:top w:w="70" w:type="dxa"/>
              <w:left w:w="70" w:type="dxa"/>
              <w:bottom w:w="70" w:type="dxa"/>
              <w:right w:w="70" w:type="dxa"/>
            </w:tcMar>
          </w:tcPr>
          <w:p w14:paraId="37689DFF" w14:textId="77777777" w:rsidR="00D1797A" w:rsidRDefault="00000000">
            <w:pPr>
              <w:spacing w:after="0" w:line="240" w:lineRule="auto"/>
              <w:jc w:val="left"/>
            </w:pPr>
            <w:r>
              <w:rPr>
                <w:rFonts w:ascii="Arial" w:eastAsia="Arial" w:hAnsi="Arial"/>
                <w:sz w:val="15"/>
              </w:rPr>
              <w:t>Crotalid envenomation in 282 dogs</w:t>
            </w:r>
          </w:p>
        </w:tc>
        <w:tc>
          <w:tcPr>
            <w:tcW w:w="2580" w:type="dxa"/>
            <w:tcMar>
              <w:top w:w="70" w:type="dxa"/>
              <w:left w:w="70" w:type="dxa"/>
              <w:bottom w:w="70" w:type="dxa"/>
              <w:right w:w="70" w:type="dxa"/>
            </w:tcMar>
          </w:tcPr>
          <w:p w14:paraId="4382125C" w14:textId="77777777" w:rsidR="00D1797A" w:rsidRDefault="00000000">
            <w:pPr>
              <w:spacing w:after="0" w:line="240" w:lineRule="auto"/>
              <w:jc w:val="left"/>
            </w:pPr>
            <w:r>
              <w:rPr>
                <w:rFonts w:ascii="Arial" w:eastAsia="Arial" w:hAnsi="Arial"/>
                <w:sz w:val="15"/>
              </w:rPr>
              <w:t>Retrospective product comparison</w:t>
            </w:r>
          </w:p>
        </w:tc>
        <w:tc>
          <w:tcPr>
            <w:tcW w:w="2580" w:type="dxa"/>
            <w:tcMar>
              <w:top w:w="70" w:type="dxa"/>
              <w:left w:w="70" w:type="dxa"/>
              <w:bottom w:w="70" w:type="dxa"/>
              <w:right w:w="70" w:type="dxa"/>
            </w:tcMar>
          </w:tcPr>
          <w:p w14:paraId="70071B47" w14:textId="77777777" w:rsidR="00D1797A" w:rsidRDefault="00000000">
            <w:pPr>
              <w:spacing w:after="0" w:line="240" w:lineRule="auto"/>
              <w:jc w:val="left"/>
            </w:pPr>
            <w:r>
              <w:rPr>
                <w:rFonts w:ascii="Arial" w:eastAsia="Arial" w:hAnsi="Arial"/>
                <w:sz w:val="15"/>
              </w:rPr>
              <w:t>Two F(ab′)2 products and one whole-IgG product</w:t>
            </w:r>
          </w:p>
        </w:tc>
        <w:tc>
          <w:tcPr>
            <w:tcW w:w="2580" w:type="dxa"/>
            <w:tcMar>
              <w:top w:w="70" w:type="dxa"/>
              <w:left w:w="70" w:type="dxa"/>
              <w:bottom w:w="70" w:type="dxa"/>
              <w:right w:w="70" w:type="dxa"/>
            </w:tcMar>
          </w:tcPr>
          <w:p w14:paraId="5BAE540C" w14:textId="77777777" w:rsidR="00D1797A" w:rsidRDefault="00000000">
            <w:pPr>
              <w:spacing w:after="0" w:line="240" w:lineRule="auto"/>
              <w:jc w:val="left"/>
            </w:pPr>
            <w:r>
              <w:rPr>
                <w:rFonts w:ascii="Arial" w:eastAsia="Arial" w:hAnsi="Arial"/>
                <w:sz w:val="15"/>
              </w:rPr>
              <w:t>High survival with all products; infusion reactions differed</w:t>
            </w:r>
          </w:p>
        </w:tc>
        <w:tc>
          <w:tcPr>
            <w:tcW w:w="2580" w:type="dxa"/>
            <w:tcMar>
              <w:top w:w="70" w:type="dxa"/>
              <w:left w:w="70" w:type="dxa"/>
              <w:bottom w:w="70" w:type="dxa"/>
              <w:right w:w="70" w:type="dxa"/>
            </w:tcMar>
          </w:tcPr>
          <w:p w14:paraId="49DB47DF" w14:textId="77777777" w:rsidR="00D1797A" w:rsidRDefault="00000000">
            <w:pPr>
              <w:spacing w:after="0" w:line="240" w:lineRule="auto"/>
              <w:jc w:val="left"/>
            </w:pPr>
            <w:r>
              <w:rPr>
                <w:rFonts w:ascii="Arial" w:eastAsia="Arial" w:hAnsi="Arial"/>
                <w:sz w:val="15"/>
              </w:rPr>
              <w:t>Non-random product selection and case mix</w:t>
            </w:r>
          </w:p>
        </w:tc>
        <w:tc>
          <w:tcPr>
            <w:tcW w:w="2580" w:type="dxa"/>
            <w:tcMar>
              <w:top w:w="70" w:type="dxa"/>
              <w:left w:w="70" w:type="dxa"/>
              <w:bottom w:w="70" w:type="dxa"/>
              <w:right w:w="70" w:type="dxa"/>
            </w:tcMar>
          </w:tcPr>
          <w:p w14:paraId="7C6104FC" w14:textId="77777777" w:rsidR="00D1797A" w:rsidRDefault="00000000">
            <w:pPr>
              <w:spacing w:after="0" w:line="240" w:lineRule="auto"/>
              <w:jc w:val="left"/>
            </w:pPr>
            <w:r>
              <w:rPr>
                <w:rFonts w:ascii="Arial" w:eastAsia="Arial" w:hAnsi="Arial"/>
                <w:sz w:val="15"/>
              </w:rPr>
              <w:t>Carotenuto et al. (2021)</w:t>
            </w:r>
          </w:p>
        </w:tc>
      </w:tr>
      <w:tr w:rsidR="00D1797A" w14:paraId="62274080" w14:textId="77777777">
        <w:trPr>
          <w:cantSplit/>
          <w:jc w:val="center"/>
        </w:trPr>
        <w:tc>
          <w:tcPr>
            <w:tcW w:w="2580" w:type="dxa"/>
            <w:shd w:val="clear" w:color="auto" w:fill="F7F9FC"/>
            <w:tcMar>
              <w:top w:w="70" w:type="dxa"/>
              <w:left w:w="70" w:type="dxa"/>
              <w:bottom w:w="70" w:type="dxa"/>
              <w:right w:w="70" w:type="dxa"/>
            </w:tcMar>
          </w:tcPr>
          <w:p w14:paraId="4681F6F7" w14:textId="77777777" w:rsidR="00D1797A" w:rsidRDefault="00000000">
            <w:pPr>
              <w:spacing w:after="0" w:line="240" w:lineRule="auto"/>
              <w:jc w:val="left"/>
            </w:pPr>
            <w:r>
              <w:rPr>
                <w:rFonts w:ascii="Arial" w:eastAsia="Arial" w:hAnsi="Arial"/>
                <w:sz w:val="15"/>
              </w:rPr>
              <w:t>North American viperid cases in 22 dogs, one cat and one horse</w:t>
            </w:r>
          </w:p>
        </w:tc>
        <w:tc>
          <w:tcPr>
            <w:tcW w:w="2580" w:type="dxa"/>
            <w:shd w:val="clear" w:color="auto" w:fill="F7F9FC"/>
            <w:tcMar>
              <w:top w:w="70" w:type="dxa"/>
              <w:left w:w="70" w:type="dxa"/>
              <w:bottom w:w="70" w:type="dxa"/>
              <w:right w:w="70" w:type="dxa"/>
            </w:tcMar>
          </w:tcPr>
          <w:p w14:paraId="02EC4D55" w14:textId="77777777" w:rsidR="00D1797A" w:rsidRDefault="00000000">
            <w:pPr>
              <w:spacing w:after="0" w:line="240" w:lineRule="auto"/>
              <w:jc w:val="left"/>
            </w:pPr>
            <w:r>
              <w:rPr>
                <w:rFonts w:ascii="Arial" w:eastAsia="Arial" w:hAnsi="Arial"/>
                <w:sz w:val="15"/>
              </w:rPr>
              <w:t>Retrospective multicentre pharmacodynamic study</w:t>
            </w:r>
          </w:p>
        </w:tc>
        <w:tc>
          <w:tcPr>
            <w:tcW w:w="2580" w:type="dxa"/>
            <w:shd w:val="clear" w:color="auto" w:fill="F7F9FC"/>
            <w:tcMar>
              <w:top w:w="70" w:type="dxa"/>
              <w:left w:w="70" w:type="dxa"/>
              <w:bottom w:w="70" w:type="dxa"/>
              <w:right w:w="70" w:type="dxa"/>
            </w:tcMar>
          </w:tcPr>
          <w:p w14:paraId="3E5F6310" w14:textId="77777777" w:rsidR="00D1797A" w:rsidRDefault="00000000">
            <w:pPr>
              <w:spacing w:after="0" w:line="240" w:lineRule="auto"/>
              <w:jc w:val="left"/>
            </w:pPr>
            <w:r>
              <w:rPr>
                <w:rFonts w:ascii="Arial" w:eastAsia="Arial" w:hAnsi="Arial"/>
                <w:sz w:val="15"/>
              </w:rPr>
              <w:t>Veterinary equine F(ab′)2 product</w:t>
            </w:r>
          </w:p>
        </w:tc>
        <w:tc>
          <w:tcPr>
            <w:tcW w:w="2580" w:type="dxa"/>
            <w:shd w:val="clear" w:color="auto" w:fill="F7F9FC"/>
            <w:tcMar>
              <w:top w:w="70" w:type="dxa"/>
              <w:left w:w="70" w:type="dxa"/>
              <w:bottom w:w="70" w:type="dxa"/>
              <w:right w:w="70" w:type="dxa"/>
            </w:tcMar>
          </w:tcPr>
          <w:p w14:paraId="6C682498" w14:textId="77777777" w:rsidR="00D1797A" w:rsidRDefault="00000000">
            <w:pPr>
              <w:spacing w:after="0" w:line="240" w:lineRule="auto"/>
              <w:jc w:val="left"/>
            </w:pPr>
            <w:r>
              <w:rPr>
                <w:rFonts w:ascii="Arial" w:eastAsia="Arial" w:hAnsi="Arial"/>
                <w:sz w:val="15"/>
              </w:rPr>
              <w:t>Rapid serum venom reduction and improving severity scores</w:t>
            </w:r>
          </w:p>
        </w:tc>
        <w:tc>
          <w:tcPr>
            <w:tcW w:w="2580" w:type="dxa"/>
            <w:shd w:val="clear" w:color="auto" w:fill="F7F9FC"/>
            <w:tcMar>
              <w:top w:w="70" w:type="dxa"/>
              <w:left w:w="70" w:type="dxa"/>
              <w:bottom w:w="70" w:type="dxa"/>
              <w:right w:w="70" w:type="dxa"/>
            </w:tcMar>
          </w:tcPr>
          <w:p w14:paraId="7250CC82" w14:textId="77777777" w:rsidR="00D1797A" w:rsidRDefault="00000000">
            <w:pPr>
              <w:spacing w:after="0" w:line="240" w:lineRule="auto"/>
              <w:jc w:val="left"/>
            </w:pPr>
            <w:r>
              <w:rPr>
                <w:rFonts w:ascii="Arial" w:eastAsia="Arial" w:hAnsi="Arial"/>
                <w:sz w:val="15"/>
              </w:rPr>
              <w:t>Small mixed-species sample without comparator</w:t>
            </w:r>
          </w:p>
        </w:tc>
        <w:tc>
          <w:tcPr>
            <w:tcW w:w="2580" w:type="dxa"/>
            <w:shd w:val="clear" w:color="auto" w:fill="F7F9FC"/>
            <w:tcMar>
              <w:top w:w="70" w:type="dxa"/>
              <w:left w:w="70" w:type="dxa"/>
              <w:bottom w:w="70" w:type="dxa"/>
              <w:right w:w="70" w:type="dxa"/>
            </w:tcMar>
          </w:tcPr>
          <w:p w14:paraId="20C289A5" w14:textId="77777777" w:rsidR="00D1797A" w:rsidRDefault="00000000">
            <w:pPr>
              <w:spacing w:after="0" w:line="240" w:lineRule="auto"/>
              <w:jc w:val="left"/>
            </w:pPr>
            <w:r>
              <w:rPr>
                <w:rFonts w:ascii="Arial" w:eastAsia="Arial" w:hAnsi="Arial"/>
                <w:sz w:val="15"/>
              </w:rPr>
              <w:t>Carotenuto et al. (2026)</w:t>
            </w:r>
          </w:p>
        </w:tc>
      </w:tr>
      <w:tr w:rsidR="00D1797A" w14:paraId="77BF1277" w14:textId="77777777">
        <w:trPr>
          <w:cantSplit/>
          <w:jc w:val="center"/>
        </w:trPr>
        <w:tc>
          <w:tcPr>
            <w:tcW w:w="2580" w:type="dxa"/>
            <w:tcMar>
              <w:top w:w="70" w:type="dxa"/>
              <w:left w:w="70" w:type="dxa"/>
              <w:bottom w:w="70" w:type="dxa"/>
              <w:right w:w="70" w:type="dxa"/>
            </w:tcMar>
          </w:tcPr>
          <w:p w14:paraId="16E26C3C" w14:textId="77777777" w:rsidR="00D1797A" w:rsidRDefault="00000000">
            <w:pPr>
              <w:spacing w:after="0" w:line="240" w:lineRule="auto"/>
              <w:jc w:val="left"/>
            </w:pPr>
            <w:r>
              <w:rPr>
                <w:rFonts w:ascii="Arial" w:eastAsia="Arial" w:hAnsi="Arial"/>
                <w:sz w:val="15"/>
              </w:rPr>
              <w:t>Eastern brown snake envenomation in 240 dogs and 98 cats</w:t>
            </w:r>
          </w:p>
        </w:tc>
        <w:tc>
          <w:tcPr>
            <w:tcW w:w="2580" w:type="dxa"/>
            <w:tcMar>
              <w:top w:w="70" w:type="dxa"/>
              <w:left w:w="70" w:type="dxa"/>
              <w:bottom w:w="70" w:type="dxa"/>
              <w:right w:w="70" w:type="dxa"/>
            </w:tcMar>
          </w:tcPr>
          <w:p w14:paraId="075EE556" w14:textId="77777777" w:rsidR="00D1797A" w:rsidRDefault="00000000">
            <w:pPr>
              <w:spacing w:after="0" w:line="240" w:lineRule="auto"/>
              <w:jc w:val="left"/>
            </w:pPr>
            <w:r>
              <w:rPr>
                <w:rFonts w:ascii="Arial" w:eastAsia="Arial" w:hAnsi="Arial"/>
                <w:sz w:val="15"/>
              </w:rPr>
              <w:t>Retrospective cohort</w:t>
            </w:r>
          </w:p>
        </w:tc>
        <w:tc>
          <w:tcPr>
            <w:tcW w:w="2580" w:type="dxa"/>
            <w:tcMar>
              <w:top w:w="70" w:type="dxa"/>
              <w:left w:w="70" w:type="dxa"/>
              <w:bottom w:w="70" w:type="dxa"/>
              <w:right w:w="70" w:type="dxa"/>
            </w:tcMar>
          </w:tcPr>
          <w:p w14:paraId="5E90B5CF" w14:textId="77777777" w:rsidR="00D1797A" w:rsidRDefault="00000000">
            <w:pPr>
              <w:spacing w:after="0" w:line="240" w:lineRule="auto"/>
              <w:jc w:val="left"/>
            </w:pPr>
            <w:r>
              <w:rPr>
                <w:rFonts w:ascii="Arial" w:eastAsia="Arial" w:hAnsi="Arial"/>
                <w:sz w:val="15"/>
              </w:rPr>
              <w:t>Antivenom exposure and dose variation</w:t>
            </w:r>
          </w:p>
        </w:tc>
        <w:tc>
          <w:tcPr>
            <w:tcW w:w="2580" w:type="dxa"/>
            <w:tcMar>
              <w:top w:w="70" w:type="dxa"/>
              <w:left w:w="70" w:type="dxa"/>
              <w:bottom w:w="70" w:type="dxa"/>
              <w:right w:w="70" w:type="dxa"/>
            </w:tcMar>
          </w:tcPr>
          <w:p w14:paraId="709BAE6C" w14:textId="77777777" w:rsidR="00D1797A" w:rsidRDefault="00000000">
            <w:pPr>
              <w:spacing w:after="0" w:line="240" w:lineRule="auto"/>
              <w:jc w:val="left"/>
            </w:pPr>
            <w:r>
              <w:rPr>
                <w:rFonts w:ascii="Arial" w:eastAsia="Arial" w:hAnsi="Arial"/>
                <w:sz w:val="15"/>
              </w:rPr>
              <w:t>Antivenom associated with survival; no demonstrated added survival above the common dose threshold</w:t>
            </w:r>
          </w:p>
        </w:tc>
        <w:tc>
          <w:tcPr>
            <w:tcW w:w="2580" w:type="dxa"/>
            <w:tcMar>
              <w:top w:w="70" w:type="dxa"/>
              <w:left w:w="70" w:type="dxa"/>
              <w:bottom w:w="70" w:type="dxa"/>
              <w:right w:w="70" w:type="dxa"/>
            </w:tcMar>
          </w:tcPr>
          <w:p w14:paraId="1F7F587A" w14:textId="77777777" w:rsidR="00D1797A" w:rsidRDefault="00000000">
            <w:pPr>
              <w:spacing w:after="0" w:line="240" w:lineRule="auto"/>
              <w:jc w:val="left"/>
            </w:pPr>
            <w:r>
              <w:rPr>
                <w:rFonts w:ascii="Arial" w:eastAsia="Arial" w:hAnsi="Arial"/>
                <w:sz w:val="15"/>
              </w:rPr>
              <w:t>Treatment-selection bias and product-specific units</w:t>
            </w:r>
          </w:p>
        </w:tc>
        <w:tc>
          <w:tcPr>
            <w:tcW w:w="2580" w:type="dxa"/>
            <w:tcMar>
              <w:top w:w="70" w:type="dxa"/>
              <w:left w:w="70" w:type="dxa"/>
              <w:bottom w:w="70" w:type="dxa"/>
              <w:right w:w="70" w:type="dxa"/>
            </w:tcMar>
          </w:tcPr>
          <w:p w14:paraId="737201E1" w14:textId="77777777" w:rsidR="00D1797A" w:rsidRDefault="00000000">
            <w:pPr>
              <w:spacing w:after="0" w:line="240" w:lineRule="auto"/>
              <w:jc w:val="left"/>
            </w:pPr>
            <w:r>
              <w:rPr>
                <w:rFonts w:ascii="Arial" w:eastAsia="Arial" w:hAnsi="Arial"/>
                <w:sz w:val="15"/>
              </w:rPr>
              <w:t>Day et al. (2025)</w:t>
            </w:r>
          </w:p>
        </w:tc>
      </w:tr>
      <w:tr w:rsidR="00D1797A" w14:paraId="2A4B6815" w14:textId="77777777">
        <w:trPr>
          <w:cantSplit/>
          <w:jc w:val="center"/>
        </w:trPr>
        <w:tc>
          <w:tcPr>
            <w:tcW w:w="2580" w:type="dxa"/>
            <w:shd w:val="clear" w:color="auto" w:fill="F7F9FC"/>
            <w:tcMar>
              <w:top w:w="70" w:type="dxa"/>
              <w:left w:w="70" w:type="dxa"/>
              <w:bottom w:w="70" w:type="dxa"/>
              <w:right w:w="70" w:type="dxa"/>
            </w:tcMar>
          </w:tcPr>
          <w:p w14:paraId="783457A3" w14:textId="77777777" w:rsidR="00D1797A" w:rsidRDefault="00000000">
            <w:pPr>
              <w:spacing w:after="0" w:line="240" w:lineRule="auto"/>
              <w:jc w:val="left"/>
            </w:pPr>
            <w:r>
              <w:rPr>
                <w:rFonts w:ascii="Arial" w:eastAsia="Arial" w:hAnsi="Arial"/>
                <w:sz w:val="15"/>
              </w:rPr>
              <w:t>Cobra envenomation in 116 dogs</w:t>
            </w:r>
          </w:p>
        </w:tc>
        <w:tc>
          <w:tcPr>
            <w:tcW w:w="2580" w:type="dxa"/>
            <w:shd w:val="clear" w:color="auto" w:fill="F7F9FC"/>
            <w:tcMar>
              <w:top w:w="70" w:type="dxa"/>
              <w:left w:w="70" w:type="dxa"/>
              <w:bottom w:w="70" w:type="dxa"/>
              <w:right w:w="70" w:type="dxa"/>
            </w:tcMar>
          </w:tcPr>
          <w:p w14:paraId="0B130486" w14:textId="77777777" w:rsidR="00D1797A" w:rsidRDefault="00000000">
            <w:pPr>
              <w:spacing w:after="0" w:line="240" w:lineRule="auto"/>
              <w:jc w:val="left"/>
            </w:pPr>
            <w:r>
              <w:rPr>
                <w:rFonts w:ascii="Arial" w:eastAsia="Arial" w:hAnsi="Arial"/>
                <w:sz w:val="15"/>
              </w:rPr>
              <w:t>Prospective clinical series</w:t>
            </w:r>
          </w:p>
        </w:tc>
        <w:tc>
          <w:tcPr>
            <w:tcW w:w="2580" w:type="dxa"/>
            <w:shd w:val="clear" w:color="auto" w:fill="F7F9FC"/>
            <w:tcMar>
              <w:top w:w="70" w:type="dxa"/>
              <w:left w:w="70" w:type="dxa"/>
              <w:bottom w:w="70" w:type="dxa"/>
              <w:right w:w="70" w:type="dxa"/>
            </w:tcMar>
          </w:tcPr>
          <w:p w14:paraId="73A14957" w14:textId="77777777" w:rsidR="00D1797A" w:rsidRDefault="00000000">
            <w:pPr>
              <w:spacing w:after="0" w:line="240" w:lineRule="auto"/>
              <w:jc w:val="left"/>
            </w:pPr>
            <w:r>
              <w:rPr>
                <w:rFonts w:ascii="Arial" w:eastAsia="Arial" w:hAnsi="Arial"/>
                <w:sz w:val="15"/>
              </w:rPr>
              <w:t>Severity-graded Indian polyvalent antivenom protocol</w:t>
            </w:r>
          </w:p>
        </w:tc>
        <w:tc>
          <w:tcPr>
            <w:tcW w:w="2580" w:type="dxa"/>
            <w:shd w:val="clear" w:color="auto" w:fill="F7F9FC"/>
            <w:tcMar>
              <w:top w:w="70" w:type="dxa"/>
              <w:left w:w="70" w:type="dxa"/>
              <w:bottom w:w="70" w:type="dxa"/>
              <w:right w:w="70" w:type="dxa"/>
            </w:tcMar>
          </w:tcPr>
          <w:p w14:paraId="0D878572" w14:textId="77777777" w:rsidR="00D1797A" w:rsidRDefault="00000000">
            <w:pPr>
              <w:spacing w:after="0" w:line="240" w:lineRule="auto"/>
              <w:jc w:val="left"/>
            </w:pPr>
            <w:r>
              <w:rPr>
                <w:rFonts w:ascii="Arial" w:eastAsia="Arial" w:hAnsi="Arial"/>
                <w:sz w:val="15"/>
              </w:rPr>
              <w:t>Treatment framework aligned local and systemic severity with antivenom use</w:t>
            </w:r>
          </w:p>
        </w:tc>
        <w:tc>
          <w:tcPr>
            <w:tcW w:w="2580" w:type="dxa"/>
            <w:shd w:val="clear" w:color="auto" w:fill="F7F9FC"/>
            <w:tcMar>
              <w:top w:w="70" w:type="dxa"/>
              <w:left w:w="70" w:type="dxa"/>
              <w:bottom w:w="70" w:type="dxa"/>
              <w:right w:w="70" w:type="dxa"/>
            </w:tcMar>
          </w:tcPr>
          <w:p w14:paraId="23171D30" w14:textId="77777777" w:rsidR="00D1797A" w:rsidRDefault="00000000">
            <w:pPr>
              <w:spacing w:after="0" w:line="240" w:lineRule="auto"/>
              <w:jc w:val="left"/>
            </w:pPr>
            <w:r>
              <w:rPr>
                <w:rFonts w:ascii="Arial" w:eastAsia="Arial" w:hAnsi="Arial"/>
                <w:sz w:val="15"/>
              </w:rPr>
              <w:t>No randomised comparator; single regional venom context</w:t>
            </w:r>
          </w:p>
        </w:tc>
        <w:tc>
          <w:tcPr>
            <w:tcW w:w="2580" w:type="dxa"/>
            <w:shd w:val="clear" w:color="auto" w:fill="F7F9FC"/>
            <w:tcMar>
              <w:top w:w="70" w:type="dxa"/>
              <w:left w:w="70" w:type="dxa"/>
              <w:bottom w:w="70" w:type="dxa"/>
              <w:right w:w="70" w:type="dxa"/>
            </w:tcMar>
          </w:tcPr>
          <w:p w14:paraId="48C78BCF" w14:textId="77777777" w:rsidR="00D1797A" w:rsidRDefault="00000000">
            <w:pPr>
              <w:spacing w:after="0" w:line="240" w:lineRule="auto"/>
              <w:jc w:val="left"/>
            </w:pPr>
            <w:r>
              <w:rPr>
                <w:rFonts w:ascii="Arial" w:eastAsia="Arial" w:hAnsi="Arial"/>
                <w:sz w:val="15"/>
              </w:rPr>
              <w:t>Adhikari et al. (2020)</w:t>
            </w:r>
          </w:p>
        </w:tc>
      </w:tr>
      <w:tr w:rsidR="00D1797A" w14:paraId="7D587DEB" w14:textId="77777777">
        <w:trPr>
          <w:cantSplit/>
          <w:jc w:val="center"/>
        </w:trPr>
        <w:tc>
          <w:tcPr>
            <w:tcW w:w="2580" w:type="dxa"/>
            <w:tcMar>
              <w:top w:w="70" w:type="dxa"/>
              <w:left w:w="70" w:type="dxa"/>
              <w:bottom w:w="70" w:type="dxa"/>
              <w:right w:w="70" w:type="dxa"/>
            </w:tcMar>
          </w:tcPr>
          <w:p w14:paraId="29E4A5FA" w14:textId="77777777" w:rsidR="00D1797A" w:rsidRDefault="00000000">
            <w:pPr>
              <w:spacing w:after="0" w:line="240" w:lineRule="auto"/>
              <w:jc w:val="left"/>
            </w:pPr>
            <w:r>
              <w:rPr>
                <w:rFonts w:ascii="Arial" w:eastAsia="Arial" w:hAnsi="Arial"/>
                <w:sz w:val="15"/>
              </w:rPr>
              <w:t>Elapid envenomation in 52 horses</w:t>
            </w:r>
          </w:p>
        </w:tc>
        <w:tc>
          <w:tcPr>
            <w:tcW w:w="2580" w:type="dxa"/>
            <w:tcMar>
              <w:top w:w="70" w:type="dxa"/>
              <w:left w:w="70" w:type="dxa"/>
              <w:bottom w:w="70" w:type="dxa"/>
              <w:right w:w="70" w:type="dxa"/>
            </w:tcMar>
          </w:tcPr>
          <w:p w14:paraId="43C03213" w14:textId="77777777" w:rsidR="00D1797A" w:rsidRDefault="00000000">
            <w:pPr>
              <w:spacing w:after="0" w:line="240" w:lineRule="auto"/>
              <w:jc w:val="left"/>
            </w:pPr>
            <w:r>
              <w:rPr>
                <w:rFonts w:ascii="Arial" w:eastAsia="Arial" w:hAnsi="Arial"/>
                <w:sz w:val="15"/>
              </w:rPr>
              <w:t>Retrospective cohort</w:t>
            </w:r>
          </w:p>
        </w:tc>
        <w:tc>
          <w:tcPr>
            <w:tcW w:w="2580" w:type="dxa"/>
            <w:tcMar>
              <w:top w:w="70" w:type="dxa"/>
              <w:left w:w="70" w:type="dxa"/>
              <w:bottom w:w="70" w:type="dxa"/>
              <w:right w:w="70" w:type="dxa"/>
            </w:tcMar>
          </w:tcPr>
          <w:p w14:paraId="3F4DDCF7" w14:textId="77777777" w:rsidR="00D1797A" w:rsidRDefault="00000000">
            <w:pPr>
              <w:spacing w:after="0" w:line="240" w:lineRule="auto"/>
              <w:jc w:val="left"/>
            </w:pPr>
            <w:r>
              <w:rPr>
                <w:rFonts w:ascii="Arial" w:eastAsia="Arial" w:hAnsi="Arial"/>
                <w:sz w:val="15"/>
              </w:rPr>
              <w:t>Antivenom plus supportive care</w:t>
            </w:r>
          </w:p>
        </w:tc>
        <w:tc>
          <w:tcPr>
            <w:tcW w:w="2580" w:type="dxa"/>
            <w:tcMar>
              <w:top w:w="70" w:type="dxa"/>
              <w:left w:w="70" w:type="dxa"/>
              <w:bottom w:w="70" w:type="dxa"/>
              <w:right w:w="70" w:type="dxa"/>
            </w:tcMar>
          </w:tcPr>
          <w:p w14:paraId="2922D64F" w14:textId="77777777" w:rsidR="00D1797A" w:rsidRDefault="00000000">
            <w:pPr>
              <w:spacing w:after="0" w:line="240" w:lineRule="auto"/>
              <w:jc w:val="left"/>
            </w:pPr>
            <w:r>
              <w:rPr>
                <w:rFonts w:ascii="Arial" w:eastAsia="Arial" w:hAnsi="Arial"/>
                <w:sz w:val="15"/>
              </w:rPr>
              <w:t>Clinical recovery documented in a syndrome dominated by neuromuscular dysfunction</w:t>
            </w:r>
          </w:p>
        </w:tc>
        <w:tc>
          <w:tcPr>
            <w:tcW w:w="2580" w:type="dxa"/>
            <w:tcMar>
              <w:top w:w="70" w:type="dxa"/>
              <w:left w:w="70" w:type="dxa"/>
              <w:bottom w:w="70" w:type="dxa"/>
              <w:right w:w="70" w:type="dxa"/>
            </w:tcMar>
          </w:tcPr>
          <w:p w14:paraId="388461BA" w14:textId="77777777" w:rsidR="00D1797A" w:rsidRDefault="00000000">
            <w:pPr>
              <w:spacing w:after="0" w:line="240" w:lineRule="auto"/>
              <w:jc w:val="left"/>
            </w:pPr>
            <w:r>
              <w:rPr>
                <w:rFonts w:ascii="Arial" w:eastAsia="Arial" w:hAnsi="Arial"/>
                <w:sz w:val="15"/>
              </w:rPr>
              <w:t>Cannot isolate antivenom effect from severity and supportive treatment</w:t>
            </w:r>
          </w:p>
        </w:tc>
        <w:tc>
          <w:tcPr>
            <w:tcW w:w="2580" w:type="dxa"/>
            <w:tcMar>
              <w:top w:w="70" w:type="dxa"/>
              <w:left w:w="70" w:type="dxa"/>
              <w:bottom w:w="70" w:type="dxa"/>
              <w:right w:w="70" w:type="dxa"/>
            </w:tcMar>
          </w:tcPr>
          <w:p w14:paraId="49A5EBEB" w14:textId="77777777" w:rsidR="00D1797A" w:rsidRDefault="00000000">
            <w:pPr>
              <w:spacing w:after="0" w:line="240" w:lineRule="auto"/>
              <w:jc w:val="left"/>
            </w:pPr>
            <w:r>
              <w:rPr>
                <w:rFonts w:ascii="Arial" w:eastAsia="Arial" w:hAnsi="Arial"/>
                <w:sz w:val="15"/>
              </w:rPr>
              <w:t>Bamford et al. (2018)</w:t>
            </w:r>
          </w:p>
        </w:tc>
      </w:tr>
      <w:tr w:rsidR="00D1797A" w14:paraId="1E6CEBAC" w14:textId="77777777">
        <w:trPr>
          <w:cantSplit/>
          <w:jc w:val="center"/>
        </w:trPr>
        <w:tc>
          <w:tcPr>
            <w:tcW w:w="2580" w:type="dxa"/>
            <w:shd w:val="clear" w:color="auto" w:fill="F7F9FC"/>
            <w:tcMar>
              <w:top w:w="70" w:type="dxa"/>
              <w:left w:w="70" w:type="dxa"/>
              <w:bottom w:w="70" w:type="dxa"/>
              <w:right w:w="70" w:type="dxa"/>
            </w:tcMar>
          </w:tcPr>
          <w:p w14:paraId="46E3A19F" w14:textId="77777777" w:rsidR="00D1797A" w:rsidRDefault="00000000">
            <w:pPr>
              <w:spacing w:after="0" w:line="240" w:lineRule="auto"/>
              <w:jc w:val="left"/>
            </w:pPr>
            <w:r>
              <w:rPr>
                <w:rFonts w:ascii="Arial" w:eastAsia="Arial" w:hAnsi="Arial"/>
                <w:sz w:val="15"/>
              </w:rPr>
              <w:t>Bothrops asper envenomation in cattle</w:t>
            </w:r>
          </w:p>
        </w:tc>
        <w:tc>
          <w:tcPr>
            <w:tcW w:w="2580" w:type="dxa"/>
            <w:shd w:val="clear" w:color="auto" w:fill="F7F9FC"/>
            <w:tcMar>
              <w:top w:w="70" w:type="dxa"/>
              <w:left w:w="70" w:type="dxa"/>
              <w:bottom w:w="70" w:type="dxa"/>
              <w:right w:w="70" w:type="dxa"/>
            </w:tcMar>
          </w:tcPr>
          <w:p w14:paraId="25BC3757" w14:textId="77777777" w:rsidR="00D1797A" w:rsidRDefault="00000000">
            <w:pPr>
              <w:spacing w:after="0" w:line="240" w:lineRule="auto"/>
              <w:jc w:val="left"/>
            </w:pPr>
            <w:r>
              <w:rPr>
                <w:rFonts w:ascii="Arial" w:eastAsia="Arial" w:hAnsi="Arial"/>
                <w:sz w:val="15"/>
              </w:rPr>
              <w:t>Small clinical series</w:t>
            </w:r>
          </w:p>
        </w:tc>
        <w:tc>
          <w:tcPr>
            <w:tcW w:w="2580" w:type="dxa"/>
            <w:shd w:val="clear" w:color="auto" w:fill="F7F9FC"/>
            <w:tcMar>
              <w:top w:w="70" w:type="dxa"/>
              <w:left w:w="70" w:type="dxa"/>
              <w:bottom w:w="70" w:type="dxa"/>
              <w:right w:w="70" w:type="dxa"/>
            </w:tcMar>
          </w:tcPr>
          <w:p w14:paraId="40A3D1A2" w14:textId="77777777" w:rsidR="00D1797A" w:rsidRDefault="00000000">
            <w:pPr>
              <w:spacing w:after="0" w:line="240" w:lineRule="auto"/>
              <w:jc w:val="left"/>
            </w:pPr>
            <w:r>
              <w:rPr>
                <w:rFonts w:ascii="Arial" w:eastAsia="Arial" w:hAnsi="Arial"/>
                <w:sz w:val="15"/>
              </w:rPr>
              <w:t>Equine-derived whole-IgG antivenom</w:t>
            </w:r>
          </w:p>
        </w:tc>
        <w:tc>
          <w:tcPr>
            <w:tcW w:w="2580" w:type="dxa"/>
            <w:shd w:val="clear" w:color="auto" w:fill="F7F9FC"/>
            <w:tcMar>
              <w:top w:w="70" w:type="dxa"/>
              <w:left w:w="70" w:type="dxa"/>
              <w:bottom w:w="70" w:type="dxa"/>
              <w:right w:w="70" w:type="dxa"/>
            </w:tcMar>
          </w:tcPr>
          <w:p w14:paraId="67AE0333" w14:textId="77777777" w:rsidR="00D1797A" w:rsidRDefault="00000000">
            <w:pPr>
              <w:spacing w:after="0" w:line="240" w:lineRule="auto"/>
              <w:jc w:val="left"/>
            </w:pPr>
            <w:r>
              <w:rPr>
                <w:rFonts w:ascii="Arial" w:eastAsia="Arial" w:hAnsi="Arial"/>
                <w:sz w:val="15"/>
              </w:rPr>
              <w:t>Feasibility and clinical improvement supported regionally matched treatment</w:t>
            </w:r>
          </w:p>
        </w:tc>
        <w:tc>
          <w:tcPr>
            <w:tcW w:w="2580" w:type="dxa"/>
            <w:shd w:val="clear" w:color="auto" w:fill="F7F9FC"/>
            <w:tcMar>
              <w:top w:w="70" w:type="dxa"/>
              <w:left w:w="70" w:type="dxa"/>
              <w:bottom w:w="70" w:type="dxa"/>
              <w:right w:w="70" w:type="dxa"/>
            </w:tcMar>
          </w:tcPr>
          <w:p w14:paraId="19BDA315" w14:textId="77777777" w:rsidR="00D1797A" w:rsidRDefault="00000000">
            <w:pPr>
              <w:spacing w:after="0" w:line="240" w:lineRule="auto"/>
              <w:jc w:val="left"/>
            </w:pPr>
            <w:r>
              <w:rPr>
                <w:rFonts w:ascii="Arial" w:eastAsia="Arial" w:hAnsi="Arial"/>
                <w:sz w:val="15"/>
              </w:rPr>
              <w:t>Very small sample and no control group</w:t>
            </w:r>
          </w:p>
        </w:tc>
        <w:tc>
          <w:tcPr>
            <w:tcW w:w="2580" w:type="dxa"/>
            <w:shd w:val="clear" w:color="auto" w:fill="F7F9FC"/>
            <w:tcMar>
              <w:top w:w="70" w:type="dxa"/>
              <w:left w:w="70" w:type="dxa"/>
              <w:bottom w:w="70" w:type="dxa"/>
              <w:right w:w="70" w:type="dxa"/>
            </w:tcMar>
          </w:tcPr>
          <w:p w14:paraId="1B261128" w14:textId="77777777" w:rsidR="00D1797A" w:rsidRDefault="00000000">
            <w:pPr>
              <w:spacing w:after="0" w:line="240" w:lineRule="auto"/>
              <w:jc w:val="left"/>
            </w:pPr>
            <w:r>
              <w:rPr>
                <w:rFonts w:ascii="Arial" w:eastAsia="Arial" w:hAnsi="Arial"/>
                <w:sz w:val="15"/>
              </w:rPr>
              <w:t>Rodríguez et al. (2016)</w:t>
            </w:r>
          </w:p>
        </w:tc>
      </w:tr>
    </w:tbl>
    <w:p w14:paraId="5399EB8B" w14:textId="77777777" w:rsidR="00D1797A" w:rsidRDefault="00000000">
      <w:pPr>
        <w:pStyle w:val="TableNote"/>
      </w:pPr>
      <w:r>
        <w:t>Note. Vial or unit counts are not directly comparable across products because neutralising potency and formulation differ.</w:t>
      </w:r>
    </w:p>
    <w:p w14:paraId="52EE06F7" w14:textId="77777777" w:rsidR="00D1797A" w:rsidRDefault="00D1797A">
      <w:pPr>
        <w:sectPr w:rsidR="00D1797A">
          <w:pgSz w:w="16838" w:h="11906" w:orient="landscape"/>
          <w:pgMar w:top="737" w:right="680" w:bottom="737" w:left="680" w:header="454" w:footer="454" w:gutter="0"/>
          <w:cols w:space="720"/>
          <w:docGrid w:linePitch="360"/>
        </w:sectPr>
      </w:pPr>
    </w:p>
    <w:p w14:paraId="108E18E9" w14:textId="77777777" w:rsidR="00D1797A" w:rsidRDefault="00000000">
      <w:pPr>
        <w:pStyle w:val="Heading1"/>
        <w:ind w:firstLine="0"/>
      </w:pPr>
      <w:r>
        <w:rPr>
          <w:rFonts w:ascii="Times New Roman" w:eastAsia="Times New Roman" w:hAnsi="Times New Roman"/>
        </w:rPr>
        <w:lastRenderedPageBreak/>
        <w:t>6. Supportive and Organ-Directed Management</w:t>
      </w:r>
    </w:p>
    <w:p w14:paraId="365E5AB1" w14:textId="77777777" w:rsidR="00D1797A" w:rsidRDefault="00000000">
      <w:pPr>
        <w:pStyle w:val="Heading2"/>
        <w:ind w:firstLine="0"/>
      </w:pPr>
      <w:r>
        <w:rPr>
          <w:rFonts w:ascii="Times New Roman" w:eastAsia="Times New Roman" w:hAnsi="Times New Roman"/>
        </w:rPr>
        <w:t>6.1 Airway, Oxygenation and Ventilation</w:t>
      </w:r>
    </w:p>
    <w:p w14:paraId="5CCA0D0B" w14:textId="77777777" w:rsidR="00D1797A" w:rsidRDefault="00000000">
      <w:r>
        <w:t>Airway management is the most time-sensitive supportive intervention because antivenom does not instantly reverse oedema or paralysis. Facial swelling should be monitored for rate and direction of spread, not merely size. In horses, progressive nasal obstruction, stridor, deteriorating airflow or severe muzzle swelling warrants early planning for tracheotomy before hypoxaemia, panic and tissue distortion make the procedure more difficult. Temporary tracheotomy can be life-saving and should not be viewed as evidence that antivenom has failed; it bridges the interval until toxin neutralisation and oedema resolution. Sedation must be selected cautiously because respiratory depressants can obscure neurotoxicity or precipitate decompensation (Gilliam, 2024).</w:t>
      </w:r>
    </w:p>
    <w:p w14:paraId="4E63498B" w14:textId="77777777" w:rsidR="00D1797A" w:rsidRDefault="00000000">
      <w:r>
        <w:t>Neurotoxic animals require repeated assessment of ventilation. Oxygen supplementation treats hypoxaemia but not carbon dioxide retention from respiratory muscle weakness. Endotracheal intubation and mechanical ventilation are indicated when tidal volume, protective reflexes or gas exchange deteriorate. Cats and small dogs may show subtle cranial nerve weakness before overt respiratory distress. In elapid-envenomed horses, recumbency and weakness create additional risks of aspiration, pressure injury and myopathy, so ventilation decisions must account for the feasibility of prolonged large-animal support (Bamford et al., 2018; Day et al., 2025). Anticholinesterase testing may be considered for selected postsynaptic neurotoxins under expert guidance, but benefit is venom-specific and should not delay antivenom or ventilation.</w:t>
      </w:r>
    </w:p>
    <w:p w14:paraId="52093E93" w14:textId="77777777" w:rsidR="00D1797A" w:rsidRDefault="00000000">
      <w:pPr>
        <w:pStyle w:val="Heading2"/>
        <w:ind w:firstLine="0"/>
      </w:pPr>
      <w:r>
        <w:rPr>
          <w:rFonts w:ascii="Times New Roman" w:eastAsia="Times New Roman" w:hAnsi="Times New Roman"/>
        </w:rPr>
        <w:t>6.2 Circulatory Support and Fluid Therapy</w:t>
      </w:r>
    </w:p>
    <w:p w14:paraId="47B26884" w14:textId="77777777" w:rsidR="00D1797A" w:rsidRDefault="00000000">
      <w:r>
        <w:t>Intravenous access should be established in moderate or severe envenomation, ideally before swelling or coagulopathy makes catheter placement difficult. Isotonic crystalloids are appropriate for documented hypovolaemia or shock, delivered in reassessed aliquots rather than as an automatic high-volume protocol. The clinician should look for improved pulse quality, blood pressure, lactate, mentation and urine output while avoiding fluid overload. Colloids are not routine substitutes for antivenom or plasma and may complicate haemostasis. Vasopressors are reasonable when hypotension persists after appropriate volume resuscitation and toxin neutralisation, particularly when distributive or cardiogenic components are suspected.</w:t>
      </w:r>
    </w:p>
    <w:p w14:paraId="22606500" w14:textId="77777777" w:rsidR="00D1797A" w:rsidRDefault="00000000">
      <w:r>
        <w:t>Oedema does not necessarily indicate intravascular volume excess. Venom-induced endothelial injury can cause simultaneous tissue swelling and reduced effective circulating volume. This creates a narrow therapeutic margin: under-resuscitation worsens perfusion, whereas indiscriminate fluids increase interstitial pressure and pulmonary risk. Serial body weight, lung auscultation, urine output, blood pressure and point-of-care ultrasound can improve titration where available. In horses and cattle, practical endpoints may be less instrumented, but repeated perfusion examination remains essential.</w:t>
      </w:r>
    </w:p>
    <w:p w14:paraId="670F6AB1" w14:textId="77777777" w:rsidR="00D1797A" w:rsidRDefault="00000000">
      <w:pPr>
        <w:pStyle w:val="Heading2"/>
        <w:ind w:firstLine="0"/>
      </w:pPr>
      <w:r>
        <w:rPr>
          <w:rFonts w:ascii="Times New Roman" w:eastAsia="Times New Roman" w:hAnsi="Times New Roman"/>
        </w:rPr>
        <w:t>6.3 Analgesia and Sedation</w:t>
      </w:r>
    </w:p>
    <w:p w14:paraId="557D0342" w14:textId="77777777" w:rsidR="00D1797A" w:rsidRDefault="00000000">
      <w:r>
        <w:t>Snakebite is painful, and untreated pain increases catecholamine demand and complicates assessment. Opioid analgesia is generally preferred in haemotoxic envenomation because it can be titrated and does not impair platelet function. Drug choice and route should reflect species, respiratory status and cardiovascular stability. Local anaesthetic blocks near a contaminated or coagulopathic bite site may be hazardous, and intramuscular injections should be avoided when bleeding risk is present. Sedation is sometimes necessary for airway procedures or safe handling, but deep sedation in a neurotoxic patient can mask worsening weakness. Analgesia should be reassessed rather than administered by fixed routine.</w:t>
      </w:r>
    </w:p>
    <w:p w14:paraId="37F2D797" w14:textId="77777777" w:rsidR="00D1797A" w:rsidRDefault="00000000">
      <w:r>
        <w:t xml:space="preserve">Non-steroidal anti-inflammatory drugs are controversial. They may reduce pain and inflammation but can impair platelet function, injure kidneys in hypoperfused animals and complicate gastrointestinal </w:t>
      </w:r>
      <w:r>
        <w:lastRenderedPageBreak/>
        <w:t>bleeding. Their use is therefore difficult to justify during active coagulopathy, shock, haemolysis or evolving renal injury. Later use may be considered once haemostasis, perfusion and renal function are stable, particularly in horses, but evidence that they improve snakebite outcomes is lacking. Acetaminophen should not be used in cats and should not be treated as a generic alternative across species.</w:t>
      </w:r>
    </w:p>
    <w:p w14:paraId="7A4582CF" w14:textId="77777777" w:rsidR="00D1797A" w:rsidRDefault="00000000">
      <w:pPr>
        <w:pStyle w:val="Heading2"/>
        <w:ind w:firstLine="0"/>
      </w:pPr>
      <w:r>
        <w:rPr>
          <w:rFonts w:ascii="Times New Roman" w:eastAsia="Times New Roman" w:hAnsi="Times New Roman"/>
        </w:rPr>
        <w:t>6.4 Haemorrhage, Coagulopathy and Blood Components</w:t>
      </w:r>
    </w:p>
    <w:p w14:paraId="57B83FED" w14:textId="77777777" w:rsidR="00D1797A" w:rsidRDefault="00000000">
      <w:r>
        <w:t>The first treatment for venom-mediated coagulopathy is adequate antivenom. Plasma, cryoprecipitate, red cells or whole blood replace consumed components but do not neutralise the toxin that is consuming them. Administering plasma before antivenom in an actively envenomed animal can provide fresh substrate for ongoing venom activity. Blood components are justified for clinically important haemorrhage, severe anaemia, persistent bleeding after antivenom, or a planned invasive procedure in a coagulopathic patient. Product selection should match the deficit: packed red cells for oxygen-carrying capacity, plasma for multiple factor depletion, and whole blood when both red-cell and volume replacement are needed.</w:t>
      </w:r>
    </w:p>
    <w:p w14:paraId="52794355" w14:textId="77777777" w:rsidR="00D1797A" w:rsidRDefault="00000000">
      <w:r>
        <w:t>Laboratory normalisation is not the only endpoint. An animal with prolonged clotting times but no bleeding may be observed and retested after antivenom, whereas active intracranial, pulmonary, gastrointestinal or surgical bleeding requires more aggressive support. Platelet transfusion is rarely available in veterinary settings and may be rapidly consumed unless the venom is controlled. Vitamin K is not a treatment for venom-induced consumptive coagulopathy unless concurrent anticoagulant exposure or true vitamin K deficiency is present. Heparin and antifibrinolytics should not be used empirically; venom effects on coagulation and fibrinolysis differ, and blocking one pathway without defining the phenotype may worsen thrombosis or bleeding (Aroch et al., 2010; Slagboom et al., 2017).</w:t>
      </w:r>
    </w:p>
    <w:p w14:paraId="111904B9" w14:textId="77777777" w:rsidR="00D1797A" w:rsidRDefault="00000000">
      <w:r>
        <w:t>Viscoelastic testing may refine component therapy by identifying weak clot strength, hypofibrinogenaemia or fibrinolysis, but veterinary thresholds are not standardised. Harjen et al. (2022) found persistent hypercoagulability after European adder envenomation in dogs, illustrating that haemostasis can shift over time rather than progress monotonically from bleeding to normal. This finding does not establish a routine indication for anticoagulation; it supports follow-up and cautions against assuming that a normal prothrombin time captures all risk.</w:t>
      </w:r>
    </w:p>
    <w:p w14:paraId="07D6F5D1" w14:textId="77777777" w:rsidR="00D1797A" w:rsidRDefault="00000000">
      <w:pPr>
        <w:pStyle w:val="Heading2"/>
        <w:ind w:firstLine="0"/>
      </w:pPr>
      <w:r>
        <w:rPr>
          <w:rFonts w:ascii="Times New Roman" w:eastAsia="Times New Roman" w:hAnsi="Times New Roman"/>
        </w:rPr>
        <w:t>6.5 Renal, Muscular and Cardiac Complications</w:t>
      </w:r>
    </w:p>
    <w:p w14:paraId="5CA106C6" w14:textId="77777777" w:rsidR="00D1797A" w:rsidRDefault="00000000">
      <w:r>
        <w:t>Renal protection depends on early control of venom effects, maintenance of perfusion and recognition of haemolysis or rhabdomyolysis. Urine output should be measured in severe cases, and serial creatinine, electrolytes, urine sediment and pigment should be assessed. Fluid therapy should target euvolaemia, not forced diuresis. Oliguria after adequate resuscitation warrants investigation for acute kidney injury, obstruction and ongoing pigment load; furosemide does not reverse established tubular injury. Dialysis may be considered in referral centres for refractory hyperkalaemia, fluid overload, severe uraemia or persistent anuria, but veterinary outcome data are sparse.</w:t>
      </w:r>
    </w:p>
    <w:p w14:paraId="288DCE72" w14:textId="77777777" w:rsidR="00D1797A" w:rsidRDefault="00000000">
      <w:r>
        <w:t>Muscle injury should be suspected with pain, weakness, swelling, dark urine and increased creatine kinase. Antivenom can limit ongoing systemic myotoxicity, but established necrosis requires supportive care, monitoring for hyperkalaemia and management of compartment pressure only when objectively demonstrated. In Australian elapid envenomation, neuromuscular weakness and coagulopathy may coexist, so recumbency cannot be attributed automatically to pain or shock (Day et al., 2025). In viperid disease, local myonecrosis may progress despite systemic stabilisation because antivenom penetration and timing are imperfect (Gutiérrez et al., 2009).</w:t>
      </w:r>
    </w:p>
    <w:p w14:paraId="6335B032" w14:textId="77777777" w:rsidR="00D1797A" w:rsidRDefault="00000000">
      <w:r>
        <w:t xml:space="preserve">Cardiac injury ranges from transient tachyarrhythmia to hypotension and myocardial biomarker elevation. Continuous electrocardiography is indicated for severe envenomation, documented arrhythmia or troponin elevation. Treatment should be guided by haemodynamic consequence and </w:t>
      </w:r>
      <w:r>
        <w:lastRenderedPageBreak/>
        <w:t>rhythm diagnosis; suppressing a compensatory sinus tachycardia can be harmful. Canine studies have identified myocardial injury and ambulatory rhythm disturbances after viper envenomation, but most do not establish that specific antiarrhythmic treatment improves outcome (Langhorn et al., 2014; Vestberg et al., 2017). Equine data similarly support monitoring rather than a standard cardioprotective drug regimen (Gilliam et al., 2012).</w:t>
      </w:r>
    </w:p>
    <w:p w14:paraId="1DB564A1" w14:textId="77777777" w:rsidR="00D1797A" w:rsidRDefault="00000000">
      <w:pPr>
        <w:pStyle w:val="Heading2"/>
        <w:ind w:firstLine="0"/>
      </w:pPr>
      <w:r>
        <w:rPr>
          <w:rFonts w:ascii="Times New Roman" w:eastAsia="Times New Roman" w:hAnsi="Times New Roman"/>
        </w:rPr>
        <w:t>6.6 Local Tissue Care, Infection and Surgery</w:t>
      </w:r>
    </w:p>
    <w:p w14:paraId="52E22EA2" w14:textId="77777777" w:rsidR="00D1797A" w:rsidRDefault="00000000">
      <w:r>
        <w:t>The bite site should be cleaned gently, protected from contamination and reassessed for demarcating necrosis, perfusion and infection. Marking swelling margins is useful early, but tissue colour and temperature may evolve after systemic control. Elevation of an affected limb can reduce dependent oedema when it does not compromise comfort or perfusion. Tight compression, repeated probing and aggressive early debridement should be avoided. Definitive debridement is best delayed until viable and non-viable tissue can be distinguished, except when infection, sepsis or clearly devitalised tissue demands earlier action.</w:t>
      </w:r>
    </w:p>
    <w:p w14:paraId="4A23D4E4" w14:textId="77777777" w:rsidR="00D1797A" w:rsidRDefault="00000000">
      <w:r>
        <w:t>Routine prophylactic antimicrobials are not supported for every snakebite. Venom and oral flora can contaminate the wound, yet many cases do not develop bacterial infection, and oedema, leukocytosis and fever may reflect sterile inflammation. Antimicrobials are appropriate for documented infection, gross contamination, devitalised tissue, aspiration pneumonia, or a surgical indication. Culture should be obtained from deep tissue or purulent material rather than from a superficial puncture when possible. Overuse increases cost, adverse effects and antimicrobial resistance while distracting from antivenom and supportive priorities (Armentano &amp; Schaer, 2011; Gilliam &amp; Brunker, 2011).</w:t>
      </w:r>
    </w:p>
    <w:p w14:paraId="5BAB1913" w14:textId="77777777" w:rsidR="00D1797A" w:rsidRDefault="00000000">
      <w:r>
        <w:t>Fasciotomy is rarely indicated solely because a limb is swollen. Venom causes capillary leak, haemorrhage and tissue injury that can mimic compartment syndrome, and coagulopathy increases surgical risk. Objective evidence of raised compartment pressure with impaired perfusion, persistent after adequate antivenom and correction of shock, is required before decompression is considered. Amputation may ultimately be necessary for irreversible necrosis or uncontrolled infection, but the decision should follow stabilisation and demarcation. Table 4 distinguishes treatments that are generally recommended, conditionally useful, unsupported as routine care or potentially harmful.</w:t>
      </w:r>
    </w:p>
    <w:p w14:paraId="4DEDDD78" w14:textId="77777777" w:rsidR="00D1797A" w:rsidRDefault="00D1797A">
      <w:pPr>
        <w:sectPr w:rsidR="00D1797A">
          <w:pgSz w:w="11906" w:h="16838"/>
          <w:pgMar w:top="1247" w:right="1361" w:bottom="1134" w:left="1361" w:header="454" w:footer="454" w:gutter="0"/>
          <w:cols w:space="720"/>
          <w:docGrid w:linePitch="360"/>
        </w:sectPr>
      </w:pPr>
    </w:p>
    <w:p w14:paraId="39563031" w14:textId="77777777" w:rsidR="00D1797A" w:rsidRDefault="00000000">
      <w:pPr>
        <w:pStyle w:val="TableCaption"/>
        <w:keepNext/>
      </w:pPr>
      <w:r>
        <w:lastRenderedPageBreak/>
        <w:t>Table 4. Appraisal of common interventions in veterinary snakebite management</w:t>
      </w: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580"/>
        <w:gridCol w:w="2580"/>
        <w:gridCol w:w="2580"/>
        <w:gridCol w:w="2580"/>
        <w:gridCol w:w="2580"/>
        <w:gridCol w:w="2580"/>
      </w:tblGrid>
      <w:tr w:rsidR="00D1797A" w14:paraId="1D68044A" w14:textId="77777777">
        <w:trPr>
          <w:cantSplit/>
          <w:tblHeader/>
          <w:jc w:val="center"/>
        </w:trPr>
        <w:tc>
          <w:tcPr>
            <w:tcW w:w="2580" w:type="dxa"/>
            <w:shd w:val="clear" w:color="auto" w:fill="D9E2F3"/>
            <w:tcMar>
              <w:top w:w="70" w:type="dxa"/>
              <w:left w:w="70" w:type="dxa"/>
              <w:bottom w:w="70" w:type="dxa"/>
              <w:right w:w="70" w:type="dxa"/>
            </w:tcMar>
            <w:vAlign w:val="center"/>
          </w:tcPr>
          <w:p w14:paraId="3A839B59" w14:textId="77777777" w:rsidR="00D1797A" w:rsidRDefault="00000000">
            <w:pPr>
              <w:spacing w:after="0"/>
              <w:jc w:val="center"/>
            </w:pPr>
            <w:r>
              <w:rPr>
                <w:rFonts w:ascii="Arial" w:eastAsia="Arial" w:hAnsi="Arial"/>
                <w:b/>
                <w:sz w:val="15"/>
              </w:rPr>
              <w:t>Intervention</w:t>
            </w:r>
          </w:p>
        </w:tc>
        <w:tc>
          <w:tcPr>
            <w:tcW w:w="2580" w:type="dxa"/>
            <w:shd w:val="clear" w:color="auto" w:fill="D9E2F3"/>
            <w:tcMar>
              <w:top w:w="70" w:type="dxa"/>
              <w:left w:w="70" w:type="dxa"/>
              <w:bottom w:w="70" w:type="dxa"/>
              <w:right w:w="70" w:type="dxa"/>
            </w:tcMar>
            <w:vAlign w:val="center"/>
          </w:tcPr>
          <w:p w14:paraId="65EB6D1D" w14:textId="77777777" w:rsidR="00D1797A" w:rsidRDefault="00000000">
            <w:pPr>
              <w:spacing w:after="0"/>
              <w:jc w:val="center"/>
            </w:pPr>
            <w:r>
              <w:rPr>
                <w:rFonts w:ascii="Arial" w:eastAsia="Arial" w:hAnsi="Arial"/>
                <w:b/>
                <w:sz w:val="15"/>
              </w:rPr>
              <w:t>Usual role</w:t>
            </w:r>
          </w:p>
        </w:tc>
        <w:tc>
          <w:tcPr>
            <w:tcW w:w="2580" w:type="dxa"/>
            <w:shd w:val="clear" w:color="auto" w:fill="D9E2F3"/>
            <w:tcMar>
              <w:top w:w="70" w:type="dxa"/>
              <w:left w:w="70" w:type="dxa"/>
              <w:bottom w:w="70" w:type="dxa"/>
              <w:right w:w="70" w:type="dxa"/>
            </w:tcMar>
            <w:vAlign w:val="center"/>
          </w:tcPr>
          <w:p w14:paraId="13C5CBD4" w14:textId="77777777" w:rsidR="00D1797A" w:rsidRDefault="00000000">
            <w:pPr>
              <w:spacing w:after="0"/>
              <w:jc w:val="center"/>
            </w:pPr>
            <w:r>
              <w:rPr>
                <w:rFonts w:ascii="Arial" w:eastAsia="Arial" w:hAnsi="Arial"/>
                <w:b/>
                <w:sz w:val="15"/>
              </w:rPr>
              <w:t>Appropriate use</w:t>
            </w:r>
          </w:p>
        </w:tc>
        <w:tc>
          <w:tcPr>
            <w:tcW w:w="2580" w:type="dxa"/>
            <w:shd w:val="clear" w:color="auto" w:fill="D9E2F3"/>
            <w:tcMar>
              <w:top w:w="70" w:type="dxa"/>
              <w:left w:w="70" w:type="dxa"/>
              <w:bottom w:w="70" w:type="dxa"/>
              <w:right w:w="70" w:type="dxa"/>
            </w:tcMar>
            <w:vAlign w:val="center"/>
          </w:tcPr>
          <w:p w14:paraId="262932C6" w14:textId="77777777" w:rsidR="00D1797A" w:rsidRDefault="00000000">
            <w:pPr>
              <w:spacing w:after="0"/>
              <w:jc w:val="center"/>
            </w:pPr>
            <w:r>
              <w:rPr>
                <w:rFonts w:ascii="Arial" w:eastAsia="Arial" w:hAnsi="Arial"/>
                <w:b/>
                <w:sz w:val="15"/>
              </w:rPr>
              <w:t>Why not routine or key hazard</w:t>
            </w:r>
          </w:p>
        </w:tc>
        <w:tc>
          <w:tcPr>
            <w:tcW w:w="2580" w:type="dxa"/>
            <w:shd w:val="clear" w:color="auto" w:fill="D9E2F3"/>
            <w:tcMar>
              <w:top w:w="70" w:type="dxa"/>
              <w:left w:w="70" w:type="dxa"/>
              <w:bottom w:w="70" w:type="dxa"/>
              <w:right w:w="70" w:type="dxa"/>
            </w:tcMar>
            <w:vAlign w:val="center"/>
          </w:tcPr>
          <w:p w14:paraId="158D9699" w14:textId="77777777" w:rsidR="00D1797A" w:rsidRDefault="00000000">
            <w:pPr>
              <w:spacing w:after="0"/>
              <w:jc w:val="center"/>
            </w:pPr>
            <w:r>
              <w:rPr>
                <w:rFonts w:ascii="Arial" w:eastAsia="Arial" w:hAnsi="Arial"/>
                <w:b/>
                <w:sz w:val="15"/>
              </w:rPr>
              <w:t>Evidence confidence</w:t>
            </w:r>
          </w:p>
        </w:tc>
        <w:tc>
          <w:tcPr>
            <w:tcW w:w="2580" w:type="dxa"/>
            <w:shd w:val="clear" w:color="auto" w:fill="D9E2F3"/>
            <w:tcMar>
              <w:top w:w="70" w:type="dxa"/>
              <w:left w:w="70" w:type="dxa"/>
              <w:bottom w:w="70" w:type="dxa"/>
              <w:right w:w="70" w:type="dxa"/>
            </w:tcMar>
            <w:vAlign w:val="center"/>
          </w:tcPr>
          <w:p w14:paraId="73D715B0" w14:textId="77777777" w:rsidR="00D1797A" w:rsidRDefault="00000000">
            <w:pPr>
              <w:spacing w:after="0"/>
              <w:jc w:val="center"/>
            </w:pPr>
            <w:r>
              <w:rPr>
                <w:rFonts w:ascii="Arial" w:eastAsia="Arial" w:hAnsi="Arial"/>
                <w:b/>
                <w:sz w:val="15"/>
              </w:rPr>
              <w:t>Supporting references</w:t>
            </w:r>
          </w:p>
        </w:tc>
      </w:tr>
      <w:tr w:rsidR="00D1797A" w14:paraId="7D798048" w14:textId="77777777">
        <w:trPr>
          <w:cantSplit/>
          <w:jc w:val="center"/>
        </w:trPr>
        <w:tc>
          <w:tcPr>
            <w:tcW w:w="2580" w:type="dxa"/>
            <w:tcMar>
              <w:top w:w="70" w:type="dxa"/>
              <w:left w:w="70" w:type="dxa"/>
              <w:bottom w:w="70" w:type="dxa"/>
              <w:right w:w="70" w:type="dxa"/>
            </w:tcMar>
          </w:tcPr>
          <w:p w14:paraId="3A794E65" w14:textId="77777777" w:rsidR="00D1797A" w:rsidRDefault="00000000">
            <w:pPr>
              <w:spacing w:after="0" w:line="240" w:lineRule="auto"/>
              <w:jc w:val="left"/>
            </w:pPr>
            <w:r>
              <w:rPr>
                <w:rFonts w:ascii="Arial" w:eastAsia="Arial" w:hAnsi="Arial"/>
                <w:sz w:val="15"/>
              </w:rPr>
              <w:t>Regionally appropriate antivenom</w:t>
            </w:r>
          </w:p>
        </w:tc>
        <w:tc>
          <w:tcPr>
            <w:tcW w:w="2580" w:type="dxa"/>
            <w:tcMar>
              <w:top w:w="70" w:type="dxa"/>
              <w:left w:w="70" w:type="dxa"/>
              <w:bottom w:w="70" w:type="dxa"/>
              <w:right w:w="70" w:type="dxa"/>
            </w:tcMar>
          </w:tcPr>
          <w:p w14:paraId="5AC1456B" w14:textId="77777777" w:rsidR="00D1797A" w:rsidRDefault="00000000">
            <w:pPr>
              <w:spacing w:after="0" w:line="240" w:lineRule="auto"/>
              <w:jc w:val="left"/>
            </w:pPr>
            <w:r>
              <w:rPr>
                <w:rFonts w:ascii="Arial" w:eastAsia="Arial" w:hAnsi="Arial"/>
                <w:sz w:val="15"/>
              </w:rPr>
              <w:t>Neutralises circulating venom</w:t>
            </w:r>
          </w:p>
        </w:tc>
        <w:tc>
          <w:tcPr>
            <w:tcW w:w="2580" w:type="dxa"/>
            <w:tcMar>
              <w:top w:w="70" w:type="dxa"/>
              <w:left w:w="70" w:type="dxa"/>
              <w:bottom w:w="70" w:type="dxa"/>
              <w:right w:w="70" w:type="dxa"/>
            </w:tcMar>
          </w:tcPr>
          <w:p w14:paraId="4390F3B6" w14:textId="77777777" w:rsidR="00D1797A" w:rsidRDefault="00000000">
            <w:pPr>
              <w:spacing w:after="0" w:line="240" w:lineRule="auto"/>
              <w:jc w:val="left"/>
            </w:pPr>
            <w:r>
              <w:rPr>
                <w:rFonts w:ascii="Arial" w:eastAsia="Arial" w:hAnsi="Arial"/>
                <w:sz w:val="15"/>
              </w:rPr>
              <w:t>Progressive systemic toxicity, neurotoxicity, important coagulopathy, airway-threatening or rapidly progressive local disease</w:t>
            </w:r>
          </w:p>
        </w:tc>
        <w:tc>
          <w:tcPr>
            <w:tcW w:w="2580" w:type="dxa"/>
            <w:tcMar>
              <w:top w:w="70" w:type="dxa"/>
              <w:left w:w="70" w:type="dxa"/>
              <w:bottom w:w="70" w:type="dxa"/>
              <w:right w:w="70" w:type="dxa"/>
            </w:tcMar>
          </w:tcPr>
          <w:p w14:paraId="2AE25ECA" w14:textId="77777777" w:rsidR="00D1797A" w:rsidRDefault="00000000">
            <w:pPr>
              <w:spacing w:after="0" w:line="240" w:lineRule="auto"/>
              <w:jc w:val="left"/>
            </w:pPr>
            <w:r>
              <w:rPr>
                <w:rFonts w:ascii="Arial" w:eastAsia="Arial" w:hAnsi="Arial"/>
                <w:sz w:val="15"/>
              </w:rPr>
              <w:t>Mismatched products may not neutralise the venom; reactions and recurrence require monitoring</w:t>
            </w:r>
          </w:p>
        </w:tc>
        <w:tc>
          <w:tcPr>
            <w:tcW w:w="2580" w:type="dxa"/>
            <w:tcMar>
              <w:top w:w="70" w:type="dxa"/>
              <w:left w:w="70" w:type="dxa"/>
              <w:bottom w:w="70" w:type="dxa"/>
              <w:right w:w="70" w:type="dxa"/>
            </w:tcMar>
          </w:tcPr>
          <w:p w14:paraId="495B44C6" w14:textId="77777777" w:rsidR="00D1797A" w:rsidRDefault="00000000">
            <w:pPr>
              <w:spacing w:after="0" w:line="240" w:lineRule="auto"/>
              <w:jc w:val="left"/>
            </w:pPr>
            <w:r>
              <w:rPr>
                <w:rFonts w:ascii="Arial" w:eastAsia="Arial" w:hAnsi="Arial"/>
                <w:sz w:val="15"/>
              </w:rPr>
              <w:t>Moderate, strongest in dogs</w:t>
            </w:r>
          </w:p>
        </w:tc>
        <w:tc>
          <w:tcPr>
            <w:tcW w:w="2580" w:type="dxa"/>
            <w:tcMar>
              <w:top w:w="70" w:type="dxa"/>
              <w:left w:w="70" w:type="dxa"/>
              <w:bottom w:w="70" w:type="dxa"/>
              <w:right w:w="70" w:type="dxa"/>
            </w:tcMar>
          </w:tcPr>
          <w:p w14:paraId="4D6A2E28" w14:textId="77777777" w:rsidR="00D1797A" w:rsidRDefault="00000000">
            <w:pPr>
              <w:spacing w:after="0" w:line="240" w:lineRule="auto"/>
              <w:jc w:val="left"/>
            </w:pPr>
            <w:r>
              <w:rPr>
                <w:rFonts w:ascii="Arial" w:eastAsia="Arial" w:hAnsi="Arial"/>
                <w:sz w:val="15"/>
              </w:rPr>
              <w:t>Peterson et al. (2011); Carotenuto et al. (2021, 2026); Day et al. (2025)</w:t>
            </w:r>
          </w:p>
        </w:tc>
      </w:tr>
      <w:tr w:rsidR="00D1797A" w14:paraId="7FA1B477" w14:textId="77777777">
        <w:trPr>
          <w:cantSplit/>
          <w:jc w:val="center"/>
        </w:trPr>
        <w:tc>
          <w:tcPr>
            <w:tcW w:w="2580" w:type="dxa"/>
            <w:shd w:val="clear" w:color="auto" w:fill="F7F9FC"/>
            <w:tcMar>
              <w:top w:w="70" w:type="dxa"/>
              <w:left w:w="70" w:type="dxa"/>
              <w:bottom w:w="70" w:type="dxa"/>
              <w:right w:w="70" w:type="dxa"/>
            </w:tcMar>
          </w:tcPr>
          <w:p w14:paraId="393B3C7F" w14:textId="77777777" w:rsidR="00D1797A" w:rsidRDefault="00000000">
            <w:pPr>
              <w:spacing w:after="0" w:line="240" w:lineRule="auto"/>
              <w:jc w:val="left"/>
            </w:pPr>
            <w:r>
              <w:rPr>
                <w:rFonts w:ascii="Arial" w:eastAsia="Arial" w:hAnsi="Arial"/>
                <w:sz w:val="15"/>
              </w:rPr>
              <w:t>Airway intervention and ventilation</w:t>
            </w:r>
          </w:p>
        </w:tc>
        <w:tc>
          <w:tcPr>
            <w:tcW w:w="2580" w:type="dxa"/>
            <w:shd w:val="clear" w:color="auto" w:fill="F7F9FC"/>
            <w:tcMar>
              <w:top w:w="70" w:type="dxa"/>
              <w:left w:w="70" w:type="dxa"/>
              <w:bottom w:w="70" w:type="dxa"/>
              <w:right w:w="70" w:type="dxa"/>
            </w:tcMar>
          </w:tcPr>
          <w:p w14:paraId="308CB52C" w14:textId="77777777" w:rsidR="00D1797A" w:rsidRDefault="00000000">
            <w:pPr>
              <w:spacing w:after="0" w:line="240" w:lineRule="auto"/>
              <w:jc w:val="left"/>
            </w:pPr>
            <w:r>
              <w:rPr>
                <w:rFonts w:ascii="Arial" w:eastAsia="Arial" w:hAnsi="Arial"/>
                <w:sz w:val="15"/>
              </w:rPr>
              <w:t>Prevents death from obstruction or neuromuscular failure</w:t>
            </w:r>
          </w:p>
        </w:tc>
        <w:tc>
          <w:tcPr>
            <w:tcW w:w="2580" w:type="dxa"/>
            <w:shd w:val="clear" w:color="auto" w:fill="F7F9FC"/>
            <w:tcMar>
              <w:top w:w="70" w:type="dxa"/>
              <w:left w:w="70" w:type="dxa"/>
              <w:bottom w:w="70" w:type="dxa"/>
              <w:right w:w="70" w:type="dxa"/>
            </w:tcMar>
          </w:tcPr>
          <w:p w14:paraId="210F1514" w14:textId="77777777" w:rsidR="00D1797A" w:rsidRDefault="00000000">
            <w:pPr>
              <w:spacing w:after="0" w:line="240" w:lineRule="auto"/>
              <w:jc w:val="left"/>
            </w:pPr>
            <w:r>
              <w:rPr>
                <w:rFonts w:ascii="Arial" w:eastAsia="Arial" w:hAnsi="Arial"/>
                <w:sz w:val="15"/>
              </w:rPr>
              <w:t>Facial airway compromise, loss of protective reflexes or hypoventilation</w:t>
            </w:r>
          </w:p>
        </w:tc>
        <w:tc>
          <w:tcPr>
            <w:tcW w:w="2580" w:type="dxa"/>
            <w:shd w:val="clear" w:color="auto" w:fill="F7F9FC"/>
            <w:tcMar>
              <w:top w:w="70" w:type="dxa"/>
              <w:left w:w="70" w:type="dxa"/>
              <w:bottom w:w="70" w:type="dxa"/>
              <w:right w:w="70" w:type="dxa"/>
            </w:tcMar>
          </w:tcPr>
          <w:p w14:paraId="5AA86DAA" w14:textId="77777777" w:rsidR="00D1797A" w:rsidRDefault="00000000">
            <w:pPr>
              <w:spacing w:after="0" w:line="240" w:lineRule="auto"/>
              <w:jc w:val="left"/>
            </w:pPr>
            <w:r>
              <w:rPr>
                <w:rFonts w:ascii="Arial" w:eastAsia="Arial" w:hAnsi="Arial"/>
                <w:sz w:val="15"/>
              </w:rPr>
              <w:t>Delay can make rescue technically difficult; sedation may mask deterioration</w:t>
            </w:r>
          </w:p>
        </w:tc>
        <w:tc>
          <w:tcPr>
            <w:tcW w:w="2580" w:type="dxa"/>
            <w:shd w:val="clear" w:color="auto" w:fill="F7F9FC"/>
            <w:tcMar>
              <w:top w:w="70" w:type="dxa"/>
              <w:left w:w="70" w:type="dxa"/>
              <w:bottom w:w="70" w:type="dxa"/>
              <w:right w:w="70" w:type="dxa"/>
            </w:tcMar>
          </w:tcPr>
          <w:p w14:paraId="0A8404F4" w14:textId="77777777" w:rsidR="00D1797A" w:rsidRDefault="00000000">
            <w:pPr>
              <w:spacing w:after="0" w:line="240" w:lineRule="auto"/>
              <w:jc w:val="left"/>
            </w:pPr>
            <w:r>
              <w:rPr>
                <w:rFonts w:ascii="Arial" w:eastAsia="Arial" w:hAnsi="Arial"/>
                <w:sz w:val="15"/>
              </w:rPr>
              <w:t>Moderate biological and clinical support</w:t>
            </w:r>
          </w:p>
        </w:tc>
        <w:tc>
          <w:tcPr>
            <w:tcW w:w="2580" w:type="dxa"/>
            <w:shd w:val="clear" w:color="auto" w:fill="F7F9FC"/>
            <w:tcMar>
              <w:top w:w="70" w:type="dxa"/>
              <w:left w:w="70" w:type="dxa"/>
              <w:bottom w:w="70" w:type="dxa"/>
              <w:right w:w="70" w:type="dxa"/>
            </w:tcMar>
          </w:tcPr>
          <w:p w14:paraId="05BEB13A" w14:textId="77777777" w:rsidR="00D1797A" w:rsidRDefault="00000000">
            <w:pPr>
              <w:spacing w:after="0" w:line="240" w:lineRule="auto"/>
              <w:jc w:val="left"/>
            </w:pPr>
            <w:r>
              <w:rPr>
                <w:rFonts w:ascii="Arial" w:eastAsia="Arial" w:hAnsi="Arial"/>
                <w:sz w:val="15"/>
              </w:rPr>
              <w:t>Bamford et al. (2018); Gilliam (2024)</w:t>
            </w:r>
          </w:p>
        </w:tc>
      </w:tr>
      <w:tr w:rsidR="00D1797A" w14:paraId="2BB4B472" w14:textId="77777777">
        <w:trPr>
          <w:cantSplit/>
          <w:jc w:val="center"/>
        </w:trPr>
        <w:tc>
          <w:tcPr>
            <w:tcW w:w="2580" w:type="dxa"/>
            <w:tcMar>
              <w:top w:w="70" w:type="dxa"/>
              <w:left w:w="70" w:type="dxa"/>
              <w:bottom w:w="70" w:type="dxa"/>
              <w:right w:w="70" w:type="dxa"/>
            </w:tcMar>
          </w:tcPr>
          <w:p w14:paraId="7995347C" w14:textId="77777777" w:rsidR="00D1797A" w:rsidRDefault="00000000">
            <w:pPr>
              <w:spacing w:after="0" w:line="240" w:lineRule="auto"/>
              <w:jc w:val="left"/>
            </w:pPr>
            <w:r>
              <w:rPr>
                <w:rFonts w:ascii="Arial" w:eastAsia="Arial" w:hAnsi="Arial"/>
                <w:sz w:val="15"/>
              </w:rPr>
              <w:t>Crystalloids and vasopressors</w:t>
            </w:r>
          </w:p>
        </w:tc>
        <w:tc>
          <w:tcPr>
            <w:tcW w:w="2580" w:type="dxa"/>
            <w:tcMar>
              <w:top w:w="70" w:type="dxa"/>
              <w:left w:w="70" w:type="dxa"/>
              <w:bottom w:w="70" w:type="dxa"/>
              <w:right w:w="70" w:type="dxa"/>
            </w:tcMar>
          </w:tcPr>
          <w:p w14:paraId="6C0B719B" w14:textId="77777777" w:rsidR="00D1797A" w:rsidRDefault="00000000">
            <w:pPr>
              <w:spacing w:after="0" w:line="240" w:lineRule="auto"/>
              <w:jc w:val="left"/>
            </w:pPr>
            <w:r>
              <w:rPr>
                <w:rFonts w:ascii="Arial" w:eastAsia="Arial" w:hAnsi="Arial"/>
                <w:sz w:val="15"/>
              </w:rPr>
              <w:t>Restores perfusion</w:t>
            </w:r>
          </w:p>
        </w:tc>
        <w:tc>
          <w:tcPr>
            <w:tcW w:w="2580" w:type="dxa"/>
            <w:tcMar>
              <w:top w:w="70" w:type="dxa"/>
              <w:left w:w="70" w:type="dxa"/>
              <w:bottom w:w="70" w:type="dxa"/>
              <w:right w:w="70" w:type="dxa"/>
            </w:tcMar>
          </w:tcPr>
          <w:p w14:paraId="0E122B31" w14:textId="77777777" w:rsidR="00D1797A" w:rsidRDefault="00000000">
            <w:pPr>
              <w:spacing w:after="0" w:line="240" w:lineRule="auto"/>
              <w:jc w:val="left"/>
            </w:pPr>
            <w:r>
              <w:rPr>
                <w:rFonts w:ascii="Arial" w:eastAsia="Arial" w:hAnsi="Arial"/>
                <w:sz w:val="15"/>
              </w:rPr>
              <w:t>Documented hypovolaemia or shock with serial reassessment</w:t>
            </w:r>
          </w:p>
        </w:tc>
        <w:tc>
          <w:tcPr>
            <w:tcW w:w="2580" w:type="dxa"/>
            <w:tcMar>
              <w:top w:w="70" w:type="dxa"/>
              <w:left w:w="70" w:type="dxa"/>
              <w:bottom w:w="70" w:type="dxa"/>
              <w:right w:w="70" w:type="dxa"/>
            </w:tcMar>
          </w:tcPr>
          <w:p w14:paraId="6A0FAF38" w14:textId="77777777" w:rsidR="00D1797A" w:rsidRDefault="00000000">
            <w:pPr>
              <w:spacing w:after="0" w:line="240" w:lineRule="auto"/>
              <w:jc w:val="left"/>
            </w:pPr>
            <w:r>
              <w:rPr>
                <w:rFonts w:ascii="Arial" w:eastAsia="Arial" w:hAnsi="Arial"/>
                <w:sz w:val="15"/>
              </w:rPr>
              <w:t>Over-resuscitation worsens oedema; vasopressors do not replace volume or antivenom</w:t>
            </w:r>
          </w:p>
        </w:tc>
        <w:tc>
          <w:tcPr>
            <w:tcW w:w="2580" w:type="dxa"/>
            <w:tcMar>
              <w:top w:w="70" w:type="dxa"/>
              <w:left w:w="70" w:type="dxa"/>
              <w:bottom w:w="70" w:type="dxa"/>
              <w:right w:w="70" w:type="dxa"/>
            </w:tcMar>
          </w:tcPr>
          <w:p w14:paraId="76C1EEED" w14:textId="77777777" w:rsidR="00D1797A" w:rsidRDefault="00000000">
            <w:pPr>
              <w:spacing w:after="0" w:line="240" w:lineRule="auto"/>
              <w:jc w:val="left"/>
            </w:pPr>
            <w:r>
              <w:rPr>
                <w:rFonts w:ascii="Arial" w:eastAsia="Arial" w:hAnsi="Arial"/>
                <w:sz w:val="15"/>
              </w:rPr>
              <w:t>Moderate, mainly extrapolated critical-care evidence</w:t>
            </w:r>
          </w:p>
        </w:tc>
        <w:tc>
          <w:tcPr>
            <w:tcW w:w="2580" w:type="dxa"/>
            <w:tcMar>
              <w:top w:w="70" w:type="dxa"/>
              <w:left w:w="70" w:type="dxa"/>
              <w:bottom w:w="70" w:type="dxa"/>
              <w:right w:w="70" w:type="dxa"/>
            </w:tcMar>
          </w:tcPr>
          <w:p w14:paraId="08F7F668" w14:textId="77777777" w:rsidR="00D1797A" w:rsidRDefault="00000000">
            <w:pPr>
              <w:spacing w:after="0" w:line="240" w:lineRule="auto"/>
              <w:jc w:val="left"/>
            </w:pPr>
            <w:r>
              <w:rPr>
                <w:rFonts w:ascii="Arial" w:eastAsia="Arial" w:hAnsi="Arial"/>
                <w:sz w:val="15"/>
              </w:rPr>
              <w:t>Gilliam and Brunker (2011); Migliorisi et al. (2026)</w:t>
            </w:r>
          </w:p>
        </w:tc>
      </w:tr>
      <w:tr w:rsidR="00D1797A" w14:paraId="7D262648" w14:textId="77777777">
        <w:trPr>
          <w:cantSplit/>
          <w:jc w:val="center"/>
        </w:trPr>
        <w:tc>
          <w:tcPr>
            <w:tcW w:w="2580" w:type="dxa"/>
            <w:shd w:val="clear" w:color="auto" w:fill="F7F9FC"/>
            <w:tcMar>
              <w:top w:w="70" w:type="dxa"/>
              <w:left w:w="70" w:type="dxa"/>
              <w:bottom w:w="70" w:type="dxa"/>
              <w:right w:w="70" w:type="dxa"/>
            </w:tcMar>
          </w:tcPr>
          <w:p w14:paraId="4E7B49E3" w14:textId="77777777" w:rsidR="00D1797A" w:rsidRDefault="00000000">
            <w:pPr>
              <w:spacing w:after="0" w:line="240" w:lineRule="auto"/>
              <w:jc w:val="left"/>
            </w:pPr>
            <w:r>
              <w:rPr>
                <w:rFonts w:ascii="Arial" w:eastAsia="Arial" w:hAnsi="Arial"/>
                <w:sz w:val="15"/>
              </w:rPr>
              <w:t>Blood components</w:t>
            </w:r>
          </w:p>
        </w:tc>
        <w:tc>
          <w:tcPr>
            <w:tcW w:w="2580" w:type="dxa"/>
            <w:shd w:val="clear" w:color="auto" w:fill="F7F9FC"/>
            <w:tcMar>
              <w:top w:w="70" w:type="dxa"/>
              <w:left w:w="70" w:type="dxa"/>
              <w:bottom w:w="70" w:type="dxa"/>
              <w:right w:w="70" w:type="dxa"/>
            </w:tcMar>
          </w:tcPr>
          <w:p w14:paraId="6ACE6673" w14:textId="77777777" w:rsidR="00D1797A" w:rsidRDefault="00000000">
            <w:pPr>
              <w:spacing w:after="0" w:line="240" w:lineRule="auto"/>
              <w:jc w:val="left"/>
            </w:pPr>
            <w:r>
              <w:rPr>
                <w:rFonts w:ascii="Arial" w:eastAsia="Arial" w:hAnsi="Arial"/>
                <w:sz w:val="15"/>
              </w:rPr>
              <w:t>Replaces red cells and coagulation factors</w:t>
            </w:r>
          </w:p>
        </w:tc>
        <w:tc>
          <w:tcPr>
            <w:tcW w:w="2580" w:type="dxa"/>
            <w:shd w:val="clear" w:color="auto" w:fill="F7F9FC"/>
            <w:tcMar>
              <w:top w:w="70" w:type="dxa"/>
              <w:left w:w="70" w:type="dxa"/>
              <w:bottom w:w="70" w:type="dxa"/>
              <w:right w:w="70" w:type="dxa"/>
            </w:tcMar>
          </w:tcPr>
          <w:p w14:paraId="0B3D3394" w14:textId="77777777" w:rsidR="00D1797A" w:rsidRDefault="00000000">
            <w:pPr>
              <w:spacing w:after="0" w:line="240" w:lineRule="auto"/>
              <w:jc w:val="left"/>
            </w:pPr>
            <w:r>
              <w:rPr>
                <w:rFonts w:ascii="Arial" w:eastAsia="Arial" w:hAnsi="Arial"/>
                <w:sz w:val="15"/>
              </w:rPr>
              <w:t>Clinically important haemorrhage, severe anaemia or persistent factor deficit after venom control</w:t>
            </w:r>
          </w:p>
        </w:tc>
        <w:tc>
          <w:tcPr>
            <w:tcW w:w="2580" w:type="dxa"/>
            <w:shd w:val="clear" w:color="auto" w:fill="F7F9FC"/>
            <w:tcMar>
              <w:top w:w="70" w:type="dxa"/>
              <w:left w:w="70" w:type="dxa"/>
              <w:bottom w:w="70" w:type="dxa"/>
              <w:right w:w="70" w:type="dxa"/>
            </w:tcMar>
          </w:tcPr>
          <w:p w14:paraId="45F07A86" w14:textId="77777777" w:rsidR="00D1797A" w:rsidRDefault="00000000">
            <w:pPr>
              <w:spacing w:after="0" w:line="240" w:lineRule="auto"/>
              <w:jc w:val="left"/>
            </w:pPr>
            <w:r>
              <w:rPr>
                <w:rFonts w:ascii="Arial" w:eastAsia="Arial" w:hAnsi="Arial"/>
                <w:sz w:val="15"/>
              </w:rPr>
              <w:t>Does not neutralise venom and may provide substrate for ongoing consumption</w:t>
            </w:r>
          </w:p>
        </w:tc>
        <w:tc>
          <w:tcPr>
            <w:tcW w:w="2580" w:type="dxa"/>
            <w:shd w:val="clear" w:color="auto" w:fill="F7F9FC"/>
            <w:tcMar>
              <w:top w:w="70" w:type="dxa"/>
              <w:left w:w="70" w:type="dxa"/>
              <w:bottom w:w="70" w:type="dxa"/>
              <w:right w:w="70" w:type="dxa"/>
            </w:tcMar>
          </w:tcPr>
          <w:p w14:paraId="359944A4" w14:textId="77777777" w:rsidR="00D1797A" w:rsidRDefault="00000000">
            <w:pPr>
              <w:spacing w:after="0" w:line="240" w:lineRule="auto"/>
              <w:jc w:val="left"/>
            </w:pPr>
            <w:r>
              <w:rPr>
                <w:rFonts w:ascii="Arial" w:eastAsia="Arial" w:hAnsi="Arial"/>
                <w:sz w:val="15"/>
              </w:rPr>
              <w:t>Low-to-moderate</w:t>
            </w:r>
          </w:p>
        </w:tc>
        <w:tc>
          <w:tcPr>
            <w:tcW w:w="2580" w:type="dxa"/>
            <w:shd w:val="clear" w:color="auto" w:fill="F7F9FC"/>
            <w:tcMar>
              <w:top w:w="70" w:type="dxa"/>
              <w:left w:w="70" w:type="dxa"/>
              <w:bottom w:w="70" w:type="dxa"/>
              <w:right w:w="70" w:type="dxa"/>
            </w:tcMar>
          </w:tcPr>
          <w:p w14:paraId="53EB18E0" w14:textId="77777777" w:rsidR="00D1797A" w:rsidRDefault="00000000">
            <w:pPr>
              <w:spacing w:after="0" w:line="240" w:lineRule="auto"/>
              <w:jc w:val="left"/>
            </w:pPr>
            <w:r>
              <w:rPr>
                <w:rFonts w:ascii="Arial" w:eastAsia="Arial" w:hAnsi="Arial"/>
                <w:sz w:val="15"/>
              </w:rPr>
              <w:t>Aroch et al. (2010); Slagboom et al. (2017)</w:t>
            </w:r>
          </w:p>
        </w:tc>
      </w:tr>
      <w:tr w:rsidR="00D1797A" w14:paraId="1B57FEAC" w14:textId="77777777">
        <w:trPr>
          <w:cantSplit/>
          <w:jc w:val="center"/>
        </w:trPr>
        <w:tc>
          <w:tcPr>
            <w:tcW w:w="2580" w:type="dxa"/>
            <w:tcMar>
              <w:top w:w="70" w:type="dxa"/>
              <w:left w:w="70" w:type="dxa"/>
              <w:bottom w:w="70" w:type="dxa"/>
              <w:right w:w="70" w:type="dxa"/>
            </w:tcMar>
          </w:tcPr>
          <w:p w14:paraId="3B97A15A" w14:textId="77777777" w:rsidR="00D1797A" w:rsidRDefault="00000000">
            <w:pPr>
              <w:spacing w:after="0" w:line="240" w:lineRule="auto"/>
              <w:jc w:val="left"/>
            </w:pPr>
            <w:r>
              <w:rPr>
                <w:rFonts w:ascii="Arial" w:eastAsia="Arial" w:hAnsi="Arial"/>
                <w:sz w:val="15"/>
              </w:rPr>
              <w:t>Opioid analgesia</w:t>
            </w:r>
          </w:p>
        </w:tc>
        <w:tc>
          <w:tcPr>
            <w:tcW w:w="2580" w:type="dxa"/>
            <w:tcMar>
              <w:top w:w="70" w:type="dxa"/>
              <w:left w:w="70" w:type="dxa"/>
              <w:bottom w:w="70" w:type="dxa"/>
              <w:right w:w="70" w:type="dxa"/>
            </w:tcMar>
          </w:tcPr>
          <w:p w14:paraId="4315C3A6" w14:textId="77777777" w:rsidR="00D1797A" w:rsidRDefault="00000000">
            <w:pPr>
              <w:spacing w:after="0" w:line="240" w:lineRule="auto"/>
              <w:jc w:val="left"/>
            </w:pPr>
            <w:r>
              <w:rPr>
                <w:rFonts w:ascii="Arial" w:eastAsia="Arial" w:hAnsi="Arial"/>
                <w:sz w:val="15"/>
              </w:rPr>
              <w:t>Controls pain with titratable effects</w:t>
            </w:r>
          </w:p>
        </w:tc>
        <w:tc>
          <w:tcPr>
            <w:tcW w:w="2580" w:type="dxa"/>
            <w:tcMar>
              <w:top w:w="70" w:type="dxa"/>
              <w:left w:w="70" w:type="dxa"/>
              <w:bottom w:w="70" w:type="dxa"/>
              <w:right w:w="70" w:type="dxa"/>
            </w:tcMar>
          </w:tcPr>
          <w:p w14:paraId="34FF9BDC" w14:textId="77777777" w:rsidR="00D1797A" w:rsidRDefault="00000000">
            <w:pPr>
              <w:spacing w:after="0" w:line="240" w:lineRule="auto"/>
              <w:jc w:val="left"/>
            </w:pPr>
            <w:r>
              <w:rPr>
                <w:rFonts w:ascii="Arial" w:eastAsia="Arial" w:hAnsi="Arial"/>
                <w:sz w:val="15"/>
              </w:rPr>
              <w:t>Painful local injury with attention to respiratory status</w:t>
            </w:r>
          </w:p>
        </w:tc>
        <w:tc>
          <w:tcPr>
            <w:tcW w:w="2580" w:type="dxa"/>
            <w:tcMar>
              <w:top w:w="70" w:type="dxa"/>
              <w:left w:w="70" w:type="dxa"/>
              <w:bottom w:w="70" w:type="dxa"/>
              <w:right w:w="70" w:type="dxa"/>
            </w:tcMar>
          </w:tcPr>
          <w:p w14:paraId="4D0B179F" w14:textId="77777777" w:rsidR="00D1797A" w:rsidRDefault="00000000">
            <w:pPr>
              <w:spacing w:after="0" w:line="240" w:lineRule="auto"/>
              <w:jc w:val="left"/>
            </w:pPr>
            <w:r>
              <w:rPr>
                <w:rFonts w:ascii="Arial" w:eastAsia="Arial" w:hAnsi="Arial"/>
                <w:sz w:val="15"/>
              </w:rPr>
              <w:t>Sedation can confound neurological assessment</w:t>
            </w:r>
          </w:p>
        </w:tc>
        <w:tc>
          <w:tcPr>
            <w:tcW w:w="2580" w:type="dxa"/>
            <w:tcMar>
              <w:top w:w="70" w:type="dxa"/>
              <w:left w:w="70" w:type="dxa"/>
              <w:bottom w:w="70" w:type="dxa"/>
              <w:right w:w="70" w:type="dxa"/>
            </w:tcMar>
          </w:tcPr>
          <w:p w14:paraId="3D95FA4A" w14:textId="77777777" w:rsidR="00D1797A" w:rsidRDefault="00000000">
            <w:pPr>
              <w:spacing w:after="0" w:line="240" w:lineRule="auto"/>
              <w:jc w:val="left"/>
            </w:pPr>
            <w:r>
              <w:rPr>
                <w:rFonts w:ascii="Arial" w:eastAsia="Arial" w:hAnsi="Arial"/>
                <w:sz w:val="15"/>
              </w:rPr>
              <w:t>Consensus-based</w:t>
            </w:r>
          </w:p>
        </w:tc>
        <w:tc>
          <w:tcPr>
            <w:tcW w:w="2580" w:type="dxa"/>
            <w:tcMar>
              <w:top w:w="70" w:type="dxa"/>
              <w:left w:w="70" w:type="dxa"/>
              <w:bottom w:w="70" w:type="dxa"/>
              <w:right w:w="70" w:type="dxa"/>
            </w:tcMar>
          </w:tcPr>
          <w:p w14:paraId="3DAFC652" w14:textId="77777777" w:rsidR="00D1797A" w:rsidRDefault="00000000">
            <w:pPr>
              <w:spacing w:after="0" w:line="240" w:lineRule="auto"/>
              <w:jc w:val="left"/>
            </w:pPr>
            <w:r>
              <w:rPr>
                <w:rFonts w:ascii="Arial" w:eastAsia="Arial" w:hAnsi="Arial"/>
                <w:sz w:val="15"/>
              </w:rPr>
              <w:t>Armentano and Schaer (2011); Gilliam and Brunker (2011)</w:t>
            </w:r>
          </w:p>
        </w:tc>
      </w:tr>
      <w:tr w:rsidR="00D1797A" w14:paraId="0D2C1CB9" w14:textId="77777777">
        <w:trPr>
          <w:cantSplit/>
          <w:jc w:val="center"/>
        </w:trPr>
        <w:tc>
          <w:tcPr>
            <w:tcW w:w="2580" w:type="dxa"/>
            <w:shd w:val="clear" w:color="auto" w:fill="F7F9FC"/>
            <w:tcMar>
              <w:top w:w="70" w:type="dxa"/>
              <w:left w:w="70" w:type="dxa"/>
              <w:bottom w:w="70" w:type="dxa"/>
              <w:right w:w="70" w:type="dxa"/>
            </w:tcMar>
          </w:tcPr>
          <w:p w14:paraId="19D1DFE2" w14:textId="77777777" w:rsidR="00D1797A" w:rsidRDefault="00000000">
            <w:pPr>
              <w:spacing w:after="0" w:line="240" w:lineRule="auto"/>
              <w:jc w:val="left"/>
            </w:pPr>
            <w:r>
              <w:rPr>
                <w:rFonts w:ascii="Arial" w:eastAsia="Arial" w:hAnsi="Arial"/>
                <w:sz w:val="15"/>
              </w:rPr>
              <w:t>Glucocorticoids</w:t>
            </w:r>
          </w:p>
        </w:tc>
        <w:tc>
          <w:tcPr>
            <w:tcW w:w="2580" w:type="dxa"/>
            <w:shd w:val="clear" w:color="auto" w:fill="F7F9FC"/>
            <w:tcMar>
              <w:top w:w="70" w:type="dxa"/>
              <w:left w:w="70" w:type="dxa"/>
              <w:bottom w:w="70" w:type="dxa"/>
              <w:right w:w="70" w:type="dxa"/>
            </w:tcMar>
          </w:tcPr>
          <w:p w14:paraId="23869AF3" w14:textId="77777777" w:rsidR="00D1797A" w:rsidRDefault="00000000">
            <w:pPr>
              <w:spacing w:after="0" w:line="240" w:lineRule="auto"/>
              <w:jc w:val="left"/>
            </w:pPr>
            <w:r>
              <w:rPr>
                <w:rFonts w:ascii="Arial" w:eastAsia="Arial" w:hAnsi="Arial"/>
                <w:sz w:val="15"/>
              </w:rPr>
              <w:t>Treats selected allergic or delayed immune reactions</w:t>
            </w:r>
          </w:p>
        </w:tc>
        <w:tc>
          <w:tcPr>
            <w:tcW w:w="2580" w:type="dxa"/>
            <w:shd w:val="clear" w:color="auto" w:fill="F7F9FC"/>
            <w:tcMar>
              <w:top w:w="70" w:type="dxa"/>
              <w:left w:w="70" w:type="dxa"/>
              <w:bottom w:w="70" w:type="dxa"/>
              <w:right w:w="70" w:type="dxa"/>
            </w:tcMar>
          </w:tcPr>
          <w:p w14:paraId="7DF31871" w14:textId="77777777" w:rsidR="00D1797A" w:rsidRDefault="00000000">
            <w:pPr>
              <w:spacing w:after="0" w:line="240" w:lineRule="auto"/>
              <w:jc w:val="left"/>
            </w:pPr>
            <w:r>
              <w:rPr>
                <w:rFonts w:ascii="Arial" w:eastAsia="Arial" w:hAnsi="Arial"/>
                <w:sz w:val="15"/>
              </w:rPr>
              <w:t>Specific hypersensitivity indication</w:t>
            </w:r>
          </w:p>
        </w:tc>
        <w:tc>
          <w:tcPr>
            <w:tcW w:w="2580" w:type="dxa"/>
            <w:shd w:val="clear" w:color="auto" w:fill="F7F9FC"/>
            <w:tcMar>
              <w:top w:w="70" w:type="dxa"/>
              <w:left w:w="70" w:type="dxa"/>
              <w:bottom w:w="70" w:type="dxa"/>
              <w:right w:w="70" w:type="dxa"/>
            </w:tcMar>
          </w:tcPr>
          <w:p w14:paraId="71FDA1C8" w14:textId="77777777" w:rsidR="00D1797A" w:rsidRDefault="00000000">
            <w:pPr>
              <w:spacing w:after="0" w:line="240" w:lineRule="auto"/>
              <w:jc w:val="left"/>
            </w:pPr>
            <w:r>
              <w:rPr>
                <w:rFonts w:ascii="Arial" w:eastAsia="Arial" w:hAnsi="Arial"/>
                <w:sz w:val="15"/>
              </w:rPr>
              <w:t>Does not neutralise venom; routine benefit not shown and adverse effects are possible</w:t>
            </w:r>
          </w:p>
        </w:tc>
        <w:tc>
          <w:tcPr>
            <w:tcW w:w="2580" w:type="dxa"/>
            <w:shd w:val="clear" w:color="auto" w:fill="F7F9FC"/>
            <w:tcMar>
              <w:top w:w="70" w:type="dxa"/>
              <w:left w:w="70" w:type="dxa"/>
              <w:bottom w:w="70" w:type="dxa"/>
              <w:right w:w="70" w:type="dxa"/>
            </w:tcMar>
          </w:tcPr>
          <w:p w14:paraId="2A3463E1" w14:textId="77777777" w:rsidR="00D1797A" w:rsidRDefault="00000000">
            <w:pPr>
              <w:spacing w:after="0" w:line="240" w:lineRule="auto"/>
              <w:jc w:val="left"/>
            </w:pPr>
            <w:r>
              <w:rPr>
                <w:rFonts w:ascii="Arial" w:eastAsia="Arial" w:hAnsi="Arial"/>
                <w:sz w:val="15"/>
              </w:rPr>
              <w:t>Moderate evidence against routine canine use</w:t>
            </w:r>
          </w:p>
        </w:tc>
        <w:tc>
          <w:tcPr>
            <w:tcW w:w="2580" w:type="dxa"/>
            <w:shd w:val="clear" w:color="auto" w:fill="F7F9FC"/>
            <w:tcMar>
              <w:top w:w="70" w:type="dxa"/>
              <w:left w:w="70" w:type="dxa"/>
              <w:bottom w:w="70" w:type="dxa"/>
              <w:right w:w="70" w:type="dxa"/>
            </w:tcMar>
          </w:tcPr>
          <w:p w14:paraId="36E869B5" w14:textId="77777777" w:rsidR="00D1797A" w:rsidRDefault="00000000">
            <w:pPr>
              <w:spacing w:after="0" w:line="240" w:lineRule="auto"/>
              <w:jc w:val="left"/>
            </w:pPr>
            <w:r>
              <w:rPr>
                <w:rFonts w:ascii="Arial" w:eastAsia="Arial" w:hAnsi="Arial"/>
                <w:sz w:val="15"/>
              </w:rPr>
              <w:t>Brandeker et al. (2015)</w:t>
            </w:r>
          </w:p>
        </w:tc>
      </w:tr>
      <w:tr w:rsidR="00D1797A" w14:paraId="5B77B4CC" w14:textId="77777777">
        <w:trPr>
          <w:cantSplit/>
          <w:jc w:val="center"/>
        </w:trPr>
        <w:tc>
          <w:tcPr>
            <w:tcW w:w="2580" w:type="dxa"/>
            <w:tcMar>
              <w:top w:w="70" w:type="dxa"/>
              <w:left w:w="70" w:type="dxa"/>
              <w:bottom w:w="70" w:type="dxa"/>
              <w:right w:w="70" w:type="dxa"/>
            </w:tcMar>
          </w:tcPr>
          <w:p w14:paraId="7056A21F" w14:textId="77777777" w:rsidR="00D1797A" w:rsidRDefault="00000000">
            <w:pPr>
              <w:spacing w:after="0" w:line="240" w:lineRule="auto"/>
              <w:jc w:val="left"/>
            </w:pPr>
            <w:r>
              <w:rPr>
                <w:rFonts w:ascii="Arial" w:eastAsia="Arial" w:hAnsi="Arial"/>
                <w:sz w:val="15"/>
              </w:rPr>
              <w:t>Antihistamines</w:t>
            </w:r>
          </w:p>
        </w:tc>
        <w:tc>
          <w:tcPr>
            <w:tcW w:w="2580" w:type="dxa"/>
            <w:tcMar>
              <w:top w:w="70" w:type="dxa"/>
              <w:left w:w="70" w:type="dxa"/>
              <w:bottom w:w="70" w:type="dxa"/>
              <w:right w:w="70" w:type="dxa"/>
            </w:tcMar>
          </w:tcPr>
          <w:p w14:paraId="469672F3" w14:textId="77777777" w:rsidR="00D1797A" w:rsidRDefault="00000000">
            <w:pPr>
              <w:spacing w:after="0" w:line="240" w:lineRule="auto"/>
              <w:jc w:val="left"/>
            </w:pPr>
            <w:r>
              <w:rPr>
                <w:rFonts w:ascii="Arial" w:eastAsia="Arial" w:hAnsi="Arial"/>
                <w:sz w:val="15"/>
              </w:rPr>
              <w:t>Adjunct for cutaneous hypersensitivity</w:t>
            </w:r>
          </w:p>
        </w:tc>
        <w:tc>
          <w:tcPr>
            <w:tcW w:w="2580" w:type="dxa"/>
            <w:tcMar>
              <w:top w:w="70" w:type="dxa"/>
              <w:left w:w="70" w:type="dxa"/>
              <w:bottom w:w="70" w:type="dxa"/>
              <w:right w:w="70" w:type="dxa"/>
            </w:tcMar>
          </w:tcPr>
          <w:p w14:paraId="14C4BF81" w14:textId="77777777" w:rsidR="00D1797A" w:rsidRDefault="00000000">
            <w:pPr>
              <w:spacing w:after="0" w:line="240" w:lineRule="auto"/>
              <w:jc w:val="left"/>
            </w:pPr>
            <w:r>
              <w:rPr>
                <w:rFonts w:ascii="Arial" w:eastAsia="Arial" w:hAnsi="Arial"/>
                <w:sz w:val="15"/>
              </w:rPr>
              <w:t>Urticaria or pruritus during reaction management</w:t>
            </w:r>
          </w:p>
        </w:tc>
        <w:tc>
          <w:tcPr>
            <w:tcW w:w="2580" w:type="dxa"/>
            <w:tcMar>
              <w:top w:w="70" w:type="dxa"/>
              <w:left w:w="70" w:type="dxa"/>
              <w:bottom w:w="70" w:type="dxa"/>
              <w:right w:w="70" w:type="dxa"/>
            </w:tcMar>
          </w:tcPr>
          <w:p w14:paraId="5AF36891" w14:textId="77777777" w:rsidR="00D1797A" w:rsidRDefault="00000000">
            <w:pPr>
              <w:spacing w:after="0" w:line="240" w:lineRule="auto"/>
              <w:jc w:val="left"/>
            </w:pPr>
            <w:r>
              <w:rPr>
                <w:rFonts w:ascii="Arial" w:eastAsia="Arial" w:hAnsi="Arial"/>
                <w:sz w:val="15"/>
              </w:rPr>
              <w:t>Does not treat anaphylactic shock or envenomation; sedation may confuse assessment</w:t>
            </w:r>
          </w:p>
        </w:tc>
        <w:tc>
          <w:tcPr>
            <w:tcW w:w="2580" w:type="dxa"/>
            <w:tcMar>
              <w:top w:w="70" w:type="dxa"/>
              <w:left w:w="70" w:type="dxa"/>
              <w:bottom w:w="70" w:type="dxa"/>
              <w:right w:w="70" w:type="dxa"/>
            </w:tcMar>
          </w:tcPr>
          <w:p w14:paraId="46FF5F10" w14:textId="77777777" w:rsidR="00D1797A" w:rsidRDefault="00000000">
            <w:pPr>
              <w:spacing w:after="0" w:line="240" w:lineRule="auto"/>
              <w:jc w:val="left"/>
            </w:pPr>
            <w:r>
              <w:rPr>
                <w:rFonts w:ascii="Arial" w:eastAsia="Arial" w:hAnsi="Arial"/>
                <w:sz w:val="15"/>
              </w:rPr>
              <w:t>Low-to-moderate</w:t>
            </w:r>
          </w:p>
        </w:tc>
        <w:tc>
          <w:tcPr>
            <w:tcW w:w="2580" w:type="dxa"/>
            <w:tcMar>
              <w:top w:w="70" w:type="dxa"/>
              <w:left w:w="70" w:type="dxa"/>
              <w:bottom w:w="70" w:type="dxa"/>
              <w:right w:w="70" w:type="dxa"/>
            </w:tcMar>
          </w:tcPr>
          <w:p w14:paraId="4DEEC13A" w14:textId="77777777" w:rsidR="00D1797A" w:rsidRDefault="00000000">
            <w:pPr>
              <w:spacing w:after="0" w:line="240" w:lineRule="auto"/>
              <w:jc w:val="left"/>
            </w:pPr>
            <w:r>
              <w:rPr>
                <w:rFonts w:ascii="Arial" w:eastAsia="Arial" w:hAnsi="Arial"/>
                <w:sz w:val="15"/>
              </w:rPr>
              <w:t>Lund et al. (2013); Carotenuto et al. (2021)</w:t>
            </w:r>
          </w:p>
        </w:tc>
      </w:tr>
      <w:tr w:rsidR="00D1797A" w14:paraId="7B9A094A" w14:textId="77777777">
        <w:trPr>
          <w:cantSplit/>
          <w:jc w:val="center"/>
        </w:trPr>
        <w:tc>
          <w:tcPr>
            <w:tcW w:w="2580" w:type="dxa"/>
            <w:shd w:val="clear" w:color="auto" w:fill="F7F9FC"/>
            <w:tcMar>
              <w:top w:w="70" w:type="dxa"/>
              <w:left w:w="70" w:type="dxa"/>
              <w:bottom w:w="70" w:type="dxa"/>
              <w:right w:w="70" w:type="dxa"/>
            </w:tcMar>
          </w:tcPr>
          <w:p w14:paraId="1A5FD113" w14:textId="77777777" w:rsidR="00D1797A" w:rsidRDefault="00000000">
            <w:pPr>
              <w:spacing w:after="0" w:line="240" w:lineRule="auto"/>
              <w:jc w:val="left"/>
            </w:pPr>
            <w:r>
              <w:rPr>
                <w:rFonts w:ascii="Arial" w:eastAsia="Arial" w:hAnsi="Arial"/>
                <w:sz w:val="15"/>
              </w:rPr>
              <w:t>Antimicrobials</w:t>
            </w:r>
          </w:p>
        </w:tc>
        <w:tc>
          <w:tcPr>
            <w:tcW w:w="2580" w:type="dxa"/>
            <w:shd w:val="clear" w:color="auto" w:fill="F7F9FC"/>
            <w:tcMar>
              <w:top w:w="70" w:type="dxa"/>
              <w:left w:w="70" w:type="dxa"/>
              <w:bottom w:w="70" w:type="dxa"/>
              <w:right w:w="70" w:type="dxa"/>
            </w:tcMar>
          </w:tcPr>
          <w:p w14:paraId="68E48D02" w14:textId="77777777" w:rsidR="00D1797A" w:rsidRDefault="00000000">
            <w:pPr>
              <w:spacing w:after="0" w:line="240" w:lineRule="auto"/>
              <w:jc w:val="left"/>
            </w:pPr>
            <w:r>
              <w:rPr>
                <w:rFonts w:ascii="Arial" w:eastAsia="Arial" w:hAnsi="Arial"/>
                <w:sz w:val="15"/>
              </w:rPr>
              <w:t>Treats bacterial infection</w:t>
            </w:r>
          </w:p>
        </w:tc>
        <w:tc>
          <w:tcPr>
            <w:tcW w:w="2580" w:type="dxa"/>
            <w:shd w:val="clear" w:color="auto" w:fill="F7F9FC"/>
            <w:tcMar>
              <w:top w:w="70" w:type="dxa"/>
              <w:left w:w="70" w:type="dxa"/>
              <w:bottom w:w="70" w:type="dxa"/>
              <w:right w:w="70" w:type="dxa"/>
            </w:tcMar>
          </w:tcPr>
          <w:p w14:paraId="23026E07" w14:textId="77777777" w:rsidR="00D1797A" w:rsidRDefault="00000000">
            <w:pPr>
              <w:spacing w:after="0" w:line="240" w:lineRule="auto"/>
              <w:jc w:val="left"/>
            </w:pPr>
            <w:r>
              <w:rPr>
                <w:rFonts w:ascii="Arial" w:eastAsia="Arial" w:hAnsi="Arial"/>
                <w:sz w:val="15"/>
              </w:rPr>
              <w:t>Documented infection, gross contamination, aspiration or infected necrosis</w:t>
            </w:r>
          </w:p>
        </w:tc>
        <w:tc>
          <w:tcPr>
            <w:tcW w:w="2580" w:type="dxa"/>
            <w:shd w:val="clear" w:color="auto" w:fill="F7F9FC"/>
            <w:tcMar>
              <w:top w:w="70" w:type="dxa"/>
              <w:left w:w="70" w:type="dxa"/>
              <w:bottom w:w="70" w:type="dxa"/>
              <w:right w:w="70" w:type="dxa"/>
            </w:tcMar>
          </w:tcPr>
          <w:p w14:paraId="2F43D664" w14:textId="77777777" w:rsidR="00D1797A" w:rsidRDefault="00000000">
            <w:pPr>
              <w:spacing w:after="0" w:line="240" w:lineRule="auto"/>
              <w:jc w:val="left"/>
            </w:pPr>
            <w:r>
              <w:rPr>
                <w:rFonts w:ascii="Arial" w:eastAsia="Arial" w:hAnsi="Arial"/>
                <w:sz w:val="15"/>
              </w:rPr>
              <w:t>Sterile inflammation is common; prophylaxis promotes adverse effects and resistance</w:t>
            </w:r>
          </w:p>
        </w:tc>
        <w:tc>
          <w:tcPr>
            <w:tcW w:w="2580" w:type="dxa"/>
            <w:shd w:val="clear" w:color="auto" w:fill="F7F9FC"/>
            <w:tcMar>
              <w:top w:w="70" w:type="dxa"/>
              <w:left w:w="70" w:type="dxa"/>
              <w:bottom w:w="70" w:type="dxa"/>
              <w:right w:w="70" w:type="dxa"/>
            </w:tcMar>
          </w:tcPr>
          <w:p w14:paraId="5884779E" w14:textId="77777777" w:rsidR="00D1797A" w:rsidRDefault="00000000">
            <w:pPr>
              <w:spacing w:after="0" w:line="240" w:lineRule="auto"/>
              <w:jc w:val="left"/>
            </w:pPr>
            <w:r>
              <w:rPr>
                <w:rFonts w:ascii="Arial" w:eastAsia="Arial" w:hAnsi="Arial"/>
                <w:sz w:val="15"/>
              </w:rPr>
              <w:t>Low-to-moderate against routine prophylaxis</w:t>
            </w:r>
          </w:p>
        </w:tc>
        <w:tc>
          <w:tcPr>
            <w:tcW w:w="2580" w:type="dxa"/>
            <w:shd w:val="clear" w:color="auto" w:fill="F7F9FC"/>
            <w:tcMar>
              <w:top w:w="70" w:type="dxa"/>
              <w:left w:w="70" w:type="dxa"/>
              <w:bottom w:w="70" w:type="dxa"/>
              <w:right w:w="70" w:type="dxa"/>
            </w:tcMar>
          </w:tcPr>
          <w:p w14:paraId="6CEDD890" w14:textId="77777777" w:rsidR="00D1797A" w:rsidRDefault="00000000">
            <w:pPr>
              <w:spacing w:after="0" w:line="240" w:lineRule="auto"/>
              <w:jc w:val="left"/>
            </w:pPr>
            <w:r>
              <w:rPr>
                <w:rFonts w:ascii="Arial" w:eastAsia="Arial" w:hAnsi="Arial"/>
                <w:sz w:val="15"/>
              </w:rPr>
              <w:t>Armentano and Schaer (2011); Gilliam and Brunker (2011)</w:t>
            </w:r>
          </w:p>
        </w:tc>
      </w:tr>
      <w:tr w:rsidR="00D1797A" w14:paraId="4ADC56A7" w14:textId="77777777">
        <w:trPr>
          <w:cantSplit/>
          <w:jc w:val="center"/>
        </w:trPr>
        <w:tc>
          <w:tcPr>
            <w:tcW w:w="2580" w:type="dxa"/>
            <w:tcMar>
              <w:top w:w="70" w:type="dxa"/>
              <w:left w:w="70" w:type="dxa"/>
              <w:bottom w:w="70" w:type="dxa"/>
              <w:right w:w="70" w:type="dxa"/>
            </w:tcMar>
          </w:tcPr>
          <w:p w14:paraId="5F635B2F" w14:textId="77777777" w:rsidR="00D1797A" w:rsidRDefault="00000000">
            <w:pPr>
              <w:spacing w:after="0" w:line="240" w:lineRule="auto"/>
              <w:jc w:val="left"/>
            </w:pPr>
            <w:r>
              <w:rPr>
                <w:rFonts w:ascii="Arial" w:eastAsia="Arial" w:hAnsi="Arial"/>
                <w:sz w:val="15"/>
              </w:rPr>
              <w:t>NSAIDs</w:t>
            </w:r>
          </w:p>
        </w:tc>
        <w:tc>
          <w:tcPr>
            <w:tcW w:w="2580" w:type="dxa"/>
            <w:tcMar>
              <w:top w:w="70" w:type="dxa"/>
              <w:left w:w="70" w:type="dxa"/>
              <w:bottom w:w="70" w:type="dxa"/>
              <w:right w:w="70" w:type="dxa"/>
            </w:tcMar>
          </w:tcPr>
          <w:p w14:paraId="01AE0B4C" w14:textId="77777777" w:rsidR="00D1797A" w:rsidRDefault="00000000">
            <w:pPr>
              <w:spacing w:after="0" w:line="240" w:lineRule="auto"/>
              <w:jc w:val="left"/>
            </w:pPr>
            <w:r>
              <w:rPr>
                <w:rFonts w:ascii="Arial" w:eastAsia="Arial" w:hAnsi="Arial"/>
                <w:sz w:val="15"/>
              </w:rPr>
              <w:t>Analgesic and anti-inflammatory</w:t>
            </w:r>
          </w:p>
        </w:tc>
        <w:tc>
          <w:tcPr>
            <w:tcW w:w="2580" w:type="dxa"/>
            <w:tcMar>
              <w:top w:w="70" w:type="dxa"/>
              <w:left w:w="70" w:type="dxa"/>
              <w:bottom w:w="70" w:type="dxa"/>
              <w:right w:w="70" w:type="dxa"/>
            </w:tcMar>
          </w:tcPr>
          <w:p w14:paraId="0CF40155" w14:textId="77777777" w:rsidR="00D1797A" w:rsidRDefault="00000000">
            <w:pPr>
              <w:spacing w:after="0" w:line="240" w:lineRule="auto"/>
              <w:jc w:val="left"/>
            </w:pPr>
            <w:r>
              <w:rPr>
                <w:rFonts w:ascii="Arial" w:eastAsia="Arial" w:hAnsi="Arial"/>
                <w:sz w:val="15"/>
              </w:rPr>
              <w:t>Selected stable patients after haemostatic and renal risk resolves</w:t>
            </w:r>
          </w:p>
        </w:tc>
        <w:tc>
          <w:tcPr>
            <w:tcW w:w="2580" w:type="dxa"/>
            <w:tcMar>
              <w:top w:w="70" w:type="dxa"/>
              <w:left w:w="70" w:type="dxa"/>
              <w:bottom w:w="70" w:type="dxa"/>
              <w:right w:w="70" w:type="dxa"/>
            </w:tcMar>
          </w:tcPr>
          <w:p w14:paraId="07E3DF7E" w14:textId="77777777" w:rsidR="00D1797A" w:rsidRDefault="00000000">
            <w:pPr>
              <w:spacing w:after="0" w:line="240" w:lineRule="auto"/>
              <w:jc w:val="left"/>
            </w:pPr>
            <w:r>
              <w:rPr>
                <w:rFonts w:ascii="Arial" w:eastAsia="Arial" w:hAnsi="Arial"/>
                <w:sz w:val="15"/>
              </w:rPr>
              <w:t>Platelet, renal and gastrointestinal hazards during active disease</w:t>
            </w:r>
          </w:p>
        </w:tc>
        <w:tc>
          <w:tcPr>
            <w:tcW w:w="2580" w:type="dxa"/>
            <w:tcMar>
              <w:top w:w="70" w:type="dxa"/>
              <w:left w:w="70" w:type="dxa"/>
              <w:bottom w:w="70" w:type="dxa"/>
              <w:right w:w="70" w:type="dxa"/>
            </w:tcMar>
          </w:tcPr>
          <w:p w14:paraId="4C01A56D" w14:textId="77777777" w:rsidR="00D1797A" w:rsidRDefault="00000000">
            <w:pPr>
              <w:spacing w:after="0" w:line="240" w:lineRule="auto"/>
              <w:jc w:val="left"/>
            </w:pPr>
            <w:r>
              <w:rPr>
                <w:rFonts w:ascii="Arial" w:eastAsia="Arial" w:hAnsi="Arial"/>
                <w:sz w:val="15"/>
              </w:rPr>
              <w:t>Low veterinary outcome evidence</w:t>
            </w:r>
          </w:p>
        </w:tc>
        <w:tc>
          <w:tcPr>
            <w:tcW w:w="2580" w:type="dxa"/>
            <w:tcMar>
              <w:top w:w="70" w:type="dxa"/>
              <w:left w:w="70" w:type="dxa"/>
              <w:bottom w:w="70" w:type="dxa"/>
              <w:right w:w="70" w:type="dxa"/>
            </w:tcMar>
          </w:tcPr>
          <w:p w14:paraId="76342E2C" w14:textId="77777777" w:rsidR="00D1797A" w:rsidRDefault="00000000">
            <w:pPr>
              <w:spacing w:after="0" w:line="240" w:lineRule="auto"/>
              <w:jc w:val="left"/>
            </w:pPr>
            <w:r>
              <w:rPr>
                <w:rFonts w:ascii="Arial" w:eastAsia="Arial" w:hAnsi="Arial"/>
                <w:sz w:val="15"/>
              </w:rPr>
              <w:t>Gilliam (2024); Migliorisi et al. (2026)</w:t>
            </w:r>
          </w:p>
        </w:tc>
      </w:tr>
      <w:tr w:rsidR="00D1797A" w14:paraId="5892E9E7" w14:textId="77777777">
        <w:trPr>
          <w:cantSplit/>
          <w:jc w:val="center"/>
        </w:trPr>
        <w:tc>
          <w:tcPr>
            <w:tcW w:w="2580" w:type="dxa"/>
            <w:shd w:val="clear" w:color="auto" w:fill="F7F9FC"/>
            <w:tcMar>
              <w:top w:w="70" w:type="dxa"/>
              <w:left w:w="70" w:type="dxa"/>
              <w:bottom w:w="70" w:type="dxa"/>
              <w:right w:w="70" w:type="dxa"/>
            </w:tcMar>
          </w:tcPr>
          <w:p w14:paraId="01F52A80" w14:textId="77777777" w:rsidR="00D1797A" w:rsidRDefault="00000000">
            <w:pPr>
              <w:spacing w:after="0" w:line="240" w:lineRule="auto"/>
              <w:jc w:val="left"/>
            </w:pPr>
            <w:r>
              <w:rPr>
                <w:rFonts w:ascii="Arial" w:eastAsia="Arial" w:hAnsi="Arial"/>
                <w:sz w:val="15"/>
              </w:rPr>
              <w:t>Incision, suction, ice, electric shock or tight tourniquet</w:t>
            </w:r>
          </w:p>
        </w:tc>
        <w:tc>
          <w:tcPr>
            <w:tcW w:w="2580" w:type="dxa"/>
            <w:shd w:val="clear" w:color="auto" w:fill="F7F9FC"/>
            <w:tcMar>
              <w:top w:w="70" w:type="dxa"/>
              <w:left w:w="70" w:type="dxa"/>
              <w:bottom w:w="70" w:type="dxa"/>
              <w:right w:w="70" w:type="dxa"/>
            </w:tcMar>
          </w:tcPr>
          <w:p w14:paraId="356C1E35" w14:textId="77777777" w:rsidR="00D1797A" w:rsidRDefault="00000000">
            <w:pPr>
              <w:spacing w:after="0" w:line="240" w:lineRule="auto"/>
              <w:jc w:val="left"/>
            </w:pPr>
            <w:r>
              <w:rPr>
                <w:rFonts w:ascii="Arial" w:eastAsia="Arial" w:hAnsi="Arial"/>
                <w:sz w:val="15"/>
              </w:rPr>
              <w:t>No valid therapeutic role</w:t>
            </w:r>
          </w:p>
        </w:tc>
        <w:tc>
          <w:tcPr>
            <w:tcW w:w="2580" w:type="dxa"/>
            <w:shd w:val="clear" w:color="auto" w:fill="F7F9FC"/>
            <w:tcMar>
              <w:top w:w="70" w:type="dxa"/>
              <w:left w:w="70" w:type="dxa"/>
              <w:bottom w:w="70" w:type="dxa"/>
              <w:right w:w="70" w:type="dxa"/>
            </w:tcMar>
          </w:tcPr>
          <w:p w14:paraId="0FCFA975" w14:textId="77777777" w:rsidR="00D1797A" w:rsidRDefault="00000000">
            <w:pPr>
              <w:spacing w:after="0" w:line="240" w:lineRule="auto"/>
              <w:jc w:val="left"/>
            </w:pPr>
            <w:r>
              <w:rPr>
                <w:rFonts w:ascii="Arial" w:eastAsia="Arial" w:hAnsi="Arial"/>
                <w:sz w:val="15"/>
              </w:rPr>
              <w:t>None as routine veterinary first aid</w:t>
            </w:r>
          </w:p>
        </w:tc>
        <w:tc>
          <w:tcPr>
            <w:tcW w:w="2580" w:type="dxa"/>
            <w:shd w:val="clear" w:color="auto" w:fill="F7F9FC"/>
            <w:tcMar>
              <w:top w:w="70" w:type="dxa"/>
              <w:left w:w="70" w:type="dxa"/>
              <w:bottom w:w="70" w:type="dxa"/>
              <w:right w:w="70" w:type="dxa"/>
            </w:tcMar>
          </w:tcPr>
          <w:p w14:paraId="2CA49B96" w14:textId="77777777" w:rsidR="00D1797A" w:rsidRDefault="00000000">
            <w:pPr>
              <w:spacing w:after="0" w:line="240" w:lineRule="auto"/>
              <w:jc w:val="left"/>
            </w:pPr>
            <w:r>
              <w:rPr>
                <w:rFonts w:ascii="Arial" w:eastAsia="Arial" w:hAnsi="Arial"/>
                <w:sz w:val="15"/>
              </w:rPr>
              <w:t>Can increase ischaemia, tissue injury, bleeding and delay</w:t>
            </w:r>
          </w:p>
        </w:tc>
        <w:tc>
          <w:tcPr>
            <w:tcW w:w="2580" w:type="dxa"/>
            <w:shd w:val="clear" w:color="auto" w:fill="F7F9FC"/>
            <w:tcMar>
              <w:top w:w="70" w:type="dxa"/>
              <w:left w:w="70" w:type="dxa"/>
              <w:bottom w:w="70" w:type="dxa"/>
              <w:right w:w="70" w:type="dxa"/>
            </w:tcMar>
          </w:tcPr>
          <w:p w14:paraId="41F1982B" w14:textId="77777777" w:rsidR="00D1797A" w:rsidRDefault="00000000">
            <w:pPr>
              <w:spacing w:after="0" w:line="240" w:lineRule="auto"/>
              <w:jc w:val="left"/>
            </w:pPr>
            <w:r>
              <w:rPr>
                <w:rFonts w:ascii="Arial" w:eastAsia="Arial" w:hAnsi="Arial"/>
                <w:sz w:val="15"/>
              </w:rPr>
              <w:t>Consensus and mechanistic evidence against</w:t>
            </w:r>
          </w:p>
        </w:tc>
        <w:tc>
          <w:tcPr>
            <w:tcW w:w="2580" w:type="dxa"/>
            <w:shd w:val="clear" w:color="auto" w:fill="F7F9FC"/>
            <w:tcMar>
              <w:top w:w="70" w:type="dxa"/>
              <w:left w:w="70" w:type="dxa"/>
              <w:bottom w:w="70" w:type="dxa"/>
              <w:right w:w="70" w:type="dxa"/>
            </w:tcMar>
          </w:tcPr>
          <w:p w14:paraId="6C6778D1" w14:textId="77777777" w:rsidR="00D1797A" w:rsidRDefault="00000000">
            <w:pPr>
              <w:spacing w:after="0" w:line="240" w:lineRule="auto"/>
              <w:jc w:val="left"/>
            </w:pPr>
            <w:r>
              <w:rPr>
                <w:rFonts w:ascii="Arial" w:eastAsia="Arial" w:hAnsi="Arial"/>
                <w:sz w:val="15"/>
              </w:rPr>
              <w:t>Gilliam and Brunker (2011); Migliorisi et al. (2026)</w:t>
            </w:r>
          </w:p>
        </w:tc>
      </w:tr>
    </w:tbl>
    <w:p w14:paraId="1724260D" w14:textId="77777777" w:rsidR="00D1797A" w:rsidRDefault="00000000">
      <w:pPr>
        <w:pStyle w:val="TableNote"/>
      </w:pPr>
      <w:r>
        <w:t>Note. NSAID = non-steroidal anti-inflammatory drug. Intervention strength varies by snake, species, product and clinical context.</w:t>
      </w:r>
    </w:p>
    <w:p w14:paraId="60D4801C" w14:textId="77777777" w:rsidR="00D1797A" w:rsidRDefault="00D1797A">
      <w:pPr>
        <w:sectPr w:rsidR="00D1797A">
          <w:pgSz w:w="16838" w:h="11906" w:orient="landscape"/>
          <w:pgMar w:top="737" w:right="680" w:bottom="737" w:left="680" w:header="454" w:footer="454" w:gutter="0"/>
          <w:cols w:space="720"/>
          <w:docGrid w:linePitch="360"/>
        </w:sectPr>
      </w:pPr>
    </w:p>
    <w:p w14:paraId="5343A5A3" w14:textId="77777777" w:rsidR="00D1797A" w:rsidRDefault="00000000">
      <w:pPr>
        <w:pStyle w:val="Heading1"/>
        <w:ind w:firstLine="0"/>
      </w:pPr>
      <w:r>
        <w:rPr>
          <w:rFonts w:ascii="Times New Roman" w:eastAsia="Times New Roman" w:hAnsi="Times New Roman"/>
        </w:rPr>
        <w:lastRenderedPageBreak/>
        <w:t>7. Species-Specific Management</w:t>
      </w:r>
    </w:p>
    <w:p w14:paraId="65363488" w14:textId="77777777" w:rsidR="00D1797A" w:rsidRDefault="00000000">
      <w:pPr>
        <w:pStyle w:val="Heading2"/>
        <w:ind w:firstLine="0"/>
      </w:pPr>
      <w:r>
        <w:rPr>
          <w:rFonts w:ascii="Times New Roman" w:eastAsia="Times New Roman" w:hAnsi="Times New Roman"/>
        </w:rPr>
        <w:t>7.1 Dogs</w:t>
      </w:r>
    </w:p>
    <w:p w14:paraId="6B8A28D5" w14:textId="77777777" w:rsidR="00D1797A" w:rsidRDefault="00000000">
      <w:r>
        <w:t>Dogs account for most veterinary snakebite studies and therefore anchor many protocols. Their exploratory behaviour, tendency to confront snakes and frequent facial bites increase exposure. Initial priorities are airway assessment, pain control, intravenous access, serial swelling measurement and a baseline haemostatic profile appropriate to the regional venom. Severe tachycardia, petechiation, thoracic bites, neurological weakness and shock have been associated with poorer outcome in retrospective cohorts, but no single variable should replace overall assessment (Hackett et al., 2002; McCown et al., 2009; Willey &amp; Schaer, 2005).</w:t>
      </w:r>
    </w:p>
    <w:p w14:paraId="2E4D7502" w14:textId="77777777" w:rsidR="00D1797A" w:rsidRDefault="00000000">
      <w:r>
        <w:t xml:space="preserve">European adder envenomation in dogs illustrates why regional transfer is unsafe. A Swedish cohort documented variable clinical and biochemical change after </w:t>
      </w:r>
      <w:r>
        <w:rPr>
          <w:i/>
        </w:rPr>
        <w:t>Vipera berus</w:t>
      </w:r>
      <w:r>
        <w:t xml:space="preserve"> bites, while a randomised trial found that a single dose of prednisolone did not provide a clinically compelling routine benefit (Brandeker et al., 2015; Lervik et al., 2010). Antivenom use may be reserved for systemic or severe progressive disease depending on product access and local practice, with awareness of acute reactions (Lund et al., 2013). Middle Eastern </w:t>
      </w:r>
      <w:r>
        <w:rPr>
          <w:i/>
        </w:rPr>
        <w:t>Vipera palaestinae</w:t>
      </w:r>
      <w:r>
        <w:t xml:space="preserve"> cohorts reported substantial mortality risk and haemostatic abnormalities, supporting earlier escalation in a syndrome that may be more severe than typical Nordic adder cases (Aroch et al., 2010; Segev et al., 2004).</w:t>
      </w:r>
    </w:p>
    <w:p w14:paraId="6C8E8A7E" w14:textId="77777777" w:rsidR="00D1797A" w:rsidRDefault="00000000">
      <w:r>
        <w:t>Vaccination against rattlesnake venom is sometimes presented as a substitute for urgent treatment. The available retrospective study of moderate-to-severe canine crotalid envenomation did not identify a significant reduction in morbidity or mortality among previously vaccinated dogs (Leonard et al., 2014). Vaccination history should therefore not reduce triage urgency, shorten observation or justify withholding antivenom. At most, vaccination remains an uncertain preventive adjunct whose effectiveness may vary with snake species and exposure; owners should receive explicit counselling that emergency evaluation is still required.</w:t>
      </w:r>
    </w:p>
    <w:p w14:paraId="3363E987" w14:textId="77777777" w:rsidR="00D1797A" w:rsidRDefault="00000000">
      <w:pPr>
        <w:pStyle w:val="Heading2"/>
        <w:ind w:firstLine="0"/>
      </w:pPr>
      <w:r>
        <w:rPr>
          <w:rFonts w:ascii="Times New Roman" w:eastAsia="Times New Roman" w:hAnsi="Times New Roman"/>
        </w:rPr>
        <w:t>7.2 Cats</w:t>
      </w:r>
    </w:p>
    <w:p w14:paraId="1B02AD4C" w14:textId="77777777" w:rsidR="00D1797A" w:rsidRDefault="00000000">
      <w:r>
        <w:t xml:space="preserve">Cats can deteriorate rapidly while displaying less overt distress than dogs. A quiet, recumbent cat may be assumed to be merely frightened when it is developing lower motor neuron weakness. Handling should be calm and minimal, with early oxygen and airway planning when dysphagia, mydriasis, reduced gag or hypoventilation is present. Coagulation samples require careful collection because stress and platelet clumping complicate interpretation. The feline </w:t>
      </w:r>
      <w:r>
        <w:rPr>
          <w:i/>
        </w:rPr>
        <w:t>Vipera palaestinae</w:t>
      </w:r>
      <w:r>
        <w:t xml:space="preserve"> case series and the larger Eastern brown snake cohort show that cats experience clinically important envenomation but may differ from dogs in haemorrhagic expression and outcome (Day et al., 2025; Lenchner et al., 2014).</w:t>
      </w:r>
    </w:p>
    <w:p w14:paraId="50BEFA80" w14:textId="77777777" w:rsidR="00D1797A" w:rsidRDefault="00000000">
      <w:r>
        <w:t>Drug safety is a particular constraint. Non-steroidal anti-inflammatory drugs and acetaminophen should not be used casually, and intramuscular injections are undesirable in coagulopathy. Opioids can provide titratable analgesia, though sedation and respiratory effects must be distinguished from neurotoxicity. Antivenom dosing should target venom burden and response rather than feline body weight alone, while infusion volumes and rates are adjusted to cardiorespiratory tolerance. Because feline evidence is sparse, transparent extrapolation from canine protocols is preferable to presenting such extrapolation as validated feline practice.</w:t>
      </w:r>
    </w:p>
    <w:p w14:paraId="499CDBB0" w14:textId="77777777" w:rsidR="00D1797A" w:rsidRDefault="00000000">
      <w:pPr>
        <w:pStyle w:val="Heading2"/>
        <w:ind w:firstLine="0"/>
      </w:pPr>
      <w:r>
        <w:rPr>
          <w:rFonts w:ascii="Times New Roman" w:eastAsia="Times New Roman" w:hAnsi="Times New Roman"/>
        </w:rPr>
        <w:t>7.3 Horses</w:t>
      </w:r>
    </w:p>
    <w:p w14:paraId="21A4CAF4" w14:textId="77777777" w:rsidR="00D1797A" w:rsidRDefault="00000000">
      <w:r>
        <w:t xml:space="preserve">Equine management is dominated by airway anatomy, handling safety and the logistics of large-animal critical care. Muzzle bites can produce life-threatening nasal obstruction even without severe systemic envenomation. Early clipping, serial circumference or photographic assessment and readiness for tracheotomy are central. Jugular catheter placement may become difficult as swelling progresses, so </w:t>
      </w:r>
      <w:r>
        <w:lastRenderedPageBreak/>
        <w:t>access should be obtained promptly when systemic treatment is likely. Facial oedema can also impair eating and drinking, requiring nutritional and fluid planning after the immediate crisis.</w:t>
      </w:r>
    </w:p>
    <w:p w14:paraId="4A0AA837" w14:textId="77777777" w:rsidR="00D1797A" w:rsidRDefault="00000000">
      <w:r>
        <w:t>Systemic monitoring should include cardiac rhythm, perfusion, coagulation and muscle injury according to the regional snake. North American rattlesnake cases may show tissue injury and cardiac abnormalities; Australian elapids more often demand rapid recognition of neurotoxicity and recumbency (Bamford et al., 2018; Fielding et al., 2011; Gilliam et al., 2012). Recumbent horses require deep bedding, repositioning, eye protection, bladder management and prevention of aspiration and pressure injury. Antivenom is most defensible when progressive systemic signs, airway-threatening swelling or a high-risk confirmed exposure is present. Mild suspected European adder cases may recover with observation and support, as reported in small Swedish and Finnish equine series, but retrospective survival in such cohorts cannot define non-inferiority of withholding antivenom (Anlén, 2008; Leppänen &amp; Mykkänen, 2024).</w:t>
      </w:r>
    </w:p>
    <w:p w14:paraId="15E41AF4" w14:textId="77777777" w:rsidR="00D1797A" w:rsidRDefault="00000000">
      <w:pPr>
        <w:pStyle w:val="Heading2"/>
        <w:ind w:firstLine="0"/>
      </w:pPr>
      <w:r>
        <w:rPr>
          <w:rFonts w:ascii="Times New Roman" w:eastAsia="Times New Roman" w:hAnsi="Times New Roman"/>
        </w:rPr>
        <w:t>7.4 Cattle, Small Ruminants and Other Domestic Species</w:t>
      </w:r>
    </w:p>
    <w:p w14:paraId="6AEAB55D" w14:textId="77777777" w:rsidR="00D1797A" w:rsidRDefault="00000000">
      <w:r>
        <w:t xml:space="preserve">Livestock evidence is the weakest relative to probable burden. Cattle may be found dead or with nonspecific swelling, haemorrhage or recumbency, and the snake is seldom identified. This creates substantial misclassification. The Brazilian pathological review by Tokarnia and Peixoto (2006) argued that snakebite had been over-attributed as a cause of cattle death, emphasising the need for necropsy, differential diagnosis and epidemiological plausibility. When animals are observed alive with progressive compatible signs, early antivenom may be biologically appropriate, as suggested by the small </w:t>
      </w:r>
      <w:r>
        <w:rPr>
          <w:i/>
        </w:rPr>
        <w:t>Bothrops asper</w:t>
      </w:r>
      <w:r>
        <w:t xml:space="preserve"> cattle series, but dose, cost-effectiveness and withdrawal implications require local protocols (Rodríguez et al., 2016).</w:t>
      </w:r>
    </w:p>
    <w:p w14:paraId="493CAFDD" w14:textId="77777777" w:rsidR="00D1797A" w:rsidRDefault="00000000">
      <w:r>
        <w:t>For goats, sheep, camelids, pigs and poultry, published treatment evidence is too sparse for product-specific recommendations. The same emergency principles apply: prevent further exposure, minimise exertion, secure the airway, assess perfusion, identify haemorrhage or neurotoxicity, and use a regionally appropriate antivenom when clinically significant envenomation is active. Economic decisions should not be confused with biological futility. A low-value animal may be denied treatment because of cost, but that does not mean the treatment is ineffective. Population-level prevention, antivenom distribution and rapid veterinary access may produce greater welfare and livelihood benefits than attempting intensive rescue only after severe disease is established (Bolon et al., 2021).</w:t>
      </w:r>
    </w:p>
    <w:p w14:paraId="38338D86" w14:textId="77777777" w:rsidR="00D1797A" w:rsidRDefault="00000000">
      <w:pPr>
        <w:pStyle w:val="Heading1"/>
        <w:ind w:firstLine="0"/>
      </w:pPr>
      <w:r>
        <w:rPr>
          <w:rFonts w:ascii="Times New Roman" w:eastAsia="Times New Roman" w:hAnsi="Times New Roman"/>
        </w:rPr>
        <w:t>8. Controversies, Low-Value Practices and Implementation Barriers</w:t>
      </w:r>
    </w:p>
    <w:p w14:paraId="2CC91829" w14:textId="77777777" w:rsidR="00D1797A" w:rsidRDefault="00000000">
      <w:pPr>
        <w:pStyle w:val="Heading2"/>
        <w:ind w:firstLine="0"/>
      </w:pPr>
      <w:r>
        <w:rPr>
          <w:rFonts w:ascii="Times New Roman" w:eastAsia="Times New Roman" w:hAnsi="Times New Roman"/>
        </w:rPr>
        <w:t>8.1 Glucocorticoids and Antihistamines</w:t>
      </w:r>
    </w:p>
    <w:p w14:paraId="39B0A580" w14:textId="77777777" w:rsidR="00D1797A" w:rsidRDefault="00000000">
      <w:r>
        <w:t xml:space="preserve">Glucocorticoids remain common because swelling and inflammation are conspicuous, yet they do not neutralise venom. The randomised, double-blind trial of a single prednisolone dose in dogs with </w:t>
      </w:r>
      <w:r>
        <w:rPr>
          <w:i/>
        </w:rPr>
        <w:t>Vipera berus</w:t>
      </w:r>
      <w:r>
        <w:t xml:space="preserve"> envenomation did not establish a routine clinical advantage sufficient to justify automatic use (Brandeker et al., 2015). Retrospective associations are difficult to interpret because clinicians preferentially give corticosteroids to more visibly affected animals. Potential harms include gastrointestinal injury, immunomodulation, hyperglycaemia and masking of infection. Glucocorticoids may have a role in selected delayed hypersensitivity or refractory allergic manifestations, but this is distinct from treating the envenomation itself.</w:t>
      </w:r>
    </w:p>
    <w:p w14:paraId="48C9F9B7" w14:textId="77777777" w:rsidR="00D1797A" w:rsidRDefault="00000000">
      <w:r>
        <w:t>Antihistamines have a similarly limited role. They can reduce cutaneous histamine-mediated signs during an infusion reaction but do not treat shock, bronchospasm or venom toxicity. Epinephrine remains the principal emergency treatment for anaphylaxis. Routine premedication may cause sedation, complicate neurological assessment and encourage a false belief that severe reactions have been prevented. The most effective preparation for antivenom reaction is monitored administration with immediate access to epinephrine and airway support, not a ritual premedication protocol.</w:t>
      </w:r>
    </w:p>
    <w:p w14:paraId="077DAFA2" w14:textId="77777777" w:rsidR="00D1797A" w:rsidRDefault="00000000">
      <w:pPr>
        <w:pStyle w:val="Heading2"/>
        <w:ind w:firstLine="0"/>
      </w:pPr>
      <w:r>
        <w:rPr>
          <w:rFonts w:ascii="Times New Roman" w:eastAsia="Times New Roman" w:hAnsi="Times New Roman"/>
        </w:rPr>
        <w:lastRenderedPageBreak/>
        <w:t>8.2 Antibiotics, Surgery and Other Traditional Interventions</w:t>
      </w:r>
    </w:p>
    <w:p w14:paraId="7BC79EA2" w14:textId="77777777" w:rsidR="00D1797A" w:rsidRDefault="00000000">
      <w:r>
        <w:t>The visual severity of snakebite wounds promotes antibiotic overuse and premature surgery. Sterile toxin-mediated inflammation can produce heat, pain, leukocytosis and tissue discoloration that resemble infection. Antibiotics should be tied to contamination, culture-supported infection, aspiration or necrotic tissue rather than to envenomation alone. Surgical exploration, incision or suction of punctures is not therapeutic and can increase bleeding. Debridement should follow tissue demarcation unless infection or mechanical compromise demands earlier action. These distinctions are especially important in resource-limited settings, where low-value interventions may consume funds needed for antivenom and transport.</w:t>
      </w:r>
    </w:p>
    <w:p w14:paraId="341DA350" w14:textId="77777777" w:rsidR="00D1797A" w:rsidRDefault="00000000">
      <w:r>
        <w:t>Tourniquets, ice, electric shock, herbal applications and chemical cautery persist in some communities despite absent or adverse evidence. Their continued use reflects access barriers and explanatory traditions rather than simple ignorance. Veterinary communication should therefore explain why the intervention fails, provide an achievable alternative and avoid shaming owners who acted under pressure. Community education is more credible when paired with practical referral routes and antivenom availability. Prevention messages without a functioning treatment pathway can shift responsibility to owners while leaving structural barriers unchanged.</w:t>
      </w:r>
    </w:p>
    <w:p w14:paraId="700F14A4" w14:textId="77777777" w:rsidR="00D1797A" w:rsidRDefault="00000000">
      <w:pPr>
        <w:pStyle w:val="Heading2"/>
        <w:ind w:firstLine="0"/>
      </w:pPr>
      <w:r>
        <w:rPr>
          <w:rFonts w:ascii="Times New Roman" w:eastAsia="Times New Roman" w:hAnsi="Times New Roman"/>
        </w:rPr>
        <w:t>8.3 Severity Scores, Biomarkers and the Risk of False Precision</w:t>
      </w:r>
    </w:p>
    <w:p w14:paraId="0D97DCF4" w14:textId="77777777" w:rsidR="00D1797A" w:rsidRDefault="00000000">
      <w:r>
        <w:t>Severity scores standardise serial observation and research reporting, but they can create false precision when used as automatic treatment algorithms. A total score can remain unchanged while risk moves from local swelling to respiratory weakness, or it can improve because one domain resolves while coagulopathy worsens. Scores should therefore support, not replace, organ-specific judgement. The recent study linking serum venom reduction to score improvement represents a useful advance, but assay availability and the absence of a comparator limit immediate generalisation (Carotenuto et al., 2026).</w:t>
      </w:r>
    </w:p>
    <w:p w14:paraId="16043C68" w14:textId="77777777" w:rsidR="00D1797A" w:rsidRDefault="00000000">
      <w:r>
        <w:t xml:space="preserve">Biomarkers face the same problem. Cardiac troponin, creatine kinase, lactate, fibrinogen, D-dimer and viscoelastic parameters may identify injury or refine prognosis, but a biomarker is clinically useful only if it changes management. The evidence for routine troponin screening in every mild bite is weak, whereas rhythm monitoring and troponin measurement are defensible in hypotension, arrhythmia or moderate-to-severe systemic disease (Langhorn et al., 2014; Vestberg et al., 2017). Venom detection and proteomics may ultimately improve case confirmation and product selection, as demonstrated in canine </w:t>
      </w:r>
      <w:r>
        <w:rPr>
          <w:i/>
        </w:rPr>
        <w:t>Vipera berus</w:t>
      </w:r>
      <w:r>
        <w:t xml:space="preserve"> research, but current methods are not rapid, standardised bedside diagnostics (Nicolaysen et al., 2024).</w:t>
      </w:r>
    </w:p>
    <w:p w14:paraId="3B8E2B5D" w14:textId="77777777" w:rsidR="00D1797A" w:rsidRDefault="00000000">
      <w:pPr>
        <w:pStyle w:val="Heading2"/>
        <w:ind w:firstLine="0"/>
      </w:pPr>
      <w:r>
        <w:rPr>
          <w:rFonts w:ascii="Times New Roman" w:eastAsia="Times New Roman" w:hAnsi="Times New Roman"/>
        </w:rPr>
        <w:t>8.4 Access, Cost and Evidence Inequity</w:t>
      </w:r>
    </w:p>
    <w:p w14:paraId="5822507F" w14:textId="77777777" w:rsidR="00D1797A" w:rsidRDefault="00000000">
      <w:r>
        <w:t>The geography of evidence mirrors the geography of veterinary resources rather than the geography of burden. Well-characterised canine cohorts come from referral systems with antivenom, laboratory testing and critical care, while livestock in rural Africa, Asia and Latin America may die without examination. This creates a paradox: the species and communities most affected are least represented in treatment studies (Bolon et al., 2019, 2021). The resulting guidelines risk being technically sophisticated but operationally irrelevant where refrigeration, infusion pumps, blood products or mechanical ventilation are unavailable.</w:t>
      </w:r>
    </w:p>
    <w:p w14:paraId="3776FD71" w14:textId="77777777" w:rsidR="00D1797A" w:rsidRDefault="00000000">
      <w:r>
        <w:t xml:space="preserve">A tiered protocol is more equitable than a single idealised standard. At first-contact level, priorities are recognition, safe transport, airway assessment, basic perfusion support and rapid access to appropriate antivenom. At district or referral level, serial coagulation testing, ventilation, transfusion and renal support can be added. Teleconsultation with a regional toxinology network can reduce product-selection errors. Stocking policy should be based on local snake epidemiology, shelf life and </w:t>
      </w:r>
      <w:r>
        <w:lastRenderedPageBreak/>
        <w:t>referral time, with shared antivenom inventories where individual practices cannot maintain viable stock.</w:t>
      </w:r>
    </w:p>
    <w:p w14:paraId="6AE5A1B4" w14:textId="77777777" w:rsidR="00D1797A" w:rsidRDefault="00000000">
      <w:r>
        <w:t>Research design must also address economic euthanasia and treatment refusal. Excluding animals euthanased at presentation may overestimate survival, while counting financially constrained euthanasia as biological treatment failure can underestimate efficacy. Studies should report death, euthanasia for clinical prognosis and euthanasia for financial reasons separately. They should also record time to care and treatment affordability, because access is part of effectiveness in real-world veterinary medicine. Table 5 identifies the most consequential evidence gaps and study designs needed to address them.</w:t>
      </w:r>
    </w:p>
    <w:p w14:paraId="06796570" w14:textId="77777777" w:rsidR="00D1797A" w:rsidRDefault="00D1797A">
      <w:pPr>
        <w:sectPr w:rsidR="00D1797A">
          <w:pgSz w:w="11906" w:h="16838"/>
          <w:pgMar w:top="1247" w:right="1361" w:bottom="1134" w:left="1361" w:header="454" w:footer="454" w:gutter="0"/>
          <w:cols w:space="720"/>
          <w:docGrid w:linePitch="360"/>
        </w:sectPr>
      </w:pPr>
    </w:p>
    <w:p w14:paraId="7A3534A7" w14:textId="77777777" w:rsidR="00D1797A" w:rsidRDefault="00000000">
      <w:pPr>
        <w:pStyle w:val="TableCaption"/>
        <w:keepNext/>
      </w:pPr>
      <w:r>
        <w:lastRenderedPageBreak/>
        <w:t>Table 5. Priority evidence gaps and actionable research designs</w:t>
      </w: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580"/>
        <w:gridCol w:w="2580"/>
        <w:gridCol w:w="2580"/>
        <w:gridCol w:w="2580"/>
        <w:gridCol w:w="2580"/>
        <w:gridCol w:w="2580"/>
      </w:tblGrid>
      <w:tr w:rsidR="00D1797A" w14:paraId="7B28E9F9" w14:textId="77777777">
        <w:trPr>
          <w:cantSplit/>
          <w:tblHeader/>
          <w:jc w:val="center"/>
        </w:trPr>
        <w:tc>
          <w:tcPr>
            <w:tcW w:w="2580" w:type="dxa"/>
            <w:shd w:val="clear" w:color="auto" w:fill="D9E2F3"/>
            <w:tcMar>
              <w:top w:w="70" w:type="dxa"/>
              <w:left w:w="70" w:type="dxa"/>
              <w:bottom w:w="70" w:type="dxa"/>
              <w:right w:w="70" w:type="dxa"/>
            </w:tcMar>
            <w:vAlign w:val="center"/>
          </w:tcPr>
          <w:p w14:paraId="6631E8FF" w14:textId="77777777" w:rsidR="00D1797A" w:rsidRDefault="00000000">
            <w:pPr>
              <w:spacing w:after="0"/>
              <w:jc w:val="center"/>
            </w:pPr>
            <w:r>
              <w:rPr>
                <w:rFonts w:ascii="Arial" w:eastAsia="Arial" w:hAnsi="Arial"/>
                <w:b/>
                <w:sz w:val="15"/>
              </w:rPr>
              <w:t>Evidence gap</w:t>
            </w:r>
          </w:p>
        </w:tc>
        <w:tc>
          <w:tcPr>
            <w:tcW w:w="2580" w:type="dxa"/>
            <w:shd w:val="clear" w:color="auto" w:fill="D9E2F3"/>
            <w:tcMar>
              <w:top w:w="70" w:type="dxa"/>
              <w:left w:w="70" w:type="dxa"/>
              <w:bottom w:w="70" w:type="dxa"/>
              <w:right w:w="70" w:type="dxa"/>
            </w:tcMar>
            <w:vAlign w:val="center"/>
          </w:tcPr>
          <w:p w14:paraId="23C46212" w14:textId="77777777" w:rsidR="00D1797A" w:rsidRDefault="00000000">
            <w:pPr>
              <w:spacing w:after="0"/>
              <w:jc w:val="center"/>
            </w:pPr>
            <w:r>
              <w:rPr>
                <w:rFonts w:ascii="Arial" w:eastAsia="Arial" w:hAnsi="Arial"/>
                <w:b/>
                <w:sz w:val="15"/>
              </w:rPr>
              <w:t>Why current evidence is inadequate</w:t>
            </w:r>
          </w:p>
        </w:tc>
        <w:tc>
          <w:tcPr>
            <w:tcW w:w="2580" w:type="dxa"/>
            <w:shd w:val="clear" w:color="auto" w:fill="D9E2F3"/>
            <w:tcMar>
              <w:top w:w="70" w:type="dxa"/>
              <w:left w:w="70" w:type="dxa"/>
              <w:bottom w:w="70" w:type="dxa"/>
              <w:right w:w="70" w:type="dxa"/>
            </w:tcMar>
            <w:vAlign w:val="center"/>
          </w:tcPr>
          <w:p w14:paraId="3FF30170" w14:textId="77777777" w:rsidR="00D1797A" w:rsidRDefault="00000000">
            <w:pPr>
              <w:spacing w:after="0"/>
              <w:jc w:val="center"/>
            </w:pPr>
            <w:r>
              <w:rPr>
                <w:rFonts w:ascii="Arial" w:eastAsia="Arial" w:hAnsi="Arial"/>
                <w:b/>
                <w:sz w:val="15"/>
              </w:rPr>
              <w:t>Priority design</w:t>
            </w:r>
          </w:p>
        </w:tc>
        <w:tc>
          <w:tcPr>
            <w:tcW w:w="2580" w:type="dxa"/>
            <w:shd w:val="clear" w:color="auto" w:fill="D9E2F3"/>
            <w:tcMar>
              <w:top w:w="70" w:type="dxa"/>
              <w:left w:w="70" w:type="dxa"/>
              <w:bottom w:w="70" w:type="dxa"/>
              <w:right w:w="70" w:type="dxa"/>
            </w:tcMar>
            <w:vAlign w:val="center"/>
          </w:tcPr>
          <w:p w14:paraId="688B08AA" w14:textId="77777777" w:rsidR="00D1797A" w:rsidRDefault="00000000">
            <w:pPr>
              <w:spacing w:after="0"/>
              <w:jc w:val="center"/>
            </w:pPr>
            <w:r>
              <w:rPr>
                <w:rFonts w:ascii="Arial" w:eastAsia="Arial" w:hAnsi="Arial"/>
                <w:b/>
                <w:sz w:val="15"/>
              </w:rPr>
              <w:t>Core outcomes</w:t>
            </w:r>
          </w:p>
        </w:tc>
        <w:tc>
          <w:tcPr>
            <w:tcW w:w="2580" w:type="dxa"/>
            <w:shd w:val="clear" w:color="auto" w:fill="D9E2F3"/>
            <w:tcMar>
              <w:top w:w="70" w:type="dxa"/>
              <w:left w:w="70" w:type="dxa"/>
              <w:bottom w:w="70" w:type="dxa"/>
              <w:right w:w="70" w:type="dxa"/>
            </w:tcMar>
            <w:vAlign w:val="center"/>
          </w:tcPr>
          <w:p w14:paraId="38D85FF0" w14:textId="77777777" w:rsidR="00D1797A" w:rsidRDefault="00000000">
            <w:pPr>
              <w:spacing w:after="0"/>
              <w:jc w:val="center"/>
            </w:pPr>
            <w:r>
              <w:rPr>
                <w:rFonts w:ascii="Arial" w:eastAsia="Arial" w:hAnsi="Arial"/>
                <w:b/>
                <w:sz w:val="15"/>
              </w:rPr>
              <w:t>Potential practice value</w:t>
            </w:r>
          </w:p>
        </w:tc>
        <w:tc>
          <w:tcPr>
            <w:tcW w:w="2580" w:type="dxa"/>
            <w:shd w:val="clear" w:color="auto" w:fill="D9E2F3"/>
            <w:tcMar>
              <w:top w:w="70" w:type="dxa"/>
              <w:left w:w="70" w:type="dxa"/>
              <w:bottom w:w="70" w:type="dxa"/>
              <w:right w:w="70" w:type="dxa"/>
            </w:tcMar>
            <w:vAlign w:val="center"/>
          </w:tcPr>
          <w:p w14:paraId="5FE54F87" w14:textId="77777777" w:rsidR="00D1797A" w:rsidRDefault="00000000">
            <w:pPr>
              <w:spacing w:after="0"/>
              <w:jc w:val="center"/>
            </w:pPr>
            <w:r>
              <w:rPr>
                <w:rFonts w:ascii="Arial" w:eastAsia="Arial" w:hAnsi="Arial"/>
                <w:b/>
                <w:sz w:val="15"/>
              </w:rPr>
              <w:t>Supporting references</w:t>
            </w:r>
          </w:p>
        </w:tc>
      </w:tr>
      <w:tr w:rsidR="00D1797A" w14:paraId="64DAC33B" w14:textId="77777777">
        <w:trPr>
          <w:cantSplit/>
          <w:jc w:val="center"/>
        </w:trPr>
        <w:tc>
          <w:tcPr>
            <w:tcW w:w="2580" w:type="dxa"/>
            <w:tcMar>
              <w:top w:w="70" w:type="dxa"/>
              <w:left w:w="70" w:type="dxa"/>
              <w:bottom w:w="70" w:type="dxa"/>
              <w:right w:w="70" w:type="dxa"/>
            </w:tcMar>
          </w:tcPr>
          <w:p w14:paraId="6BA4DFEE" w14:textId="77777777" w:rsidR="00D1797A" w:rsidRDefault="00000000">
            <w:pPr>
              <w:spacing w:after="0" w:line="240" w:lineRule="auto"/>
              <w:jc w:val="left"/>
            </w:pPr>
            <w:r>
              <w:rPr>
                <w:rFonts w:ascii="Arial" w:eastAsia="Arial" w:hAnsi="Arial"/>
                <w:sz w:val="15"/>
              </w:rPr>
              <w:t>Antivenom dose and redosing</w:t>
            </w:r>
          </w:p>
        </w:tc>
        <w:tc>
          <w:tcPr>
            <w:tcW w:w="2580" w:type="dxa"/>
            <w:tcMar>
              <w:top w:w="70" w:type="dxa"/>
              <w:left w:w="70" w:type="dxa"/>
              <w:bottom w:w="70" w:type="dxa"/>
              <w:right w:w="70" w:type="dxa"/>
            </w:tcMar>
          </w:tcPr>
          <w:p w14:paraId="2F2F8BA6" w14:textId="77777777" w:rsidR="00D1797A" w:rsidRDefault="00000000">
            <w:pPr>
              <w:spacing w:after="0" w:line="240" w:lineRule="auto"/>
              <w:jc w:val="left"/>
            </w:pPr>
            <w:r>
              <w:rPr>
                <w:rFonts w:ascii="Arial" w:eastAsia="Arial" w:hAnsi="Arial"/>
                <w:sz w:val="15"/>
              </w:rPr>
              <w:t>Retrospective dose-outcome associations are confounded by severity and vial potency differs</w:t>
            </w:r>
          </w:p>
        </w:tc>
        <w:tc>
          <w:tcPr>
            <w:tcW w:w="2580" w:type="dxa"/>
            <w:tcMar>
              <w:top w:w="70" w:type="dxa"/>
              <w:left w:w="70" w:type="dxa"/>
              <w:bottom w:w="70" w:type="dxa"/>
              <w:right w:w="70" w:type="dxa"/>
            </w:tcMar>
          </w:tcPr>
          <w:p w14:paraId="4E0D1F38" w14:textId="77777777" w:rsidR="00D1797A" w:rsidRDefault="00000000">
            <w:pPr>
              <w:spacing w:after="0" w:line="240" w:lineRule="auto"/>
              <w:jc w:val="left"/>
            </w:pPr>
            <w:r>
              <w:rPr>
                <w:rFonts w:ascii="Arial" w:eastAsia="Arial" w:hAnsi="Arial"/>
                <w:sz w:val="15"/>
              </w:rPr>
              <w:t>Prospective product-specific comparative or adaptive trials after initial control</w:t>
            </w:r>
          </w:p>
        </w:tc>
        <w:tc>
          <w:tcPr>
            <w:tcW w:w="2580" w:type="dxa"/>
            <w:tcMar>
              <w:top w:w="70" w:type="dxa"/>
              <w:left w:w="70" w:type="dxa"/>
              <w:bottom w:w="70" w:type="dxa"/>
              <w:right w:w="70" w:type="dxa"/>
            </w:tcMar>
          </w:tcPr>
          <w:p w14:paraId="68737EDC" w14:textId="77777777" w:rsidR="00D1797A" w:rsidRDefault="00000000">
            <w:pPr>
              <w:spacing w:after="0" w:line="240" w:lineRule="auto"/>
              <w:jc w:val="left"/>
            </w:pPr>
            <w:r>
              <w:rPr>
                <w:rFonts w:ascii="Arial" w:eastAsia="Arial" w:hAnsi="Arial"/>
                <w:sz w:val="15"/>
              </w:rPr>
              <w:t>Time to control, recurrence, organ-specific recovery, reactions, survival and function</w:t>
            </w:r>
          </w:p>
        </w:tc>
        <w:tc>
          <w:tcPr>
            <w:tcW w:w="2580" w:type="dxa"/>
            <w:tcMar>
              <w:top w:w="70" w:type="dxa"/>
              <w:left w:w="70" w:type="dxa"/>
              <w:bottom w:w="70" w:type="dxa"/>
              <w:right w:w="70" w:type="dxa"/>
            </w:tcMar>
          </w:tcPr>
          <w:p w14:paraId="31D69DC2" w14:textId="77777777" w:rsidR="00D1797A" w:rsidRDefault="00000000">
            <w:pPr>
              <w:spacing w:after="0" w:line="240" w:lineRule="auto"/>
              <w:jc w:val="left"/>
            </w:pPr>
            <w:r>
              <w:rPr>
                <w:rFonts w:ascii="Arial" w:eastAsia="Arial" w:hAnsi="Arial"/>
                <w:sz w:val="15"/>
              </w:rPr>
              <w:t>Prevents both undertreatment and unaffordable excess dosing</w:t>
            </w:r>
          </w:p>
        </w:tc>
        <w:tc>
          <w:tcPr>
            <w:tcW w:w="2580" w:type="dxa"/>
            <w:tcMar>
              <w:top w:w="70" w:type="dxa"/>
              <w:left w:w="70" w:type="dxa"/>
              <w:bottom w:w="70" w:type="dxa"/>
              <w:right w:w="70" w:type="dxa"/>
            </w:tcMar>
          </w:tcPr>
          <w:p w14:paraId="116EDB2B" w14:textId="77777777" w:rsidR="00D1797A" w:rsidRDefault="00000000">
            <w:pPr>
              <w:spacing w:after="0" w:line="240" w:lineRule="auto"/>
              <w:jc w:val="left"/>
            </w:pPr>
            <w:r>
              <w:rPr>
                <w:rFonts w:ascii="Arial" w:eastAsia="Arial" w:hAnsi="Arial"/>
                <w:sz w:val="15"/>
              </w:rPr>
              <w:t>McCown et al. (2009); Peterson et al. (2011)</w:t>
            </w:r>
          </w:p>
        </w:tc>
      </w:tr>
      <w:tr w:rsidR="00D1797A" w14:paraId="65531CEC" w14:textId="77777777">
        <w:trPr>
          <w:cantSplit/>
          <w:jc w:val="center"/>
        </w:trPr>
        <w:tc>
          <w:tcPr>
            <w:tcW w:w="2580" w:type="dxa"/>
            <w:shd w:val="clear" w:color="auto" w:fill="F7F9FC"/>
            <w:tcMar>
              <w:top w:w="70" w:type="dxa"/>
              <w:left w:w="70" w:type="dxa"/>
              <w:bottom w:w="70" w:type="dxa"/>
              <w:right w:w="70" w:type="dxa"/>
            </w:tcMar>
          </w:tcPr>
          <w:p w14:paraId="37809AA2" w14:textId="77777777" w:rsidR="00D1797A" w:rsidRDefault="00000000">
            <w:pPr>
              <w:spacing w:after="0" w:line="240" w:lineRule="auto"/>
              <w:jc w:val="left"/>
            </w:pPr>
            <w:r>
              <w:rPr>
                <w:rFonts w:ascii="Arial" w:eastAsia="Arial" w:hAnsi="Arial"/>
                <w:sz w:val="15"/>
              </w:rPr>
              <w:t>Feline management</w:t>
            </w:r>
          </w:p>
        </w:tc>
        <w:tc>
          <w:tcPr>
            <w:tcW w:w="2580" w:type="dxa"/>
            <w:shd w:val="clear" w:color="auto" w:fill="F7F9FC"/>
            <w:tcMar>
              <w:top w:w="70" w:type="dxa"/>
              <w:left w:w="70" w:type="dxa"/>
              <w:bottom w:w="70" w:type="dxa"/>
              <w:right w:w="70" w:type="dxa"/>
            </w:tcMar>
          </w:tcPr>
          <w:p w14:paraId="5BB8F76A" w14:textId="77777777" w:rsidR="00D1797A" w:rsidRDefault="00000000">
            <w:pPr>
              <w:spacing w:after="0" w:line="240" w:lineRule="auto"/>
              <w:jc w:val="left"/>
            </w:pPr>
            <w:r>
              <w:rPr>
                <w:rFonts w:ascii="Arial" w:eastAsia="Arial" w:hAnsi="Arial"/>
                <w:sz w:val="15"/>
              </w:rPr>
              <w:t>Small cohorts and extrapolation from dogs</w:t>
            </w:r>
          </w:p>
        </w:tc>
        <w:tc>
          <w:tcPr>
            <w:tcW w:w="2580" w:type="dxa"/>
            <w:shd w:val="clear" w:color="auto" w:fill="F7F9FC"/>
            <w:tcMar>
              <w:top w:w="70" w:type="dxa"/>
              <w:left w:w="70" w:type="dxa"/>
              <w:bottom w:w="70" w:type="dxa"/>
              <w:right w:w="70" w:type="dxa"/>
            </w:tcMar>
          </w:tcPr>
          <w:p w14:paraId="61F8910C" w14:textId="77777777" w:rsidR="00D1797A" w:rsidRDefault="00000000">
            <w:pPr>
              <w:spacing w:after="0" w:line="240" w:lineRule="auto"/>
              <w:jc w:val="left"/>
            </w:pPr>
            <w:r>
              <w:rPr>
                <w:rFonts w:ascii="Arial" w:eastAsia="Arial" w:hAnsi="Arial"/>
                <w:sz w:val="15"/>
              </w:rPr>
              <w:t>Prospective multicentre feline registry with standard neurological and coagulation measures</w:t>
            </w:r>
          </w:p>
        </w:tc>
        <w:tc>
          <w:tcPr>
            <w:tcW w:w="2580" w:type="dxa"/>
            <w:shd w:val="clear" w:color="auto" w:fill="F7F9FC"/>
            <w:tcMar>
              <w:top w:w="70" w:type="dxa"/>
              <w:left w:w="70" w:type="dxa"/>
              <w:bottom w:w="70" w:type="dxa"/>
              <w:right w:w="70" w:type="dxa"/>
            </w:tcMar>
          </w:tcPr>
          <w:p w14:paraId="17E156A6" w14:textId="77777777" w:rsidR="00D1797A" w:rsidRDefault="00000000">
            <w:pPr>
              <w:spacing w:after="0" w:line="240" w:lineRule="auto"/>
              <w:jc w:val="left"/>
            </w:pPr>
            <w:r>
              <w:rPr>
                <w:rFonts w:ascii="Arial" w:eastAsia="Arial" w:hAnsi="Arial"/>
                <w:sz w:val="15"/>
              </w:rPr>
              <w:t>Ventilation, haemorrhage, antivenom response, reactions and long-term function</w:t>
            </w:r>
          </w:p>
        </w:tc>
        <w:tc>
          <w:tcPr>
            <w:tcW w:w="2580" w:type="dxa"/>
            <w:shd w:val="clear" w:color="auto" w:fill="F7F9FC"/>
            <w:tcMar>
              <w:top w:w="70" w:type="dxa"/>
              <w:left w:w="70" w:type="dxa"/>
              <w:bottom w:w="70" w:type="dxa"/>
              <w:right w:w="70" w:type="dxa"/>
            </w:tcMar>
          </w:tcPr>
          <w:p w14:paraId="3AC5D740" w14:textId="77777777" w:rsidR="00D1797A" w:rsidRDefault="00000000">
            <w:pPr>
              <w:spacing w:after="0" w:line="240" w:lineRule="auto"/>
              <w:jc w:val="left"/>
            </w:pPr>
            <w:r>
              <w:rPr>
                <w:rFonts w:ascii="Arial" w:eastAsia="Arial" w:hAnsi="Arial"/>
                <w:sz w:val="15"/>
              </w:rPr>
              <w:t>Defines cat-specific triage and monitoring</w:t>
            </w:r>
          </w:p>
        </w:tc>
        <w:tc>
          <w:tcPr>
            <w:tcW w:w="2580" w:type="dxa"/>
            <w:shd w:val="clear" w:color="auto" w:fill="F7F9FC"/>
            <w:tcMar>
              <w:top w:w="70" w:type="dxa"/>
              <w:left w:w="70" w:type="dxa"/>
              <w:bottom w:w="70" w:type="dxa"/>
              <w:right w:w="70" w:type="dxa"/>
            </w:tcMar>
          </w:tcPr>
          <w:p w14:paraId="52DF8DE3" w14:textId="77777777" w:rsidR="00D1797A" w:rsidRDefault="00000000">
            <w:pPr>
              <w:spacing w:after="0" w:line="240" w:lineRule="auto"/>
              <w:jc w:val="left"/>
            </w:pPr>
            <w:r>
              <w:rPr>
                <w:rFonts w:ascii="Arial" w:eastAsia="Arial" w:hAnsi="Arial"/>
                <w:sz w:val="15"/>
              </w:rPr>
              <w:t>Lenchner et al. (2014); Day et al. (2025)</w:t>
            </w:r>
          </w:p>
        </w:tc>
      </w:tr>
      <w:tr w:rsidR="00D1797A" w14:paraId="73D6223D" w14:textId="77777777">
        <w:trPr>
          <w:cantSplit/>
          <w:jc w:val="center"/>
        </w:trPr>
        <w:tc>
          <w:tcPr>
            <w:tcW w:w="2580" w:type="dxa"/>
            <w:tcMar>
              <w:top w:w="70" w:type="dxa"/>
              <w:left w:w="70" w:type="dxa"/>
              <w:bottom w:w="70" w:type="dxa"/>
              <w:right w:w="70" w:type="dxa"/>
            </w:tcMar>
          </w:tcPr>
          <w:p w14:paraId="4089734F" w14:textId="77777777" w:rsidR="00D1797A" w:rsidRDefault="00000000">
            <w:pPr>
              <w:spacing w:after="0" w:line="240" w:lineRule="auto"/>
              <w:jc w:val="left"/>
            </w:pPr>
            <w:r>
              <w:rPr>
                <w:rFonts w:ascii="Arial" w:eastAsia="Arial" w:hAnsi="Arial"/>
                <w:sz w:val="15"/>
              </w:rPr>
              <w:t>Equine airway thresholds</w:t>
            </w:r>
          </w:p>
        </w:tc>
        <w:tc>
          <w:tcPr>
            <w:tcW w:w="2580" w:type="dxa"/>
            <w:tcMar>
              <w:top w:w="70" w:type="dxa"/>
              <w:left w:w="70" w:type="dxa"/>
              <w:bottom w:w="70" w:type="dxa"/>
              <w:right w:w="70" w:type="dxa"/>
            </w:tcMar>
          </w:tcPr>
          <w:p w14:paraId="741974EA" w14:textId="77777777" w:rsidR="00D1797A" w:rsidRDefault="00000000">
            <w:pPr>
              <w:spacing w:after="0" w:line="240" w:lineRule="auto"/>
              <w:jc w:val="left"/>
            </w:pPr>
            <w:r>
              <w:rPr>
                <w:rFonts w:ascii="Arial" w:eastAsia="Arial" w:hAnsi="Arial"/>
                <w:sz w:val="15"/>
              </w:rPr>
              <w:t>Retrospective reports use inconsistent definitions of obstruction and intervention</w:t>
            </w:r>
          </w:p>
        </w:tc>
        <w:tc>
          <w:tcPr>
            <w:tcW w:w="2580" w:type="dxa"/>
            <w:tcMar>
              <w:top w:w="70" w:type="dxa"/>
              <w:left w:w="70" w:type="dxa"/>
              <w:bottom w:w="70" w:type="dxa"/>
              <w:right w:w="70" w:type="dxa"/>
            </w:tcMar>
          </w:tcPr>
          <w:p w14:paraId="0FA71F56" w14:textId="77777777" w:rsidR="00D1797A" w:rsidRDefault="00000000">
            <w:pPr>
              <w:spacing w:after="0" w:line="240" w:lineRule="auto"/>
              <w:jc w:val="left"/>
            </w:pPr>
            <w:r>
              <w:rPr>
                <w:rFonts w:ascii="Arial" w:eastAsia="Arial" w:hAnsi="Arial"/>
                <w:sz w:val="15"/>
              </w:rPr>
              <w:t>Prospective airway-focused cohort</w:t>
            </w:r>
          </w:p>
        </w:tc>
        <w:tc>
          <w:tcPr>
            <w:tcW w:w="2580" w:type="dxa"/>
            <w:tcMar>
              <w:top w:w="70" w:type="dxa"/>
              <w:left w:w="70" w:type="dxa"/>
              <w:bottom w:w="70" w:type="dxa"/>
              <w:right w:w="70" w:type="dxa"/>
            </w:tcMar>
          </w:tcPr>
          <w:p w14:paraId="1969D021" w14:textId="77777777" w:rsidR="00D1797A" w:rsidRDefault="00000000">
            <w:pPr>
              <w:spacing w:after="0" w:line="240" w:lineRule="auto"/>
              <w:jc w:val="left"/>
            </w:pPr>
            <w:r>
              <w:rPr>
                <w:rFonts w:ascii="Arial" w:eastAsia="Arial" w:hAnsi="Arial"/>
                <w:sz w:val="15"/>
              </w:rPr>
              <w:t>Airflow, swelling trajectory, timing of tracheotomy, complications and return to function</w:t>
            </w:r>
          </w:p>
        </w:tc>
        <w:tc>
          <w:tcPr>
            <w:tcW w:w="2580" w:type="dxa"/>
            <w:tcMar>
              <w:top w:w="70" w:type="dxa"/>
              <w:left w:w="70" w:type="dxa"/>
              <w:bottom w:w="70" w:type="dxa"/>
              <w:right w:w="70" w:type="dxa"/>
            </w:tcMar>
          </w:tcPr>
          <w:p w14:paraId="0B624A13" w14:textId="77777777" w:rsidR="00D1797A" w:rsidRDefault="00000000">
            <w:pPr>
              <w:spacing w:after="0" w:line="240" w:lineRule="auto"/>
              <w:jc w:val="left"/>
            </w:pPr>
            <w:r>
              <w:rPr>
                <w:rFonts w:ascii="Arial" w:eastAsia="Arial" w:hAnsi="Arial"/>
                <w:sz w:val="15"/>
              </w:rPr>
              <w:t>Supports earlier and safer airway decisions</w:t>
            </w:r>
          </w:p>
        </w:tc>
        <w:tc>
          <w:tcPr>
            <w:tcW w:w="2580" w:type="dxa"/>
            <w:tcMar>
              <w:top w:w="70" w:type="dxa"/>
              <w:left w:w="70" w:type="dxa"/>
              <w:bottom w:w="70" w:type="dxa"/>
              <w:right w:w="70" w:type="dxa"/>
            </w:tcMar>
          </w:tcPr>
          <w:p w14:paraId="54C06456" w14:textId="77777777" w:rsidR="00D1797A" w:rsidRDefault="00000000">
            <w:pPr>
              <w:spacing w:after="0" w:line="240" w:lineRule="auto"/>
              <w:jc w:val="left"/>
            </w:pPr>
            <w:r>
              <w:rPr>
                <w:rFonts w:ascii="Arial" w:eastAsia="Arial" w:hAnsi="Arial"/>
                <w:sz w:val="15"/>
              </w:rPr>
              <w:t>Fielding et al. (2011); Gilliam (2024)</w:t>
            </w:r>
          </w:p>
        </w:tc>
      </w:tr>
      <w:tr w:rsidR="00D1797A" w14:paraId="4551D8CB" w14:textId="77777777">
        <w:trPr>
          <w:cantSplit/>
          <w:jc w:val="center"/>
        </w:trPr>
        <w:tc>
          <w:tcPr>
            <w:tcW w:w="2580" w:type="dxa"/>
            <w:shd w:val="clear" w:color="auto" w:fill="F7F9FC"/>
            <w:tcMar>
              <w:top w:w="70" w:type="dxa"/>
              <w:left w:w="70" w:type="dxa"/>
              <w:bottom w:w="70" w:type="dxa"/>
              <w:right w:w="70" w:type="dxa"/>
            </w:tcMar>
          </w:tcPr>
          <w:p w14:paraId="78EC66AF" w14:textId="77777777" w:rsidR="00D1797A" w:rsidRDefault="00000000">
            <w:pPr>
              <w:spacing w:after="0" w:line="240" w:lineRule="auto"/>
              <w:jc w:val="left"/>
            </w:pPr>
            <w:r>
              <w:rPr>
                <w:rFonts w:ascii="Arial" w:eastAsia="Arial" w:hAnsi="Arial"/>
                <w:sz w:val="15"/>
              </w:rPr>
              <w:t>Livestock burden and treatment</w:t>
            </w:r>
          </w:p>
        </w:tc>
        <w:tc>
          <w:tcPr>
            <w:tcW w:w="2580" w:type="dxa"/>
            <w:shd w:val="clear" w:color="auto" w:fill="F7F9FC"/>
            <w:tcMar>
              <w:top w:w="70" w:type="dxa"/>
              <w:left w:w="70" w:type="dxa"/>
              <w:bottom w:w="70" w:type="dxa"/>
              <w:right w:w="70" w:type="dxa"/>
            </w:tcMar>
          </w:tcPr>
          <w:p w14:paraId="202C3067" w14:textId="77777777" w:rsidR="00D1797A" w:rsidRDefault="00000000">
            <w:pPr>
              <w:spacing w:after="0" w:line="240" w:lineRule="auto"/>
              <w:jc w:val="left"/>
            </w:pPr>
            <w:r>
              <w:rPr>
                <w:rFonts w:ascii="Arial" w:eastAsia="Arial" w:hAnsi="Arial"/>
                <w:sz w:val="15"/>
              </w:rPr>
              <w:t>Frequent misclassification, sparse clinical confirmation and limited follow-up</w:t>
            </w:r>
          </w:p>
        </w:tc>
        <w:tc>
          <w:tcPr>
            <w:tcW w:w="2580" w:type="dxa"/>
            <w:shd w:val="clear" w:color="auto" w:fill="F7F9FC"/>
            <w:tcMar>
              <w:top w:w="70" w:type="dxa"/>
              <w:left w:w="70" w:type="dxa"/>
              <w:bottom w:w="70" w:type="dxa"/>
              <w:right w:w="70" w:type="dxa"/>
            </w:tcMar>
          </w:tcPr>
          <w:p w14:paraId="5A499763" w14:textId="77777777" w:rsidR="00D1797A" w:rsidRDefault="00000000">
            <w:pPr>
              <w:spacing w:after="0" w:line="240" w:lineRule="auto"/>
              <w:jc w:val="left"/>
            </w:pPr>
            <w:r>
              <w:rPr>
                <w:rFonts w:ascii="Arial" w:eastAsia="Arial" w:hAnsi="Arial"/>
                <w:sz w:val="15"/>
              </w:rPr>
              <w:t>Community surveillance linked to veterinary examination and necropsy validation</w:t>
            </w:r>
          </w:p>
        </w:tc>
        <w:tc>
          <w:tcPr>
            <w:tcW w:w="2580" w:type="dxa"/>
            <w:shd w:val="clear" w:color="auto" w:fill="F7F9FC"/>
            <w:tcMar>
              <w:top w:w="70" w:type="dxa"/>
              <w:left w:w="70" w:type="dxa"/>
              <w:bottom w:w="70" w:type="dxa"/>
              <w:right w:w="70" w:type="dxa"/>
            </w:tcMar>
          </w:tcPr>
          <w:p w14:paraId="5441A51A" w14:textId="77777777" w:rsidR="00D1797A" w:rsidRDefault="00000000">
            <w:pPr>
              <w:spacing w:after="0" w:line="240" w:lineRule="auto"/>
              <w:jc w:val="left"/>
            </w:pPr>
            <w:r>
              <w:rPr>
                <w:rFonts w:ascii="Arial" w:eastAsia="Arial" w:hAnsi="Arial"/>
                <w:sz w:val="15"/>
              </w:rPr>
              <w:t>Species-specific incidence, mortality, welfare, household loss and antivenom feasibility</w:t>
            </w:r>
          </w:p>
        </w:tc>
        <w:tc>
          <w:tcPr>
            <w:tcW w:w="2580" w:type="dxa"/>
            <w:shd w:val="clear" w:color="auto" w:fill="F7F9FC"/>
            <w:tcMar>
              <w:top w:w="70" w:type="dxa"/>
              <w:left w:w="70" w:type="dxa"/>
              <w:bottom w:w="70" w:type="dxa"/>
              <w:right w:w="70" w:type="dxa"/>
            </w:tcMar>
          </w:tcPr>
          <w:p w14:paraId="7567C51D" w14:textId="77777777" w:rsidR="00D1797A" w:rsidRDefault="00000000">
            <w:pPr>
              <w:spacing w:after="0" w:line="240" w:lineRule="auto"/>
              <w:jc w:val="left"/>
            </w:pPr>
            <w:r>
              <w:rPr>
                <w:rFonts w:ascii="Arial" w:eastAsia="Arial" w:hAnsi="Arial"/>
                <w:sz w:val="15"/>
              </w:rPr>
              <w:t>Improves One Health planning and rural antivenom access</w:t>
            </w:r>
          </w:p>
        </w:tc>
        <w:tc>
          <w:tcPr>
            <w:tcW w:w="2580" w:type="dxa"/>
            <w:shd w:val="clear" w:color="auto" w:fill="F7F9FC"/>
            <w:tcMar>
              <w:top w:w="70" w:type="dxa"/>
              <w:left w:w="70" w:type="dxa"/>
              <w:bottom w:w="70" w:type="dxa"/>
              <w:right w:w="70" w:type="dxa"/>
            </w:tcMar>
          </w:tcPr>
          <w:p w14:paraId="2901CE3E" w14:textId="77777777" w:rsidR="00D1797A" w:rsidRDefault="00000000">
            <w:pPr>
              <w:spacing w:after="0" w:line="240" w:lineRule="auto"/>
              <w:jc w:val="left"/>
            </w:pPr>
            <w:r>
              <w:rPr>
                <w:rFonts w:ascii="Arial" w:eastAsia="Arial" w:hAnsi="Arial"/>
                <w:sz w:val="15"/>
              </w:rPr>
              <w:t>Bolon et al. (2019, 2021); Tokarnia and Peixoto (2006)</w:t>
            </w:r>
          </w:p>
        </w:tc>
      </w:tr>
      <w:tr w:rsidR="00D1797A" w14:paraId="149EA3DB" w14:textId="77777777">
        <w:trPr>
          <w:cantSplit/>
          <w:jc w:val="center"/>
        </w:trPr>
        <w:tc>
          <w:tcPr>
            <w:tcW w:w="2580" w:type="dxa"/>
            <w:tcMar>
              <w:top w:w="70" w:type="dxa"/>
              <w:left w:w="70" w:type="dxa"/>
              <w:bottom w:w="70" w:type="dxa"/>
              <w:right w:w="70" w:type="dxa"/>
            </w:tcMar>
          </w:tcPr>
          <w:p w14:paraId="6FF6CD64" w14:textId="77777777" w:rsidR="00D1797A" w:rsidRDefault="00000000">
            <w:pPr>
              <w:spacing w:after="0" w:line="240" w:lineRule="auto"/>
              <w:jc w:val="left"/>
            </w:pPr>
            <w:r>
              <w:rPr>
                <w:rFonts w:ascii="Arial" w:eastAsia="Arial" w:hAnsi="Arial"/>
                <w:sz w:val="15"/>
              </w:rPr>
              <w:t>Rapid venom diagnostics</w:t>
            </w:r>
          </w:p>
        </w:tc>
        <w:tc>
          <w:tcPr>
            <w:tcW w:w="2580" w:type="dxa"/>
            <w:tcMar>
              <w:top w:w="70" w:type="dxa"/>
              <w:left w:w="70" w:type="dxa"/>
              <w:bottom w:w="70" w:type="dxa"/>
              <w:right w:w="70" w:type="dxa"/>
            </w:tcMar>
          </w:tcPr>
          <w:p w14:paraId="6A3279E0" w14:textId="77777777" w:rsidR="00D1797A" w:rsidRDefault="00000000">
            <w:pPr>
              <w:spacing w:after="0" w:line="240" w:lineRule="auto"/>
              <w:jc w:val="left"/>
            </w:pPr>
            <w:r>
              <w:rPr>
                <w:rFonts w:ascii="Arial" w:eastAsia="Arial" w:hAnsi="Arial"/>
                <w:sz w:val="15"/>
              </w:rPr>
              <w:t>Research assays are slow or unavailable and clinical syndromes overlap</w:t>
            </w:r>
          </w:p>
        </w:tc>
        <w:tc>
          <w:tcPr>
            <w:tcW w:w="2580" w:type="dxa"/>
            <w:tcMar>
              <w:top w:w="70" w:type="dxa"/>
              <w:left w:w="70" w:type="dxa"/>
              <w:bottom w:w="70" w:type="dxa"/>
              <w:right w:w="70" w:type="dxa"/>
            </w:tcMar>
          </w:tcPr>
          <w:p w14:paraId="2D7A6CA7" w14:textId="77777777" w:rsidR="00D1797A" w:rsidRDefault="00000000">
            <w:pPr>
              <w:spacing w:after="0" w:line="240" w:lineRule="auto"/>
              <w:jc w:val="left"/>
            </w:pPr>
            <w:r>
              <w:rPr>
                <w:rFonts w:ascii="Arial" w:eastAsia="Arial" w:hAnsi="Arial"/>
                <w:sz w:val="15"/>
              </w:rPr>
              <w:t>Prospective diagnostic-accuracy studies with treatment-impact evaluation</w:t>
            </w:r>
          </w:p>
        </w:tc>
        <w:tc>
          <w:tcPr>
            <w:tcW w:w="2580" w:type="dxa"/>
            <w:tcMar>
              <w:top w:w="70" w:type="dxa"/>
              <w:left w:w="70" w:type="dxa"/>
              <w:bottom w:w="70" w:type="dxa"/>
              <w:right w:w="70" w:type="dxa"/>
            </w:tcMar>
          </w:tcPr>
          <w:p w14:paraId="4CA71A2F" w14:textId="77777777" w:rsidR="00D1797A" w:rsidRDefault="00000000">
            <w:pPr>
              <w:spacing w:after="0" w:line="240" w:lineRule="auto"/>
              <w:jc w:val="left"/>
            </w:pPr>
            <w:r>
              <w:rPr>
                <w:rFonts w:ascii="Arial" w:eastAsia="Arial" w:hAnsi="Arial"/>
                <w:sz w:val="15"/>
              </w:rPr>
              <w:t>Sensitivity, specificity, toxin coverage, time to result and change in management</w:t>
            </w:r>
          </w:p>
        </w:tc>
        <w:tc>
          <w:tcPr>
            <w:tcW w:w="2580" w:type="dxa"/>
            <w:tcMar>
              <w:top w:w="70" w:type="dxa"/>
              <w:left w:w="70" w:type="dxa"/>
              <w:bottom w:w="70" w:type="dxa"/>
              <w:right w:w="70" w:type="dxa"/>
            </w:tcMar>
          </w:tcPr>
          <w:p w14:paraId="41A45CE8" w14:textId="77777777" w:rsidR="00D1797A" w:rsidRDefault="00000000">
            <w:pPr>
              <w:spacing w:after="0" w:line="240" w:lineRule="auto"/>
              <w:jc w:val="left"/>
            </w:pPr>
            <w:r>
              <w:rPr>
                <w:rFonts w:ascii="Arial" w:eastAsia="Arial" w:hAnsi="Arial"/>
                <w:sz w:val="15"/>
              </w:rPr>
              <w:t>Improves product matching and avoids unnecessary antivenom</w:t>
            </w:r>
          </w:p>
        </w:tc>
        <w:tc>
          <w:tcPr>
            <w:tcW w:w="2580" w:type="dxa"/>
            <w:tcMar>
              <w:top w:w="70" w:type="dxa"/>
              <w:left w:w="70" w:type="dxa"/>
              <w:bottom w:w="70" w:type="dxa"/>
              <w:right w:w="70" w:type="dxa"/>
            </w:tcMar>
          </w:tcPr>
          <w:p w14:paraId="598D1655" w14:textId="77777777" w:rsidR="00D1797A" w:rsidRDefault="00000000">
            <w:pPr>
              <w:spacing w:after="0" w:line="240" w:lineRule="auto"/>
              <w:jc w:val="left"/>
            </w:pPr>
            <w:r>
              <w:rPr>
                <w:rFonts w:ascii="Arial" w:eastAsia="Arial" w:hAnsi="Arial"/>
                <w:sz w:val="15"/>
              </w:rPr>
              <w:t>Nicolaysen et al. (2024); Carotenuto et al. (2026)</w:t>
            </w:r>
          </w:p>
        </w:tc>
      </w:tr>
      <w:tr w:rsidR="00D1797A" w14:paraId="777C04DB" w14:textId="77777777">
        <w:trPr>
          <w:cantSplit/>
          <w:jc w:val="center"/>
        </w:trPr>
        <w:tc>
          <w:tcPr>
            <w:tcW w:w="2580" w:type="dxa"/>
            <w:shd w:val="clear" w:color="auto" w:fill="F7F9FC"/>
            <w:tcMar>
              <w:top w:w="70" w:type="dxa"/>
              <w:left w:w="70" w:type="dxa"/>
              <w:bottom w:w="70" w:type="dxa"/>
              <w:right w:w="70" w:type="dxa"/>
            </w:tcMar>
          </w:tcPr>
          <w:p w14:paraId="2500CE65" w14:textId="77777777" w:rsidR="00D1797A" w:rsidRDefault="00000000">
            <w:pPr>
              <w:spacing w:after="0" w:line="240" w:lineRule="auto"/>
              <w:jc w:val="left"/>
            </w:pPr>
            <w:r>
              <w:rPr>
                <w:rFonts w:ascii="Arial" w:eastAsia="Arial" w:hAnsi="Arial"/>
                <w:sz w:val="15"/>
              </w:rPr>
              <w:t>Long-term sequelae</w:t>
            </w:r>
          </w:p>
        </w:tc>
        <w:tc>
          <w:tcPr>
            <w:tcW w:w="2580" w:type="dxa"/>
            <w:shd w:val="clear" w:color="auto" w:fill="F7F9FC"/>
            <w:tcMar>
              <w:top w:w="70" w:type="dxa"/>
              <w:left w:w="70" w:type="dxa"/>
              <w:bottom w:w="70" w:type="dxa"/>
              <w:right w:w="70" w:type="dxa"/>
            </w:tcMar>
          </w:tcPr>
          <w:p w14:paraId="2AFAB742" w14:textId="77777777" w:rsidR="00D1797A" w:rsidRDefault="00000000">
            <w:pPr>
              <w:spacing w:after="0" w:line="240" w:lineRule="auto"/>
              <w:jc w:val="left"/>
            </w:pPr>
            <w:r>
              <w:rPr>
                <w:rFonts w:ascii="Arial" w:eastAsia="Arial" w:hAnsi="Arial"/>
                <w:sz w:val="15"/>
              </w:rPr>
              <w:t>Most reports end at discharge</w:t>
            </w:r>
          </w:p>
        </w:tc>
        <w:tc>
          <w:tcPr>
            <w:tcW w:w="2580" w:type="dxa"/>
            <w:shd w:val="clear" w:color="auto" w:fill="F7F9FC"/>
            <w:tcMar>
              <w:top w:w="70" w:type="dxa"/>
              <w:left w:w="70" w:type="dxa"/>
              <w:bottom w:w="70" w:type="dxa"/>
              <w:right w:w="70" w:type="dxa"/>
            </w:tcMar>
          </w:tcPr>
          <w:p w14:paraId="6F552C26" w14:textId="77777777" w:rsidR="00D1797A" w:rsidRDefault="00000000">
            <w:pPr>
              <w:spacing w:after="0" w:line="240" w:lineRule="auto"/>
              <w:jc w:val="left"/>
            </w:pPr>
            <w:r>
              <w:rPr>
                <w:rFonts w:ascii="Arial" w:eastAsia="Arial" w:hAnsi="Arial"/>
                <w:sz w:val="15"/>
              </w:rPr>
              <w:t>Standardised follow-up at weeks and months</w:t>
            </w:r>
          </w:p>
        </w:tc>
        <w:tc>
          <w:tcPr>
            <w:tcW w:w="2580" w:type="dxa"/>
            <w:shd w:val="clear" w:color="auto" w:fill="F7F9FC"/>
            <w:tcMar>
              <w:top w:w="70" w:type="dxa"/>
              <w:left w:w="70" w:type="dxa"/>
              <w:bottom w:w="70" w:type="dxa"/>
              <w:right w:w="70" w:type="dxa"/>
            </w:tcMar>
          </w:tcPr>
          <w:p w14:paraId="318BB174" w14:textId="77777777" w:rsidR="00D1797A" w:rsidRDefault="00000000">
            <w:pPr>
              <w:spacing w:after="0" w:line="240" w:lineRule="auto"/>
              <w:jc w:val="left"/>
            </w:pPr>
            <w:r>
              <w:rPr>
                <w:rFonts w:ascii="Arial" w:eastAsia="Arial" w:hAnsi="Arial"/>
                <w:sz w:val="15"/>
              </w:rPr>
              <w:t>Lameness, renal and cardiac function, pain, quality of life and production</w:t>
            </w:r>
          </w:p>
        </w:tc>
        <w:tc>
          <w:tcPr>
            <w:tcW w:w="2580" w:type="dxa"/>
            <w:shd w:val="clear" w:color="auto" w:fill="F7F9FC"/>
            <w:tcMar>
              <w:top w:w="70" w:type="dxa"/>
              <w:left w:w="70" w:type="dxa"/>
              <w:bottom w:w="70" w:type="dxa"/>
              <w:right w:w="70" w:type="dxa"/>
            </w:tcMar>
          </w:tcPr>
          <w:p w14:paraId="57238E86" w14:textId="77777777" w:rsidR="00D1797A" w:rsidRDefault="00000000">
            <w:pPr>
              <w:spacing w:after="0" w:line="240" w:lineRule="auto"/>
              <w:jc w:val="left"/>
            </w:pPr>
            <w:r>
              <w:rPr>
                <w:rFonts w:ascii="Arial" w:eastAsia="Arial" w:hAnsi="Arial"/>
                <w:sz w:val="15"/>
              </w:rPr>
              <w:t>Aligns treatment with disability prevention, not survival alone</w:t>
            </w:r>
          </w:p>
        </w:tc>
        <w:tc>
          <w:tcPr>
            <w:tcW w:w="2580" w:type="dxa"/>
            <w:shd w:val="clear" w:color="auto" w:fill="F7F9FC"/>
            <w:tcMar>
              <w:top w:w="70" w:type="dxa"/>
              <w:left w:w="70" w:type="dxa"/>
              <w:bottom w:w="70" w:type="dxa"/>
              <w:right w:w="70" w:type="dxa"/>
            </w:tcMar>
          </w:tcPr>
          <w:p w14:paraId="0A1F8D4A" w14:textId="77777777" w:rsidR="00D1797A" w:rsidRDefault="00000000">
            <w:pPr>
              <w:spacing w:after="0" w:line="240" w:lineRule="auto"/>
              <w:jc w:val="left"/>
            </w:pPr>
            <w:r>
              <w:rPr>
                <w:rFonts w:ascii="Arial" w:eastAsia="Arial" w:hAnsi="Arial"/>
                <w:sz w:val="15"/>
              </w:rPr>
              <w:t>Gilliam (2024); Langhorn et al. (2014)</w:t>
            </w:r>
          </w:p>
        </w:tc>
      </w:tr>
      <w:tr w:rsidR="00D1797A" w14:paraId="4ACCB799" w14:textId="77777777">
        <w:trPr>
          <w:cantSplit/>
          <w:jc w:val="center"/>
        </w:trPr>
        <w:tc>
          <w:tcPr>
            <w:tcW w:w="2580" w:type="dxa"/>
            <w:tcMar>
              <w:top w:w="70" w:type="dxa"/>
              <w:left w:w="70" w:type="dxa"/>
              <w:bottom w:w="70" w:type="dxa"/>
              <w:right w:w="70" w:type="dxa"/>
            </w:tcMar>
          </w:tcPr>
          <w:p w14:paraId="6BD32F81" w14:textId="77777777" w:rsidR="00D1797A" w:rsidRDefault="00000000">
            <w:pPr>
              <w:spacing w:after="0" w:line="240" w:lineRule="auto"/>
              <w:jc w:val="left"/>
            </w:pPr>
            <w:r>
              <w:rPr>
                <w:rFonts w:ascii="Arial" w:eastAsia="Arial" w:hAnsi="Arial"/>
                <w:sz w:val="15"/>
              </w:rPr>
              <w:t>Implementation in low-resource settings</w:t>
            </w:r>
          </w:p>
        </w:tc>
        <w:tc>
          <w:tcPr>
            <w:tcW w:w="2580" w:type="dxa"/>
            <w:tcMar>
              <w:top w:w="70" w:type="dxa"/>
              <w:left w:w="70" w:type="dxa"/>
              <w:bottom w:w="70" w:type="dxa"/>
              <w:right w:w="70" w:type="dxa"/>
            </w:tcMar>
          </w:tcPr>
          <w:p w14:paraId="1FD26213" w14:textId="77777777" w:rsidR="00D1797A" w:rsidRDefault="00000000">
            <w:pPr>
              <w:spacing w:after="0" w:line="240" w:lineRule="auto"/>
              <w:jc w:val="left"/>
            </w:pPr>
            <w:r>
              <w:rPr>
                <w:rFonts w:ascii="Arial" w:eastAsia="Arial" w:hAnsi="Arial"/>
                <w:sz w:val="15"/>
              </w:rPr>
              <w:t>Referral-centre protocols may be infeasible where burden is high</w:t>
            </w:r>
          </w:p>
        </w:tc>
        <w:tc>
          <w:tcPr>
            <w:tcW w:w="2580" w:type="dxa"/>
            <w:tcMar>
              <w:top w:w="70" w:type="dxa"/>
              <w:left w:w="70" w:type="dxa"/>
              <w:bottom w:w="70" w:type="dxa"/>
              <w:right w:w="70" w:type="dxa"/>
            </w:tcMar>
          </w:tcPr>
          <w:p w14:paraId="65093044" w14:textId="77777777" w:rsidR="00D1797A" w:rsidRDefault="00000000">
            <w:pPr>
              <w:spacing w:after="0" w:line="240" w:lineRule="auto"/>
              <w:jc w:val="left"/>
            </w:pPr>
            <w:r>
              <w:rPr>
                <w:rFonts w:ascii="Arial" w:eastAsia="Arial" w:hAnsi="Arial"/>
                <w:sz w:val="15"/>
              </w:rPr>
              <w:t>Cluster or stepped-wedge evaluation of tiered protocols, shared stocks and tele-toxicology</w:t>
            </w:r>
          </w:p>
        </w:tc>
        <w:tc>
          <w:tcPr>
            <w:tcW w:w="2580" w:type="dxa"/>
            <w:tcMar>
              <w:top w:w="70" w:type="dxa"/>
              <w:left w:w="70" w:type="dxa"/>
              <w:bottom w:w="70" w:type="dxa"/>
              <w:right w:w="70" w:type="dxa"/>
            </w:tcMar>
          </w:tcPr>
          <w:p w14:paraId="2C8D97D7" w14:textId="77777777" w:rsidR="00D1797A" w:rsidRDefault="00000000">
            <w:pPr>
              <w:spacing w:after="0" w:line="240" w:lineRule="auto"/>
              <w:jc w:val="left"/>
            </w:pPr>
            <w:r>
              <w:rPr>
                <w:rFonts w:ascii="Arial" w:eastAsia="Arial" w:hAnsi="Arial"/>
                <w:sz w:val="15"/>
              </w:rPr>
              <w:t>Time to antivenom, correct product use, mortality, cost and equity</w:t>
            </w:r>
          </w:p>
        </w:tc>
        <w:tc>
          <w:tcPr>
            <w:tcW w:w="2580" w:type="dxa"/>
            <w:tcMar>
              <w:top w:w="70" w:type="dxa"/>
              <w:left w:w="70" w:type="dxa"/>
              <w:bottom w:w="70" w:type="dxa"/>
              <w:right w:w="70" w:type="dxa"/>
            </w:tcMar>
          </w:tcPr>
          <w:p w14:paraId="4F06E59A" w14:textId="77777777" w:rsidR="00D1797A" w:rsidRDefault="00000000">
            <w:pPr>
              <w:spacing w:after="0" w:line="240" w:lineRule="auto"/>
              <w:jc w:val="left"/>
            </w:pPr>
            <w:r>
              <w:rPr>
                <w:rFonts w:ascii="Arial" w:eastAsia="Arial" w:hAnsi="Arial"/>
                <w:sz w:val="15"/>
              </w:rPr>
              <w:t>Translates efficacy into population benefit</w:t>
            </w:r>
          </w:p>
        </w:tc>
        <w:tc>
          <w:tcPr>
            <w:tcW w:w="2580" w:type="dxa"/>
            <w:tcMar>
              <w:top w:w="70" w:type="dxa"/>
              <w:left w:w="70" w:type="dxa"/>
              <w:bottom w:w="70" w:type="dxa"/>
              <w:right w:w="70" w:type="dxa"/>
            </w:tcMar>
          </w:tcPr>
          <w:p w14:paraId="56A31E42" w14:textId="77777777" w:rsidR="00D1797A" w:rsidRDefault="00000000">
            <w:pPr>
              <w:spacing w:after="0" w:line="240" w:lineRule="auto"/>
              <w:jc w:val="left"/>
            </w:pPr>
            <w:r>
              <w:rPr>
                <w:rFonts w:ascii="Arial" w:eastAsia="Arial" w:hAnsi="Arial"/>
                <w:sz w:val="15"/>
              </w:rPr>
              <w:t>Bolon et al. (2021); Migliorisi et al. (2026)</w:t>
            </w:r>
          </w:p>
        </w:tc>
      </w:tr>
    </w:tbl>
    <w:p w14:paraId="2AAC3875" w14:textId="77777777" w:rsidR="00D1797A" w:rsidRDefault="00000000">
      <w:pPr>
        <w:pStyle w:val="TableNote"/>
      </w:pPr>
      <w:r>
        <w:t>Note. Research priorities should be stratified by regional snake fauna and available antivenom rather than pooled indiscriminately.</w:t>
      </w:r>
    </w:p>
    <w:p w14:paraId="2BFEAC1C" w14:textId="77777777" w:rsidR="00D1797A" w:rsidRDefault="00D1797A">
      <w:pPr>
        <w:sectPr w:rsidR="00D1797A">
          <w:pgSz w:w="16838" w:h="11906" w:orient="landscape"/>
          <w:pgMar w:top="737" w:right="680" w:bottom="737" w:left="680" w:header="454" w:footer="454" w:gutter="0"/>
          <w:cols w:space="720"/>
          <w:docGrid w:linePitch="360"/>
        </w:sectPr>
      </w:pPr>
    </w:p>
    <w:p w14:paraId="641D6C36" w14:textId="77777777" w:rsidR="00D1797A" w:rsidRDefault="00000000">
      <w:pPr>
        <w:pStyle w:val="Heading1"/>
        <w:ind w:firstLine="0"/>
      </w:pPr>
      <w:r>
        <w:rPr>
          <w:rFonts w:ascii="Times New Roman" w:eastAsia="Times New Roman" w:hAnsi="Times New Roman"/>
        </w:rPr>
        <w:lastRenderedPageBreak/>
        <w:t>9. Future Directions</w:t>
      </w:r>
    </w:p>
    <w:p w14:paraId="57CD3CBE" w14:textId="77777777" w:rsidR="00D1797A" w:rsidRDefault="00000000">
      <w:r>
        <w:t>The immediate research priority is a network of prospective, region-specific observational cohorts using a common minimum dataset. Each case should record credible snake identification, time of bite, time to presentation, bite location, species and body mass, prehospital interventions, serial organ-specific findings, antivenom product and batch, timing and quantity, adverse reactions, supportive treatments, economic constraints and outcome beyond discharge. A core dataset would not convert heterogeneous envenomations into one disease; it would make differences visible and permit adjustment for severity and access. Separate reporting of biological death, clinically indicated euthanasia and financially constrained euthanasia is essential.</w:t>
      </w:r>
    </w:p>
    <w:p w14:paraId="77A018CA" w14:textId="77777777" w:rsidR="00D1797A" w:rsidRDefault="00000000">
      <w:r>
        <w:t>Pragmatic comparative trials are needed where genuine uncertainty exists. Placebo-controlled antivenom trials are generally inappropriate in progressive systemic envenomation, but randomisation can compare validated products, infusion strategies or redosing rules after initial control. Trials should stratify by venom syndrome and initial severity, use organ-specific outcomes, and incorporate pharmacodynamic measures such as circulating venom or toxin activity where feasible. Adaptive designs may be particularly useful in rare veterinary emergencies because they can learn across sites while limiting exposure to inferior strategies. Product comparisons must use neutralising potency and target-venom coverage, not vial count alone.</w:t>
      </w:r>
    </w:p>
    <w:p w14:paraId="53E4006E" w14:textId="77777777" w:rsidR="00D1797A" w:rsidRDefault="00000000">
      <w:r>
        <w:t>Diagnostic research should focus on rapid, field-compatible venom detection and functional coagulation testing. A useful test would identify a clinically relevant venom class or toxin activity within minutes, distinguish active envenomation from a dry bite, and inform antivenom choice. Proteomic methods have shown that venom can be characterised in naturally affected dogs, but bedside translation requires simplified platforms, validated thresholds and demonstration that test-guided care improves outcomes (Nicolaysen et al., 2024). Viscoelastic assays require species-specific reference intervals, standardised sampling and prospective linkage to bleeding, thrombosis and transfusion decisions before routine algorithmic use.</w:t>
      </w:r>
    </w:p>
    <w:p w14:paraId="6CF17052" w14:textId="77777777" w:rsidR="00D1797A" w:rsidRDefault="00000000">
      <w:r>
        <w:t>Species-specific evidence should be expanded deliberately rather than assumed to emerge from canine work. Cats require prospective cohorts large enough to evaluate respiratory progression, coagulation and adverse reactions. Equine studies should prioritise airway intervention thresholds, functional outcome, cardiac sequelae and antivenom dose-response. Livestock research should combine clinical surveillance with necropsy validation to reduce misclassification and should measure household economic consequences, treatment feasibility and animal welfare. Community-based studies in under-represented regions can identify where mobile veterinary services, shared antivenom stock or owner education would have the greatest impact.</w:t>
      </w:r>
    </w:p>
    <w:p w14:paraId="056EFD5E" w14:textId="77777777" w:rsidR="00D1797A" w:rsidRDefault="00000000">
      <w:r>
        <w:t>Adjunctive therapies should be evaluated only after antivenom and supportive fundamentals are secured. Small-molecule toxin inhibitors and recombinant antibodies are promising because they may extend venom coverage, improve heat stability or neutralise toxins before conventional antivenom becomes available. Current evidence is predominantly preclinical, and a mechanistically attractive inhibitor cannot be assumed to work across venoms or species (Alangode et al., 2020; Gutiérrez, 2026). Veterinary development should define target toxins, therapeutic window, interaction with antivenom, pharmacokinetics and safety in the intended host. Adjuncts should be designed to complement, not displace, effective antivenom.</w:t>
      </w:r>
    </w:p>
    <w:p w14:paraId="0DFAB121" w14:textId="77777777" w:rsidR="00D1797A" w:rsidRDefault="00000000">
      <w:r>
        <w:t xml:space="preserve">Long-term outcomes deserve equal attention. Most studies end at hospital discharge, yet tissue loss, lameness, renal dysfunction, cardiac abnormalities, dysphagia and behavioural effects may persist. Follow-up at standard intervals should include function, pain, organ biomarkers, owner-reported quality of life and return to work or production. Such data would improve consent discussions and reveal whether early interventions alter disability rather than merely short-term survival. Finally, implementation research should test regional protocols, tele-toxicology, antivenom inventory systems </w:t>
      </w:r>
      <w:r>
        <w:lastRenderedPageBreak/>
        <w:t>and continuing education, because an effective treatment has little population benefit if it is unavailable, mismatched to local snakes or administered too late.</w:t>
      </w:r>
    </w:p>
    <w:p w14:paraId="6569F862" w14:textId="77777777" w:rsidR="00D1797A" w:rsidRDefault="00000000">
      <w:pPr>
        <w:pStyle w:val="Heading1"/>
        <w:ind w:firstLine="0"/>
      </w:pPr>
      <w:r>
        <w:rPr>
          <w:rFonts w:ascii="Times New Roman" w:eastAsia="Times New Roman" w:hAnsi="Times New Roman"/>
        </w:rPr>
        <w:t>10. Conclusions</w:t>
      </w:r>
    </w:p>
    <w:p w14:paraId="2D6AA6B0" w14:textId="77777777" w:rsidR="00D1797A" w:rsidRDefault="00000000">
      <w:r>
        <w:t>Management of snakebite envenomation in domestic animals is best organised around the evolving clinical syndrome rather than around an uncertain snake identification or a generic family label. The most defensible sequence is safe transport with minimal exertion, rapid airway and circulatory assessment, serial documentation of local and systemic progression, targeted laboratory monitoring, and prompt use of a regionally appropriate antivenom when clinically important venom effects are active. Antivenom is the principal disease-modifying treatment; supportive care preserves life and organ function while neutralisation takes effect. Neither approach is sufficient alone in a severely affected patient.</w:t>
      </w:r>
    </w:p>
    <w:p w14:paraId="6F8974AB" w14:textId="77777777" w:rsidR="00D1797A" w:rsidRDefault="00000000">
      <w:r>
        <w:t>The strength of evidence differs sharply across species and regions. Prospective canine data support antivenom activity in progressive rattlesnake envenomation, while retrospective cohorts provide useful but confounded information about product choice, dose, safety and prognosis. Cats, horses and livestock require greater caution in extrapolation. Airway risk is disproportionately important in horses with facial bites and in animals with neurotoxic weakness. Coagulopathy, haemolysis, myotoxicity, kidney injury and cardiac abnormalities should be managed according to documented physiological consequences, with blood products, ventilation, renal support and antiarrhythmic treatment used selectively.</w:t>
      </w:r>
    </w:p>
    <w:p w14:paraId="074DAFF2" w14:textId="77777777" w:rsidR="00D1797A" w:rsidRDefault="00000000">
      <w:r>
        <w:t>Several common interventions do not meet the same evidentiary standard. Routine glucocorticoids, prophylactic antimicrobials, antihistamine premedication, non-steroidal anti-inflammatory drugs during active haemostatic or renal risk, and destructive first-aid procedures should not be embedded automatically in protocols. Their use must be linked to a specific indication. Clinical scores and biomarkers can improve surveillance, but they should not replace organ-specific judgement or create false certainty.</w:t>
      </w:r>
    </w:p>
    <w:p w14:paraId="4A639913" w14:textId="77777777" w:rsidR="00D1797A" w:rsidRDefault="00000000">
      <w:r>
        <w:t>A practical global framework must also recognise access. Regionally matched antivenom, rapid referral and basic airway and perfusion support are more consequential than sophisticated tests that are unavailable where burden is greatest. Future progress depends on prospective common-data cohorts, comparative antivenom studies, validated rapid diagnostics, species-specific outcomes and implementation research in under-represented livestock systems. Until those data mature, transparent uncertainty, repeated reassessment and treatment proportional to active venom effects offer the safest basis for veterinary decision-making.</w:t>
      </w:r>
    </w:p>
    <w:p w14:paraId="69F456A6" w14:textId="77777777" w:rsidR="00D1797A" w:rsidRDefault="00000000">
      <w:pPr>
        <w:pStyle w:val="Heading1"/>
        <w:ind w:firstLine="0"/>
      </w:pPr>
      <w:r>
        <w:rPr>
          <w:rFonts w:ascii="Times New Roman" w:eastAsia="Times New Roman" w:hAnsi="Times New Roman"/>
        </w:rPr>
        <w:t>11. Limitations</w:t>
      </w:r>
    </w:p>
    <w:p w14:paraId="5DAD1BF5" w14:textId="77777777" w:rsidR="00D1797A" w:rsidRDefault="00000000">
      <w:r>
        <w:t>The intrinsic limitations of a narrative review include the possibility of selection and interpretive bias despite a transparent search, explicit eligibility criteria and structured critical appraisal. The review did not have complete export access to every subscription database, and only English-language evidence that could be bibliographically verified was included. These constraints may have excluded relevant regional reports, particularly from areas with high livestock burden.</w:t>
      </w:r>
    </w:p>
    <w:p w14:paraId="5516774B" w14:textId="77777777" w:rsidR="00D1797A" w:rsidRDefault="00000000">
      <w:r>
        <w:t>The underlying evidence is heterogeneous in snake species, antivenom formulation, animal population, severity definition, timing of treatment and outcome measurement. Most clinical studies are retrospective, and confounding by indication limits inference about antivenom dose, adjunctive treatment and survival. Confirmed snake identification or venom detection was uncommon, creating diagnostic misclassification. Dogs are over-represented, whereas cats, horses, cattle and small ruminants have smaller and geographically restricted datasets. Publication bias may favour unusual, severe or successfully treated cases.</w:t>
      </w:r>
    </w:p>
    <w:p w14:paraId="59EB6AA9" w14:textId="77777777" w:rsidR="00D1797A" w:rsidRDefault="00000000">
      <w:r>
        <w:lastRenderedPageBreak/>
        <w:t>No quantitative synthesis was undertaken because the available studies were not sufficiently comparable and because several outcomes were reported inconsistently. Recommendations concerning rare complications, livestock and resource-limited care therefore rely partly on biological plausibility and cautious extrapolation from better-studied species. The literature is also evolving, particularly for veterinary-specific antivenoms and venom diagnostics, so product-specific conclusions may require revision as prospective evidence becomes available.</w:t>
      </w:r>
    </w:p>
    <w:p w14:paraId="3316612F" w14:textId="77777777" w:rsidR="000710C4" w:rsidRPr="000839CE" w:rsidRDefault="000710C4" w:rsidP="000710C4">
      <w:pPr>
        <w:spacing w:after="0" w:line="240" w:lineRule="auto"/>
        <w:rPr>
          <w:rFonts w:cs="Times New Roman"/>
          <w:b/>
        </w:rPr>
      </w:pPr>
      <w:r w:rsidRPr="000839CE">
        <w:rPr>
          <w:rFonts w:cs="Times New Roman"/>
          <w:b/>
        </w:rPr>
        <w:t>Declaration of AI Use</w:t>
      </w:r>
    </w:p>
    <w:p w14:paraId="7C9B19F8" w14:textId="77777777" w:rsidR="000710C4" w:rsidRPr="000839CE" w:rsidRDefault="000710C4" w:rsidP="000710C4">
      <w:pPr>
        <w:spacing w:after="0" w:line="240" w:lineRule="auto"/>
        <w:rPr>
          <w:rFonts w:cs="Times New Roman"/>
        </w:rPr>
      </w:pPr>
    </w:p>
    <w:p w14:paraId="65402D63" w14:textId="77777777" w:rsidR="000710C4" w:rsidRPr="000839CE" w:rsidRDefault="000710C4" w:rsidP="000710C4">
      <w:pPr>
        <w:spacing w:after="0" w:line="240" w:lineRule="auto"/>
        <w:rPr>
          <w:rFonts w:cs="Times New Roman"/>
        </w:rPr>
      </w:pPr>
      <w:r w:rsidRPr="00C56790">
        <w:rPr>
          <w:rFonts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DA16115" w14:textId="77777777" w:rsidR="000710C4" w:rsidRDefault="000710C4"/>
    <w:p w14:paraId="3767BD3F" w14:textId="77777777" w:rsidR="00D1797A" w:rsidRDefault="00000000">
      <w:pPr>
        <w:pStyle w:val="Heading1"/>
        <w:ind w:firstLine="0"/>
      </w:pPr>
      <w:r>
        <w:rPr>
          <w:rFonts w:ascii="Times New Roman" w:eastAsia="Times New Roman" w:hAnsi="Times New Roman"/>
        </w:rPr>
        <w:t>References</w:t>
      </w:r>
    </w:p>
    <w:p w14:paraId="21D3EA49" w14:textId="5BB164BE" w:rsidR="00D1797A" w:rsidRDefault="00000000">
      <w:pPr>
        <w:pStyle w:val="Reference"/>
      </w:pPr>
      <w:r>
        <w:t>Adhikari, R., Suriyagoda, L., Premarathna, A., De Silva, N., Dangolla, A., Mallawa, C., Silva, I., &amp; Gawarammana, I. (2020). Development of a treatment protocol for cobra (</w:t>
      </w:r>
      <w:r>
        <w:rPr>
          <w:i/>
        </w:rPr>
        <w:t>Naja naja</w:t>
      </w:r>
      <w:r>
        <w:t xml:space="preserve">) bite envenoming in dogs. </w:t>
      </w:r>
      <w:r>
        <w:rPr>
          <w:i/>
        </w:rPr>
        <w:t>Toxins</w:t>
      </w:r>
      <w:r>
        <w:t xml:space="preserve">, </w:t>
      </w:r>
      <w:r>
        <w:rPr>
          <w:i/>
        </w:rPr>
        <w:t>12</w:t>
      </w:r>
      <w:r>
        <w:t xml:space="preserve">(11), 694. </w:t>
      </w:r>
      <w:r>
        <w:rPr>
          <w:rFonts w:cs="Times New Roman"/>
          <w:color w:val="0563C1"/>
          <w:szCs w:val="19"/>
          <w:u w:val="single"/>
        </w:rPr>
        <w:t>https://doi.org/10.3390/toxins12110694</w:t>
      </w:r>
    </w:p>
    <w:p w14:paraId="59CFC889" w14:textId="5051A6D7" w:rsidR="00D1797A" w:rsidRDefault="00000000">
      <w:pPr>
        <w:pStyle w:val="Reference"/>
      </w:pPr>
      <w:r>
        <w:t xml:space="preserve">Alangode, A., Rajan, K., &amp; Nair, B. G. (2020). Snake antivenom: Challenges and alternate approaches. </w:t>
      </w:r>
      <w:r>
        <w:rPr>
          <w:i/>
        </w:rPr>
        <w:t>Biochemical Pharmacology</w:t>
      </w:r>
      <w:r>
        <w:t xml:space="preserve">, </w:t>
      </w:r>
      <w:r>
        <w:rPr>
          <w:i/>
        </w:rPr>
        <w:t>181</w:t>
      </w:r>
      <w:r>
        <w:t xml:space="preserve">, 114135. </w:t>
      </w:r>
      <w:r>
        <w:rPr>
          <w:rFonts w:cs="Times New Roman"/>
          <w:color w:val="0563C1"/>
          <w:szCs w:val="19"/>
          <w:u w:val="single"/>
        </w:rPr>
        <w:t>https://doi.org/10.1016/j.bcp.2020.114135</w:t>
      </w:r>
    </w:p>
    <w:p w14:paraId="134D1DB1" w14:textId="2CDFAEEC" w:rsidR="00D1797A" w:rsidRDefault="00000000">
      <w:pPr>
        <w:pStyle w:val="Reference"/>
      </w:pPr>
      <w:r>
        <w:t xml:space="preserve">Alape-Girón, A., Flores-Díaz, M., Sanz, L., Madrigal, M., Escolano, J., Sasa, M., &amp; Calvete, J. J. (2009). Studies on the venom proteome of </w:t>
      </w:r>
      <w:r>
        <w:rPr>
          <w:i/>
        </w:rPr>
        <w:t>Bothrops asper</w:t>
      </w:r>
      <w:r>
        <w:t xml:space="preserve">: Perspectives and applications. </w:t>
      </w:r>
      <w:r>
        <w:rPr>
          <w:i/>
        </w:rPr>
        <w:t>Toxicon</w:t>
      </w:r>
      <w:r>
        <w:t xml:space="preserve">, </w:t>
      </w:r>
      <w:r>
        <w:rPr>
          <w:i/>
        </w:rPr>
        <w:t>54</w:t>
      </w:r>
      <w:r>
        <w:t xml:space="preserve">(7), 938–948. </w:t>
      </w:r>
      <w:r>
        <w:rPr>
          <w:rFonts w:cs="Times New Roman"/>
          <w:color w:val="0563C1"/>
          <w:szCs w:val="19"/>
          <w:u w:val="single"/>
        </w:rPr>
        <w:t>https://doi.org/10.1016/j.toxicon.2009.06.011</w:t>
      </w:r>
    </w:p>
    <w:p w14:paraId="1078D4B0" w14:textId="167B59D3" w:rsidR="00D1797A" w:rsidRDefault="00000000">
      <w:pPr>
        <w:pStyle w:val="Reference"/>
      </w:pPr>
      <w:r>
        <w:t>Anlén, K. G. (2008). Effects of bites by the European adder (</w:t>
      </w:r>
      <w:r>
        <w:rPr>
          <w:i/>
        </w:rPr>
        <w:t>Vipera berus</w:t>
      </w:r>
      <w:r>
        <w:t xml:space="preserve">) in seven Swedish horses. </w:t>
      </w:r>
      <w:r>
        <w:rPr>
          <w:i/>
        </w:rPr>
        <w:t>Veterinary Record</w:t>
      </w:r>
      <w:r>
        <w:t xml:space="preserve">, </w:t>
      </w:r>
      <w:r>
        <w:rPr>
          <w:i/>
        </w:rPr>
        <w:t>162</w:t>
      </w:r>
      <w:r>
        <w:t xml:space="preserve">(20), 652–656. </w:t>
      </w:r>
      <w:r>
        <w:rPr>
          <w:rFonts w:cs="Times New Roman"/>
          <w:color w:val="0563C1"/>
          <w:szCs w:val="19"/>
          <w:u w:val="single"/>
        </w:rPr>
        <w:t>https://doi.org/10.1136/vr.162.20.652</w:t>
      </w:r>
    </w:p>
    <w:p w14:paraId="06841F0F" w14:textId="3D75F496" w:rsidR="00D1797A" w:rsidRDefault="00000000">
      <w:pPr>
        <w:pStyle w:val="Reference"/>
      </w:pPr>
      <w:r>
        <w:t xml:space="preserve">Armentano, R. A., &amp; Schaer, M. (2011). Overview and controversies in the medical management of pit viper envenomation in the dog. </w:t>
      </w:r>
      <w:r>
        <w:rPr>
          <w:i/>
        </w:rPr>
        <w:t>Journal of Veterinary Emergency and Critical Care</w:t>
      </w:r>
      <w:r>
        <w:t xml:space="preserve">, </w:t>
      </w:r>
      <w:r>
        <w:rPr>
          <w:i/>
        </w:rPr>
        <w:t>21</w:t>
      </w:r>
      <w:r>
        <w:t xml:space="preserve">(5), 461–470. </w:t>
      </w:r>
      <w:r>
        <w:rPr>
          <w:rFonts w:cs="Times New Roman"/>
          <w:color w:val="0563C1"/>
          <w:szCs w:val="19"/>
          <w:u w:val="single"/>
        </w:rPr>
        <w:t>https://doi.org/10.1111/j.1476-4431.2011.00677.x</w:t>
      </w:r>
    </w:p>
    <w:p w14:paraId="15A841FE" w14:textId="5BB71DCB" w:rsidR="00D1797A" w:rsidRDefault="00000000">
      <w:pPr>
        <w:pStyle w:val="Reference"/>
      </w:pPr>
      <w:r>
        <w:t xml:space="preserve">Armentano, R. A., Bandt, C., Schaer, M., Pritchett, J., &amp; Shih, A. (2014). Thromboelastographic evaluation of hemostatic function in dogs treated for crotalid snake envenomation. </w:t>
      </w:r>
      <w:r>
        <w:rPr>
          <w:i/>
        </w:rPr>
        <w:t>Journal of Veterinary Emergency and Critical Care</w:t>
      </w:r>
      <w:r>
        <w:t xml:space="preserve">, </w:t>
      </w:r>
      <w:r>
        <w:rPr>
          <w:i/>
        </w:rPr>
        <w:t>24</w:t>
      </w:r>
      <w:r>
        <w:t xml:space="preserve">(2), 144–153. </w:t>
      </w:r>
      <w:r>
        <w:rPr>
          <w:rFonts w:cs="Times New Roman"/>
          <w:color w:val="0563C1"/>
          <w:szCs w:val="19"/>
          <w:u w:val="single"/>
        </w:rPr>
        <w:t>https://doi.org/10.1111/vec.12139</w:t>
      </w:r>
    </w:p>
    <w:p w14:paraId="72F861F2" w14:textId="4FA8CF28" w:rsidR="00D1797A" w:rsidRDefault="00000000">
      <w:pPr>
        <w:pStyle w:val="Reference"/>
      </w:pPr>
      <w:r>
        <w:t xml:space="preserve">Aroch, I., Yas-Natan, E., Kuzi, S., &amp; Segev, G. (2010). Haemostatic abnormalities and clinical findings in </w:t>
      </w:r>
      <w:r>
        <w:rPr>
          <w:i/>
        </w:rPr>
        <w:t>Vipera palaestinae</w:t>
      </w:r>
      <w:r>
        <w:t xml:space="preserve">-envenomed dogs. </w:t>
      </w:r>
      <w:r>
        <w:rPr>
          <w:i/>
        </w:rPr>
        <w:t>The Veterinary Journal</w:t>
      </w:r>
      <w:r>
        <w:t xml:space="preserve">, </w:t>
      </w:r>
      <w:r>
        <w:rPr>
          <w:i/>
        </w:rPr>
        <w:t>185</w:t>
      </w:r>
      <w:r>
        <w:t xml:space="preserve">(2), 180–187. </w:t>
      </w:r>
      <w:r>
        <w:rPr>
          <w:rFonts w:cs="Times New Roman"/>
          <w:color w:val="0563C1"/>
          <w:szCs w:val="19"/>
          <w:u w:val="single"/>
        </w:rPr>
        <w:t>https://doi.org/10.1016/j.tvjl.2009.05.024</w:t>
      </w:r>
    </w:p>
    <w:p w14:paraId="3DD2755A" w14:textId="6D212BA5" w:rsidR="00D1797A" w:rsidRDefault="00000000">
      <w:pPr>
        <w:pStyle w:val="Reference"/>
      </w:pPr>
      <w:r>
        <w:t xml:space="preserve">Baethge, C., Goldbeck-Wood, S., &amp; Mertens, S. (2019). SANRA—A scale for the quality assessment of narrative review articles. </w:t>
      </w:r>
      <w:r>
        <w:rPr>
          <w:i/>
        </w:rPr>
        <w:t>Research Integrity and Peer Review</w:t>
      </w:r>
      <w:r>
        <w:t xml:space="preserve">, </w:t>
      </w:r>
      <w:r>
        <w:rPr>
          <w:i/>
        </w:rPr>
        <w:t>4</w:t>
      </w:r>
      <w:r>
        <w:t xml:space="preserve">, 5. </w:t>
      </w:r>
      <w:r>
        <w:rPr>
          <w:rFonts w:cs="Times New Roman"/>
          <w:color w:val="0563C1"/>
          <w:szCs w:val="19"/>
          <w:u w:val="single"/>
        </w:rPr>
        <w:t>https://doi.org/10.1186/s41073-019-0064-8</w:t>
      </w:r>
    </w:p>
    <w:p w14:paraId="4DECE206" w14:textId="1CDC72B8" w:rsidR="00D1797A" w:rsidRDefault="00000000">
      <w:pPr>
        <w:pStyle w:val="Reference"/>
      </w:pPr>
      <w:r>
        <w:t xml:space="preserve">Bamford, N. J., Sprinkle, S. B., Cudmore, L. A., Cullimore, A. M., van Eps, A. W., Verdegaal, E. J. M. M., &amp; Tennent-Brown, B. S. (2018). Elapid snake envenomation in horses: 52 cases (2006–2016). </w:t>
      </w:r>
      <w:r>
        <w:rPr>
          <w:i/>
        </w:rPr>
        <w:t>Equine Veterinary Journal</w:t>
      </w:r>
      <w:r>
        <w:t xml:space="preserve">, </w:t>
      </w:r>
      <w:r>
        <w:rPr>
          <w:i/>
        </w:rPr>
        <w:t>50</w:t>
      </w:r>
      <w:r>
        <w:t xml:space="preserve">(2), 196–201. </w:t>
      </w:r>
      <w:r>
        <w:rPr>
          <w:rFonts w:cs="Times New Roman"/>
          <w:color w:val="0563C1"/>
          <w:szCs w:val="19"/>
          <w:u w:val="single"/>
        </w:rPr>
        <w:t>https://doi.org/10.1111/evj.12735</w:t>
      </w:r>
    </w:p>
    <w:p w14:paraId="13A7E257" w14:textId="07646CD5" w:rsidR="00D1797A" w:rsidRDefault="00000000">
      <w:pPr>
        <w:pStyle w:val="Reference"/>
      </w:pPr>
      <w:r>
        <w:t xml:space="preserve">Bolon, I., Babo Martins, S., Ochoa, C., Alcoba, G., Herrera, M., Bofia Boyogueno, H. M., Sharma, B. K., Subedi, M., Shah, B., Wanda, F., Sharma, S. K., Nkwescheu, A. S., Ray, N., Chappuis, F., &amp; Ruiz de Castañeda, R. (2021). What is the impact of snakebite envenoming on domestic animals? A nation-wide community-based study in Nepal and Cameroon. Toxicon: X, 9–10, 100068. </w:t>
      </w:r>
      <w:r>
        <w:rPr>
          <w:rFonts w:cs="Times New Roman"/>
          <w:color w:val="0563C1"/>
          <w:szCs w:val="19"/>
          <w:u w:val="single"/>
        </w:rPr>
        <w:t>https://doi.org/10.1016/j.toxcx.2021.100068</w:t>
      </w:r>
    </w:p>
    <w:p w14:paraId="2AA2D522" w14:textId="05DA739E" w:rsidR="00D1797A" w:rsidRDefault="00000000">
      <w:pPr>
        <w:pStyle w:val="Reference"/>
      </w:pPr>
      <w:r>
        <w:t xml:space="preserve">Bolon, I., Finat, M., Herrera, M., Nickerson, A., Grace, D., Schütte, S., Babo Martins, S., &amp; Ruiz de Castañeda, R. (2019). Snakebite in domestic animals: First global scoping review. </w:t>
      </w:r>
      <w:r>
        <w:rPr>
          <w:i/>
        </w:rPr>
        <w:t>Preventive Veterinary Medicine</w:t>
      </w:r>
      <w:r>
        <w:t xml:space="preserve">, </w:t>
      </w:r>
      <w:r>
        <w:rPr>
          <w:i/>
        </w:rPr>
        <w:t>170</w:t>
      </w:r>
      <w:r>
        <w:t xml:space="preserve">, 104729. </w:t>
      </w:r>
      <w:r>
        <w:rPr>
          <w:rFonts w:cs="Times New Roman"/>
          <w:color w:val="0563C1"/>
          <w:szCs w:val="19"/>
          <w:u w:val="single"/>
        </w:rPr>
        <w:t>https://doi.org/10.1016/j.prevetmed.2019.104729</w:t>
      </w:r>
    </w:p>
    <w:p w14:paraId="43D755AA" w14:textId="156B6E00" w:rsidR="00D1797A" w:rsidRDefault="00000000">
      <w:pPr>
        <w:pStyle w:val="Reference"/>
      </w:pPr>
      <w:r>
        <w:t xml:space="preserve">Brandeker, E., Hillström, A., Hanås, S., Hagman, R., &amp; Ström Holst, B. (2015). The effect of a single dose of prednisolone in dogs envenomated by </w:t>
      </w:r>
      <w:r>
        <w:rPr>
          <w:i/>
        </w:rPr>
        <w:t>Vipera berus</w:t>
      </w:r>
      <w:r>
        <w:t xml:space="preserve">—A randomized, double-blind, placebo-controlled clinical trial. </w:t>
      </w:r>
      <w:r>
        <w:rPr>
          <w:i/>
        </w:rPr>
        <w:t>BMC Veterinary Research</w:t>
      </w:r>
      <w:r>
        <w:t xml:space="preserve">, </w:t>
      </w:r>
      <w:r>
        <w:rPr>
          <w:i/>
        </w:rPr>
        <w:t>11</w:t>
      </w:r>
      <w:r>
        <w:t xml:space="preserve">, 44. </w:t>
      </w:r>
      <w:r>
        <w:rPr>
          <w:rFonts w:cs="Times New Roman"/>
          <w:color w:val="0563C1"/>
          <w:szCs w:val="19"/>
          <w:u w:val="single"/>
        </w:rPr>
        <w:t>https://doi.org/10.1186/s12917-015-0352-6</w:t>
      </w:r>
    </w:p>
    <w:p w14:paraId="36FE2C35" w14:textId="031B9E19" w:rsidR="00D1797A" w:rsidRDefault="00000000">
      <w:pPr>
        <w:pStyle w:val="Reference"/>
      </w:pPr>
      <w:r>
        <w:t xml:space="preserve">Carotenuto, S. E., Bergman, P. J., Ray, J. R., &amp; McKee, T. (2021). Retrospective comparison of three antivenoms for the treatment of dogs with crotalid envenomation. </w:t>
      </w:r>
      <w:r>
        <w:rPr>
          <w:i/>
        </w:rPr>
        <w:t>Journal of the American Veterinary Medical Association</w:t>
      </w:r>
      <w:r>
        <w:t xml:space="preserve">, </w:t>
      </w:r>
      <w:r>
        <w:rPr>
          <w:i/>
        </w:rPr>
        <w:t>259</w:t>
      </w:r>
      <w:r>
        <w:t xml:space="preserve">(5), 503–509. </w:t>
      </w:r>
      <w:r>
        <w:rPr>
          <w:rFonts w:cs="Times New Roman"/>
          <w:color w:val="0563C1"/>
          <w:szCs w:val="19"/>
          <w:u w:val="single"/>
        </w:rPr>
        <w:t>https://doi.org/10.2460/javma.259.5.503</w:t>
      </w:r>
    </w:p>
    <w:p w14:paraId="4FF2B1BD" w14:textId="7B26D127" w:rsidR="00D1797A" w:rsidRDefault="00000000">
      <w:pPr>
        <w:pStyle w:val="Reference"/>
      </w:pPr>
      <w:r>
        <w:lastRenderedPageBreak/>
        <w:t xml:space="preserve">Carotenuto, S. E., Broussard, G., Fox, G. A., &amp; Hayes, W. K. (2026). A novel equine F(ab′)2 veterinary antivenom for North American viperid snake envenomation demonstrates efficacy by rapid serum venom removal and improvement in snakebite severity score. </w:t>
      </w:r>
      <w:r>
        <w:rPr>
          <w:i/>
        </w:rPr>
        <w:t>Journal of Veterinary Emergency and Critical Care</w:t>
      </w:r>
      <w:r>
        <w:t xml:space="preserve">, </w:t>
      </w:r>
      <w:r>
        <w:rPr>
          <w:i/>
        </w:rPr>
        <w:t>36</w:t>
      </w:r>
      <w:r>
        <w:t xml:space="preserve">(1), 45–55. </w:t>
      </w:r>
      <w:r>
        <w:rPr>
          <w:rFonts w:cs="Times New Roman"/>
          <w:color w:val="0563C1"/>
          <w:szCs w:val="19"/>
          <w:u w:val="single"/>
        </w:rPr>
        <w:t>https://doi.org/10.1111/vec.70082</w:t>
      </w:r>
    </w:p>
    <w:p w14:paraId="2C997A40" w14:textId="617A3B3B" w:rsidR="00D1797A" w:rsidRDefault="00000000">
      <w:pPr>
        <w:pStyle w:val="Reference"/>
      </w:pPr>
      <w:r>
        <w:t xml:space="preserve">Day, S. K., Nash, K. J., Midwinter, M. J., &amp; Goodwin, W. A. (2025). A retrospective analysis of clinical features, management and outcomes in dogs and cats with Eastern brown snake envenomation (2016–2022). </w:t>
      </w:r>
      <w:r>
        <w:rPr>
          <w:i/>
        </w:rPr>
        <w:t>Australian Veterinary Journal</w:t>
      </w:r>
      <w:r>
        <w:t xml:space="preserve">, </w:t>
      </w:r>
      <w:r>
        <w:rPr>
          <w:i/>
        </w:rPr>
        <w:t>103</w:t>
      </w:r>
      <w:r>
        <w:t xml:space="preserve">(3), 77–87. </w:t>
      </w:r>
      <w:r>
        <w:rPr>
          <w:rFonts w:cs="Times New Roman"/>
          <w:color w:val="0563C1"/>
          <w:szCs w:val="19"/>
          <w:u w:val="single"/>
        </w:rPr>
        <w:t>https://doi.org/10.1111/avj.13399</w:t>
      </w:r>
    </w:p>
    <w:p w14:paraId="16F3B3E2" w14:textId="73ABB2E5" w:rsidR="00D1797A" w:rsidRDefault="00000000">
      <w:pPr>
        <w:pStyle w:val="Reference"/>
      </w:pPr>
      <w:r>
        <w:t xml:space="preserve">Ferreira, J. F., Albuquerque, A. L. H., Amorim, R. M., Ferreira, R. S., Jr., Takahira, R. K., Borges, A. S., &amp; Oliveira-Filho, J. P. (2020). Clinical and therapeutic aspects of Brazilian native </w:t>
      </w:r>
      <w:r>
        <w:rPr>
          <w:i/>
        </w:rPr>
        <w:t>Bothrops</w:t>
      </w:r>
      <w:r>
        <w:t xml:space="preserve"> envenomation in nine horses. </w:t>
      </w:r>
      <w:r>
        <w:rPr>
          <w:i/>
        </w:rPr>
        <w:t>Journal of Equine Veterinary Science</w:t>
      </w:r>
      <w:r>
        <w:t xml:space="preserve">, </w:t>
      </w:r>
      <w:r>
        <w:rPr>
          <w:i/>
        </w:rPr>
        <w:t>94</w:t>
      </w:r>
      <w:r>
        <w:t xml:space="preserve">, 103245. </w:t>
      </w:r>
      <w:r>
        <w:rPr>
          <w:rFonts w:cs="Times New Roman"/>
          <w:color w:val="0563C1"/>
          <w:szCs w:val="19"/>
          <w:u w:val="single"/>
        </w:rPr>
        <w:t>https://doi.org/10.1016/j.jevs.2020.103245</w:t>
      </w:r>
    </w:p>
    <w:p w14:paraId="1E489548" w14:textId="35137A71" w:rsidR="00D1797A" w:rsidRDefault="00000000">
      <w:pPr>
        <w:pStyle w:val="Reference"/>
      </w:pPr>
      <w:r>
        <w:t xml:space="preserve">Fielding, C. L., Pusterla, N., Magdesian, K. G., Higgins, J. C., &amp; Meier, C. A. (2011). Rattlesnake envenomation in horses: 58 cases (1992–2009). </w:t>
      </w:r>
      <w:r>
        <w:rPr>
          <w:i/>
        </w:rPr>
        <w:t>Journal of the American Veterinary Medical Association</w:t>
      </w:r>
      <w:r>
        <w:t xml:space="preserve">, </w:t>
      </w:r>
      <w:r>
        <w:rPr>
          <w:i/>
        </w:rPr>
        <w:t>238</w:t>
      </w:r>
      <w:r>
        <w:t xml:space="preserve">(5), 631–635. </w:t>
      </w:r>
      <w:r>
        <w:rPr>
          <w:rFonts w:cs="Times New Roman"/>
          <w:color w:val="0563C1"/>
          <w:szCs w:val="19"/>
          <w:u w:val="single"/>
        </w:rPr>
        <w:t>https://doi.org/10.2460/javma.238.5.631</w:t>
      </w:r>
    </w:p>
    <w:p w14:paraId="6193BD20" w14:textId="6687D26B" w:rsidR="00D1797A" w:rsidRDefault="00000000">
      <w:pPr>
        <w:pStyle w:val="Reference"/>
      </w:pPr>
      <w:r>
        <w:t xml:space="preserve">Gilliam, L. L. (2024). Snake envenomation. </w:t>
      </w:r>
      <w:r>
        <w:rPr>
          <w:i/>
        </w:rPr>
        <w:t>Veterinary Clinics of North America: Equine Practice</w:t>
      </w:r>
      <w:r>
        <w:t xml:space="preserve">, </w:t>
      </w:r>
      <w:r>
        <w:rPr>
          <w:i/>
        </w:rPr>
        <w:t>40</w:t>
      </w:r>
      <w:r>
        <w:t xml:space="preserve">(1), 133–150. </w:t>
      </w:r>
      <w:r>
        <w:rPr>
          <w:rFonts w:cs="Times New Roman"/>
          <w:color w:val="0563C1"/>
          <w:szCs w:val="19"/>
          <w:u w:val="single"/>
        </w:rPr>
        <w:t>https://doi.org/10.1016/j.cveq.2023.08.003</w:t>
      </w:r>
    </w:p>
    <w:p w14:paraId="7BCB69E2" w14:textId="05ADDCE4" w:rsidR="00D1797A" w:rsidRDefault="00000000">
      <w:pPr>
        <w:pStyle w:val="Reference"/>
      </w:pPr>
      <w:r>
        <w:t xml:space="preserve">Gilliam, L. L., &amp; Brunker, J. (2011). North American snake envenomation in the dog and cat. </w:t>
      </w:r>
      <w:r>
        <w:rPr>
          <w:i/>
        </w:rPr>
        <w:t>Veterinary Clinics of North America: Small Animal Practice</w:t>
      </w:r>
      <w:r>
        <w:t xml:space="preserve">, </w:t>
      </w:r>
      <w:r>
        <w:rPr>
          <w:i/>
        </w:rPr>
        <w:t>41</w:t>
      </w:r>
      <w:r>
        <w:t xml:space="preserve">(6), 1239–1259. </w:t>
      </w:r>
      <w:r>
        <w:rPr>
          <w:rFonts w:cs="Times New Roman"/>
          <w:color w:val="0563C1"/>
          <w:szCs w:val="19"/>
          <w:u w:val="single"/>
        </w:rPr>
        <w:t>https://doi.org/10.1016/j.cvsm.2011.08.008</w:t>
      </w:r>
    </w:p>
    <w:p w14:paraId="45AA0D92" w14:textId="21F162D2" w:rsidR="00D1797A" w:rsidRDefault="00000000">
      <w:pPr>
        <w:pStyle w:val="Reference"/>
      </w:pPr>
      <w:r>
        <w:t xml:space="preserve">Gilliam, L. L., Holbrook, T. C., Ownby, C. L., McFarlane, D., Sleeper, M. M., Martin, S., Levis, K., &amp; Payton, M. E. (2012). Cardiotoxicity, inflammation, and immune response after rattlesnake envenomation in the horse. </w:t>
      </w:r>
      <w:r>
        <w:rPr>
          <w:i/>
        </w:rPr>
        <w:t>Journal of Veterinary Internal Medicine</w:t>
      </w:r>
      <w:r>
        <w:t xml:space="preserve">, </w:t>
      </w:r>
      <w:r>
        <w:rPr>
          <w:i/>
        </w:rPr>
        <w:t>26</w:t>
      </w:r>
      <w:r>
        <w:t xml:space="preserve">(6), 1457–1463. </w:t>
      </w:r>
      <w:r>
        <w:rPr>
          <w:rFonts w:cs="Times New Roman"/>
          <w:color w:val="0563C1"/>
          <w:szCs w:val="19"/>
          <w:u w:val="single"/>
        </w:rPr>
        <w:t>https://doi.org/10.1111/j.1939-1676.2012.01022.x</w:t>
      </w:r>
    </w:p>
    <w:p w14:paraId="27D7674B" w14:textId="23D3FB98" w:rsidR="00D1797A" w:rsidRDefault="00000000">
      <w:pPr>
        <w:pStyle w:val="Reference"/>
      </w:pPr>
      <w:r>
        <w:t xml:space="preserve">Goddard, A., Schoeman, J. P., Leisewitz, A. L., Nagel, S. S., &amp; Aroch, I. (2011). Clinicopathologic abnormalities associated with snake envenomation in domestic animals. </w:t>
      </w:r>
      <w:r>
        <w:rPr>
          <w:i/>
        </w:rPr>
        <w:t>Veterinary Clinical Pathology</w:t>
      </w:r>
      <w:r>
        <w:t xml:space="preserve">, </w:t>
      </w:r>
      <w:r>
        <w:rPr>
          <w:i/>
        </w:rPr>
        <w:t>40</w:t>
      </w:r>
      <w:r>
        <w:t xml:space="preserve">(3), 282–292. </w:t>
      </w:r>
      <w:r>
        <w:rPr>
          <w:rFonts w:cs="Times New Roman"/>
          <w:color w:val="0563C1"/>
          <w:szCs w:val="19"/>
          <w:u w:val="single"/>
        </w:rPr>
        <w:t>https://doi.org/10.1111/j.1939-165X.2011.00335.x</w:t>
      </w:r>
    </w:p>
    <w:p w14:paraId="0DA26624" w14:textId="4C6FCA02" w:rsidR="00D1797A" w:rsidRDefault="00000000">
      <w:pPr>
        <w:pStyle w:val="Reference"/>
      </w:pPr>
      <w:r>
        <w:t xml:space="preserve">Green, B. N., Johnson, C. D., &amp; Adams, A. (2006). Writing narrative literature reviews for peer-reviewed journals: Secrets of the trade. </w:t>
      </w:r>
      <w:r>
        <w:rPr>
          <w:i/>
        </w:rPr>
        <w:t>Journal of Chiropractic Medicine</w:t>
      </w:r>
      <w:r>
        <w:t xml:space="preserve">, </w:t>
      </w:r>
      <w:r>
        <w:rPr>
          <w:i/>
        </w:rPr>
        <w:t>5</w:t>
      </w:r>
      <w:r>
        <w:t xml:space="preserve">(3), 101–117. </w:t>
      </w:r>
      <w:r>
        <w:rPr>
          <w:rFonts w:cs="Times New Roman"/>
          <w:color w:val="0563C1"/>
          <w:szCs w:val="19"/>
          <w:u w:val="single"/>
        </w:rPr>
        <w:t>https://doi.org/10.1016/S0899-3467(07)60142-6</w:t>
      </w:r>
    </w:p>
    <w:p w14:paraId="2A3527E7" w14:textId="3DAEF1CB" w:rsidR="00D1797A" w:rsidRDefault="00000000">
      <w:pPr>
        <w:pStyle w:val="Reference"/>
      </w:pPr>
      <w:r>
        <w:t xml:space="preserve">Gutiérrez, J. M. (2026). Antivenoms, recombinant antibodies, inhibitors, and the future of snakebite envenoming therapy. </w:t>
      </w:r>
      <w:r>
        <w:rPr>
          <w:i/>
        </w:rPr>
        <w:t>Toxicon</w:t>
      </w:r>
      <w:r>
        <w:t xml:space="preserve">, </w:t>
      </w:r>
      <w:r>
        <w:rPr>
          <w:i/>
        </w:rPr>
        <w:t>271</w:t>
      </w:r>
      <w:r>
        <w:t xml:space="preserve">, 108964. </w:t>
      </w:r>
      <w:r>
        <w:rPr>
          <w:rFonts w:cs="Times New Roman"/>
          <w:color w:val="0563C1"/>
          <w:szCs w:val="19"/>
          <w:u w:val="single"/>
        </w:rPr>
        <w:t>https://doi.org/10.1016/j.toxicon.2025.108964</w:t>
      </w:r>
    </w:p>
    <w:p w14:paraId="5448A4EE" w14:textId="10F4EF14" w:rsidR="00D1797A" w:rsidRDefault="00000000">
      <w:pPr>
        <w:pStyle w:val="Reference"/>
      </w:pPr>
      <w:r>
        <w:t xml:space="preserve">Gutiérrez, J. M., Calvete, J. J., Habib, A. G., Harrison, R. A., Williams, D. J., &amp; Warrell, D. A. (2017). Snakebite envenoming. </w:t>
      </w:r>
      <w:r>
        <w:rPr>
          <w:i/>
        </w:rPr>
        <w:t>Nature Reviews Disease Primers</w:t>
      </w:r>
      <w:r>
        <w:t xml:space="preserve">, </w:t>
      </w:r>
      <w:r>
        <w:rPr>
          <w:i/>
        </w:rPr>
        <w:t>3</w:t>
      </w:r>
      <w:r>
        <w:t xml:space="preserve">, 17063. </w:t>
      </w:r>
      <w:r>
        <w:rPr>
          <w:rFonts w:cs="Times New Roman"/>
          <w:color w:val="0563C1"/>
          <w:szCs w:val="19"/>
          <w:u w:val="single"/>
        </w:rPr>
        <w:t>https://doi.org/10.1038/nrdp.2017.63</w:t>
      </w:r>
    </w:p>
    <w:p w14:paraId="01EC1A67" w14:textId="0D491E57" w:rsidR="00D1797A" w:rsidRDefault="00000000">
      <w:pPr>
        <w:pStyle w:val="Reference"/>
      </w:pPr>
      <w:r>
        <w:t xml:space="preserve">Gutiérrez, J. M., Rucavado, A., Chaves, F., Díaz, C., &amp; Escalante, T. (2009). Experimental pathology of local tissue damage induced by </w:t>
      </w:r>
      <w:r>
        <w:rPr>
          <w:i/>
        </w:rPr>
        <w:t>Bothrops asper</w:t>
      </w:r>
      <w:r>
        <w:t xml:space="preserve"> snake venom. </w:t>
      </w:r>
      <w:r>
        <w:rPr>
          <w:i/>
        </w:rPr>
        <w:t>Toxicon</w:t>
      </w:r>
      <w:r>
        <w:t xml:space="preserve">, </w:t>
      </w:r>
      <w:r>
        <w:rPr>
          <w:i/>
        </w:rPr>
        <w:t>54</w:t>
      </w:r>
      <w:r>
        <w:t xml:space="preserve">(7), 958–975. </w:t>
      </w:r>
      <w:r>
        <w:rPr>
          <w:rFonts w:cs="Times New Roman"/>
          <w:color w:val="0563C1"/>
          <w:szCs w:val="19"/>
          <w:u w:val="single"/>
        </w:rPr>
        <w:t>https://doi.org/10.1016/j.toxicon.2009.01.038</w:t>
      </w:r>
    </w:p>
    <w:p w14:paraId="59BD9006" w14:textId="5E1EDE97" w:rsidR="00D1797A" w:rsidRDefault="00000000">
      <w:pPr>
        <w:pStyle w:val="Reference"/>
      </w:pPr>
      <w:r>
        <w:t xml:space="preserve">Hackett, T. B., Wingfield, W. E., Mazzaferro, E. M., &amp; Benedetti, J. S. (2002). Clinical findings associated with prairie rattlesnake bites in dogs: 100 cases (1989–1998). </w:t>
      </w:r>
      <w:r>
        <w:rPr>
          <w:i/>
        </w:rPr>
        <w:t>Journal of the American Veterinary Medical Association</w:t>
      </w:r>
      <w:r>
        <w:t xml:space="preserve">, </w:t>
      </w:r>
      <w:r>
        <w:rPr>
          <w:i/>
        </w:rPr>
        <w:t>220</w:t>
      </w:r>
      <w:r>
        <w:t xml:space="preserve">(11), 1675–1680. </w:t>
      </w:r>
      <w:r>
        <w:rPr>
          <w:rFonts w:cs="Times New Roman"/>
          <w:color w:val="0563C1"/>
          <w:szCs w:val="19"/>
          <w:u w:val="single"/>
        </w:rPr>
        <w:t>https://doi.org/10.2460/javma.2002.220.1675</w:t>
      </w:r>
    </w:p>
    <w:p w14:paraId="584B0F45" w14:textId="4051FA15" w:rsidR="00D1797A" w:rsidRDefault="00000000">
      <w:pPr>
        <w:pStyle w:val="Reference"/>
      </w:pPr>
      <w:r>
        <w:t>Harjen, H. J., Hellum, M., Rørtveit, R., Oscarson, M., Anfinsen, K. P., Moldal, E. R., Solbak, S., Kanse, S. M., &amp; Henriksson, C. E. (2022). Persistent hypercoagulability in dogs envenomated by the European adder (</w:t>
      </w:r>
      <w:r>
        <w:rPr>
          <w:i/>
        </w:rPr>
        <w:t>Vipera berus berus</w:t>
      </w:r>
      <w:r>
        <w:t xml:space="preserve">). </w:t>
      </w:r>
      <w:r>
        <w:rPr>
          <w:i/>
        </w:rPr>
        <w:t>PLOS ONE</w:t>
      </w:r>
      <w:r>
        <w:t xml:space="preserve">, </w:t>
      </w:r>
      <w:r>
        <w:rPr>
          <w:i/>
        </w:rPr>
        <w:t>17</w:t>
      </w:r>
      <w:r>
        <w:t xml:space="preserve">(2), e0263238. </w:t>
      </w:r>
      <w:r>
        <w:rPr>
          <w:rFonts w:cs="Times New Roman"/>
          <w:color w:val="0563C1"/>
          <w:szCs w:val="19"/>
          <w:u w:val="single"/>
        </w:rPr>
        <w:t>https://doi.org/10.1371/journal.pone.0263238</w:t>
      </w:r>
    </w:p>
    <w:p w14:paraId="5295B9C9" w14:textId="67D66179" w:rsidR="00D1797A" w:rsidRDefault="00000000">
      <w:pPr>
        <w:pStyle w:val="Reference"/>
      </w:pPr>
      <w:r>
        <w:t xml:space="preserve">Langhorn, R., Persson, F., Åblad, B., Goddard, A., Schoeman, J. P., Willesen, J. L., Tarnow, I., &amp; Kjelgaard-Hansen, M. (2014). Myocardial injury in dogs with snake envenomation and its relation to systemic inflammation. </w:t>
      </w:r>
      <w:r>
        <w:rPr>
          <w:i/>
        </w:rPr>
        <w:t>Journal of Veterinary Emergency and Critical Care</w:t>
      </w:r>
      <w:r>
        <w:t xml:space="preserve">, </w:t>
      </w:r>
      <w:r>
        <w:rPr>
          <w:i/>
        </w:rPr>
        <w:t>24</w:t>
      </w:r>
      <w:r>
        <w:t xml:space="preserve">(2), 174–181. </w:t>
      </w:r>
      <w:r>
        <w:rPr>
          <w:rFonts w:cs="Times New Roman"/>
          <w:color w:val="0563C1"/>
          <w:szCs w:val="19"/>
          <w:u w:val="single"/>
        </w:rPr>
        <w:t>https://doi.org/10.1111/vec.12127</w:t>
      </w:r>
    </w:p>
    <w:p w14:paraId="55052730" w14:textId="6337E587" w:rsidR="00D1797A" w:rsidRDefault="00000000">
      <w:pPr>
        <w:pStyle w:val="Reference"/>
      </w:pPr>
      <w:r>
        <w:t xml:space="preserve">Lenchner, I., Aroch, I., Segev, G., Kelmer, E., &amp; Bruchim, Y. (2014). A retrospective evaluation of </w:t>
      </w:r>
      <w:r>
        <w:rPr>
          <w:i/>
        </w:rPr>
        <w:t>Vipera palaestinae</w:t>
      </w:r>
      <w:r>
        <w:t xml:space="preserve"> envenomation in 18 cats (2006–2011). </w:t>
      </w:r>
      <w:r>
        <w:rPr>
          <w:i/>
        </w:rPr>
        <w:t>Journal of Veterinary Emergency and Critical Care</w:t>
      </w:r>
      <w:r>
        <w:t xml:space="preserve">, </w:t>
      </w:r>
      <w:r>
        <w:rPr>
          <w:i/>
        </w:rPr>
        <w:t>24</w:t>
      </w:r>
      <w:r>
        <w:t xml:space="preserve">(4), 437–443. </w:t>
      </w:r>
      <w:r>
        <w:rPr>
          <w:rFonts w:cs="Times New Roman"/>
          <w:color w:val="0563C1"/>
          <w:szCs w:val="19"/>
          <w:u w:val="single"/>
        </w:rPr>
        <w:t>https://doi.org/10.1111/vec.12207</w:t>
      </w:r>
    </w:p>
    <w:p w14:paraId="41BD4E1B" w14:textId="0E073B4B" w:rsidR="00D1797A" w:rsidRDefault="00000000">
      <w:pPr>
        <w:pStyle w:val="Reference"/>
      </w:pPr>
      <w:r>
        <w:t xml:space="preserve">Leonard, M. J., Bresee, C., &amp; Cruikshank, A. (2014). Effects of the canine rattlesnake vaccine in moderate to severe cases of canine crotalid envenomation. </w:t>
      </w:r>
      <w:r>
        <w:rPr>
          <w:i/>
        </w:rPr>
        <w:t>Veterinary Medicine: Research and Reports</w:t>
      </w:r>
      <w:r>
        <w:t xml:space="preserve">, </w:t>
      </w:r>
      <w:r>
        <w:rPr>
          <w:i/>
        </w:rPr>
        <w:t>5</w:t>
      </w:r>
      <w:r>
        <w:t xml:space="preserve">, 153–158. </w:t>
      </w:r>
      <w:r>
        <w:rPr>
          <w:rFonts w:cs="Times New Roman"/>
          <w:color w:val="0563C1"/>
          <w:szCs w:val="19"/>
          <w:u w:val="single"/>
        </w:rPr>
        <w:t>https://doi.org/10.2147/VMRR.S69216</w:t>
      </w:r>
    </w:p>
    <w:p w14:paraId="166A2A58" w14:textId="631D36CA" w:rsidR="00D1797A" w:rsidRDefault="00000000">
      <w:pPr>
        <w:pStyle w:val="Reference"/>
      </w:pPr>
      <w:r>
        <w:t>Leppänen, V., &amp; Mykkänen, A. (2024). Suspected envenomation by the common European adder (</w:t>
      </w:r>
      <w:r>
        <w:rPr>
          <w:i/>
        </w:rPr>
        <w:t>Vipera berus berus</w:t>
      </w:r>
      <w:r>
        <w:t xml:space="preserve">) in 28 horses in Finland. </w:t>
      </w:r>
      <w:r>
        <w:rPr>
          <w:i/>
        </w:rPr>
        <w:t>Journal of Equine Veterinary Science</w:t>
      </w:r>
      <w:r>
        <w:t xml:space="preserve">, </w:t>
      </w:r>
      <w:r>
        <w:rPr>
          <w:i/>
        </w:rPr>
        <w:t>140</w:t>
      </w:r>
      <w:r>
        <w:t xml:space="preserve">, 105145. </w:t>
      </w:r>
      <w:r>
        <w:rPr>
          <w:rFonts w:cs="Times New Roman"/>
          <w:color w:val="0563C1"/>
          <w:szCs w:val="19"/>
          <w:u w:val="single"/>
        </w:rPr>
        <w:t>https://doi.org/10.1016/j.jevs.2024.105145</w:t>
      </w:r>
    </w:p>
    <w:p w14:paraId="01E71EDB" w14:textId="1E5BC837" w:rsidR="00D1797A" w:rsidRDefault="00000000">
      <w:pPr>
        <w:pStyle w:val="Reference"/>
      </w:pPr>
      <w:r>
        <w:t>Lervik, J. B., Lilliehöök, I., &amp; Frendin, J. H. (2010). Clinical and biochemical changes in 53 Swedish dogs bitten by the European adder—</w:t>
      </w:r>
      <w:r>
        <w:rPr>
          <w:i/>
        </w:rPr>
        <w:t>Vipera berus</w:t>
      </w:r>
      <w:r>
        <w:t xml:space="preserve">. </w:t>
      </w:r>
      <w:r>
        <w:rPr>
          <w:i/>
        </w:rPr>
        <w:t>Acta Veterinaria Scandinavica</w:t>
      </w:r>
      <w:r>
        <w:t xml:space="preserve">, </w:t>
      </w:r>
      <w:r>
        <w:rPr>
          <w:i/>
        </w:rPr>
        <w:t>52</w:t>
      </w:r>
      <w:r>
        <w:t xml:space="preserve">, 26. </w:t>
      </w:r>
      <w:r>
        <w:rPr>
          <w:rFonts w:cs="Times New Roman"/>
          <w:color w:val="0563C1"/>
          <w:szCs w:val="19"/>
          <w:u w:val="single"/>
        </w:rPr>
        <w:t>https://doi.org/10.1186/1751-0147-52-26</w:t>
      </w:r>
    </w:p>
    <w:p w14:paraId="1A976378" w14:textId="212DE79C" w:rsidR="00D1797A" w:rsidRDefault="00000000">
      <w:pPr>
        <w:pStyle w:val="Reference"/>
      </w:pPr>
      <w:r>
        <w:t xml:space="preserve">Lund, H. S., Kristiansen, V., Eggertsdóttir, A. V., Skancke, E., &amp; Ranheim, B. (2013). Adverse reactions to equine-derived F(ab′)2-antivenin in 54 dogs envenomated by </w:t>
      </w:r>
      <w:r>
        <w:rPr>
          <w:i/>
        </w:rPr>
        <w:t>Vipera berus berus</w:t>
      </w:r>
      <w:r>
        <w:t xml:space="preserve">. </w:t>
      </w:r>
      <w:r>
        <w:rPr>
          <w:i/>
        </w:rPr>
        <w:t>Journal of Veterinary Emergency and Critical Care</w:t>
      </w:r>
      <w:r>
        <w:t xml:space="preserve">, </w:t>
      </w:r>
      <w:r>
        <w:rPr>
          <w:i/>
        </w:rPr>
        <w:t>23</w:t>
      </w:r>
      <w:r>
        <w:t xml:space="preserve">(5), 532–537. </w:t>
      </w:r>
      <w:r>
        <w:rPr>
          <w:rFonts w:cs="Times New Roman"/>
          <w:color w:val="0563C1"/>
          <w:szCs w:val="19"/>
          <w:u w:val="single"/>
        </w:rPr>
        <w:t>https://doi.org/10.1111/vec.12099</w:t>
      </w:r>
    </w:p>
    <w:p w14:paraId="3CCFB702" w14:textId="20243B0D" w:rsidR="00D1797A" w:rsidRDefault="00000000">
      <w:pPr>
        <w:pStyle w:val="Reference"/>
      </w:pPr>
      <w:r>
        <w:lastRenderedPageBreak/>
        <w:t xml:space="preserve">McCown, J. L., Cooke, K. L., Hanel, R. M., Jones, G. L., &amp; Hill, R. C. (2009). Effect of antivenin dose on outcome from crotalid envenomation: 218 dogs (1988–2006). </w:t>
      </w:r>
      <w:r>
        <w:rPr>
          <w:i/>
        </w:rPr>
        <w:t>Journal of Veterinary Emergency and Critical Care</w:t>
      </w:r>
      <w:r>
        <w:t xml:space="preserve">, </w:t>
      </w:r>
      <w:r>
        <w:rPr>
          <w:i/>
        </w:rPr>
        <w:t>19</w:t>
      </w:r>
      <w:r>
        <w:t xml:space="preserve">(6), 603–610. </w:t>
      </w:r>
      <w:r>
        <w:rPr>
          <w:rFonts w:cs="Times New Roman"/>
          <w:color w:val="0563C1"/>
          <w:szCs w:val="19"/>
          <w:u w:val="single"/>
        </w:rPr>
        <w:t>https://doi.org/10.1111/j.1476-4431.2009.00487.x</w:t>
      </w:r>
    </w:p>
    <w:p w14:paraId="07AC8BFD" w14:textId="4C13E359" w:rsidR="00D1797A" w:rsidRDefault="00000000">
      <w:pPr>
        <w:pStyle w:val="Reference"/>
      </w:pPr>
      <w:r>
        <w:t xml:space="preserve">Migliorisi, A., Johnson, T., Nelson, T., Elane, G. L., Ueda, Y., &amp; Hobbs, K. J. (2026). Snake envenomation in veterinary medicine: Comparative insights and emerging therapies. </w:t>
      </w:r>
      <w:r>
        <w:rPr>
          <w:i/>
        </w:rPr>
        <w:t>Frontiers in Veterinary Science</w:t>
      </w:r>
      <w:r>
        <w:t xml:space="preserve">, </w:t>
      </w:r>
      <w:r>
        <w:rPr>
          <w:i/>
        </w:rPr>
        <w:t>13</w:t>
      </w:r>
      <w:r>
        <w:t xml:space="preserve">, 1750963. </w:t>
      </w:r>
      <w:r>
        <w:rPr>
          <w:rFonts w:cs="Times New Roman"/>
          <w:color w:val="0563C1"/>
          <w:szCs w:val="19"/>
          <w:u w:val="single"/>
        </w:rPr>
        <w:t>https://doi.org/10.3389/fvets.2026.1750963</w:t>
      </w:r>
    </w:p>
    <w:p w14:paraId="01832E99" w14:textId="40377B3A" w:rsidR="00D1797A" w:rsidRDefault="00000000">
      <w:pPr>
        <w:pStyle w:val="Reference"/>
      </w:pPr>
      <w:r>
        <w:t xml:space="preserve">Nicolaysen, T. V., Harjen, H. J., Lund, H. S., Sævik, B. K., Rørtveit, R., &amp; Zimmer, K. E. (2024). Clinicopathological biomarker patterns, venom detection and venom proteomics in canine </w:t>
      </w:r>
      <w:r>
        <w:rPr>
          <w:i/>
        </w:rPr>
        <w:t>Vipera berus</w:t>
      </w:r>
      <w:r>
        <w:t xml:space="preserve"> envenomation. </w:t>
      </w:r>
      <w:r>
        <w:rPr>
          <w:i/>
        </w:rPr>
        <w:t>Topics in Companion Animal Medicine</w:t>
      </w:r>
      <w:r>
        <w:t xml:space="preserve">, </w:t>
      </w:r>
      <w:r>
        <w:rPr>
          <w:i/>
        </w:rPr>
        <w:t>63</w:t>
      </w:r>
      <w:r>
        <w:t xml:space="preserve">, 100930. </w:t>
      </w:r>
      <w:r>
        <w:rPr>
          <w:rFonts w:cs="Times New Roman"/>
          <w:color w:val="0563C1"/>
          <w:szCs w:val="19"/>
          <w:u w:val="single"/>
        </w:rPr>
        <w:t>https://doi.org/10.1016/j.tcam.2024.100930</w:t>
      </w:r>
    </w:p>
    <w:p w14:paraId="209F5436" w14:textId="35E7F502" w:rsidR="00D1797A" w:rsidRDefault="00000000">
      <w:pPr>
        <w:pStyle w:val="Reference"/>
      </w:pPr>
      <w:r>
        <w:t xml:space="preserve">Peterson, M. E., Matz, M., Seibold, K., Plunkett, S., Johnson, S., &amp; Fitzgerald, K. (2011). A randomized multicenter trial of Crotalidae polyvalent immune F(ab) antivenom for the treatment of rattlesnake envenomation in dogs. </w:t>
      </w:r>
      <w:r>
        <w:rPr>
          <w:i/>
        </w:rPr>
        <w:t>Journal of Veterinary Emergency and Critical Care</w:t>
      </w:r>
      <w:r>
        <w:t xml:space="preserve">, </w:t>
      </w:r>
      <w:r>
        <w:rPr>
          <w:i/>
        </w:rPr>
        <w:t>21</w:t>
      </w:r>
      <w:r>
        <w:t xml:space="preserve">(4), 335–345. </w:t>
      </w:r>
      <w:r>
        <w:rPr>
          <w:rFonts w:cs="Times New Roman"/>
          <w:color w:val="0563C1"/>
          <w:szCs w:val="19"/>
          <w:u w:val="single"/>
        </w:rPr>
        <w:t>https://doi.org/10.1111/j.1476-4431.2011.00643.x</w:t>
      </w:r>
    </w:p>
    <w:p w14:paraId="1B6E710A" w14:textId="373BA2CE" w:rsidR="00D1797A" w:rsidRDefault="00000000">
      <w:pPr>
        <w:pStyle w:val="Reference"/>
      </w:pPr>
      <w:r>
        <w:t xml:space="preserve">Rodríguez, C., Estrada, R., Herrera, M., Gómez, A., Segura, Á., Vargas, M., Villalta, M., &amp; León, G. (2016). </w:t>
      </w:r>
      <w:r>
        <w:rPr>
          <w:i/>
        </w:rPr>
        <w:t>Bothrops asper</w:t>
      </w:r>
      <w:r>
        <w:t xml:space="preserve"> envenoming in cattle: Clinical features and management using equine-derived whole IgG antivenom. </w:t>
      </w:r>
      <w:r>
        <w:rPr>
          <w:i/>
        </w:rPr>
        <w:t>The Veterinary Journal</w:t>
      </w:r>
      <w:r>
        <w:t xml:space="preserve">, </w:t>
      </w:r>
      <w:r>
        <w:rPr>
          <w:i/>
        </w:rPr>
        <w:t>207</w:t>
      </w:r>
      <w:r>
        <w:t xml:space="preserve">, 160–163. </w:t>
      </w:r>
      <w:r>
        <w:rPr>
          <w:rFonts w:cs="Times New Roman"/>
          <w:color w:val="0563C1"/>
          <w:szCs w:val="19"/>
          <w:u w:val="single"/>
        </w:rPr>
        <w:t>https://doi.org/10.1016/j.tvjl.2015.08.008</w:t>
      </w:r>
    </w:p>
    <w:p w14:paraId="76F34E4E" w14:textId="4C9D5533" w:rsidR="00D1797A" w:rsidRDefault="00000000">
      <w:pPr>
        <w:pStyle w:val="Reference"/>
      </w:pPr>
      <w:r>
        <w:t xml:space="preserve">Segev, G., Shipov, A., Klement, E., Harrus, S., Kass, P., &amp; Aroch, I. (2004). </w:t>
      </w:r>
      <w:r>
        <w:rPr>
          <w:i/>
        </w:rPr>
        <w:t>Vipera palaestinae</w:t>
      </w:r>
      <w:r>
        <w:t xml:space="preserve"> envenomation in 327 dogs: A retrospective cohort study and analysis of risk factors for mortality. </w:t>
      </w:r>
      <w:r>
        <w:rPr>
          <w:i/>
        </w:rPr>
        <w:t>Toxicon</w:t>
      </w:r>
      <w:r>
        <w:t xml:space="preserve">, </w:t>
      </w:r>
      <w:r>
        <w:rPr>
          <w:i/>
        </w:rPr>
        <w:t>43</w:t>
      </w:r>
      <w:r>
        <w:t xml:space="preserve">(6), 691–699. </w:t>
      </w:r>
      <w:r>
        <w:rPr>
          <w:rFonts w:cs="Times New Roman"/>
          <w:color w:val="0563C1"/>
          <w:szCs w:val="19"/>
          <w:u w:val="single"/>
        </w:rPr>
        <w:t>https://doi.org/10.1016/j.toxicon.2004.03.001</w:t>
      </w:r>
    </w:p>
    <w:p w14:paraId="6F0FFB55" w14:textId="47641C74" w:rsidR="00D1797A" w:rsidRDefault="00000000">
      <w:pPr>
        <w:pStyle w:val="Reference"/>
      </w:pPr>
      <w:r>
        <w:t xml:space="preserve">Slagboom, J., Kool, J., Harrison, R. A., &amp; Casewell, N. R. (2017). Haemotoxic snake venoms: Their functional activity, impact on snakebite victims and pharmaceutical promise. </w:t>
      </w:r>
      <w:r>
        <w:rPr>
          <w:i/>
        </w:rPr>
        <w:t>British Journal of Haematology</w:t>
      </w:r>
      <w:r>
        <w:t xml:space="preserve">, </w:t>
      </w:r>
      <w:r>
        <w:rPr>
          <w:i/>
        </w:rPr>
        <w:t>177</w:t>
      </w:r>
      <w:r>
        <w:t xml:space="preserve">(6), 947–959. </w:t>
      </w:r>
      <w:r>
        <w:rPr>
          <w:rFonts w:cs="Times New Roman"/>
          <w:color w:val="0563C1"/>
          <w:szCs w:val="19"/>
          <w:u w:val="single"/>
        </w:rPr>
        <w:t>https://doi.org/10.1111/bjh.14591</w:t>
      </w:r>
    </w:p>
    <w:p w14:paraId="5329F12D" w14:textId="5885D82B" w:rsidR="00D1797A" w:rsidRDefault="00000000">
      <w:pPr>
        <w:pStyle w:val="Reference"/>
      </w:pPr>
      <w:r>
        <w:t xml:space="preserve">Tokarnia, C. H., &amp; Peixoto, P. V. (2006). The importance of snake bites as cause of cattle death in Brazil. </w:t>
      </w:r>
      <w:r>
        <w:rPr>
          <w:i/>
        </w:rPr>
        <w:t>Pesquisa Veterinária Brasileira</w:t>
      </w:r>
      <w:r>
        <w:t xml:space="preserve">, </w:t>
      </w:r>
      <w:r>
        <w:rPr>
          <w:i/>
        </w:rPr>
        <w:t>26</w:t>
      </w:r>
      <w:r>
        <w:t xml:space="preserve">(2), 55–68. </w:t>
      </w:r>
      <w:r>
        <w:rPr>
          <w:rFonts w:cs="Times New Roman"/>
          <w:color w:val="0563C1"/>
          <w:szCs w:val="19"/>
          <w:u w:val="single"/>
        </w:rPr>
        <w:t>https://doi.org/10.1590/S0100-736X2006000200001</w:t>
      </w:r>
    </w:p>
    <w:p w14:paraId="0B162A96" w14:textId="4F53617C" w:rsidR="00D1797A" w:rsidRDefault="00000000">
      <w:pPr>
        <w:pStyle w:val="Reference"/>
      </w:pPr>
      <w:r>
        <w:t xml:space="preserve">Vestberg, A. R., Tidholm, A., &amp; Ljungvall, I. (2017). Twenty-four-hour ambulatory electrocardiography characterization of heart rhythm in </w:t>
      </w:r>
      <w:r>
        <w:rPr>
          <w:i/>
        </w:rPr>
        <w:t>Vipera berus</w:t>
      </w:r>
      <w:r>
        <w:t xml:space="preserve">-envenomed dogs. </w:t>
      </w:r>
      <w:r>
        <w:rPr>
          <w:i/>
        </w:rPr>
        <w:t>Acta Veterinaria Scandinavica</w:t>
      </w:r>
      <w:r>
        <w:t xml:space="preserve">, </w:t>
      </w:r>
      <w:r>
        <w:rPr>
          <w:i/>
        </w:rPr>
        <w:t>59</w:t>
      </w:r>
      <w:r>
        <w:t xml:space="preserve">, 28. </w:t>
      </w:r>
      <w:r>
        <w:rPr>
          <w:rFonts w:cs="Times New Roman"/>
          <w:color w:val="0563C1"/>
          <w:szCs w:val="19"/>
          <w:u w:val="single"/>
        </w:rPr>
        <w:t>https://doi.org/10.1186/s13028-017-0296-x</w:t>
      </w:r>
    </w:p>
    <w:p w14:paraId="6C6C6ACC" w14:textId="502CBBC7" w:rsidR="00D1797A" w:rsidRDefault="00000000">
      <w:pPr>
        <w:pStyle w:val="Reference"/>
      </w:pPr>
      <w:r>
        <w:t>Willey, J. R., &amp; Schaer, M. (2005). Eastern diamondback rattlesnake (</w:t>
      </w:r>
      <w:r>
        <w:rPr>
          <w:i/>
        </w:rPr>
        <w:t>Crotalus adamanteus</w:t>
      </w:r>
      <w:r>
        <w:t xml:space="preserve">) envenomation of dogs: 31 cases (1982–2002). </w:t>
      </w:r>
      <w:r>
        <w:rPr>
          <w:i/>
        </w:rPr>
        <w:t>Journal of the American Animal Hospital Association</w:t>
      </w:r>
      <w:r>
        <w:t xml:space="preserve">, </w:t>
      </w:r>
      <w:r>
        <w:rPr>
          <w:i/>
        </w:rPr>
        <w:t>41</w:t>
      </w:r>
      <w:r>
        <w:t xml:space="preserve">(1), 22–33. </w:t>
      </w:r>
      <w:r>
        <w:rPr>
          <w:rFonts w:cs="Times New Roman"/>
          <w:color w:val="0563C1"/>
          <w:szCs w:val="19"/>
          <w:u w:val="single"/>
        </w:rPr>
        <w:t>https://doi.org/10.5326/0410022</w:t>
      </w:r>
    </w:p>
    <w:p w14:paraId="1649F7B1" w14:textId="0E6E57D5" w:rsidR="00D1797A" w:rsidRDefault="00000000">
      <w:pPr>
        <w:pStyle w:val="Reference"/>
      </w:pPr>
      <w:r>
        <w:t xml:space="preserve">Zdenek, C. N., Llinas, J., Dobson, J., Allen, L., Dunstan, N., Sousa, L. F., Moura da Silva, A. M., &amp; Fry, B. G. (2020). Pets in peril: The relative susceptibility of cats and dogs to procoagulant snake venoms. </w:t>
      </w:r>
      <w:r>
        <w:rPr>
          <w:i/>
        </w:rPr>
        <w:t>Comparative Biochemistry and Physiology Part C: Toxicology &amp; Pharmacology</w:t>
      </w:r>
      <w:r>
        <w:t xml:space="preserve">, </w:t>
      </w:r>
      <w:r>
        <w:rPr>
          <w:i/>
        </w:rPr>
        <w:t>236</w:t>
      </w:r>
      <w:r>
        <w:t xml:space="preserve">, 108769. </w:t>
      </w:r>
      <w:r>
        <w:rPr>
          <w:rFonts w:cs="Times New Roman"/>
          <w:color w:val="0563C1"/>
          <w:szCs w:val="19"/>
          <w:u w:val="single"/>
        </w:rPr>
        <w:t>https://doi.org/10.1016/j.cbpc.2020.108769</w:t>
      </w:r>
    </w:p>
    <w:sectPr w:rsidR="00D1797A" w:rsidSect="00034616">
      <w:pgSz w:w="11906" w:h="16838"/>
      <w:pgMar w:top="1247" w:right="1361" w:bottom="1134" w:left="1361"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51291" w14:textId="77777777" w:rsidR="00F32B80" w:rsidRDefault="00F32B80">
      <w:pPr>
        <w:spacing w:after="0" w:line="240" w:lineRule="auto"/>
      </w:pPr>
      <w:r>
        <w:separator/>
      </w:r>
    </w:p>
  </w:endnote>
  <w:endnote w:type="continuationSeparator" w:id="0">
    <w:p w14:paraId="19191A11" w14:textId="77777777" w:rsidR="00F32B80" w:rsidRDefault="00F32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E4BA6" w14:textId="77777777" w:rsidR="004D043F" w:rsidRDefault="004D04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5A957" w14:textId="77777777" w:rsidR="00D1797A" w:rsidRDefault="00000000">
    <w:pPr>
      <w:pStyle w:val="Footer"/>
      <w:jc w:val="center"/>
    </w:pPr>
    <w:r>
      <w:rPr>
        <w:sz w:val="18"/>
      </w:rPr>
      <w:fldChar w:fldCharType="begin"/>
    </w:r>
    <w:r>
      <w:rPr>
        <w:sz w:val="18"/>
      </w:rPr>
      <w:instrText xml:space="preserve"> PAGE </w:instrText>
    </w:r>
    <w:r>
      <w:rPr>
        <w:sz w:val="18"/>
      </w:rPr>
      <w:fldChar w:fldCharType="separate"/>
    </w:r>
    <w:r w:rsidR="008639E8">
      <w:rPr>
        <w:noProof/>
        <w:sz w:val="18"/>
      </w:rPr>
      <w:t>1</w:t>
    </w:r>
    <w:r>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90215" w14:textId="77777777" w:rsidR="004D043F" w:rsidRDefault="004D04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C35A6" w14:textId="77777777" w:rsidR="00F32B80" w:rsidRDefault="00F32B80">
      <w:pPr>
        <w:spacing w:after="0" w:line="240" w:lineRule="auto"/>
      </w:pPr>
      <w:r>
        <w:separator/>
      </w:r>
    </w:p>
  </w:footnote>
  <w:footnote w:type="continuationSeparator" w:id="0">
    <w:p w14:paraId="24D7C61C" w14:textId="77777777" w:rsidR="00F32B80" w:rsidRDefault="00F32B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2FDE6" w14:textId="390CC816" w:rsidR="004D043F" w:rsidRDefault="004D043F">
    <w:pPr>
      <w:pStyle w:val="Header"/>
    </w:pPr>
    <w:r>
      <w:rPr>
        <w:noProof/>
      </w:rPr>
      <w:pict w14:anchorId="3C3ADB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729844" o:spid="_x0000_s1026" type="#_x0000_t136" style="position:absolute;left:0;text-align:left;margin-left:0;margin-top:0;width:582.65pt;height:64.7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09990" w14:textId="08FEF9AE" w:rsidR="004D043F" w:rsidRDefault="004D043F">
    <w:pPr>
      <w:pStyle w:val="Header"/>
    </w:pPr>
    <w:r>
      <w:rPr>
        <w:noProof/>
      </w:rPr>
      <w:pict w14:anchorId="08C1AC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729845" o:spid="_x0000_s1027" type="#_x0000_t136" style="position:absolute;left:0;text-align:left;margin-left:0;margin-top:0;width:582.65pt;height:64.7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D103F" w14:textId="37744C67" w:rsidR="004D043F" w:rsidRDefault="004D043F">
    <w:pPr>
      <w:pStyle w:val="Header"/>
    </w:pPr>
    <w:r>
      <w:rPr>
        <w:noProof/>
      </w:rPr>
      <w:pict w14:anchorId="04E099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729843" o:spid="_x0000_s1025" type="#_x0000_t136" style="position:absolute;left:0;text-align:left;margin-left:0;margin-top:0;width:582.65pt;height:64.7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52932356">
    <w:abstractNumId w:val="8"/>
  </w:num>
  <w:num w:numId="2" w16cid:durableId="46612108">
    <w:abstractNumId w:val="6"/>
  </w:num>
  <w:num w:numId="3" w16cid:durableId="1000474776">
    <w:abstractNumId w:val="5"/>
  </w:num>
  <w:num w:numId="4" w16cid:durableId="179441617">
    <w:abstractNumId w:val="4"/>
  </w:num>
  <w:num w:numId="5" w16cid:durableId="2001545432">
    <w:abstractNumId w:val="7"/>
  </w:num>
  <w:num w:numId="6" w16cid:durableId="317807457">
    <w:abstractNumId w:val="3"/>
  </w:num>
  <w:num w:numId="7" w16cid:durableId="471412311">
    <w:abstractNumId w:val="2"/>
  </w:num>
  <w:num w:numId="8" w16cid:durableId="41249585">
    <w:abstractNumId w:val="1"/>
  </w:num>
  <w:num w:numId="9" w16cid:durableId="1308896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710C4"/>
    <w:rsid w:val="00073503"/>
    <w:rsid w:val="000C7ADB"/>
    <w:rsid w:val="0015074B"/>
    <w:rsid w:val="00165D9D"/>
    <w:rsid w:val="0029639D"/>
    <w:rsid w:val="00326F90"/>
    <w:rsid w:val="003E10CC"/>
    <w:rsid w:val="004D043F"/>
    <w:rsid w:val="008639E8"/>
    <w:rsid w:val="00AA1D8D"/>
    <w:rsid w:val="00B47730"/>
    <w:rsid w:val="00C10854"/>
    <w:rsid w:val="00CB0664"/>
    <w:rsid w:val="00D1797A"/>
    <w:rsid w:val="00F32B80"/>
    <w:rsid w:val="00FC693F"/>
    <w:rsid w:val="00FF02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E1592"/>
  <w14:defaultImageDpi w14:val="300"/>
  <w15:docId w15:val="{D9F4775E-6192-4FC3-88B8-5EED69615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ind w:firstLine="397"/>
      <w:jc w:val="both"/>
    </w:pPr>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b/>
      <w:bCs/>
      <w:color w:val="000000"/>
      <w:sz w:val="26"/>
      <w:szCs w:val="28"/>
    </w:rPr>
  </w:style>
  <w:style w:type="paragraph" w:styleId="Heading2">
    <w:name w:val="heading 2"/>
    <w:basedOn w:val="Normal"/>
    <w:next w:val="Normal"/>
    <w:link w:val="Heading2Char"/>
    <w:uiPriority w:val="9"/>
    <w:unhideWhenUsed/>
    <w:qFormat/>
    <w:rsid w:val="00FC693F"/>
    <w:pPr>
      <w:keepNext/>
      <w:keepLines/>
      <w:spacing w:before="180"/>
      <w:outlineLvl w:val="1"/>
    </w:pPr>
    <w:rPr>
      <w:rFonts w:asciiTheme="majorHAnsi" w:eastAsiaTheme="majorEastAsia" w:hAnsiTheme="majorHAnsi" w:cstheme="majorBidi"/>
      <w:b/>
      <w:bCs/>
      <w:color w:val="000000"/>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240" w:line="240" w:lineRule="auto"/>
      <w:contextualSpacing/>
      <w:jc w:val="center"/>
    </w:pPr>
    <w:rPr>
      <w:rFonts w:asciiTheme="majorHAnsi" w:eastAsiaTheme="majorEastAsia" w:hAnsiTheme="majorHAnsi" w:cstheme="majorBidi"/>
      <w:b/>
      <w:color w:val="000000"/>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ind w:firstLine="39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bstractHeading">
    <w:name w:val="Abstract Heading"/>
    <w:pPr>
      <w:keepNext/>
      <w:spacing w:before="160" w:after="80"/>
    </w:pPr>
    <w:rPr>
      <w:rFonts w:ascii="Times New Roman" w:eastAsia="Times New Roman" w:hAnsi="Times New Roman"/>
      <w:b/>
      <w:sz w:val="24"/>
    </w:rPr>
  </w:style>
  <w:style w:type="paragraph" w:customStyle="1" w:styleId="Keywords">
    <w:name w:val="Keywords"/>
    <w:rPr>
      <w:rFonts w:ascii="Times New Roman" w:eastAsia="Times New Roman" w:hAnsi="Times New Roman"/>
      <w:sz w:val="21"/>
    </w:rPr>
  </w:style>
  <w:style w:type="paragraph" w:customStyle="1" w:styleId="TableCaption">
    <w:name w:val="Table Caption"/>
    <w:pPr>
      <w:spacing w:after="100"/>
    </w:pPr>
    <w:rPr>
      <w:rFonts w:ascii="Times New Roman" w:eastAsia="Times New Roman" w:hAnsi="Times New Roman"/>
      <w:b/>
      <w:sz w:val="20"/>
    </w:rPr>
  </w:style>
  <w:style w:type="paragraph" w:customStyle="1" w:styleId="TableNote">
    <w:name w:val="Table Note"/>
    <w:pPr>
      <w:spacing w:before="80" w:after="0"/>
    </w:pPr>
    <w:rPr>
      <w:rFonts w:ascii="Times New Roman" w:eastAsia="Times New Roman" w:hAnsi="Times New Roman"/>
      <w:i/>
      <w:sz w:val="16"/>
    </w:rPr>
  </w:style>
  <w:style w:type="paragraph" w:customStyle="1" w:styleId="Reference">
    <w:name w:val="Reference"/>
    <w:pPr>
      <w:spacing w:after="80" w:line="240" w:lineRule="auto"/>
      <w:ind w:left="454" w:hanging="454"/>
    </w:pPr>
    <w:rPr>
      <w:rFonts w:ascii="Times New Roman" w:eastAsia="Times New Roman" w:hAnsi="Times New Roman"/>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29</Pages>
  <Words>14982</Words>
  <Characters>85404</Characters>
  <Application>Microsoft Office Word</Application>
  <DocSecurity>0</DocSecurity>
  <Lines>711</Lines>
  <Paragraphs>200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100186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Management of Snakebite Envenomation in Domestic Animals: A Critical Narrative Review of Diagnosis, Antivenom Use and Supportive Care</dc:title>
  <dc:subject>Critical narrative review of veterinary snakebite management</dc:subject>
  <dc:creator/>
  <cp:keywords>antivenom; canine envenomation; domestic animals; emergency veterinary medicine; haemotoxicity; neurotoxicity; snakebite; supportive care</cp:keywords>
  <dc:description>generated by python-docx</dc:description>
  <cp:lastModifiedBy>SDI 1166</cp:lastModifiedBy>
  <cp:revision>6</cp:revision>
  <dcterms:created xsi:type="dcterms:W3CDTF">2013-12-23T23:15:00Z</dcterms:created>
  <dcterms:modified xsi:type="dcterms:W3CDTF">2026-07-23T13:01:00Z</dcterms:modified>
  <cp:category/>
</cp:coreProperties>
</file>