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7BF2F" w14:textId="77777777" w:rsidR="00A431CA" w:rsidRPr="0078079E" w:rsidRDefault="00DB74BC" w:rsidP="00A028F1">
      <w:pPr>
        <w:spacing w:after="0" w:line="240" w:lineRule="auto"/>
        <w:jc w:val="center"/>
        <w:rPr>
          <w:rFonts w:ascii="Times New Roman" w:eastAsia="Times New Roman" w:hAnsi="Times New Roman" w:cs="Times New Roman"/>
          <w:b/>
          <w:bCs/>
          <w:kern w:val="0"/>
          <w:sz w:val="28"/>
          <w:szCs w:val="28"/>
          <w14:ligatures w14:val="none"/>
        </w:rPr>
      </w:pPr>
      <w:r w:rsidRPr="0078079E">
        <w:rPr>
          <w:rFonts w:ascii="Times New Roman" w:eastAsia="Times New Roman" w:hAnsi="Times New Roman" w:cs="Times New Roman"/>
          <w:b/>
          <w:bCs/>
          <w:kern w:val="0"/>
          <w:sz w:val="28"/>
          <w:szCs w:val="28"/>
          <w14:ligatures w14:val="none"/>
        </w:rPr>
        <w:t xml:space="preserve">Phytochemical Profiling and Evaluation of Antioxidant, Antidiabetic, and Antimicrobial Activities of </w:t>
      </w:r>
      <w:r w:rsidRPr="0078079E">
        <w:rPr>
          <w:rFonts w:ascii="Times New Roman" w:eastAsia="Times New Roman" w:hAnsi="Times New Roman" w:cs="Times New Roman"/>
          <w:b/>
          <w:bCs/>
          <w:i/>
          <w:iCs/>
          <w:kern w:val="0"/>
          <w:sz w:val="28"/>
          <w:szCs w:val="28"/>
          <w14:ligatures w14:val="none"/>
        </w:rPr>
        <w:t>Blighia sapida</w:t>
      </w:r>
      <w:r w:rsidRPr="0078079E">
        <w:rPr>
          <w:rFonts w:ascii="Times New Roman" w:eastAsia="Times New Roman" w:hAnsi="Times New Roman" w:cs="Times New Roman"/>
          <w:b/>
          <w:bCs/>
          <w:kern w:val="0"/>
          <w:sz w:val="28"/>
          <w:szCs w:val="28"/>
          <w14:ligatures w14:val="none"/>
        </w:rPr>
        <w:t xml:space="preserve"> Leaves from Ogbomosho, Southwest Nigeria</w:t>
      </w:r>
    </w:p>
    <w:p w14:paraId="25FE5EEB" w14:textId="77777777" w:rsidR="00A431CA" w:rsidRPr="0078079E" w:rsidRDefault="00A431CA" w:rsidP="00A028F1">
      <w:pPr>
        <w:spacing w:after="0" w:line="240" w:lineRule="auto"/>
        <w:jc w:val="center"/>
        <w:rPr>
          <w:rFonts w:ascii="Times New Roman" w:eastAsia="Times New Roman" w:hAnsi="Times New Roman" w:cs="Times New Roman"/>
          <w:b/>
          <w:bCs/>
          <w:kern w:val="0"/>
          <w:sz w:val="28"/>
          <w:szCs w:val="28"/>
          <w14:ligatures w14:val="none"/>
        </w:rPr>
      </w:pPr>
    </w:p>
    <w:p w14:paraId="3F567CC7" w14:textId="77777777" w:rsidR="00DB74BC" w:rsidRDefault="00DB74BC" w:rsidP="00A028F1">
      <w:pPr>
        <w:spacing w:after="0" w:line="240" w:lineRule="auto"/>
        <w:jc w:val="center"/>
        <w:rPr>
          <w:rFonts w:ascii="Times New Roman" w:hAnsi="Times New Roman" w:cs="Times New Roman"/>
          <w:b/>
          <w:bCs/>
          <w:sz w:val="24"/>
          <w:szCs w:val="24"/>
          <w:vertAlign w:val="superscript"/>
        </w:rPr>
      </w:pPr>
    </w:p>
    <w:p w14:paraId="324ACBA4" w14:textId="77777777" w:rsidR="006B1899" w:rsidRPr="0078079E" w:rsidRDefault="006B1899" w:rsidP="00A028F1">
      <w:pPr>
        <w:spacing w:after="0" w:line="240" w:lineRule="auto"/>
        <w:jc w:val="center"/>
        <w:rPr>
          <w:rStyle w:val="Hyperlink"/>
          <w:rFonts w:ascii="Times New Roman" w:hAnsi="Times New Roman" w:cs="Times New Roman"/>
          <w:color w:val="000000"/>
          <w:sz w:val="24"/>
          <w:szCs w:val="24"/>
          <w:u w:val="none"/>
        </w:rPr>
      </w:pPr>
    </w:p>
    <w:p w14:paraId="73FDA2ED" w14:textId="77777777" w:rsidR="00A431CA" w:rsidRPr="0078079E" w:rsidRDefault="00A431CA" w:rsidP="00A028F1">
      <w:pPr>
        <w:spacing w:line="240" w:lineRule="auto"/>
      </w:pPr>
    </w:p>
    <w:p w14:paraId="6460469F" w14:textId="77777777" w:rsidR="00A028F1" w:rsidRPr="0078079E" w:rsidRDefault="00A028F1" w:rsidP="00A028F1">
      <w:pPr>
        <w:spacing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ABSTRACT</w:t>
      </w:r>
    </w:p>
    <w:p w14:paraId="5C822A96" w14:textId="77777777" w:rsidR="00A431CA"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i/>
          <w:sz w:val="24"/>
          <w:szCs w:val="24"/>
        </w:rPr>
        <w:t xml:space="preserve">Blighia </w:t>
      </w:r>
      <w:proofErr w:type="spellStart"/>
      <w:r w:rsidRPr="0078079E">
        <w:rPr>
          <w:rFonts w:ascii="Times New Roman" w:hAnsi="Times New Roman" w:cs="Times New Roman"/>
          <w:i/>
          <w:sz w:val="24"/>
          <w:szCs w:val="24"/>
        </w:rPr>
        <w:t>sapida</w:t>
      </w:r>
      <w:proofErr w:type="spellEnd"/>
      <w:r w:rsidR="00A028F1" w:rsidRPr="0078079E">
        <w:rPr>
          <w:rFonts w:ascii="Times New Roman" w:hAnsi="Times New Roman" w:cs="Times New Roman"/>
          <w:sz w:val="24"/>
          <w:szCs w:val="24"/>
        </w:rPr>
        <w:t xml:space="preserve"> is an important </w:t>
      </w:r>
      <w:r w:rsidRPr="0078079E">
        <w:rPr>
          <w:rFonts w:ascii="Times New Roman" w:hAnsi="Times New Roman" w:cs="Times New Roman"/>
          <w:sz w:val="24"/>
          <w:szCs w:val="24"/>
        </w:rPr>
        <w:t xml:space="preserve">plant </w:t>
      </w:r>
      <w:r w:rsidR="00A028F1" w:rsidRPr="0078079E">
        <w:rPr>
          <w:rFonts w:ascii="Times New Roman" w:hAnsi="Times New Roman" w:cs="Times New Roman"/>
          <w:sz w:val="24"/>
          <w:szCs w:val="24"/>
        </w:rPr>
        <w:t xml:space="preserve">that </w:t>
      </w:r>
      <w:r w:rsidRPr="0078079E">
        <w:rPr>
          <w:rFonts w:ascii="Times New Roman" w:hAnsi="Times New Roman" w:cs="Times New Roman"/>
          <w:sz w:val="24"/>
          <w:szCs w:val="24"/>
        </w:rPr>
        <w:t>has important therapeutic qualities in almost every part of it. Claims have been made regarding the antioxidant, anti-inflammatory, anthelmintic, and antibacterial qualities of Blighia sapida leaves. The current study focuses on the phytochemical screening, antioxidant, anti-diabetic, and antibacterial qualities of the leaves of Blighia sapida that have been extracted using ethanol, ethyl acetate, and hexane as three distinct solvents. Ethanol yielded the maximum quantity of an extract. Alkaloids, flavonoids, tannins, phenolic compounds, glycosides, terpenoids, quinones, cardiac glycosides, coumarins, anthocyanins, and saponins were all detected by the phytochemical screening method in the ethanolic extract. The ethanol extract had lower levels of TPC (36.46±0.02 GAE/mg/g), TFC (5.96±0.02 QE/mg/g), TTC (4.80±0.01 TAE/mg/g), TAC (5.08±0.02 %), and TSC (68.72±0.02 %) than the ethyl acetate extract, which had higher levels of TPC (37.70±0.03 GAE/mg/g), TTC (10.75±0.01 TAE/mg/g), TAC (13.92±0.02 %), and TSC (9.87±0.02 %). The ethanol extract outperformed the ethyl acetate, which had an IC50 value of 7.17 mg/mL, in the DPPH radical scavenging investigation, with an IC50 value of 5.46 mg/mL. However, the FRAP test revealed that the ethyl acetate extract outperformed the ethanol with an IC50 value of 3.62 mg/mL and an IC50 value of 2.83 mg/mL. The in vitro percentage of inhibition (54.04±0.78 to 76.40±0.57%) and IC50 (1.57 mg/mL) of the ethanol extract showed the highest inhibited activity of α-amylase through competitive inhibition, which was comparable to that of acarbose. In contrast, the ethyl acetate showed a percentage of inhibition (26.09±0.67 to 70.19±1.00%) and an IC50 (2.19 mg/mL). When it came to Proteus vulgaris, Pseudomonas aeruginosa, and Staphylococcus aureus, only methanolic extract exhibited antibacterial action.</w:t>
      </w:r>
    </w:p>
    <w:p w14:paraId="4C53552F" w14:textId="77777777" w:rsidR="006B1899" w:rsidRPr="0078079E" w:rsidRDefault="006B1899" w:rsidP="00A028F1">
      <w:pPr>
        <w:spacing w:after="0" w:line="240" w:lineRule="auto"/>
        <w:jc w:val="both"/>
        <w:rPr>
          <w:rFonts w:ascii="Times New Roman" w:hAnsi="Times New Roman" w:cs="Times New Roman"/>
          <w:sz w:val="24"/>
          <w:szCs w:val="24"/>
        </w:rPr>
      </w:pPr>
    </w:p>
    <w:p w14:paraId="08A89AC1"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Keywords: </w:t>
      </w:r>
      <w:proofErr w:type="spellStart"/>
      <w:r w:rsidR="00A028F1" w:rsidRPr="0078079E">
        <w:rPr>
          <w:rFonts w:ascii="Times New Roman" w:hAnsi="Times New Roman" w:cs="Times New Roman"/>
          <w:b/>
          <w:sz w:val="24"/>
          <w:szCs w:val="24"/>
        </w:rPr>
        <w:t>Antifungi</w:t>
      </w:r>
      <w:proofErr w:type="spellEnd"/>
      <w:r w:rsidR="00A028F1" w:rsidRPr="0078079E">
        <w:rPr>
          <w:rFonts w:ascii="Times New Roman" w:hAnsi="Times New Roman" w:cs="Times New Roman"/>
          <w:b/>
          <w:sz w:val="24"/>
          <w:szCs w:val="24"/>
        </w:rPr>
        <w:t xml:space="preserve">, </w:t>
      </w:r>
      <w:r w:rsidRPr="0078079E">
        <w:rPr>
          <w:rFonts w:ascii="Times New Roman" w:hAnsi="Times New Roman" w:cs="Times New Roman"/>
          <w:b/>
          <w:sz w:val="24"/>
          <w:szCs w:val="24"/>
        </w:rPr>
        <w:t>Antioxidant</w:t>
      </w:r>
      <w:r w:rsidR="00A028F1" w:rsidRPr="0078079E">
        <w:rPr>
          <w:rFonts w:ascii="Times New Roman" w:hAnsi="Times New Roman" w:cs="Times New Roman"/>
          <w:b/>
          <w:sz w:val="24"/>
          <w:szCs w:val="24"/>
        </w:rPr>
        <w:t>; Alpha amylase; Phytochemical</w:t>
      </w:r>
    </w:p>
    <w:p w14:paraId="4745A4EC" w14:textId="77777777" w:rsidR="00A431CA" w:rsidRPr="0078079E" w:rsidRDefault="00A431CA" w:rsidP="00A028F1">
      <w:pPr>
        <w:spacing w:line="240" w:lineRule="auto"/>
        <w:jc w:val="both"/>
        <w:rPr>
          <w:rFonts w:ascii="Times New Roman" w:hAnsi="Times New Roman" w:cs="Times New Roman"/>
          <w:sz w:val="24"/>
          <w:szCs w:val="24"/>
        </w:rPr>
      </w:pPr>
    </w:p>
    <w:p w14:paraId="55D4BE29" w14:textId="77777777" w:rsidR="00A028F1" w:rsidRPr="0078079E" w:rsidRDefault="00A028F1" w:rsidP="00A028F1">
      <w:pPr>
        <w:spacing w:line="240" w:lineRule="auto"/>
        <w:jc w:val="both"/>
        <w:rPr>
          <w:rFonts w:ascii="Times New Roman" w:hAnsi="Times New Roman" w:cs="Times New Roman"/>
          <w:b/>
          <w:bCs/>
          <w:sz w:val="24"/>
          <w:szCs w:val="24"/>
        </w:rPr>
      </w:pPr>
    </w:p>
    <w:p w14:paraId="5D900F39" w14:textId="77777777" w:rsidR="00A431CA" w:rsidRPr="0078079E" w:rsidRDefault="00DB74BC" w:rsidP="00A028F1">
      <w:pPr>
        <w:spacing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INTRODUCTION </w:t>
      </w:r>
    </w:p>
    <w:p w14:paraId="7AA4DFDC"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Therapeutic plants have existed performing an essential function in the improvement of human perception. As a beginning of cure, plants as continually existed at prominence practically all ideas of advancement (Dar et al., 2017). Therapeutic plants are viewed as rich possessions of usual cure and from these plants many of the cures are formed (Ugboko et al., 2020). Plant-derivative cure serves as a powerful support for the advancement of new drugs, this is as a result of plants include a off-course range of bioactive compounds, to a degree lipids (Nasim et al., 2022), phytochemicals (Dar et al., 2023), flavors (Nasim et al., 2022), fragrances and pigments (Chaachouay &amp; Zidane, 2024), proportionately, plant extracts are widely secondhand in the meal, drug, and cosmetic </w:t>
      </w:r>
      <w:r w:rsidRPr="0078079E">
        <w:rPr>
          <w:rFonts w:ascii="Times New Roman" w:hAnsi="Times New Roman" w:cs="Times New Roman"/>
          <w:sz w:val="24"/>
          <w:szCs w:val="24"/>
        </w:rPr>
        <w:lastRenderedPageBreak/>
        <w:t>corporations (Bolouri et al., 2022).  Blighia sapida is associated with West Land of the Sahara but is more in the vicinity of the Caribbean native to the Sapindaceae classification, they are grown in domains accompanying well-depleted soil and abundance of sunshine. The leaves of the Blighia sapida shrub are naturally compound, accompanying each leaf collected of 4-8 leaflets that are organized in pairs ahead a main stalk (Wray et al., 2020).</w:t>
      </w:r>
    </w:p>
    <w:p w14:paraId="222CF92E"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The leaflets are mainly oval-shaped or elongated and rounded methodical, accompanying smooth borders, and have a shiny, dark green color and have a hard balance. Studies have disclosed that Blighia sapida encompasses bioactive compounds like flavonoids (Ibraheem et al., 2022), alkaloids (Wray et al., 2020), and saponins (Ajose et al., 2019), that possess antioxidant and anti-inflammatory properties and also has antioxidant, antimicrobial as well as anthelmintic properties (Boakye- yiadom et al., 2021).</w:t>
      </w:r>
      <w:r w:rsidRPr="0078079E">
        <w:rPr>
          <w:rFonts w:ascii="Times New Roman" w:hAnsi="Times New Roman" w:cs="Times New Roman"/>
          <w:i/>
          <w:iCs/>
          <w:sz w:val="24"/>
          <w:szCs w:val="24"/>
        </w:rPr>
        <w:t xml:space="preserve"> </w:t>
      </w:r>
      <w:r w:rsidRPr="0078079E">
        <w:rPr>
          <w:rFonts w:ascii="Times New Roman" w:hAnsi="Times New Roman" w:cs="Times New Roman"/>
          <w:sz w:val="24"/>
          <w:szCs w:val="24"/>
        </w:rPr>
        <w:t xml:space="preserve">Extracts from Blighia sapida leaves are secondhand as a local request to treat skin diseases and wounds on account of their trusted antimicrobial possessions, few studies have recognized distinguishing compounds in the leave that cause allure antimicrobial action, containing flavonoids, alkaloids, and saponins (Ajose and others., 2019). Exploration suggests that extracts from the Blighia sapida leave exhibit powerful antioxidant action in-vitro and in-vivo, these extracts have existed establish to retain radical scavenging capabilities and prevent oxidative stress on account of the bioactive compounds that are presents, through safeguarding cells and tissues from damage generated by sensitive oxygen species. Moreover, the Blighia sapida leave extract has existed disclosed to maintain antidiabetics possessions of that it is used to lower level of glucose in blood level and hinder oxidative stress (Ibraheem et al., 2022). </w:t>
      </w:r>
    </w:p>
    <w:p w14:paraId="32600FBC"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Ordinarily it is used to control many aches in the way that high blood pressure, fever, and stomach pains (Boakye-Yiadom et al., 2021). It has further existed discovered that the extracts of the leaves had important anthelmintic activity against the intestinal worms Ascaris lumbricoides and Trichuris trichiura. Additionally, the curative features of Blighia sapida are on account of their chapters of subordinate metabolites in the way that alkaloids, flavonoids, saponins etc. (Aloko and others., 2019). The aim of these present study constitutes, assessment of total phytochemical constituent (phenolics, flavonoids, steroids, tannins, and saponins) content, accompanied by an important in vitro antioxidant assay (DPPH, FRAP, beginning-amylase inhibitory assay) of ethyl acetate and ethanol Blighia sapida leaf extracts in addition to the GC-MS study of ultimate potent crude extract.</w:t>
      </w:r>
    </w:p>
    <w:p w14:paraId="2A4877B7" w14:textId="77777777" w:rsidR="00A431CA" w:rsidRPr="0078079E" w:rsidRDefault="00A431CA" w:rsidP="00A028F1">
      <w:pPr>
        <w:spacing w:line="240" w:lineRule="auto"/>
        <w:jc w:val="both"/>
        <w:rPr>
          <w:rFonts w:ascii="Times New Roman" w:hAnsi="Times New Roman" w:cs="Times New Roman"/>
          <w:sz w:val="24"/>
          <w:szCs w:val="24"/>
        </w:rPr>
      </w:pPr>
    </w:p>
    <w:p w14:paraId="392567D8" w14:textId="77777777" w:rsidR="00A431CA" w:rsidRPr="0078079E" w:rsidRDefault="00DB74BC" w:rsidP="00A028F1">
      <w:pPr>
        <w:spacing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MATERIALS AND METHODS </w:t>
      </w:r>
    </w:p>
    <w:p w14:paraId="6B0DA46E"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Reagents and chemical used </w:t>
      </w:r>
    </w:p>
    <w:p w14:paraId="0569FD6F"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Folin-Ciocalteu’s reagent, 1,1-diphenyl-2-picrylhydrazyl (DPPH), gallic acid 2,4,6-tripyridyl-s-triazine, vitamin C, ascorbic acid, potato dextrose agar (PDA), Tris-HCl buffer (pH 6.9), solvents and other reagents used were of analytical grade and purchased from Lab-trade, a Nigerian company which sells Sigma Aldrich Chemical Co. (St. Louis, MO, United states of america).</w:t>
      </w:r>
    </w:p>
    <w:p w14:paraId="4E2C4D56" w14:textId="77777777" w:rsidR="00A431CA" w:rsidRPr="0078079E" w:rsidRDefault="00A431CA" w:rsidP="00A028F1">
      <w:pPr>
        <w:spacing w:after="0" w:line="240" w:lineRule="auto"/>
        <w:jc w:val="both"/>
        <w:rPr>
          <w:rFonts w:ascii="Times New Roman" w:hAnsi="Times New Roman" w:cs="Times New Roman"/>
          <w:b/>
          <w:bCs/>
          <w:sz w:val="24"/>
          <w:szCs w:val="24"/>
        </w:rPr>
      </w:pPr>
    </w:p>
    <w:p w14:paraId="149FB70F"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Plant collection and extraction </w:t>
      </w:r>
    </w:p>
    <w:p w14:paraId="4E3E739E"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Healthy Blighia sapida leaves were collected from Oke Anu, General area, Ogbomosho, Oyo state, Nigeria, identified and attested by Taxonomist, Department of Pure and Applied Biology, Ladoke Akintola University of Technology, Ogbomosho. The plant materials were cleaned with tap water, prior to water purified by distillation, shade dry and powdered. The powdered plant materials were subjected to successive extraction with n-hexane, ethyl acetate and ethanol and applying </w:t>
      </w:r>
      <w:r w:rsidRPr="0078079E">
        <w:rPr>
          <w:rFonts w:ascii="Times New Roman" w:hAnsi="Times New Roman" w:cs="Times New Roman"/>
          <w:sz w:val="24"/>
          <w:szCs w:val="24"/>
        </w:rPr>
        <w:lastRenderedPageBreak/>
        <w:t>maceration method. The extracts were dry utilizing rotary evaporator. The dried crude extracts were stored in refrigerator at 0 0C for future use. The yield in dry extract expressed as a percentage is determined according to the following equation:</w:t>
      </w:r>
    </w:p>
    <w:p w14:paraId="4CE664F1" w14:textId="77777777" w:rsidR="00A431CA" w:rsidRPr="0078079E" w:rsidRDefault="00DB74BC" w:rsidP="00A028F1">
      <w:pPr>
        <w:spacing w:after="0" w:line="240" w:lineRule="auto"/>
        <w:jc w:val="center"/>
        <w:rPr>
          <w:rFonts w:ascii="Times New Roman" w:hAnsi="Times New Roman" w:cs="Times New Roman"/>
          <w:sz w:val="24"/>
          <w:szCs w:val="24"/>
        </w:rPr>
      </w:pPr>
      <w:r w:rsidRPr="0078079E">
        <w:rPr>
          <w:rFonts w:ascii="Times New Roman" w:hAnsi="Times New Roman" w:cs="Times New Roman"/>
          <w:sz w:val="24"/>
          <w:szCs w:val="24"/>
        </w:rPr>
        <w:t xml:space="preserve">Yield % = </w:t>
      </w:r>
      <m:oMath>
        <m:f>
          <m:fPr>
            <m:ctrlPr>
              <w:rPr>
                <w:rFonts w:ascii="Cambria Math" w:hAnsi="Cambria Math" w:cs="Times New Roman"/>
                <w:sz w:val="28"/>
                <w:szCs w:val="28"/>
              </w:rPr>
            </m:ctrlPr>
          </m:fPr>
          <m:num>
            <m:r>
              <m:rPr>
                <m:sty m:val="p"/>
              </m:rPr>
              <w:rPr>
                <w:rFonts w:ascii="Cambria Math" w:hAnsi="Cambria Math" w:cs="Times New Roman"/>
                <w:sz w:val="28"/>
                <w:szCs w:val="28"/>
              </w:rPr>
              <m:t>M1</m:t>
            </m:r>
          </m:num>
          <m:den>
            <m:r>
              <m:rPr>
                <m:sty m:val="p"/>
              </m:rPr>
              <w:rPr>
                <w:rFonts w:ascii="Cambria Math" w:hAnsi="Cambria Math" w:cs="Times New Roman"/>
                <w:sz w:val="28"/>
                <w:szCs w:val="28"/>
              </w:rPr>
              <m:t xml:space="preserve">M2  </m:t>
            </m:r>
          </m:den>
        </m:f>
      </m:oMath>
      <w:r w:rsidRPr="0078079E">
        <w:rPr>
          <w:rFonts w:ascii="Times New Roman" w:hAnsi="Times New Roman" w:cs="Times New Roman"/>
          <w:sz w:val="24"/>
          <w:szCs w:val="24"/>
        </w:rPr>
        <w:t xml:space="preserve"> × 100</w:t>
      </w:r>
    </w:p>
    <w:p w14:paraId="3DBB44A6"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Yield % = yield in percentage </w:t>
      </w:r>
    </w:p>
    <w:p w14:paraId="544558A3"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M</w:t>
      </w:r>
      <w:r w:rsidRPr="0078079E">
        <w:rPr>
          <w:rFonts w:ascii="Times New Roman" w:hAnsi="Times New Roman" w:cs="Times New Roman"/>
          <w:sz w:val="24"/>
          <w:szCs w:val="24"/>
          <w:vertAlign w:val="subscript"/>
        </w:rPr>
        <w:t>1</w:t>
      </w:r>
      <w:r w:rsidRPr="0078079E">
        <w:rPr>
          <w:rFonts w:ascii="Times New Roman" w:hAnsi="Times New Roman" w:cs="Times New Roman"/>
          <w:sz w:val="24"/>
          <w:szCs w:val="24"/>
        </w:rPr>
        <w:t>= mass of dry crude extract (g)</w:t>
      </w:r>
    </w:p>
    <w:p w14:paraId="0366583C"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M</w:t>
      </w:r>
      <w:r w:rsidRPr="0078079E">
        <w:rPr>
          <w:rFonts w:ascii="Times New Roman" w:hAnsi="Times New Roman" w:cs="Times New Roman"/>
          <w:sz w:val="24"/>
          <w:szCs w:val="24"/>
          <w:vertAlign w:val="subscript"/>
        </w:rPr>
        <w:t>2</w:t>
      </w:r>
      <w:r w:rsidRPr="0078079E">
        <w:rPr>
          <w:rFonts w:ascii="Times New Roman" w:hAnsi="Times New Roman" w:cs="Times New Roman"/>
          <w:sz w:val="24"/>
          <w:szCs w:val="24"/>
        </w:rPr>
        <w:t xml:space="preserve"> = mass of pulverized plant materials (g). </w:t>
      </w:r>
    </w:p>
    <w:p w14:paraId="0853A24F" w14:textId="77777777" w:rsidR="00A431CA" w:rsidRPr="0078079E" w:rsidRDefault="00A431CA" w:rsidP="00A028F1">
      <w:pPr>
        <w:spacing w:after="0" w:line="240" w:lineRule="auto"/>
        <w:jc w:val="both"/>
        <w:rPr>
          <w:rFonts w:ascii="Times New Roman" w:hAnsi="Times New Roman" w:cs="Times New Roman"/>
          <w:sz w:val="24"/>
          <w:szCs w:val="24"/>
        </w:rPr>
      </w:pPr>
    </w:p>
    <w:p w14:paraId="0B866022"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Phytochemical screening </w:t>
      </w:r>
    </w:p>
    <w:p w14:paraId="3D22AB01"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Preliminary phytochemical screening</w:t>
      </w:r>
    </w:p>
    <w:p w14:paraId="7607171B"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The preliminary phytochemical screening tests were performed to establish the effective components by standard methods (Adepoju et al., 2024; Adeyeni et al., 2024).</w:t>
      </w:r>
    </w:p>
    <w:p w14:paraId="090E6D89" w14:textId="77777777" w:rsidR="00A431CA" w:rsidRPr="0078079E" w:rsidRDefault="00A431CA" w:rsidP="00A028F1">
      <w:pPr>
        <w:spacing w:after="0" w:line="240" w:lineRule="auto"/>
        <w:jc w:val="both"/>
        <w:rPr>
          <w:rFonts w:ascii="Times New Roman" w:hAnsi="Times New Roman" w:cs="Times New Roman"/>
          <w:sz w:val="24"/>
          <w:szCs w:val="24"/>
        </w:rPr>
      </w:pPr>
    </w:p>
    <w:p w14:paraId="098CC4AA"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Quantitative phytochemical screening </w:t>
      </w:r>
    </w:p>
    <w:p w14:paraId="78616175"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Determination of total alkaloid contents</w:t>
      </w:r>
    </w:p>
    <w:p w14:paraId="4AE4AC15" w14:textId="77777777" w:rsidR="00A431CA" w:rsidRPr="0078079E" w:rsidRDefault="00DB74BC" w:rsidP="00A028F1">
      <w:pPr>
        <w:spacing w:after="0" w:line="240" w:lineRule="auto"/>
        <w:jc w:val="both"/>
        <w:rPr>
          <w:rStyle w:val="selectable-text"/>
          <w:rFonts w:ascii="Times New Roman" w:hAnsi="Times New Roman" w:cs="Times New Roman"/>
          <w:sz w:val="24"/>
          <w:szCs w:val="24"/>
        </w:rPr>
      </w:pPr>
      <w:r w:rsidRPr="0078079E">
        <w:rPr>
          <w:rStyle w:val="selectable-text"/>
          <w:rFonts w:ascii="Times New Roman" w:hAnsi="Times New Roman" w:cs="Times New Roman"/>
          <w:sz w:val="24"/>
          <w:szCs w:val="24"/>
        </w:rPr>
        <w:t>The alkaloid content was determined using the method described by Van Tans (2018). A 5g sample was mixed with 200mL of 10% acetic acid in ethanol in a 250mL beaker. The mixture was filtered for 4 hours, and the resulting extract was then concentrated in a water bath to approximately 25% of its initial volume. Concentrated ammonium hydroxide was gradually added until precipitation occurred. The precipitate was then treated with a diluted ammonium hydroxide solution and filtered. The final product was obtained as a weighted and dried alkaloid.</w:t>
      </w:r>
    </w:p>
    <w:p w14:paraId="41AA6EBB" w14:textId="77777777" w:rsidR="00A431CA" w:rsidRPr="0078079E" w:rsidRDefault="00A431CA" w:rsidP="00A028F1">
      <w:pPr>
        <w:spacing w:after="0" w:line="240" w:lineRule="auto"/>
        <w:jc w:val="both"/>
        <w:rPr>
          <w:rFonts w:ascii="Times New Roman" w:hAnsi="Times New Roman" w:cs="Times New Roman"/>
          <w:sz w:val="24"/>
          <w:szCs w:val="24"/>
        </w:rPr>
      </w:pPr>
    </w:p>
    <w:p w14:paraId="4266D240"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Determination of total saponin contents</w:t>
      </w:r>
    </w:p>
    <w:p w14:paraId="7D9CC4AD"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The methodology described by Adepoju et al. (2024) was followed precisely. A 20g sample of each was macerated with 100cm³ of 20% aqueous ethanol in a conical flask and heated at 55°C for 4 hours using a hot water bath. The mixture was then filtered, and the residue was further extracted with 200mL of 20% ethanol. The combined extracts were reduced to 40mL using a 90°C water bath, followed by the addition of 20mL diethyl ether. The aqueous layer was separated and washed twice with 10mL of 5% aqueous sodium chloride. The remaining solution was heated to a constant weight, and the saponin content was determined</w:t>
      </w:r>
    </w:p>
    <w:p w14:paraId="0232227A" w14:textId="77777777" w:rsidR="00A431CA" w:rsidRPr="0078079E" w:rsidRDefault="00A431CA" w:rsidP="00A028F1">
      <w:pPr>
        <w:spacing w:after="0" w:line="240" w:lineRule="auto"/>
        <w:jc w:val="both"/>
        <w:rPr>
          <w:rFonts w:ascii="Times New Roman" w:hAnsi="Times New Roman" w:cs="Times New Roman"/>
          <w:sz w:val="24"/>
          <w:szCs w:val="24"/>
        </w:rPr>
      </w:pPr>
    </w:p>
    <w:p w14:paraId="58615F16"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Determination of total phenolic content</w:t>
      </w:r>
    </w:p>
    <w:p w14:paraId="2A89B4C0"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Siddiqui et al. (2017) described a method for determining the total phenolic content in plant extracts using spectrophotometric analysis with the Folin-Ciocalteu test. The procedure involves preparing a reaction mixture in a 25 mL volumetric flask by combining 1 mL of plant extract, 1 mL of Folin-Ciocalteu reagent, and 9 mL of distilled water. After a 5-minute reaction time, 10 mL of a 7% sodium carbonate solution are added. Gallic acid standards (20-100 µg/mL) are prepared using the same procedure. The absorbance of the test and standard solutions is then measured at 550 nm using a UV/Visible spectrophotometer after a 90-minute incubation period at room temperature. The total phenol content is expressed as milligrams of gallic acid equivalent (GAE) per gram of extract.</w:t>
      </w:r>
    </w:p>
    <w:p w14:paraId="7FE7E77D" w14:textId="77777777" w:rsidR="00A431CA" w:rsidRPr="0078079E" w:rsidRDefault="00A431CA" w:rsidP="00A028F1">
      <w:pPr>
        <w:spacing w:after="0" w:line="240" w:lineRule="auto"/>
        <w:jc w:val="both"/>
        <w:rPr>
          <w:rFonts w:ascii="Times New Roman" w:hAnsi="Times New Roman" w:cs="Times New Roman"/>
          <w:sz w:val="24"/>
          <w:szCs w:val="24"/>
        </w:rPr>
      </w:pPr>
    </w:p>
    <w:p w14:paraId="7EA89A05"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Determination of total tannin Content</w:t>
      </w:r>
    </w:p>
    <w:p w14:paraId="2529BC83"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Adepoju et al., (2024) established the Folin-Ciocalteu method, which was used to determine the tannin concentration. 0.1 mL of the sample extract, 7.5 mL of distilled water, 0.5 mL of the Folin-Ciocalteu reagent, and 1 mL of 35% Na2CO3 were added to a volumetric flask (10 mL). After </w:t>
      </w:r>
      <w:r w:rsidRPr="0078079E">
        <w:rPr>
          <w:rFonts w:ascii="Times New Roman" w:hAnsi="Times New Roman" w:cs="Times New Roman"/>
          <w:sz w:val="24"/>
          <w:szCs w:val="24"/>
        </w:rPr>
        <w:lastRenderedPageBreak/>
        <w:t xml:space="preserve">shaking, the mixture stayed for thirty minutes. Gallic acid standard solutions (20-100 µg/mL) undergo a similar process. A UV/visible spectrophotometer measured the absorbance at 725 nm. The amount of tannin present in each gram of extract was determined in milligrams of GAE. </w:t>
      </w:r>
    </w:p>
    <w:p w14:paraId="4D31A975" w14:textId="77777777" w:rsidR="00A431CA" w:rsidRPr="0078079E" w:rsidRDefault="00A431CA" w:rsidP="00A028F1">
      <w:pPr>
        <w:spacing w:after="0" w:line="240" w:lineRule="auto"/>
        <w:jc w:val="both"/>
        <w:rPr>
          <w:rFonts w:ascii="Times New Roman" w:hAnsi="Times New Roman" w:cs="Times New Roman"/>
          <w:sz w:val="24"/>
          <w:szCs w:val="24"/>
        </w:rPr>
      </w:pPr>
    </w:p>
    <w:p w14:paraId="053ECC5E"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Determination total flavonoid content</w:t>
      </w:r>
    </w:p>
    <w:p w14:paraId="5532E3FA"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According to Shraim et al. (2021), the total flavonoid concentration was determined using the aluminium chloride colorimetric method. The procedure involved preparing a solution in a 10 mL volumetric flask by combining 1 mL of extract with 4 mL of distilled water. After a 5-minute reaction time, 0.30 mL of 5% sodium nitrite (previously treated) and 0.3 mL of 10% aluminium chloride were added. Following an additional 5-minute reaction time, 2 mL of 1M sodium hydroxide was added, and the solution was diluted to 10 mL with distilled water. This process was replicated for various standard quercetin solutions (20-100 µg/mL). The absorbance of the test and standard solutions was then measured at 510 nm using a UV/Visible spectrophotometer, with the reagent blank serving as a reference.</w:t>
      </w:r>
    </w:p>
    <w:p w14:paraId="1C60BFA5" w14:textId="77777777" w:rsidR="00A431CA" w:rsidRPr="0078079E" w:rsidRDefault="00A431CA" w:rsidP="00A028F1">
      <w:pPr>
        <w:spacing w:after="0" w:line="240" w:lineRule="auto"/>
        <w:jc w:val="both"/>
        <w:rPr>
          <w:rFonts w:ascii="Times New Roman" w:hAnsi="Times New Roman" w:cs="Times New Roman"/>
          <w:sz w:val="24"/>
          <w:szCs w:val="24"/>
        </w:rPr>
      </w:pPr>
    </w:p>
    <w:p w14:paraId="46A4DDE7"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Determination of DPPH Free Radical Scavenging Activity</w:t>
      </w:r>
    </w:p>
    <w:p w14:paraId="3DE1D344" w14:textId="77777777" w:rsidR="00A431CA" w:rsidRPr="0078079E" w:rsidRDefault="00DB74BC" w:rsidP="00A028F1">
      <w:pPr>
        <w:spacing w:line="240" w:lineRule="auto"/>
        <w:jc w:val="both"/>
        <w:rPr>
          <w:rFonts w:ascii="Times New Roman" w:eastAsia="Times New Roman" w:hAnsi="Times New Roman" w:cs="Times New Roman"/>
          <w:kern w:val="0"/>
          <w:sz w:val="24"/>
          <w:szCs w:val="24"/>
          <w14:ligatures w14:val="none"/>
        </w:rPr>
      </w:pPr>
      <w:r w:rsidRPr="0078079E">
        <w:rPr>
          <w:rFonts w:ascii="Times New Roman" w:hAnsi="Times New Roman" w:cs="Times New Roman"/>
          <w:sz w:val="24"/>
          <w:szCs w:val="24"/>
        </w:rPr>
        <w:t xml:space="preserve">The free radical scavenging and antioxidant activities of B. sapida leaves extracts against the stable free radical 2,2-diphenyl-1- picrylhydrazyl (DPPH) were evaluated according to </w:t>
      </w:r>
      <w:r w:rsidRPr="0078079E">
        <w:rPr>
          <w:rFonts w:ascii="Times New Roman" w:eastAsia="Times New Roman" w:hAnsi="Times New Roman" w:cs="Times New Roman"/>
          <w:kern w:val="0"/>
          <w:sz w:val="24"/>
          <w:szCs w:val="24"/>
          <w14:ligatures w14:val="none"/>
        </w:rPr>
        <w:t xml:space="preserve">Akinmoladun et al. (2010), </w:t>
      </w:r>
      <w:r w:rsidRPr="0078079E">
        <w:rPr>
          <w:rFonts w:ascii="Times New Roman" w:hAnsi="Times New Roman" w:cs="Times New Roman"/>
          <w:sz w:val="24"/>
          <w:szCs w:val="24"/>
        </w:rPr>
        <w:t>using varying concentrations of the extracts in a methanolic solution of DPPH. Using vitamin C as a reference material, the absorbance at 517 nm was determined using a spectrophotometer following a 30- minute incubation period at room temperature and in the dark. The percentage inhibition was calculated for each concentration of extracts and standard using the following equation.</w:t>
      </w:r>
    </w:p>
    <w:p w14:paraId="1B72A435" w14:textId="77777777" w:rsidR="00A431CA" w:rsidRPr="0078079E" w:rsidRDefault="00DB74BC" w:rsidP="00A028F1">
      <w:pPr>
        <w:spacing w:after="0" w:line="240" w:lineRule="auto"/>
        <w:jc w:val="center"/>
        <w:rPr>
          <w:rFonts w:ascii="Times New Roman" w:hAnsi="Times New Roman" w:cs="Times New Roman"/>
          <w:sz w:val="24"/>
          <w:szCs w:val="24"/>
        </w:rPr>
      </w:pPr>
      <w:r w:rsidRPr="0078079E">
        <w:rPr>
          <w:rFonts w:ascii="Times New Roman" w:hAnsi="Times New Roman" w:cs="Times New Roman"/>
          <w:sz w:val="24"/>
          <w:szCs w:val="24"/>
        </w:rPr>
        <w:t>% Inhibition = (</w:t>
      </w:r>
      <m:oMath>
        <m:f>
          <m:fPr>
            <m:ctrlPr>
              <w:rPr>
                <w:rFonts w:ascii="Cambria Math" w:hAnsi="Cambria Math" w:cs="Times New Roman"/>
                <w:sz w:val="24"/>
                <w:szCs w:val="24"/>
              </w:rPr>
            </m:ctrlPr>
          </m:fPr>
          <m:num>
            <m:r>
              <m:rPr>
                <m:sty m:val="p"/>
              </m:rPr>
              <w:rPr>
                <w:rFonts w:ascii="Cambria Math" w:hAnsi="Cambria Math" w:cs="Cambria Math"/>
                <w:sz w:val="24"/>
                <w:szCs w:val="24"/>
              </w:rPr>
              <m:t>Ab</m:t>
            </m:r>
            <m:r>
              <m:rPr>
                <m:sty m:val="p"/>
              </m:rPr>
              <w:rPr>
                <w:rFonts w:ascii="Cambria Math" w:hAnsi="Cambria Math" w:cs="Times New Roman"/>
                <w:sz w:val="24"/>
                <w:szCs w:val="24"/>
              </w:rPr>
              <m:t>-</m:t>
            </m:r>
            <m:r>
              <m:rPr>
                <m:sty m:val="p"/>
              </m:rPr>
              <w:rPr>
                <w:rFonts w:ascii="Cambria Math" w:hAnsi="Cambria Math" w:cs="Cambria Math"/>
                <w:sz w:val="24"/>
                <w:szCs w:val="24"/>
              </w:rPr>
              <m:t>As</m:t>
            </m:r>
            <m:r>
              <m:rPr>
                <m:sty m:val="p"/>
              </m:rPr>
              <w:rPr>
                <w:rFonts w:ascii="Cambria Math" w:hAnsi="Cambria Math" w:cs="Times New Roman"/>
                <w:sz w:val="24"/>
                <w:szCs w:val="24"/>
              </w:rPr>
              <m:t xml:space="preserve"> </m:t>
            </m:r>
          </m:num>
          <m:den>
            <m:r>
              <m:rPr>
                <m:sty m:val="p"/>
              </m:rPr>
              <w:rPr>
                <w:rFonts w:ascii="Cambria Math" w:hAnsi="Cambria Math" w:cs="Cambria Math"/>
                <w:sz w:val="24"/>
                <w:szCs w:val="24"/>
              </w:rPr>
              <m:t>Ab</m:t>
            </m:r>
            <m:r>
              <m:rPr>
                <m:sty m:val="p"/>
              </m:rPr>
              <w:rPr>
                <w:rFonts w:ascii="Cambria Math" w:hAnsi="Cambria Math" w:cs="Times New Roman"/>
                <w:sz w:val="24"/>
                <w:szCs w:val="24"/>
              </w:rPr>
              <m:t xml:space="preserve"> </m:t>
            </m:r>
          </m:den>
        </m:f>
      </m:oMath>
      <w:r w:rsidRPr="0078079E">
        <w:rPr>
          <w:rFonts w:ascii="Times New Roman" w:hAnsi="Times New Roman" w:cs="Times New Roman"/>
          <w:sz w:val="24"/>
          <w:szCs w:val="24"/>
        </w:rPr>
        <w:t>) x 100</w:t>
      </w:r>
    </w:p>
    <w:p w14:paraId="18124A31"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As represents the absorbance of the B. sapida leaves extracts at different doses, and Ab represents the absorbance of the blank solution. The dose-response curve was plotted, and then the extracts and the standard's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values were determined. </w:t>
      </w:r>
    </w:p>
    <w:p w14:paraId="10B4F17A" w14:textId="77777777" w:rsidR="00A431CA" w:rsidRPr="0078079E" w:rsidRDefault="00A431CA" w:rsidP="00A028F1">
      <w:pPr>
        <w:spacing w:after="0" w:line="240" w:lineRule="auto"/>
        <w:jc w:val="both"/>
        <w:rPr>
          <w:rFonts w:ascii="Times New Roman" w:hAnsi="Times New Roman" w:cs="Times New Roman"/>
          <w:sz w:val="24"/>
          <w:szCs w:val="24"/>
        </w:rPr>
      </w:pPr>
    </w:p>
    <w:p w14:paraId="08A0873A"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Ferric reducing antioxidant power assay (FRAP)</w:t>
      </w:r>
    </w:p>
    <w:p w14:paraId="11706E80" w14:textId="77777777" w:rsidR="00A431CA" w:rsidRPr="0078079E" w:rsidRDefault="00DB74BC" w:rsidP="00A028F1">
      <w:pPr>
        <w:spacing w:line="240" w:lineRule="auto"/>
        <w:jc w:val="both"/>
        <w:rPr>
          <w:rFonts w:ascii="Times New Roman" w:eastAsia="Times New Roman" w:hAnsi="Times New Roman" w:cs="Times New Roman"/>
          <w:kern w:val="0"/>
          <w:sz w:val="24"/>
          <w:szCs w:val="24"/>
          <w14:ligatures w14:val="none"/>
        </w:rPr>
      </w:pPr>
      <w:r w:rsidRPr="0078079E">
        <w:rPr>
          <w:rFonts w:ascii="Times New Roman" w:hAnsi="Times New Roman" w:cs="Times New Roman"/>
          <w:sz w:val="24"/>
          <w:szCs w:val="24"/>
        </w:rPr>
        <w:t xml:space="preserve">With a few modifications, the FRAP evaluation guidelines of </w:t>
      </w:r>
      <w:r w:rsidRPr="0078079E">
        <w:rPr>
          <w:rFonts w:ascii="Times New Roman" w:eastAsia="Times New Roman" w:hAnsi="Times New Roman" w:cs="Times New Roman"/>
          <w:kern w:val="0"/>
          <w:sz w:val="24"/>
          <w:szCs w:val="24"/>
          <w14:ligatures w14:val="none"/>
        </w:rPr>
        <w:t xml:space="preserve">Tomasina et al. (2012) </w:t>
      </w:r>
      <w:r w:rsidRPr="0078079E">
        <w:rPr>
          <w:rFonts w:ascii="Times New Roman" w:hAnsi="Times New Roman" w:cs="Times New Roman"/>
          <w:sz w:val="24"/>
          <w:szCs w:val="24"/>
        </w:rPr>
        <w:t>were adhered to. A 300 nm acetate buffer (3.1 g C2H3NaO2.3H2O and 16 mL of acetic acid) with a pH of 3.6 and a 10mM solution of 2,4,6-tripyridyl-s-triazine were included in the stock solutions. The new working solution was prepared by mixing 25 mL of FeCl3.6H2O solution, 2.5 mL of TPTZ solution, and acetate buffer. After mixing the plant extract sample (50 µL, 1 mg/mL) with the FRAP solution, the mixture was left to react for five minutes without light. Then, at 593 nm, the colorful material ferrous tripyridyltriazine complex—was detected. Trolox equivalents in milligrams (mg TE/g) were utilized to assess the outcomes.</w:t>
      </w:r>
    </w:p>
    <w:p w14:paraId="214BE158" w14:textId="77777777" w:rsidR="00A431CA" w:rsidRPr="0078079E" w:rsidRDefault="00A431CA" w:rsidP="00A028F1">
      <w:pPr>
        <w:spacing w:after="0" w:line="240" w:lineRule="auto"/>
        <w:jc w:val="both"/>
        <w:rPr>
          <w:rFonts w:ascii="Times New Roman" w:hAnsi="Times New Roman" w:cs="Times New Roman"/>
          <w:b/>
          <w:bCs/>
          <w:sz w:val="24"/>
          <w:szCs w:val="24"/>
        </w:rPr>
      </w:pPr>
    </w:p>
    <w:p w14:paraId="7710B353"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Anti-diabetics Assay: α-Amylase Inhibitory Assay</w:t>
      </w:r>
    </w:p>
    <w:p w14:paraId="56BC667F"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The study's standard operating procedures underwent minor modifications (Adepoju et al., (2024). A 2 mg of starch azure suspension was made in 0.2 mL of 0.5 M Tris-HCl buffer (pH 6.9) containing 0.01 M CaCl2 (substrate solution). A 5-minute preincubation at 37°C was performed on the substrate solution tubes. Five minutes later, it starts to bubble. An extract sample was dissolved in DMSO to produce varying extract concentrations. After that, 0.2 mL of a specific plant extract concentration was added to the substrate solution tube. The tube containing the plant </w:t>
      </w:r>
      <w:r w:rsidRPr="0078079E">
        <w:rPr>
          <w:rFonts w:ascii="Times New Roman" w:hAnsi="Times New Roman" w:cs="Times New Roman"/>
          <w:sz w:val="24"/>
          <w:szCs w:val="24"/>
        </w:rPr>
        <w:lastRenderedPageBreak/>
        <w:t>extract and substrate solution also received 0.1 mL of swine pancreatic amylase in Tris-HCl buffer (2 units/mL). For ten minutes, the reaction was performed at 37°C. Each tube was filled with 0.5 mL of 50% acetic acid to halt the process. The reaction mixture was centrifuged for five minutes at 4 °C and 3000 rpm. Using a spectrophotometer, the absorbance of the resultant supernatant at 595 nm was determined. Standard prescription was ascorbic acid, a well-known inhibitor of α-amylase. Three runs of the trials were conducted. Using the formula below, the inhibitory activity of -amylase was determined</w:t>
      </w:r>
    </w:p>
    <w:p w14:paraId="14B4ECFB"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 Percentage α-amylase inhibitory activity = [</w:t>
      </w:r>
      <m:oMath>
        <m:f>
          <m:fPr>
            <m:ctrlPr>
              <w:rPr>
                <w:rFonts w:ascii="Cambria Math" w:hAnsi="Cambria Math" w:cs="Times New Roman"/>
                <w:sz w:val="24"/>
                <w:szCs w:val="24"/>
              </w:rPr>
            </m:ctrlPr>
          </m:fPr>
          <m:num>
            <m:r>
              <m:rPr>
                <m:sty m:val="p"/>
              </m:rPr>
              <w:rPr>
                <w:rFonts w:ascii="Cambria Math" w:hAnsi="Cambria Math" w:cs="Times New Roman"/>
                <w:sz w:val="24"/>
                <w:szCs w:val="24"/>
              </w:rPr>
              <m:t>(</m:t>
            </m:r>
            <m:r>
              <m:rPr>
                <m:sty m:val="p"/>
              </m:rPr>
              <w:rPr>
                <w:rFonts w:ascii="Cambria Math" w:hAnsi="Cambria Math" w:cs="Cambria Math"/>
                <w:sz w:val="24"/>
                <w:szCs w:val="24"/>
              </w:rPr>
              <m:t>Ac</m:t>
            </m:r>
            <m:r>
              <m:rPr>
                <m:sty m:val="p"/>
              </m:rPr>
              <w:rPr>
                <w:rFonts w:ascii="Cambria Math" w:hAnsi="Cambria Math" w:cs="Times New Roman"/>
                <w:sz w:val="24"/>
                <w:szCs w:val="24"/>
              </w:rPr>
              <m:t>+)-(</m:t>
            </m:r>
            <m:r>
              <m:rPr>
                <m:sty m:val="p"/>
              </m:rPr>
              <w:rPr>
                <w:rFonts w:ascii="Cambria Math" w:hAnsi="Cambria Math" w:cs="Cambria Math"/>
                <w:sz w:val="24"/>
                <w:szCs w:val="24"/>
              </w:rPr>
              <m:t>Ac</m:t>
            </m:r>
            <m:r>
              <m:rPr>
                <m:sty m:val="p"/>
              </m:rPr>
              <w:rPr>
                <w:rFonts w:ascii="Cambria Math" w:hAnsi="Cambria Math" w:cs="Times New Roman"/>
                <w:sz w:val="24"/>
                <w:szCs w:val="24"/>
              </w:rPr>
              <m:t>-)]-[(</m:t>
            </m:r>
            <m:r>
              <m:rPr>
                <m:sty m:val="p"/>
              </m:rPr>
              <w:rPr>
                <w:rFonts w:ascii="Cambria Math" w:hAnsi="Cambria Math" w:cs="Cambria Math"/>
                <w:sz w:val="24"/>
                <w:szCs w:val="24"/>
              </w:rPr>
              <m:t>As</m:t>
            </m:r>
            <m:r>
              <m:rPr>
                <m:sty m:val="p"/>
              </m:rPr>
              <w:rPr>
                <w:rFonts w:ascii="Cambria Math" w:hAnsi="Cambria Math" w:cs="Times New Roman"/>
                <w:sz w:val="24"/>
                <w:szCs w:val="24"/>
              </w:rPr>
              <m:t xml:space="preserve"> -</m:t>
            </m:r>
            <m:r>
              <m:rPr>
                <m:sty m:val="p"/>
              </m:rPr>
              <w:rPr>
                <w:rFonts w:ascii="Cambria Math" w:hAnsi="Cambria Math" w:cs="Cambria Math"/>
                <w:sz w:val="24"/>
                <w:szCs w:val="24"/>
              </w:rPr>
              <m:t>Ab</m:t>
            </m:r>
            <m:r>
              <m:rPr>
                <m:sty m:val="p"/>
              </m:rPr>
              <w:rPr>
                <w:rFonts w:ascii="Cambria Math" w:hAnsi="Cambria Math" w:cs="Times New Roman"/>
                <w:sz w:val="24"/>
                <w:szCs w:val="24"/>
              </w:rPr>
              <m:t xml:space="preserve">)] </m:t>
            </m:r>
          </m:num>
          <m:den>
            <m:r>
              <m:rPr>
                <m:sty m:val="p"/>
              </m:rPr>
              <w:rPr>
                <w:rFonts w:ascii="Cambria Math" w:hAnsi="Cambria Math" w:cs="Times New Roman"/>
                <w:sz w:val="24"/>
                <w:szCs w:val="24"/>
              </w:rPr>
              <m:t>[(</m:t>
            </m:r>
            <m:r>
              <m:rPr>
                <m:sty m:val="p"/>
              </m:rPr>
              <w:rPr>
                <w:rFonts w:ascii="Cambria Math" w:hAnsi="Cambria Math" w:cs="Cambria Math"/>
                <w:sz w:val="24"/>
                <w:szCs w:val="24"/>
              </w:rPr>
              <m:t>Ac</m:t>
            </m:r>
            <m:r>
              <m:rPr>
                <m:sty m:val="p"/>
              </m:rPr>
              <w:rPr>
                <w:rFonts w:ascii="Cambria Math" w:hAnsi="Cambria Math" w:cs="Times New Roman"/>
                <w:sz w:val="24"/>
                <w:szCs w:val="24"/>
              </w:rPr>
              <m:t>+)-(</m:t>
            </m:r>
            <m:r>
              <m:rPr>
                <m:sty m:val="p"/>
              </m:rPr>
              <w:rPr>
                <w:rFonts w:ascii="Cambria Math" w:hAnsi="Cambria Math" w:cs="Cambria Math"/>
                <w:sz w:val="24"/>
                <w:szCs w:val="24"/>
              </w:rPr>
              <m:t>Ac</m:t>
            </m:r>
            <m:r>
              <m:rPr>
                <m:sty m:val="p"/>
              </m:rPr>
              <w:rPr>
                <w:rFonts w:ascii="Cambria Math" w:hAnsi="Cambria Math" w:cs="Times New Roman"/>
                <w:sz w:val="24"/>
                <w:szCs w:val="24"/>
              </w:rPr>
              <m:t>-)]</m:t>
            </m:r>
          </m:den>
        </m:f>
      </m:oMath>
      <w:r w:rsidRPr="0078079E">
        <w:rPr>
          <w:rFonts w:ascii="Times New Roman" w:hAnsi="Times New Roman" w:cs="Times New Roman"/>
          <w:sz w:val="24"/>
          <w:szCs w:val="24"/>
        </w:rPr>
        <w:t xml:space="preserve">  × 100 </w:t>
      </w:r>
    </w:p>
    <w:p w14:paraId="7BF420A9"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Where Ac</w:t>
      </w:r>
      <w:r w:rsidRPr="0078079E">
        <w:rPr>
          <w:rFonts w:ascii="Times New Roman" w:hAnsi="Times New Roman" w:cs="Times New Roman"/>
          <w:sz w:val="24"/>
          <w:szCs w:val="24"/>
          <w:vertAlign w:val="superscript"/>
        </w:rPr>
        <w:t>+</w:t>
      </w:r>
      <w:r w:rsidRPr="0078079E">
        <w:rPr>
          <w:rFonts w:ascii="Times New Roman" w:hAnsi="Times New Roman" w:cs="Times New Roman"/>
          <w:sz w:val="24"/>
          <w:szCs w:val="24"/>
        </w:rPr>
        <w:t>, Ac</w:t>
      </w:r>
      <w:r w:rsidRPr="0078079E">
        <w:rPr>
          <w:rFonts w:ascii="Times New Roman" w:hAnsi="Times New Roman" w:cs="Times New Roman"/>
          <w:sz w:val="24"/>
          <w:szCs w:val="24"/>
          <w:vertAlign w:val="superscript"/>
        </w:rPr>
        <w:t>-</w:t>
      </w:r>
      <w:r w:rsidRPr="0078079E">
        <w:rPr>
          <w:rFonts w:ascii="Times New Roman" w:hAnsi="Times New Roman" w:cs="Times New Roman"/>
          <w:sz w:val="24"/>
          <w:szCs w:val="24"/>
        </w:rPr>
        <w:t>, As and Ab are the absorbance of a test sample (with enzyme), a blank (a test sample without enzyme) and 100% enzyme activity (only solvent with enzyme) respectively.</w:t>
      </w:r>
    </w:p>
    <w:p w14:paraId="5F95FE89" w14:textId="77777777" w:rsidR="00A431CA" w:rsidRPr="0078079E" w:rsidRDefault="00A431CA" w:rsidP="00A028F1">
      <w:pPr>
        <w:spacing w:after="0" w:line="240" w:lineRule="auto"/>
        <w:jc w:val="both"/>
        <w:rPr>
          <w:rFonts w:ascii="Times New Roman" w:hAnsi="Times New Roman" w:cs="Times New Roman"/>
          <w:sz w:val="24"/>
          <w:szCs w:val="24"/>
        </w:rPr>
      </w:pPr>
    </w:p>
    <w:p w14:paraId="1852B373" w14:textId="77777777" w:rsidR="00A431CA" w:rsidRPr="0078079E" w:rsidRDefault="00A431CA" w:rsidP="00A028F1">
      <w:pPr>
        <w:spacing w:after="0" w:line="240" w:lineRule="auto"/>
        <w:jc w:val="both"/>
        <w:rPr>
          <w:rFonts w:ascii="Times New Roman" w:hAnsi="Times New Roman" w:cs="Times New Roman"/>
          <w:b/>
          <w:bCs/>
          <w:sz w:val="24"/>
          <w:szCs w:val="24"/>
        </w:rPr>
      </w:pPr>
    </w:p>
    <w:p w14:paraId="37BB08E9"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Statistical analysis </w:t>
      </w:r>
    </w:p>
    <w:p w14:paraId="1D51AD16"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The results were expressed in terms of mean ± standard deviation. All the data are presented in the form of mean value of triplicate measurements obtained from three separate readings.</w:t>
      </w:r>
    </w:p>
    <w:p w14:paraId="6169E1AF" w14:textId="77777777" w:rsidR="00A431CA" w:rsidRPr="0078079E" w:rsidRDefault="00A431CA" w:rsidP="00A028F1">
      <w:pPr>
        <w:spacing w:after="0" w:line="240" w:lineRule="auto"/>
        <w:jc w:val="both"/>
        <w:rPr>
          <w:rFonts w:ascii="Times New Roman" w:hAnsi="Times New Roman" w:cs="Times New Roman"/>
          <w:sz w:val="24"/>
          <w:szCs w:val="24"/>
        </w:rPr>
      </w:pPr>
    </w:p>
    <w:p w14:paraId="3603D55C"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Antifungal screening</w:t>
      </w:r>
    </w:p>
    <w:p w14:paraId="4C1CFBA5"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The antifungal effects of ethanolic and ethyl acetate extracts of B. sapida were investigated using the mycelia growth inhibition test (</w:t>
      </w:r>
      <w:r w:rsidRPr="0078079E">
        <w:rPr>
          <w:rFonts w:ascii="Times New Roman" w:hAnsi="Times New Roman" w:cs="Times New Roman"/>
          <w:color w:val="000000"/>
          <w:sz w:val="24"/>
          <w:szCs w:val="24"/>
        </w:rPr>
        <w:t>Synytsya et al., 2017</w:t>
      </w:r>
      <w:r w:rsidRPr="0078079E">
        <w:rPr>
          <w:rFonts w:ascii="Times New Roman" w:hAnsi="Times New Roman" w:cs="Times New Roman"/>
          <w:sz w:val="24"/>
          <w:szCs w:val="24"/>
        </w:rPr>
        <w:t xml:space="preserve">). Extracts were put to potato dextrose agar (PDA) at a concentration of 25 g/ml. A 6 mm agar plug containing 48- hour-old cultures of Aspergillus niger, Aspergillus flavus, Aspergillus fumigatus and Fusarium solani, was used to inoculate the PDA plates used in the core portion of this investigation. In the control plates, there were empty nanoparticles. All the plates were incubated at 28 °C for 72 hours. After measuring the radial fungal growths on each plate, the following method was applied to calculate the % growth inhibitions: percentage growth inhibitions = </w:t>
      </w:r>
      <w:r w:rsidRPr="0078079E">
        <w:rPr>
          <w:rFonts w:ascii="Cambria Math" w:hAnsi="Cambria Math" w:cs="Cambria Math"/>
          <w:sz w:val="24"/>
          <w:szCs w:val="24"/>
        </w:rPr>
        <w:t>𝐷𝑐𝑜𝑛𝑡𝑟𝑜𝑙</w:t>
      </w:r>
      <w:r w:rsidRPr="0078079E">
        <w:rPr>
          <w:rFonts w:ascii="Times New Roman" w:hAnsi="Times New Roman" w:cs="Times New Roman"/>
          <w:sz w:val="24"/>
          <w:szCs w:val="24"/>
        </w:rPr>
        <w:t xml:space="preserve"> − </w:t>
      </w:r>
      <w:r w:rsidRPr="0078079E">
        <w:rPr>
          <w:rFonts w:ascii="Cambria Math" w:hAnsi="Cambria Math" w:cs="Cambria Math"/>
          <w:sz w:val="24"/>
          <w:szCs w:val="24"/>
        </w:rPr>
        <w:t>𝐷𝑡𝑒𝑠𝑡</w:t>
      </w:r>
      <w:r w:rsidRPr="0078079E">
        <w:rPr>
          <w:rFonts w:ascii="Times New Roman" w:hAnsi="Times New Roman" w:cs="Times New Roman"/>
          <w:sz w:val="24"/>
          <w:szCs w:val="24"/>
        </w:rPr>
        <w:t xml:space="preserve"> </w:t>
      </w:r>
      <w:r w:rsidRPr="0078079E">
        <w:rPr>
          <w:rFonts w:ascii="Cambria Math" w:hAnsi="Cambria Math" w:cs="Cambria Math"/>
          <w:sz w:val="24"/>
          <w:szCs w:val="24"/>
        </w:rPr>
        <w:t>𝐷𝑐𝑜𝑛𝑡𝑟𝑜𝑙</w:t>
      </w:r>
      <w:r w:rsidRPr="0078079E">
        <w:rPr>
          <w:rFonts w:ascii="Times New Roman" w:hAnsi="Times New Roman" w:cs="Times New Roman"/>
          <w:sz w:val="24"/>
          <w:szCs w:val="24"/>
        </w:rPr>
        <w:t xml:space="preserve"> × 100 Where D is the diameter of fungal growth on the PDA plates.</w:t>
      </w:r>
    </w:p>
    <w:p w14:paraId="0EEEBEE3" w14:textId="77777777" w:rsidR="00A431CA" w:rsidRPr="0078079E" w:rsidRDefault="00A431CA" w:rsidP="00A028F1">
      <w:pPr>
        <w:spacing w:after="0" w:line="240" w:lineRule="auto"/>
        <w:jc w:val="both"/>
        <w:rPr>
          <w:rFonts w:ascii="Times New Roman" w:hAnsi="Times New Roman" w:cs="Times New Roman"/>
          <w:sz w:val="24"/>
          <w:szCs w:val="24"/>
        </w:rPr>
      </w:pPr>
    </w:p>
    <w:p w14:paraId="781DCB0D"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RESULTS AND DISCUSSION </w:t>
      </w:r>
    </w:p>
    <w:p w14:paraId="2A03A198" w14:textId="77777777" w:rsidR="00A431CA" w:rsidRPr="0078079E" w:rsidRDefault="00A431CA" w:rsidP="00A028F1">
      <w:pPr>
        <w:spacing w:after="0" w:line="240" w:lineRule="auto"/>
        <w:jc w:val="both"/>
        <w:rPr>
          <w:rFonts w:ascii="Times New Roman" w:hAnsi="Times New Roman" w:cs="Times New Roman"/>
          <w:i/>
          <w:iCs/>
          <w:sz w:val="24"/>
          <w:szCs w:val="24"/>
        </w:rPr>
      </w:pPr>
    </w:p>
    <w:p w14:paraId="685AFF09"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Percentage yield of the Blighia sapida leaves extracts </w:t>
      </w:r>
    </w:p>
    <w:p w14:paraId="05F6ECAA"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Table 1 shows the </w:t>
      </w:r>
      <w:r w:rsidRPr="0078079E">
        <w:rPr>
          <w:rFonts w:ascii="Times New Roman" w:hAnsi="Times New Roman" w:cs="Times New Roman"/>
          <w:i/>
          <w:iCs/>
          <w:sz w:val="24"/>
          <w:szCs w:val="24"/>
        </w:rPr>
        <w:t xml:space="preserve">Blighia sapida leaves </w:t>
      </w:r>
      <w:r w:rsidRPr="0078079E">
        <w:rPr>
          <w:rFonts w:ascii="Times New Roman" w:hAnsi="Times New Roman" w:cs="Times New Roman"/>
          <w:sz w:val="24"/>
          <w:szCs w:val="24"/>
        </w:rPr>
        <w:t>extraction yield. The yield in percentages for n-hexane, ethyl acetate, and ethanol are 1.69 %, 2.07 % and 2.17 %, respectively. The relationship between a solvent's polarity and unique ability to penetrate plant cell walls and extract phytochemicals from them is suggested by the fact that the percentage yield increased as the solvent's polarity increased. This outcome also made it evident that ethanol, a more polar solvent, can extract more phytochemicals, this result is consistent with study by Abba et al. (2018)</w:t>
      </w:r>
    </w:p>
    <w:p w14:paraId="6CE1FAEA" w14:textId="77777777" w:rsidR="00A431CA" w:rsidRPr="0078079E" w:rsidRDefault="00A431CA" w:rsidP="00A028F1">
      <w:pPr>
        <w:spacing w:after="0" w:line="240" w:lineRule="auto"/>
        <w:jc w:val="both"/>
        <w:rPr>
          <w:rFonts w:ascii="Times New Roman" w:hAnsi="Times New Roman" w:cs="Times New Roman"/>
          <w:sz w:val="24"/>
          <w:szCs w:val="24"/>
        </w:rPr>
      </w:pPr>
    </w:p>
    <w:p w14:paraId="3463D5F3" w14:textId="77777777" w:rsidR="00A431CA" w:rsidRPr="0078079E" w:rsidRDefault="00A431CA" w:rsidP="00A028F1">
      <w:pPr>
        <w:spacing w:after="0" w:line="240" w:lineRule="auto"/>
        <w:jc w:val="both"/>
        <w:rPr>
          <w:rFonts w:ascii="Times New Roman" w:hAnsi="Times New Roman" w:cs="Times New Roman"/>
          <w:sz w:val="24"/>
          <w:szCs w:val="24"/>
        </w:rPr>
      </w:pPr>
    </w:p>
    <w:p w14:paraId="75139754" w14:textId="77777777" w:rsidR="00A028F1" w:rsidRPr="0078079E" w:rsidRDefault="00A028F1" w:rsidP="00A028F1">
      <w:pPr>
        <w:spacing w:after="0" w:line="240" w:lineRule="auto"/>
        <w:jc w:val="both"/>
        <w:rPr>
          <w:rFonts w:ascii="Times New Roman" w:hAnsi="Times New Roman" w:cs="Times New Roman"/>
          <w:sz w:val="24"/>
          <w:szCs w:val="24"/>
        </w:rPr>
      </w:pPr>
    </w:p>
    <w:p w14:paraId="0BA1595F"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Table 1: Percentage yield of solvent extracts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leaves</w:t>
      </w:r>
    </w:p>
    <w:tbl>
      <w:tblPr>
        <w:tblStyle w:val="ListTable6Colorful1"/>
        <w:tblW w:w="0" w:type="auto"/>
        <w:tblLook w:val="04A0" w:firstRow="1" w:lastRow="0" w:firstColumn="1" w:lastColumn="0" w:noHBand="0" w:noVBand="1"/>
      </w:tblPr>
      <w:tblGrid>
        <w:gridCol w:w="2337"/>
        <w:gridCol w:w="2337"/>
        <w:gridCol w:w="2338"/>
        <w:gridCol w:w="2338"/>
      </w:tblGrid>
      <w:tr w:rsidR="00A431CA" w:rsidRPr="0078079E" w14:paraId="57D41A7E" w14:textId="77777777" w:rsidTr="00A431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7EE3BB2"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Solvent</w:t>
            </w:r>
          </w:p>
        </w:tc>
        <w:tc>
          <w:tcPr>
            <w:tcW w:w="2337" w:type="dxa"/>
          </w:tcPr>
          <w:p w14:paraId="1974FF9F" w14:textId="77777777" w:rsidR="00A431CA" w:rsidRPr="0078079E" w:rsidRDefault="00DB74BC" w:rsidP="00A028F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 xml:space="preserve">Extract color </w:t>
            </w:r>
          </w:p>
        </w:tc>
        <w:tc>
          <w:tcPr>
            <w:tcW w:w="2338" w:type="dxa"/>
          </w:tcPr>
          <w:p w14:paraId="387F3614" w14:textId="77777777" w:rsidR="00A431CA" w:rsidRPr="0078079E" w:rsidRDefault="00DB74BC" w:rsidP="00A028F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Solvent yield (g)</w:t>
            </w:r>
          </w:p>
        </w:tc>
        <w:tc>
          <w:tcPr>
            <w:tcW w:w="2338" w:type="dxa"/>
          </w:tcPr>
          <w:p w14:paraId="034A6367" w14:textId="77777777" w:rsidR="00A431CA" w:rsidRPr="0078079E" w:rsidRDefault="00DB74BC" w:rsidP="00A028F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Percentage yield (%)</w:t>
            </w:r>
          </w:p>
        </w:tc>
      </w:tr>
      <w:tr w:rsidR="00A431CA" w:rsidRPr="0078079E" w14:paraId="66185FA8"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auto"/>
          </w:tcPr>
          <w:p w14:paraId="7F0936D4"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n-Hexane</w:t>
            </w:r>
          </w:p>
        </w:tc>
        <w:tc>
          <w:tcPr>
            <w:tcW w:w="2337" w:type="dxa"/>
            <w:shd w:val="clear" w:color="auto" w:fill="auto"/>
          </w:tcPr>
          <w:p w14:paraId="1F8958CE"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Green</w:t>
            </w:r>
          </w:p>
        </w:tc>
        <w:tc>
          <w:tcPr>
            <w:tcW w:w="2338" w:type="dxa"/>
            <w:shd w:val="clear" w:color="auto" w:fill="auto"/>
          </w:tcPr>
          <w:p w14:paraId="73209EFD"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16.89</w:t>
            </w:r>
          </w:p>
        </w:tc>
        <w:tc>
          <w:tcPr>
            <w:tcW w:w="2338" w:type="dxa"/>
            <w:shd w:val="clear" w:color="auto" w:fill="auto"/>
          </w:tcPr>
          <w:p w14:paraId="45804D0A"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1.69</w:t>
            </w:r>
          </w:p>
        </w:tc>
      </w:tr>
      <w:tr w:rsidR="00A431CA" w:rsidRPr="0078079E" w14:paraId="4BFD2A8F" w14:textId="77777777" w:rsidTr="00A431CA">
        <w:tc>
          <w:tcPr>
            <w:cnfStyle w:val="001000000000" w:firstRow="0" w:lastRow="0" w:firstColumn="1" w:lastColumn="0" w:oddVBand="0" w:evenVBand="0" w:oddHBand="0" w:evenHBand="0" w:firstRowFirstColumn="0" w:firstRowLastColumn="0" w:lastRowFirstColumn="0" w:lastRowLastColumn="0"/>
            <w:tcW w:w="2337" w:type="dxa"/>
          </w:tcPr>
          <w:p w14:paraId="501AA6DE"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Ethyl acetate</w:t>
            </w:r>
          </w:p>
        </w:tc>
        <w:tc>
          <w:tcPr>
            <w:tcW w:w="2337" w:type="dxa"/>
          </w:tcPr>
          <w:p w14:paraId="29806FA3"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Light green</w:t>
            </w:r>
          </w:p>
        </w:tc>
        <w:tc>
          <w:tcPr>
            <w:tcW w:w="2338" w:type="dxa"/>
          </w:tcPr>
          <w:p w14:paraId="3F4783A7"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20.72</w:t>
            </w:r>
          </w:p>
        </w:tc>
        <w:tc>
          <w:tcPr>
            <w:tcW w:w="2338" w:type="dxa"/>
          </w:tcPr>
          <w:p w14:paraId="3592636D"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2.07</w:t>
            </w:r>
          </w:p>
        </w:tc>
      </w:tr>
      <w:tr w:rsidR="00A431CA" w:rsidRPr="0078079E" w14:paraId="3D0E0A6B"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auto"/>
          </w:tcPr>
          <w:p w14:paraId="4A56813F"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Ethanol</w:t>
            </w:r>
          </w:p>
        </w:tc>
        <w:tc>
          <w:tcPr>
            <w:tcW w:w="2337" w:type="dxa"/>
            <w:shd w:val="clear" w:color="auto" w:fill="auto"/>
          </w:tcPr>
          <w:p w14:paraId="73A92ACC"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Brown</w:t>
            </w:r>
          </w:p>
        </w:tc>
        <w:tc>
          <w:tcPr>
            <w:tcW w:w="2338" w:type="dxa"/>
            <w:shd w:val="clear" w:color="auto" w:fill="auto"/>
          </w:tcPr>
          <w:p w14:paraId="3BDBB6F1"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21.69</w:t>
            </w:r>
          </w:p>
        </w:tc>
        <w:tc>
          <w:tcPr>
            <w:tcW w:w="2338" w:type="dxa"/>
            <w:shd w:val="clear" w:color="auto" w:fill="auto"/>
          </w:tcPr>
          <w:p w14:paraId="77060581"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2.17</w:t>
            </w:r>
          </w:p>
        </w:tc>
      </w:tr>
    </w:tbl>
    <w:p w14:paraId="5EB27BB8" w14:textId="77777777" w:rsidR="00A431CA" w:rsidRPr="0078079E" w:rsidRDefault="00A431CA" w:rsidP="00A028F1">
      <w:pPr>
        <w:spacing w:after="0" w:line="240" w:lineRule="auto"/>
        <w:jc w:val="both"/>
        <w:rPr>
          <w:rFonts w:ascii="Times New Roman" w:hAnsi="Times New Roman" w:cs="Times New Roman"/>
          <w:sz w:val="24"/>
          <w:szCs w:val="24"/>
        </w:rPr>
      </w:pPr>
    </w:p>
    <w:p w14:paraId="00411B50" w14:textId="77777777" w:rsidR="00A431CA" w:rsidRPr="0078079E" w:rsidRDefault="00A431CA" w:rsidP="00A028F1">
      <w:pPr>
        <w:spacing w:after="0" w:line="240" w:lineRule="auto"/>
        <w:jc w:val="both"/>
        <w:rPr>
          <w:rFonts w:ascii="Times New Roman" w:hAnsi="Times New Roman" w:cs="Times New Roman"/>
          <w:b/>
          <w:bCs/>
          <w:sz w:val="24"/>
          <w:szCs w:val="24"/>
        </w:rPr>
      </w:pPr>
    </w:p>
    <w:p w14:paraId="5CC17AE4"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lastRenderedPageBreak/>
        <w:t>Preliminary phytochemical screening of the extracts</w:t>
      </w:r>
    </w:p>
    <w:p w14:paraId="05946AD4"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The results of the preliminary screening of phytochemicals of the n-hexane, ethyl acetate and ethanol extract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leaves are presented in </w:t>
      </w:r>
      <w:r w:rsidRPr="0078079E">
        <w:rPr>
          <w:rFonts w:ascii="Times New Roman" w:hAnsi="Times New Roman" w:cs="Times New Roman"/>
          <w:b/>
          <w:bCs/>
          <w:sz w:val="24"/>
          <w:szCs w:val="24"/>
        </w:rPr>
        <w:t xml:space="preserve">Table 2. </w:t>
      </w:r>
      <w:r w:rsidRPr="0078079E">
        <w:rPr>
          <w:rFonts w:ascii="Times New Roman" w:hAnsi="Times New Roman" w:cs="Times New Roman"/>
          <w:sz w:val="24"/>
          <w:szCs w:val="24"/>
        </w:rPr>
        <w:t xml:space="preserve">Results revealed that important phytocompounds such as saponins, alkaloids, flavonoids, tannins, coumarins, steroids, cardiac glycosides, glycosides, quinones, anthocyanin and phenol were detected to be present in all the three extracts of the plant. The results of our study showed that </w:t>
      </w:r>
      <w:r w:rsidRPr="0078079E">
        <w:rPr>
          <w:rFonts w:ascii="Times New Roman" w:hAnsi="Times New Roman" w:cs="Times New Roman"/>
          <w:i/>
          <w:iCs/>
          <w:sz w:val="24"/>
          <w:szCs w:val="24"/>
        </w:rPr>
        <w:t xml:space="preserve">Blighia sapida </w:t>
      </w:r>
      <w:r w:rsidRPr="0078079E">
        <w:rPr>
          <w:rFonts w:ascii="Times New Roman" w:hAnsi="Times New Roman" w:cs="Times New Roman"/>
          <w:sz w:val="24"/>
          <w:szCs w:val="24"/>
        </w:rPr>
        <w:t xml:space="preserve">leaves are rich in phenols, flavonoids, tannins, alkaloids and steroids. This is in agreement with the presence of alkaloids, saponins, tannins, flavonoids, anthocyanins, quinones, cardiac glycosides, and glycosides in the aerial extract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as reported earlier by with Dossou, (2014). Terpenoids and anthraquinones were negative in the three extracts, while glycosides and quinone are also negative in the ethyl acetate extract. </w:t>
      </w:r>
    </w:p>
    <w:p w14:paraId="29D2FB64"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Table 2: Phytochemical composition of leaves extracts of B. sapida</w:t>
      </w:r>
    </w:p>
    <w:tbl>
      <w:tblPr>
        <w:tblStyle w:val="ListTable6Colorful1"/>
        <w:tblW w:w="0" w:type="auto"/>
        <w:tblLook w:val="04A0" w:firstRow="1" w:lastRow="0" w:firstColumn="1" w:lastColumn="0" w:noHBand="0" w:noVBand="1"/>
      </w:tblPr>
      <w:tblGrid>
        <w:gridCol w:w="2059"/>
        <w:gridCol w:w="2711"/>
        <w:gridCol w:w="1170"/>
        <w:gridCol w:w="1882"/>
        <w:gridCol w:w="1194"/>
      </w:tblGrid>
      <w:tr w:rsidR="00A431CA" w:rsidRPr="0078079E" w14:paraId="7D62EBDD" w14:textId="77777777" w:rsidTr="00A431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tcPr>
          <w:p w14:paraId="1E0303E5"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Phytoconstituents</w:t>
            </w:r>
          </w:p>
        </w:tc>
        <w:tc>
          <w:tcPr>
            <w:tcW w:w="2711" w:type="dxa"/>
          </w:tcPr>
          <w:p w14:paraId="74B9367D" w14:textId="77777777" w:rsidR="00A431CA" w:rsidRPr="0078079E" w:rsidRDefault="00DB74BC" w:rsidP="00A028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Test</w:t>
            </w:r>
          </w:p>
        </w:tc>
        <w:tc>
          <w:tcPr>
            <w:tcW w:w="1170" w:type="dxa"/>
          </w:tcPr>
          <w:p w14:paraId="006C5280" w14:textId="77777777" w:rsidR="00A431CA" w:rsidRPr="0078079E" w:rsidRDefault="00DB74BC" w:rsidP="00A028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n-Hexane extract</w:t>
            </w:r>
          </w:p>
        </w:tc>
        <w:tc>
          <w:tcPr>
            <w:tcW w:w="1882" w:type="dxa"/>
          </w:tcPr>
          <w:p w14:paraId="56A599FE" w14:textId="77777777" w:rsidR="00A431CA" w:rsidRPr="0078079E" w:rsidRDefault="00DB74BC" w:rsidP="00A028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Ethyl acetate extract</w:t>
            </w:r>
          </w:p>
        </w:tc>
        <w:tc>
          <w:tcPr>
            <w:tcW w:w="1194" w:type="dxa"/>
          </w:tcPr>
          <w:p w14:paraId="2A118688" w14:textId="77777777" w:rsidR="00A431CA" w:rsidRPr="0078079E" w:rsidRDefault="00DB74BC" w:rsidP="00A028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Ethanol extract</w:t>
            </w:r>
          </w:p>
        </w:tc>
      </w:tr>
      <w:tr w:rsidR="00A431CA" w:rsidRPr="0078079E" w14:paraId="04311C2D"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56FF8308"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Saponins</w:t>
            </w:r>
          </w:p>
        </w:tc>
        <w:tc>
          <w:tcPr>
            <w:tcW w:w="2711" w:type="dxa"/>
            <w:shd w:val="clear" w:color="auto" w:fill="auto"/>
          </w:tcPr>
          <w:p w14:paraId="2352AC97" w14:textId="77777777" w:rsidR="00A431CA" w:rsidRPr="0078079E" w:rsidRDefault="00DB74BC" w:rsidP="00A028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Frothing test</w:t>
            </w:r>
          </w:p>
        </w:tc>
        <w:tc>
          <w:tcPr>
            <w:tcW w:w="1170" w:type="dxa"/>
            <w:shd w:val="clear" w:color="auto" w:fill="auto"/>
          </w:tcPr>
          <w:p w14:paraId="35B3D8CD"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shd w:val="clear" w:color="auto" w:fill="auto"/>
          </w:tcPr>
          <w:p w14:paraId="4F90EFF0"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shd w:val="clear" w:color="auto" w:fill="auto"/>
          </w:tcPr>
          <w:p w14:paraId="06519E43"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2256181B" w14:textId="77777777" w:rsidTr="00A431CA">
        <w:tc>
          <w:tcPr>
            <w:cnfStyle w:val="001000000000" w:firstRow="0" w:lastRow="0" w:firstColumn="1" w:lastColumn="0" w:oddVBand="0" w:evenVBand="0" w:oddHBand="0" w:evenHBand="0" w:firstRowFirstColumn="0" w:firstRowLastColumn="0" w:lastRowFirstColumn="0" w:lastRowLastColumn="0"/>
            <w:tcW w:w="2059" w:type="dxa"/>
          </w:tcPr>
          <w:p w14:paraId="6B12A7C9"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Alkaloids</w:t>
            </w:r>
          </w:p>
        </w:tc>
        <w:tc>
          <w:tcPr>
            <w:tcW w:w="2711" w:type="dxa"/>
          </w:tcPr>
          <w:p w14:paraId="45BBC820" w14:textId="77777777" w:rsidR="00A431CA" w:rsidRPr="0078079E" w:rsidRDefault="00DB74BC" w:rsidP="00A028F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Mayers and Wagner’s test</w:t>
            </w:r>
          </w:p>
        </w:tc>
        <w:tc>
          <w:tcPr>
            <w:tcW w:w="1170" w:type="dxa"/>
          </w:tcPr>
          <w:p w14:paraId="4FF94213"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tcPr>
          <w:p w14:paraId="2868B390"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tcPr>
          <w:p w14:paraId="53BD5AED"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62B36784"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5BE78DC3"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Flavonoids</w:t>
            </w:r>
          </w:p>
        </w:tc>
        <w:tc>
          <w:tcPr>
            <w:tcW w:w="2711" w:type="dxa"/>
            <w:shd w:val="clear" w:color="auto" w:fill="auto"/>
          </w:tcPr>
          <w:p w14:paraId="5D365664" w14:textId="77777777" w:rsidR="00A431CA" w:rsidRPr="0078079E" w:rsidRDefault="00DB74BC" w:rsidP="00A028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Shinoda test</w:t>
            </w:r>
          </w:p>
        </w:tc>
        <w:tc>
          <w:tcPr>
            <w:tcW w:w="1170" w:type="dxa"/>
            <w:shd w:val="clear" w:color="auto" w:fill="auto"/>
          </w:tcPr>
          <w:p w14:paraId="089D3165"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shd w:val="clear" w:color="auto" w:fill="auto"/>
          </w:tcPr>
          <w:p w14:paraId="117C94DC"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shd w:val="clear" w:color="auto" w:fill="auto"/>
          </w:tcPr>
          <w:p w14:paraId="736772FE"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6989BCE5" w14:textId="77777777" w:rsidTr="00A431CA">
        <w:tc>
          <w:tcPr>
            <w:cnfStyle w:val="001000000000" w:firstRow="0" w:lastRow="0" w:firstColumn="1" w:lastColumn="0" w:oddVBand="0" w:evenVBand="0" w:oddHBand="0" w:evenHBand="0" w:firstRowFirstColumn="0" w:firstRowLastColumn="0" w:lastRowFirstColumn="0" w:lastRowLastColumn="0"/>
            <w:tcW w:w="2059" w:type="dxa"/>
          </w:tcPr>
          <w:p w14:paraId="17972CDD"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Tannins</w:t>
            </w:r>
          </w:p>
        </w:tc>
        <w:tc>
          <w:tcPr>
            <w:tcW w:w="2711" w:type="dxa"/>
          </w:tcPr>
          <w:p w14:paraId="1DA0E212" w14:textId="77777777" w:rsidR="00A431CA" w:rsidRPr="0078079E" w:rsidRDefault="00DB74BC" w:rsidP="00A028F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FeCl</w:t>
            </w:r>
            <w:r w:rsidRPr="0078079E">
              <w:rPr>
                <w:rFonts w:ascii="Times New Roman" w:hAnsi="Times New Roman" w:cs="Times New Roman"/>
                <w:sz w:val="24"/>
                <w:szCs w:val="24"/>
                <w:vertAlign w:val="subscript"/>
              </w:rPr>
              <w:t xml:space="preserve">3 </w:t>
            </w:r>
            <w:r w:rsidRPr="0078079E">
              <w:rPr>
                <w:rFonts w:ascii="Times New Roman" w:hAnsi="Times New Roman" w:cs="Times New Roman"/>
                <w:sz w:val="24"/>
                <w:szCs w:val="24"/>
              </w:rPr>
              <w:t>test</w:t>
            </w:r>
          </w:p>
        </w:tc>
        <w:tc>
          <w:tcPr>
            <w:tcW w:w="1170" w:type="dxa"/>
          </w:tcPr>
          <w:p w14:paraId="400D8077"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tcPr>
          <w:p w14:paraId="61062A59"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tcPr>
          <w:p w14:paraId="44937F5C"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3710C139"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64207A2D"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Coumarins</w:t>
            </w:r>
          </w:p>
        </w:tc>
        <w:tc>
          <w:tcPr>
            <w:tcW w:w="2711" w:type="dxa"/>
            <w:shd w:val="clear" w:color="auto" w:fill="auto"/>
          </w:tcPr>
          <w:p w14:paraId="4CFBFA25" w14:textId="77777777" w:rsidR="00A431CA" w:rsidRPr="0078079E" w:rsidRDefault="00DB74BC" w:rsidP="00A028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FeCl</w:t>
            </w:r>
            <w:r w:rsidRPr="0078079E">
              <w:rPr>
                <w:rFonts w:ascii="Times New Roman" w:hAnsi="Times New Roman" w:cs="Times New Roman"/>
                <w:sz w:val="24"/>
                <w:szCs w:val="24"/>
                <w:vertAlign w:val="subscript"/>
              </w:rPr>
              <w:t xml:space="preserve">3 </w:t>
            </w:r>
            <w:r w:rsidRPr="0078079E">
              <w:rPr>
                <w:rFonts w:ascii="Times New Roman" w:hAnsi="Times New Roman" w:cs="Times New Roman"/>
                <w:sz w:val="24"/>
                <w:szCs w:val="24"/>
              </w:rPr>
              <w:t>test</w:t>
            </w:r>
          </w:p>
        </w:tc>
        <w:tc>
          <w:tcPr>
            <w:tcW w:w="1170" w:type="dxa"/>
            <w:shd w:val="clear" w:color="auto" w:fill="auto"/>
          </w:tcPr>
          <w:p w14:paraId="79B8498F"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shd w:val="clear" w:color="auto" w:fill="auto"/>
          </w:tcPr>
          <w:p w14:paraId="2DEAF746"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shd w:val="clear" w:color="auto" w:fill="auto"/>
          </w:tcPr>
          <w:p w14:paraId="2A1D09E1"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1F9A50C1" w14:textId="77777777" w:rsidTr="00A431CA">
        <w:tc>
          <w:tcPr>
            <w:cnfStyle w:val="001000000000" w:firstRow="0" w:lastRow="0" w:firstColumn="1" w:lastColumn="0" w:oddVBand="0" w:evenVBand="0" w:oddHBand="0" w:evenHBand="0" w:firstRowFirstColumn="0" w:firstRowLastColumn="0" w:lastRowFirstColumn="0" w:lastRowLastColumn="0"/>
            <w:tcW w:w="2059" w:type="dxa"/>
          </w:tcPr>
          <w:p w14:paraId="18D1824C"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Steroids</w:t>
            </w:r>
          </w:p>
        </w:tc>
        <w:tc>
          <w:tcPr>
            <w:tcW w:w="2711" w:type="dxa"/>
          </w:tcPr>
          <w:p w14:paraId="3880683D" w14:textId="77777777" w:rsidR="00A431CA" w:rsidRPr="0078079E" w:rsidRDefault="00DB74BC" w:rsidP="00A028F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Salkowski test</w:t>
            </w:r>
          </w:p>
        </w:tc>
        <w:tc>
          <w:tcPr>
            <w:tcW w:w="1170" w:type="dxa"/>
          </w:tcPr>
          <w:p w14:paraId="312BC2B4"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tcPr>
          <w:p w14:paraId="76D9455C"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tcPr>
          <w:p w14:paraId="0846CFB0"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04A7EE1E"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7E18D054"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Terpenoids</w:t>
            </w:r>
          </w:p>
        </w:tc>
        <w:tc>
          <w:tcPr>
            <w:tcW w:w="2711" w:type="dxa"/>
            <w:shd w:val="clear" w:color="auto" w:fill="auto"/>
          </w:tcPr>
          <w:p w14:paraId="18FD2D04" w14:textId="77777777" w:rsidR="00A431CA" w:rsidRPr="0078079E" w:rsidRDefault="00DB74BC" w:rsidP="00A028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Knollar’s test</w:t>
            </w:r>
          </w:p>
        </w:tc>
        <w:tc>
          <w:tcPr>
            <w:tcW w:w="1170" w:type="dxa"/>
            <w:shd w:val="clear" w:color="auto" w:fill="auto"/>
          </w:tcPr>
          <w:p w14:paraId="43B4A7BA"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shd w:val="clear" w:color="auto" w:fill="auto"/>
          </w:tcPr>
          <w:p w14:paraId="04936A08"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shd w:val="clear" w:color="auto" w:fill="auto"/>
          </w:tcPr>
          <w:p w14:paraId="2657781E"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6E2DD54B" w14:textId="77777777" w:rsidTr="00A431CA">
        <w:tc>
          <w:tcPr>
            <w:cnfStyle w:val="001000000000" w:firstRow="0" w:lastRow="0" w:firstColumn="1" w:lastColumn="0" w:oddVBand="0" w:evenVBand="0" w:oddHBand="0" w:evenHBand="0" w:firstRowFirstColumn="0" w:firstRowLastColumn="0" w:lastRowFirstColumn="0" w:lastRowLastColumn="0"/>
            <w:tcW w:w="2059" w:type="dxa"/>
          </w:tcPr>
          <w:p w14:paraId="3966B8DC"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Cardiac glycosides</w:t>
            </w:r>
          </w:p>
        </w:tc>
        <w:tc>
          <w:tcPr>
            <w:tcW w:w="2711" w:type="dxa"/>
          </w:tcPr>
          <w:p w14:paraId="34CEA019" w14:textId="77777777" w:rsidR="00A431CA" w:rsidRPr="0078079E" w:rsidRDefault="00DB74BC" w:rsidP="00A028F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Keller-Killiani test</w:t>
            </w:r>
          </w:p>
        </w:tc>
        <w:tc>
          <w:tcPr>
            <w:tcW w:w="1170" w:type="dxa"/>
          </w:tcPr>
          <w:p w14:paraId="75E0A031"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tcPr>
          <w:p w14:paraId="456E7215"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tcPr>
          <w:p w14:paraId="391B7A41"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2A605299"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6F5C9B99"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Glycosides</w:t>
            </w:r>
          </w:p>
        </w:tc>
        <w:tc>
          <w:tcPr>
            <w:tcW w:w="2711" w:type="dxa"/>
            <w:shd w:val="clear" w:color="auto" w:fill="auto"/>
          </w:tcPr>
          <w:p w14:paraId="4ECA3870" w14:textId="77777777" w:rsidR="00A431CA" w:rsidRPr="0078079E" w:rsidRDefault="00DB74BC" w:rsidP="00A028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FeCl</w:t>
            </w:r>
            <w:r w:rsidRPr="0078079E">
              <w:rPr>
                <w:rFonts w:ascii="Times New Roman" w:hAnsi="Times New Roman" w:cs="Times New Roman"/>
                <w:sz w:val="24"/>
                <w:szCs w:val="24"/>
                <w:vertAlign w:val="subscript"/>
              </w:rPr>
              <w:t xml:space="preserve">3 </w:t>
            </w:r>
            <w:r w:rsidRPr="0078079E">
              <w:rPr>
                <w:rFonts w:ascii="Times New Roman" w:hAnsi="Times New Roman" w:cs="Times New Roman"/>
                <w:sz w:val="24"/>
                <w:szCs w:val="24"/>
              </w:rPr>
              <w:t>test</w:t>
            </w:r>
          </w:p>
        </w:tc>
        <w:tc>
          <w:tcPr>
            <w:tcW w:w="1170" w:type="dxa"/>
            <w:shd w:val="clear" w:color="auto" w:fill="auto"/>
          </w:tcPr>
          <w:p w14:paraId="3EE40445"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shd w:val="clear" w:color="auto" w:fill="auto"/>
          </w:tcPr>
          <w:p w14:paraId="4C848DE7"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shd w:val="clear" w:color="auto" w:fill="auto"/>
          </w:tcPr>
          <w:p w14:paraId="1444B1A9"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2DDAA666" w14:textId="77777777" w:rsidTr="00A431CA">
        <w:tc>
          <w:tcPr>
            <w:cnfStyle w:val="001000000000" w:firstRow="0" w:lastRow="0" w:firstColumn="1" w:lastColumn="0" w:oddVBand="0" w:evenVBand="0" w:oddHBand="0" w:evenHBand="0" w:firstRowFirstColumn="0" w:firstRowLastColumn="0" w:lastRowFirstColumn="0" w:lastRowLastColumn="0"/>
            <w:tcW w:w="2059" w:type="dxa"/>
          </w:tcPr>
          <w:p w14:paraId="4C4D85E2"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Quinones</w:t>
            </w:r>
          </w:p>
        </w:tc>
        <w:tc>
          <w:tcPr>
            <w:tcW w:w="2711" w:type="dxa"/>
          </w:tcPr>
          <w:p w14:paraId="551601D2" w14:textId="77777777" w:rsidR="00A431CA" w:rsidRPr="0078079E" w:rsidRDefault="00DB74BC" w:rsidP="00A028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Sulfuric acid test</w:t>
            </w:r>
          </w:p>
        </w:tc>
        <w:tc>
          <w:tcPr>
            <w:tcW w:w="1170" w:type="dxa"/>
          </w:tcPr>
          <w:p w14:paraId="4850C382"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tcPr>
          <w:p w14:paraId="5D69337B"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tcPr>
          <w:p w14:paraId="27E8ED0C"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3733B11A"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382E6402"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Anthraquinones</w:t>
            </w:r>
          </w:p>
        </w:tc>
        <w:tc>
          <w:tcPr>
            <w:tcW w:w="2711" w:type="dxa"/>
            <w:shd w:val="clear" w:color="auto" w:fill="auto"/>
          </w:tcPr>
          <w:p w14:paraId="66BF691B" w14:textId="77777777" w:rsidR="00A431CA" w:rsidRPr="0078079E" w:rsidRDefault="00DB74BC" w:rsidP="00A028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Borntrager’s test</w:t>
            </w:r>
          </w:p>
        </w:tc>
        <w:tc>
          <w:tcPr>
            <w:tcW w:w="1170" w:type="dxa"/>
            <w:shd w:val="clear" w:color="auto" w:fill="auto"/>
          </w:tcPr>
          <w:p w14:paraId="58301C7B"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shd w:val="clear" w:color="auto" w:fill="auto"/>
          </w:tcPr>
          <w:p w14:paraId="48C17532"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shd w:val="clear" w:color="auto" w:fill="auto"/>
          </w:tcPr>
          <w:p w14:paraId="40B9E930"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70269AC4" w14:textId="77777777" w:rsidTr="00A431CA">
        <w:tc>
          <w:tcPr>
            <w:cnfStyle w:val="001000000000" w:firstRow="0" w:lastRow="0" w:firstColumn="1" w:lastColumn="0" w:oddVBand="0" w:evenVBand="0" w:oddHBand="0" w:evenHBand="0" w:firstRowFirstColumn="0" w:firstRowLastColumn="0" w:lastRowFirstColumn="0" w:lastRowLastColumn="0"/>
            <w:tcW w:w="2059" w:type="dxa"/>
          </w:tcPr>
          <w:p w14:paraId="551E040B"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Anthocyanin</w:t>
            </w:r>
          </w:p>
        </w:tc>
        <w:tc>
          <w:tcPr>
            <w:tcW w:w="2711" w:type="dxa"/>
          </w:tcPr>
          <w:p w14:paraId="7B8DEC6A" w14:textId="77777777" w:rsidR="00A431CA" w:rsidRPr="0078079E" w:rsidRDefault="00DB74BC" w:rsidP="00A028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70" w:type="dxa"/>
          </w:tcPr>
          <w:p w14:paraId="0EB39738"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tcPr>
          <w:p w14:paraId="1ABD0ACD"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tcPr>
          <w:p w14:paraId="61540A93"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r w:rsidR="00A431CA" w:rsidRPr="0078079E" w14:paraId="78E1E9CC"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140C4A97" w14:textId="77777777" w:rsidR="00A431CA" w:rsidRPr="0078079E" w:rsidRDefault="00DB74BC" w:rsidP="00A028F1">
            <w:pPr>
              <w:jc w:val="both"/>
              <w:rPr>
                <w:rFonts w:ascii="Times New Roman" w:hAnsi="Times New Roman" w:cs="Times New Roman"/>
                <w:sz w:val="24"/>
                <w:szCs w:val="24"/>
              </w:rPr>
            </w:pPr>
            <w:r w:rsidRPr="0078079E">
              <w:rPr>
                <w:rFonts w:ascii="Times New Roman" w:hAnsi="Times New Roman" w:cs="Times New Roman"/>
                <w:b w:val="0"/>
                <w:bCs w:val="0"/>
                <w:sz w:val="24"/>
                <w:szCs w:val="24"/>
              </w:rPr>
              <w:t>Phenol</w:t>
            </w:r>
          </w:p>
        </w:tc>
        <w:tc>
          <w:tcPr>
            <w:tcW w:w="2711" w:type="dxa"/>
            <w:shd w:val="clear" w:color="auto" w:fill="auto"/>
          </w:tcPr>
          <w:p w14:paraId="36964039" w14:textId="77777777" w:rsidR="00A431CA" w:rsidRPr="0078079E" w:rsidRDefault="00DB74BC" w:rsidP="00A028F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FeCl</w:t>
            </w:r>
            <w:r w:rsidRPr="0078079E">
              <w:rPr>
                <w:rFonts w:ascii="Times New Roman" w:hAnsi="Times New Roman" w:cs="Times New Roman"/>
                <w:sz w:val="24"/>
                <w:szCs w:val="24"/>
                <w:vertAlign w:val="subscript"/>
              </w:rPr>
              <w:t xml:space="preserve">3 </w:t>
            </w:r>
            <w:r w:rsidRPr="0078079E">
              <w:rPr>
                <w:rFonts w:ascii="Times New Roman" w:hAnsi="Times New Roman" w:cs="Times New Roman"/>
                <w:sz w:val="24"/>
                <w:szCs w:val="24"/>
              </w:rPr>
              <w:t>test</w:t>
            </w:r>
          </w:p>
        </w:tc>
        <w:tc>
          <w:tcPr>
            <w:tcW w:w="1170" w:type="dxa"/>
            <w:shd w:val="clear" w:color="auto" w:fill="auto"/>
          </w:tcPr>
          <w:p w14:paraId="3D2A9B7B"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882" w:type="dxa"/>
            <w:shd w:val="clear" w:color="auto" w:fill="auto"/>
          </w:tcPr>
          <w:p w14:paraId="269B902E"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c>
          <w:tcPr>
            <w:tcW w:w="1194" w:type="dxa"/>
            <w:shd w:val="clear" w:color="auto" w:fill="auto"/>
          </w:tcPr>
          <w:p w14:paraId="38F70E07"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w:t>
            </w:r>
          </w:p>
        </w:tc>
      </w:tr>
    </w:tbl>
    <w:p w14:paraId="0DD32D5A"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Key: + = present and - = absent</w:t>
      </w:r>
    </w:p>
    <w:p w14:paraId="797F7B15" w14:textId="77777777" w:rsidR="00A431CA" w:rsidRPr="0078079E" w:rsidRDefault="00A431CA" w:rsidP="00A028F1">
      <w:pPr>
        <w:spacing w:after="0" w:line="240" w:lineRule="auto"/>
        <w:jc w:val="both"/>
        <w:rPr>
          <w:rFonts w:ascii="Times New Roman" w:hAnsi="Times New Roman" w:cs="Times New Roman"/>
          <w:sz w:val="24"/>
          <w:szCs w:val="24"/>
        </w:rPr>
      </w:pPr>
    </w:p>
    <w:p w14:paraId="2AA1C6F9" w14:textId="77777777" w:rsidR="00A431CA" w:rsidRPr="0078079E" w:rsidRDefault="00A431CA" w:rsidP="00A028F1">
      <w:pPr>
        <w:spacing w:after="0" w:line="240" w:lineRule="auto"/>
        <w:jc w:val="both"/>
        <w:rPr>
          <w:rFonts w:ascii="Times New Roman" w:hAnsi="Times New Roman" w:cs="Times New Roman"/>
          <w:b/>
          <w:bCs/>
          <w:sz w:val="24"/>
          <w:szCs w:val="24"/>
        </w:rPr>
      </w:pPr>
    </w:p>
    <w:p w14:paraId="1B5AF921"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Quantitative phytochemical</w:t>
      </w:r>
    </w:p>
    <w:p w14:paraId="0C142316"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The results of the quantitative estimation of phytochemicals including total phenolic, flavonoid, tannin alkaloid and steroids contents revealed in the ethyl acetate and ethanol extracts of </w:t>
      </w:r>
      <w:r w:rsidRPr="0078079E">
        <w:rPr>
          <w:rFonts w:ascii="Times New Roman" w:hAnsi="Times New Roman" w:cs="Times New Roman"/>
          <w:i/>
          <w:iCs/>
          <w:sz w:val="24"/>
          <w:szCs w:val="24"/>
        </w:rPr>
        <w:t xml:space="preserve">Blighia sapida </w:t>
      </w:r>
      <w:r w:rsidRPr="0078079E">
        <w:rPr>
          <w:rFonts w:ascii="Times New Roman" w:hAnsi="Times New Roman" w:cs="Times New Roman"/>
          <w:sz w:val="24"/>
          <w:szCs w:val="24"/>
        </w:rPr>
        <w:t xml:space="preserve">leaves are presented in </w:t>
      </w:r>
      <w:r w:rsidRPr="0078079E">
        <w:rPr>
          <w:rFonts w:ascii="Times New Roman" w:hAnsi="Times New Roman" w:cs="Times New Roman"/>
          <w:b/>
          <w:bCs/>
          <w:sz w:val="24"/>
          <w:szCs w:val="24"/>
        </w:rPr>
        <w:t>Table 3</w:t>
      </w:r>
      <w:r w:rsidRPr="0078079E">
        <w:rPr>
          <w:rFonts w:ascii="Times New Roman" w:hAnsi="Times New Roman" w:cs="Times New Roman"/>
          <w:sz w:val="24"/>
          <w:szCs w:val="24"/>
        </w:rPr>
        <w:t xml:space="preserve">. Results showed that </w:t>
      </w:r>
      <w:r w:rsidRPr="0078079E">
        <w:rPr>
          <w:rFonts w:ascii="Times New Roman" w:hAnsi="Times New Roman" w:cs="Times New Roman"/>
          <w:i/>
          <w:iCs/>
          <w:sz w:val="24"/>
          <w:szCs w:val="24"/>
        </w:rPr>
        <w:t xml:space="preserve">Blighia sapida </w:t>
      </w:r>
      <w:r w:rsidRPr="0078079E">
        <w:rPr>
          <w:rFonts w:ascii="Times New Roman" w:hAnsi="Times New Roman" w:cs="Times New Roman"/>
          <w:sz w:val="24"/>
          <w:szCs w:val="24"/>
        </w:rPr>
        <w:t xml:space="preserve">leaves are rich in in phenol content. This finding is in agreement with the studies conducted by </w:t>
      </w:r>
      <w:r w:rsidRPr="0078079E">
        <w:rPr>
          <w:rFonts w:ascii="Times New Roman" w:eastAsia="Times New Roman" w:hAnsi="Times New Roman" w:cs="Times New Roman"/>
          <w:kern w:val="0"/>
          <w:sz w:val="24"/>
          <w:szCs w:val="24"/>
          <w14:ligatures w14:val="none"/>
        </w:rPr>
        <w:t xml:space="preserve">Oloyede et al., and Dossou. However, the maximum phenolic content was found in the ethyl acetate extract with </w:t>
      </w:r>
      <w:r w:rsidRPr="0078079E">
        <w:rPr>
          <w:rFonts w:ascii="Times New Roman" w:hAnsi="Times New Roman" w:cs="Times New Roman"/>
          <w:sz w:val="24"/>
          <w:szCs w:val="24"/>
        </w:rPr>
        <w:t xml:space="preserve">37.70±0.03 mgGAE/g and that of ethanol extract is 36.46±0.02 mgGAE/g. the previous studies reported higher phenol content in the </w:t>
      </w:r>
      <w:r w:rsidRPr="0078079E">
        <w:rPr>
          <w:rFonts w:ascii="Times New Roman" w:hAnsi="Times New Roman" w:cs="Times New Roman"/>
          <w:color w:val="1F1F1F"/>
          <w:sz w:val="24"/>
          <w:szCs w:val="24"/>
        </w:rPr>
        <w:t xml:space="preserve">methanolic extract as reported by </w:t>
      </w:r>
      <w:r w:rsidRPr="0078079E">
        <w:rPr>
          <w:rFonts w:ascii="Times New Roman" w:eastAsia="Times New Roman" w:hAnsi="Times New Roman" w:cs="Times New Roman"/>
          <w:kern w:val="0"/>
          <w:sz w:val="24"/>
          <w:szCs w:val="24"/>
          <w14:ligatures w14:val="none"/>
        </w:rPr>
        <w:t xml:space="preserve">Oloyede et al., </w:t>
      </w:r>
      <w:r w:rsidRPr="0078079E">
        <w:rPr>
          <w:rFonts w:ascii="Times New Roman" w:hAnsi="Times New Roman" w:cs="Times New Roman"/>
          <w:color w:val="1F1F1F"/>
          <w:sz w:val="24"/>
          <w:szCs w:val="24"/>
        </w:rPr>
        <w:t>(</w:t>
      </w:r>
      <w:r w:rsidRPr="0078079E">
        <w:rPr>
          <w:rFonts w:ascii="Times New Roman" w:eastAsia="Times New Roman" w:hAnsi="Times New Roman" w:cs="Times New Roman"/>
          <w:kern w:val="0"/>
          <w:sz w:val="24"/>
          <w:szCs w:val="24"/>
          <w14:ligatures w14:val="none"/>
        </w:rPr>
        <w:t xml:space="preserve">2014) and in the freeze dry fruit arils as reported by Dossou et al., (2014) of the plant. Phenols are group of potential immune-stimulating, compounds that exhibit biological activities such as anticancer, antiviral, antiallergic and antioxidant activities. </w:t>
      </w:r>
      <w:r w:rsidRPr="0078079E">
        <w:rPr>
          <w:rFonts w:ascii="Times New Roman" w:hAnsi="Times New Roman" w:cs="Times New Roman"/>
          <w:sz w:val="24"/>
          <w:szCs w:val="24"/>
        </w:rPr>
        <w:t xml:space="preserve">They are present in most medicinal plants and used widely in phytotherapy. </w:t>
      </w:r>
    </w:p>
    <w:p w14:paraId="7B92AA07"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A similar tendency was observed in the quantification of flavonoid content. The ethyl acetate extract revealed the maximum yield of flavonoids with 12.96±0.02 mgQE/g dry weight and the least amount in the ethanol extract with 5.96±0.02 mgQE/g dry weight. In contrast to the present </w:t>
      </w:r>
      <w:r w:rsidRPr="0078079E">
        <w:rPr>
          <w:rFonts w:ascii="Times New Roman" w:hAnsi="Times New Roman" w:cs="Times New Roman"/>
          <w:sz w:val="24"/>
          <w:szCs w:val="24"/>
        </w:rPr>
        <w:lastRenderedPageBreak/>
        <w:t xml:space="preserve">study, </w:t>
      </w:r>
      <w:r w:rsidRPr="0078079E">
        <w:rPr>
          <w:rFonts w:ascii="Times New Roman" w:eastAsia="Times New Roman" w:hAnsi="Times New Roman" w:cs="Times New Roman"/>
          <w:kern w:val="0"/>
          <w:sz w:val="24"/>
          <w:szCs w:val="24"/>
          <w14:ligatures w14:val="none"/>
        </w:rPr>
        <w:t xml:space="preserve">Oloyede et al., (2014) </w:t>
      </w:r>
      <w:r w:rsidRPr="0078079E">
        <w:rPr>
          <w:rFonts w:ascii="Times New Roman" w:hAnsi="Times New Roman" w:cs="Times New Roman"/>
          <w:sz w:val="24"/>
          <w:szCs w:val="24"/>
        </w:rPr>
        <w:t xml:space="preserve">reported the highest flavonoid content in the ethanol extract with </w:t>
      </w:r>
      <w:r w:rsidRPr="0078079E">
        <w:rPr>
          <w:rFonts w:ascii="Times New Roman" w:hAnsi="Times New Roman" w:cs="Times New Roman"/>
          <w:color w:val="1F1F1F"/>
          <w:sz w:val="24"/>
          <w:szCs w:val="24"/>
        </w:rPr>
        <w:t>590.43±3.8 mg/mL</w:t>
      </w:r>
      <w:r w:rsidRPr="0078079E">
        <w:rPr>
          <w:rFonts w:ascii="Times New Roman" w:hAnsi="Times New Roman" w:cs="Times New Roman"/>
          <w:sz w:val="24"/>
          <w:szCs w:val="24"/>
        </w:rPr>
        <w:t xml:space="preserve"> dry weight followed by water extract with 424.17±36.67 mg QE/gm. dry weight. The highest flavonoids 148.427±4.295 mgEqR/g were detected in the hydroethanolic leaves extract of the plant dry weights as reported by </w:t>
      </w:r>
      <w:r w:rsidRPr="0078079E">
        <w:rPr>
          <w:rFonts w:ascii="Times New Roman" w:eastAsia="Times New Roman" w:hAnsi="Times New Roman" w:cs="Times New Roman"/>
          <w:kern w:val="0"/>
          <w:sz w:val="24"/>
          <w:szCs w:val="24"/>
          <w14:ligatures w14:val="none"/>
        </w:rPr>
        <w:t>Dermane et al. (2024)</w:t>
      </w:r>
      <w:r w:rsidRPr="0078079E">
        <w:rPr>
          <w:rFonts w:ascii="Times New Roman" w:hAnsi="Times New Roman" w:cs="Times New Roman"/>
          <w:sz w:val="24"/>
          <w:szCs w:val="24"/>
        </w:rPr>
        <w:t xml:space="preserve">. Flavonoids exhibit various important biological activities such as anti-inflammatory, anti-ulcer, anti-hepatocic, antiviral, antiallergic and anti-cancer. Flavonoids also act as antioxidant agent scavenging oxidizing molecules such as singlet oxygen and various other free radicals thus, aiding in the prevention of cancer and cardiovascular diseases in human. Flavonoids possess anti-oxidative and mucosal protective effects. </w:t>
      </w:r>
    </w:p>
    <w:p w14:paraId="4491C0BC"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Regarding the total tannins content, results revealed maximum content in the ethyl acetate extract with 10.75±0.01</w:t>
      </w:r>
      <w:r w:rsidRPr="0078079E">
        <w:rPr>
          <w:rFonts w:ascii="Times New Roman" w:eastAsia="Times New Roman" w:hAnsi="Times New Roman" w:cs="Times New Roman"/>
          <w:kern w:val="0"/>
          <w:sz w:val="24"/>
          <w:szCs w:val="24"/>
          <w14:ligatures w14:val="none"/>
        </w:rPr>
        <w:t xml:space="preserve"> mgTAE/g</w:t>
      </w:r>
      <w:r w:rsidRPr="0078079E">
        <w:rPr>
          <w:rFonts w:ascii="Times New Roman" w:hAnsi="Times New Roman" w:cs="Times New Roman"/>
          <w:sz w:val="24"/>
          <w:szCs w:val="24"/>
        </w:rPr>
        <w:t xml:space="preserve"> dried material and the methanol extract with 4.80±0.</w:t>
      </w:r>
      <w:r w:rsidRPr="0078079E">
        <w:rPr>
          <w:rFonts w:ascii="Times New Roman" w:eastAsia="Times New Roman" w:hAnsi="Times New Roman" w:cs="Times New Roman"/>
          <w:kern w:val="0"/>
          <w:sz w:val="24"/>
          <w:szCs w:val="24"/>
          <w14:ligatures w14:val="none"/>
        </w:rPr>
        <w:t xml:space="preserve"> mgTAE/g</w:t>
      </w:r>
      <w:r w:rsidRPr="0078079E">
        <w:rPr>
          <w:rFonts w:ascii="Times New Roman" w:hAnsi="Times New Roman" w:cs="Times New Roman"/>
          <w:sz w:val="24"/>
          <w:szCs w:val="24"/>
        </w:rPr>
        <w:t xml:space="preserve"> dry weight. This finding is in agreement with the study conducted by </w:t>
      </w:r>
      <w:r w:rsidRPr="0078079E">
        <w:rPr>
          <w:rFonts w:ascii="Times New Roman" w:eastAsia="Times New Roman" w:hAnsi="Times New Roman" w:cs="Times New Roman"/>
          <w:kern w:val="0"/>
          <w:sz w:val="24"/>
          <w:szCs w:val="24"/>
          <w14:ligatures w14:val="none"/>
        </w:rPr>
        <w:t>Dermane et al. (2024)</w:t>
      </w:r>
      <w:r w:rsidRPr="0078079E">
        <w:rPr>
          <w:rFonts w:ascii="Times New Roman" w:hAnsi="Times New Roman" w:cs="Times New Roman"/>
          <w:sz w:val="24"/>
          <w:szCs w:val="24"/>
        </w:rPr>
        <w:t>. Tannins display anticancer and anti- inflammatory properties and are used to treat ulcerated tissues. The presence of tannins in p. hydropiper leaves shows that the plant may be used as a treatment against cancer. Inflammation and ulcerated tissues. In the present investigation, the highest concentration of alkaloid was found in the ethyl acetate extract with 13.92±0.02</w:t>
      </w:r>
      <w:r w:rsidRPr="0078079E">
        <w:rPr>
          <w:rFonts w:ascii="Times New Roman" w:eastAsia="Times New Roman" w:hAnsi="Times New Roman" w:cs="Times New Roman"/>
          <w:kern w:val="0"/>
          <w:sz w:val="24"/>
          <w:szCs w:val="24"/>
          <w14:ligatures w14:val="none"/>
        </w:rPr>
        <w:t xml:space="preserve"> mg/g</w:t>
      </w:r>
      <w:r w:rsidRPr="0078079E">
        <w:rPr>
          <w:rFonts w:ascii="Times New Roman" w:hAnsi="Times New Roman" w:cs="Times New Roman"/>
          <w:sz w:val="24"/>
          <w:szCs w:val="24"/>
        </w:rPr>
        <w:t xml:space="preserve"> plant material while the least amount was reveled in the ethanol ext extract (5.08±0.02</w:t>
      </w:r>
      <w:r w:rsidRPr="0078079E">
        <w:rPr>
          <w:rFonts w:ascii="Times New Roman" w:eastAsia="Times New Roman" w:hAnsi="Times New Roman" w:cs="Times New Roman"/>
          <w:kern w:val="0"/>
          <w:sz w:val="24"/>
          <w:szCs w:val="24"/>
          <w14:ligatures w14:val="none"/>
        </w:rPr>
        <w:t xml:space="preserve"> mg/g</w:t>
      </w:r>
      <w:r w:rsidRPr="0078079E">
        <w:rPr>
          <w:rFonts w:ascii="Times New Roman" w:hAnsi="Times New Roman" w:cs="Times New Roman"/>
          <w:sz w:val="24"/>
          <w:szCs w:val="24"/>
        </w:rPr>
        <w:t xml:space="preserve"> sample). While, in a similar study conducted by Anupama and Sunilkumar, (2019), alkaloid content was reported to be higher in the aril than in the leaf extract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alkaloids are anti-analgesic, antispasmodic, and antibacterial agent and show potent activity against gastric ulcers. Regarding the total </w:t>
      </w:r>
      <w:r w:rsidRPr="0078079E">
        <w:rPr>
          <w:rFonts w:ascii="Times New Roman" w:hAnsi="Times New Roman" w:cs="Times New Roman"/>
          <w:i/>
          <w:iCs/>
          <w:sz w:val="24"/>
          <w:szCs w:val="24"/>
        </w:rPr>
        <w:t>saponnin</w:t>
      </w:r>
      <w:r w:rsidRPr="0078079E">
        <w:rPr>
          <w:rFonts w:ascii="Times New Roman" w:hAnsi="Times New Roman" w:cs="Times New Roman"/>
          <w:sz w:val="24"/>
          <w:szCs w:val="24"/>
        </w:rPr>
        <w:t xml:space="preserve"> content, results revealed maximum content in the ethyl acetate extract with 98.72±0.02</w:t>
      </w:r>
      <w:r w:rsidRPr="0078079E">
        <w:rPr>
          <w:rFonts w:ascii="Times New Roman" w:eastAsia="Times New Roman" w:hAnsi="Times New Roman" w:cs="Times New Roman"/>
          <w:kern w:val="0"/>
          <w:sz w:val="24"/>
          <w:szCs w:val="24"/>
          <w14:ligatures w14:val="none"/>
        </w:rPr>
        <w:t xml:space="preserve"> mg/g</w:t>
      </w:r>
      <w:r w:rsidRPr="0078079E">
        <w:rPr>
          <w:rFonts w:ascii="Times New Roman" w:hAnsi="Times New Roman" w:cs="Times New Roman"/>
          <w:sz w:val="24"/>
          <w:szCs w:val="24"/>
        </w:rPr>
        <w:t xml:space="preserve"> dried material and the ethanol extract with 68.72±0.03</w:t>
      </w:r>
      <w:r w:rsidRPr="0078079E">
        <w:rPr>
          <w:rFonts w:ascii="Times New Roman" w:eastAsia="Times New Roman" w:hAnsi="Times New Roman" w:cs="Times New Roman"/>
          <w:kern w:val="0"/>
          <w:sz w:val="24"/>
          <w:szCs w:val="24"/>
          <w14:ligatures w14:val="none"/>
        </w:rPr>
        <w:t xml:space="preserve"> mg/g</w:t>
      </w:r>
      <w:r w:rsidRPr="0078079E">
        <w:rPr>
          <w:rFonts w:ascii="Times New Roman" w:hAnsi="Times New Roman" w:cs="Times New Roman"/>
          <w:sz w:val="24"/>
          <w:szCs w:val="24"/>
        </w:rPr>
        <w:t xml:space="preserve"> dry weight. This finding is in agreement with the study conducted by </w:t>
      </w:r>
      <w:r w:rsidRPr="0078079E">
        <w:rPr>
          <w:rFonts w:ascii="Times New Roman" w:eastAsia="Times New Roman" w:hAnsi="Times New Roman" w:cs="Times New Roman"/>
          <w:kern w:val="0"/>
          <w:sz w:val="24"/>
          <w:szCs w:val="24"/>
          <w14:ligatures w14:val="none"/>
        </w:rPr>
        <w:t>Phillip et al. (2019)</w:t>
      </w:r>
      <w:r w:rsidRPr="0078079E">
        <w:rPr>
          <w:rFonts w:ascii="Times New Roman" w:hAnsi="Times New Roman" w:cs="Times New Roman"/>
          <w:sz w:val="24"/>
          <w:szCs w:val="24"/>
        </w:rPr>
        <w:t xml:space="preserve">. Saponnins display anti- inflammatory, antimicrobial, anti-cancer, antidiabetic and anti-allegic activity properties and are used to treat cardiovascular health. The presence of saponnins in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leaves shows that the plant may be used as a treatment against cancer. Inflammation and inflammatory tissues. Thus, the elevated amount of potentially bioactive compounds revealed in the current report possibly validate the worldwide use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in traditional medicine system due to its numerous medicinal properties such as anti-inflammatory, neuroprotective, antioxidant, anti-microbial, and anti-infertility among others.</w:t>
      </w:r>
    </w:p>
    <w:p w14:paraId="269BBF3F" w14:textId="77777777" w:rsidR="00A431CA" w:rsidRPr="0078079E" w:rsidRDefault="00A431CA" w:rsidP="00A028F1">
      <w:pPr>
        <w:spacing w:line="240" w:lineRule="auto"/>
        <w:jc w:val="both"/>
        <w:rPr>
          <w:rFonts w:ascii="Times New Roman" w:eastAsia="Times New Roman" w:hAnsi="Times New Roman" w:cs="Times New Roman"/>
          <w:kern w:val="0"/>
          <w:sz w:val="24"/>
          <w:szCs w:val="24"/>
          <w14:ligatures w14:val="none"/>
        </w:rPr>
      </w:pPr>
    </w:p>
    <w:p w14:paraId="40048A49" w14:textId="77777777" w:rsidR="00A431CA" w:rsidRPr="0078079E" w:rsidRDefault="00DB74BC" w:rsidP="00A028F1">
      <w:pPr>
        <w:spacing w:line="240" w:lineRule="auto"/>
        <w:jc w:val="both"/>
        <w:rPr>
          <w:rFonts w:ascii="Times New Roman" w:eastAsia="Times New Roman" w:hAnsi="Times New Roman" w:cs="Times New Roman"/>
          <w:b/>
          <w:bCs/>
          <w:kern w:val="0"/>
          <w:sz w:val="24"/>
          <w:szCs w:val="24"/>
          <w14:ligatures w14:val="none"/>
        </w:rPr>
      </w:pPr>
      <w:r w:rsidRPr="0078079E">
        <w:rPr>
          <w:rFonts w:ascii="Times New Roman" w:eastAsia="Times New Roman" w:hAnsi="Times New Roman" w:cs="Times New Roman"/>
          <w:kern w:val="0"/>
          <w:sz w:val="24"/>
          <w:szCs w:val="24"/>
          <w14:ligatures w14:val="none"/>
        </w:rPr>
        <w:t xml:space="preserve">Table 3: Quantitative result for phenols, tannin, flavonoids, alkaloids and saponin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leaves extracts </w:t>
      </w:r>
    </w:p>
    <w:tbl>
      <w:tblPr>
        <w:tblStyle w:val="ListTable6Colorful1"/>
        <w:tblW w:w="0" w:type="auto"/>
        <w:tblLook w:val="04A0" w:firstRow="1" w:lastRow="0" w:firstColumn="1" w:lastColumn="0" w:noHBand="0" w:noVBand="1"/>
      </w:tblPr>
      <w:tblGrid>
        <w:gridCol w:w="3005"/>
        <w:gridCol w:w="3005"/>
        <w:gridCol w:w="3006"/>
      </w:tblGrid>
      <w:tr w:rsidR="00A431CA" w:rsidRPr="0078079E" w14:paraId="0B1E0C05" w14:textId="77777777" w:rsidTr="00A431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939E76B" w14:textId="77777777" w:rsidR="00A431CA" w:rsidRPr="0078079E" w:rsidRDefault="00DB74BC" w:rsidP="00A028F1">
            <w:pPr>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Phytochemicals</w:t>
            </w:r>
          </w:p>
        </w:tc>
        <w:tc>
          <w:tcPr>
            <w:tcW w:w="3005" w:type="dxa"/>
          </w:tcPr>
          <w:p w14:paraId="0D6F9FA2" w14:textId="77777777" w:rsidR="00A431CA" w:rsidRPr="0078079E" w:rsidRDefault="00DB74BC" w:rsidP="00A028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Ethyl acetate extract</w:t>
            </w:r>
          </w:p>
        </w:tc>
        <w:tc>
          <w:tcPr>
            <w:tcW w:w="3006" w:type="dxa"/>
          </w:tcPr>
          <w:p w14:paraId="0E4BC054" w14:textId="77777777" w:rsidR="00A431CA" w:rsidRPr="0078079E" w:rsidRDefault="00DB74BC" w:rsidP="00A028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Ethanol extract</w:t>
            </w:r>
          </w:p>
        </w:tc>
      </w:tr>
      <w:tr w:rsidR="00A431CA" w:rsidRPr="0078079E" w14:paraId="0B966008"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1ABFC375" w14:textId="77777777" w:rsidR="00A431CA" w:rsidRPr="0078079E" w:rsidRDefault="00DB74BC" w:rsidP="00A028F1">
            <w:pPr>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Phenols (GAE/mg/g)</w:t>
            </w:r>
          </w:p>
        </w:tc>
        <w:tc>
          <w:tcPr>
            <w:tcW w:w="3005" w:type="dxa"/>
            <w:shd w:val="clear" w:color="auto" w:fill="auto"/>
          </w:tcPr>
          <w:p w14:paraId="49BA165A"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37.70±0.03</w:t>
            </w:r>
          </w:p>
        </w:tc>
        <w:tc>
          <w:tcPr>
            <w:tcW w:w="3006" w:type="dxa"/>
            <w:shd w:val="clear" w:color="auto" w:fill="auto"/>
          </w:tcPr>
          <w:p w14:paraId="02F8530A"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36.46±0.02</w:t>
            </w:r>
          </w:p>
        </w:tc>
      </w:tr>
      <w:tr w:rsidR="00A431CA" w:rsidRPr="0078079E" w14:paraId="422024ED" w14:textId="77777777" w:rsidTr="00A431CA">
        <w:tc>
          <w:tcPr>
            <w:cnfStyle w:val="001000000000" w:firstRow="0" w:lastRow="0" w:firstColumn="1" w:lastColumn="0" w:oddVBand="0" w:evenVBand="0" w:oddHBand="0" w:evenHBand="0" w:firstRowFirstColumn="0" w:firstRowLastColumn="0" w:lastRowFirstColumn="0" w:lastRowLastColumn="0"/>
            <w:tcW w:w="3005" w:type="dxa"/>
          </w:tcPr>
          <w:p w14:paraId="22EECBA2" w14:textId="77777777" w:rsidR="00A431CA" w:rsidRPr="0078079E" w:rsidRDefault="00DB74BC" w:rsidP="00A028F1">
            <w:pPr>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 xml:space="preserve">Flavonoids (QE/mg/g) </w:t>
            </w:r>
          </w:p>
        </w:tc>
        <w:tc>
          <w:tcPr>
            <w:tcW w:w="3005" w:type="dxa"/>
          </w:tcPr>
          <w:p w14:paraId="3E06BD37"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12.96±0.02</w:t>
            </w:r>
          </w:p>
        </w:tc>
        <w:tc>
          <w:tcPr>
            <w:tcW w:w="3006" w:type="dxa"/>
          </w:tcPr>
          <w:p w14:paraId="2395BA7D"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5.96±0.02</w:t>
            </w:r>
          </w:p>
        </w:tc>
      </w:tr>
      <w:tr w:rsidR="00A431CA" w:rsidRPr="0078079E" w14:paraId="46E50582"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663577EE" w14:textId="77777777" w:rsidR="00A431CA" w:rsidRPr="0078079E" w:rsidRDefault="00DB74BC" w:rsidP="00A028F1">
            <w:pPr>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Tannins (TAE/mg/g)</w:t>
            </w:r>
          </w:p>
        </w:tc>
        <w:tc>
          <w:tcPr>
            <w:tcW w:w="3005" w:type="dxa"/>
            <w:shd w:val="clear" w:color="auto" w:fill="auto"/>
          </w:tcPr>
          <w:p w14:paraId="2C46CB84"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10.75±0.01</w:t>
            </w:r>
          </w:p>
        </w:tc>
        <w:tc>
          <w:tcPr>
            <w:tcW w:w="3006" w:type="dxa"/>
            <w:shd w:val="clear" w:color="auto" w:fill="auto"/>
          </w:tcPr>
          <w:p w14:paraId="32FA4991"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4.80±0.01</w:t>
            </w:r>
          </w:p>
        </w:tc>
      </w:tr>
      <w:tr w:rsidR="00A431CA" w:rsidRPr="0078079E" w14:paraId="17619FF2" w14:textId="77777777" w:rsidTr="00A431CA">
        <w:tc>
          <w:tcPr>
            <w:cnfStyle w:val="001000000000" w:firstRow="0" w:lastRow="0" w:firstColumn="1" w:lastColumn="0" w:oddVBand="0" w:evenVBand="0" w:oddHBand="0" w:evenHBand="0" w:firstRowFirstColumn="0" w:firstRowLastColumn="0" w:lastRowFirstColumn="0" w:lastRowLastColumn="0"/>
            <w:tcW w:w="3005" w:type="dxa"/>
          </w:tcPr>
          <w:p w14:paraId="5B113127" w14:textId="77777777" w:rsidR="00A431CA" w:rsidRPr="0078079E" w:rsidRDefault="00DB74BC" w:rsidP="00A028F1">
            <w:pPr>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Alkaloids (%)</w:t>
            </w:r>
          </w:p>
        </w:tc>
        <w:tc>
          <w:tcPr>
            <w:tcW w:w="3005" w:type="dxa"/>
          </w:tcPr>
          <w:p w14:paraId="3D9798B5"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13.92±0.02</w:t>
            </w:r>
          </w:p>
        </w:tc>
        <w:tc>
          <w:tcPr>
            <w:tcW w:w="3006" w:type="dxa"/>
          </w:tcPr>
          <w:p w14:paraId="7BCA3509" w14:textId="77777777" w:rsidR="00A431CA" w:rsidRPr="0078079E" w:rsidRDefault="00DB74BC" w:rsidP="00A028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5.08±0.02</w:t>
            </w:r>
          </w:p>
        </w:tc>
      </w:tr>
      <w:tr w:rsidR="00A431CA" w:rsidRPr="0078079E" w14:paraId="43A7846B"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1741BC31" w14:textId="77777777" w:rsidR="00A431CA" w:rsidRPr="0078079E" w:rsidRDefault="00DB74BC" w:rsidP="00A028F1">
            <w:pPr>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b w:val="0"/>
                <w:bCs w:val="0"/>
                <w:kern w:val="0"/>
                <w:sz w:val="24"/>
                <w:szCs w:val="24"/>
                <w14:ligatures w14:val="none"/>
              </w:rPr>
              <w:t>Saponins (%)</w:t>
            </w:r>
          </w:p>
        </w:tc>
        <w:tc>
          <w:tcPr>
            <w:tcW w:w="3005" w:type="dxa"/>
            <w:shd w:val="clear" w:color="auto" w:fill="auto"/>
          </w:tcPr>
          <w:p w14:paraId="4FDD5CE5"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9.87±0.02</w:t>
            </w:r>
          </w:p>
        </w:tc>
        <w:tc>
          <w:tcPr>
            <w:tcW w:w="3006" w:type="dxa"/>
            <w:shd w:val="clear" w:color="auto" w:fill="auto"/>
          </w:tcPr>
          <w:p w14:paraId="7A41A6C3" w14:textId="77777777" w:rsidR="00A431CA" w:rsidRPr="0078079E" w:rsidRDefault="00DB74BC" w:rsidP="00A028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 xml:space="preserve">6.87±0.03 </w:t>
            </w:r>
          </w:p>
        </w:tc>
      </w:tr>
    </w:tbl>
    <w:p w14:paraId="0C8FE733" w14:textId="77777777" w:rsidR="00A431CA" w:rsidRPr="0078079E" w:rsidRDefault="00DB74BC" w:rsidP="00A028F1">
      <w:pPr>
        <w:spacing w:line="240" w:lineRule="auto"/>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Data expressed as mean ±SD (n=3). GAE, TAE and QE are gallic acid, tannic acid and quercetin equivalent respectively.</w:t>
      </w:r>
    </w:p>
    <w:p w14:paraId="07A53957" w14:textId="77777777" w:rsidR="00A431CA" w:rsidRPr="0078079E" w:rsidRDefault="00A431CA" w:rsidP="00A028F1">
      <w:pPr>
        <w:spacing w:line="240" w:lineRule="auto"/>
        <w:jc w:val="both"/>
        <w:rPr>
          <w:rFonts w:ascii="Times New Roman" w:eastAsia="Times New Roman" w:hAnsi="Times New Roman" w:cs="Times New Roman"/>
          <w:kern w:val="0"/>
          <w:sz w:val="24"/>
          <w:szCs w:val="24"/>
          <w14:ligatures w14:val="none"/>
        </w:rPr>
      </w:pPr>
    </w:p>
    <w:p w14:paraId="68957FB7" w14:textId="77777777" w:rsidR="00A431CA" w:rsidRPr="0078079E" w:rsidRDefault="00A431CA" w:rsidP="00A028F1">
      <w:pPr>
        <w:spacing w:after="0" w:line="240" w:lineRule="auto"/>
        <w:jc w:val="both"/>
        <w:rPr>
          <w:rFonts w:ascii="Times New Roman" w:hAnsi="Times New Roman" w:cs="Times New Roman"/>
          <w:b/>
          <w:bCs/>
          <w:sz w:val="24"/>
          <w:szCs w:val="24"/>
        </w:rPr>
      </w:pPr>
    </w:p>
    <w:p w14:paraId="4A5189C3" w14:textId="77777777" w:rsidR="00A431CA" w:rsidRPr="0078079E" w:rsidRDefault="00A431CA" w:rsidP="00A028F1">
      <w:pPr>
        <w:spacing w:after="0" w:line="240" w:lineRule="auto"/>
        <w:jc w:val="both"/>
        <w:rPr>
          <w:rFonts w:ascii="Times New Roman" w:hAnsi="Times New Roman" w:cs="Times New Roman"/>
          <w:b/>
          <w:bCs/>
          <w:sz w:val="24"/>
          <w:szCs w:val="24"/>
        </w:rPr>
      </w:pPr>
    </w:p>
    <w:p w14:paraId="351EE877"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Antioxidant activity by DPPH assay</w:t>
      </w:r>
    </w:p>
    <w:p w14:paraId="7DC8E2E9"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In the DPPH free radical scavenging assay quercetin is used as the standard. It exhibited 85.72 % of inhibition at 10 mg/mL with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 of 1.12 mg/mL. The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 is the concentration at which free radical (DPPH) is inhibited to 50%. Thus, the lower the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 the higher will be the free radical inhibition activity. quercetin is used as a standard and the highest inhibition percentage is found at 10 mg/mL concentration (85.72 %). The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 was found to be 1.12. The DPPH free radical scavenging activities of the two solvent extract of </w:t>
      </w:r>
      <w:r w:rsidRPr="0078079E">
        <w:rPr>
          <w:rFonts w:ascii="Times New Roman" w:eastAsia="Times New Roman" w:hAnsi="Times New Roman" w:cs="Times New Roman"/>
          <w:kern w:val="0"/>
          <w:sz w:val="24"/>
          <w:szCs w:val="24"/>
          <w14:ligatures w14:val="none"/>
        </w:rPr>
        <w:t xml:space="preserve">of </w:t>
      </w:r>
      <w:r w:rsidRPr="0078079E">
        <w:rPr>
          <w:rFonts w:ascii="Times New Roman" w:hAnsi="Times New Roman" w:cs="Times New Roman"/>
          <w:i/>
          <w:iCs/>
          <w:sz w:val="24"/>
          <w:szCs w:val="24"/>
        </w:rPr>
        <w:t xml:space="preserve">Blighia sapida </w:t>
      </w:r>
      <w:r w:rsidRPr="0078079E">
        <w:rPr>
          <w:rFonts w:ascii="Times New Roman" w:hAnsi="Times New Roman" w:cs="Times New Roman"/>
          <w:sz w:val="24"/>
          <w:szCs w:val="24"/>
        </w:rPr>
        <w:t>leave and the standard quercetin are presented in Figure (1a &amp;1b). The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values are also depicted in the table. In the present study, the ethyl acetate extract showed the highest free radical scavenging activity of 33.98±1.00 at 10 mg/mL with an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 of 5.46 mg/mL followed by ethyl acetate extract. Similar results were reported by </w:t>
      </w:r>
      <w:r w:rsidRPr="0078079E">
        <w:rPr>
          <w:rFonts w:ascii="Times New Roman" w:eastAsia="Times New Roman" w:hAnsi="Times New Roman" w:cs="Times New Roman"/>
          <w:kern w:val="0"/>
          <w:sz w:val="24"/>
          <w:szCs w:val="24"/>
          <w14:ligatures w14:val="none"/>
        </w:rPr>
        <w:t xml:space="preserve">Adekola et al. (2022) </w:t>
      </w:r>
      <w:r w:rsidRPr="0078079E">
        <w:rPr>
          <w:rFonts w:ascii="Times New Roman" w:hAnsi="Times New Roman" w:cs="Times New Roman"/>
          <w:sz w:val="24"/>
          <w:szCs w:val="24"/>
        </w:rPr>
        <w:t>where the ethyl acetate extract of the stem bark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w:t>
      </w:r>
      <w:r w:rsidRPr="0078079E">
        <w:rPr>
          <w:rFonts w:ascii="Times New Roman" w:hAnsi="Times New Roman" w:cs="Times New Roman"/>
          <w:color w:val="212121"/>
          <w:sz w:val="24"/>
          <w:szCs w:val="24"/>
          <w:shd w:val="clear" w:color="auto" w:fill="FFFFFF"/>
        </w:rPr>
        <w:t>0.09 </w:t>
      </w:r>
      <w:r w:rsidRPr="0078079E">
        <w:rPr>
          <w:rFonts w:ascii="Times New Roman" w:hAnsi="Times New Roman" w:cs="Times New Roman"/>
          <w:sz w:val="24"/>
          <w:szCs w:val="24"/>
        </w:rPr>
        <w:t xml:space="preserve">mg/mL) showed maximum activity than the ethanolic extract. </w:t>
      </w:r>
    </w:p>
    <w:p w14:paraId="1EB60200" w14:textId="77777777" w:rsidR="00A431CA" w:rsidRPr="0078079E" w:rsidRDefault="00A431CA" w:rsidP="00A028F1">
      <w:pPr>
        <w:spacing w:line="240" w:lineRule="auto"/>
        <w:jc w:val="both"/>
        <w:rPr>
          <w:rFonts w:ascii="Times New Roman" w:hAnsi="Times New Roman" w:cs="Times New Roman"/>
          <w:sz w:val="24"/>
          <w:szCs w:val="24"/>
        </w:rPr>
      </w:pPr>
    </w:p>
    <w:p w14:paraId="47778F7E" w14:textId="77777777" w:rsidR="00A431CA" w:rsidRPr="0078079E" w:rsidRDefault="00DB74BC" w:rsidP="00A028F1">
      <w:pPr>
        <w:spacing w:after="0" w:line="240" w:lineRule="auto"/>
        <w:jc w:val="center"/>
        <w:rPr>
          <w:rFonts w:ascii="Times New Roman" w:eastAsia="Times New Roman" w:hAnsi="Times New Roman" w:cs="Times New Roman"/>
          <w:color w:val="ED0000"/>
          <w:kern w:val="0"/>
          <w:sz w:val="24"/>
          <w:szCs w:val="24"/>
          <w14:ligatures w14:val="none"/>
        </w:rPr>
      </w:pPr>
      <w:r w:rsidRPr="0078079E">
        <w:rPr>
          <w:rFonts w:ascii="Times New Roman" w:hAnsi="Times New Roman" w:cs="Times New Roman"/>
          <w:noProof/>
          <w:sz w:val="24"/>
          <w:szCs w:val="24"/>
        </w:rPr>
        <w:drawing>
          <wp:inline distT="0" distB="0" distL="0" distR="0" wp14:anchorId="1954BBA6" wp14:editId="62AF8E78">
            <wp:extent cx="2904490" cy="2743200"/>
            <wp:effectExtent l="0" t="0" r="0" b="0"/>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cstate="print"/>
                    <a:srcRect/>
                    <a:stretch/>
                  </pic:blipFill>
                  <pic:spPr>
                    <a:xfrm>
                      <a:off x="0" y="0"/>
                      <a:ext cx="2904490" cy="2743200"/>
                    </a:xfrm>
                    <a:prstGeom prst="rect">
                      <a:avLst/>
                    </a:prstGeom>
                  </pic:spPr>
                </pic:pic>
              </a:graphicData>
            </a:graphic>
          </wp:inline>
        </w:drawing>
      </w:r>
      <w:r w:rsidRPr="0078079E">
        <w:rPr>
          <w:rFonts w:ascii="Times New Roman" w:hAnsi="Times New Roman" w:cs="Times New Roman"/>
          <w:noProof/>
          <w:sz w:val="24"/>
          <w:szCs w:val="24"/>
        </w:rPr>
        <w:drawing>
          <wp:inline distT="0" distB="0" distL="0" distR="0" wp14:anchorId="03F97028" wp14:editId="13506ADA">
            <wp:extent cx="2989713" cy="2674917"/>
            <wp:effectExtent l="0" t="0" r="1270" b="0"/>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rcRect/>
                    <a:stretch/>
                  </pic:blipFill>
                  <pic:spPr>
                    <a:xfrm>
                      <a:off x="0" y="0"/>
                      <a:ext cx="2989713" cy="2674917"/>
                    </a:xfrm>
                    <a:prstGeom prst="rect">
                      <a:avLst/>
                    </a:prstGeom>
                  </pic:spPr>
                </pic:pic>
              </a:graphicData>
            </a:graphic>
          </wp:inline>
        </w:drawing>
      </w:r>
      <w:r w:rsidRPr="0078079E">
        <w:rPr>
          <w:rFonts w:ascii="Times New Roman" w:eastAsia="Times New Roman" w:hAnsi="Times New Roman" w:cs="Times New Roman"/>
          <w:color w:val="ED0000"/>
          <w:kern w:val="0"/>
          <w:sz w:val="24"/>
          <w:szCs w:val="24"/>
          <w14:ligatures w14:val="none"/>
        </w:rPr>
        <w:t>a                                                        b</w:t>
      </w:r>
    </w:p>
    <w:p w14:paraId="50C8B847"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eastAsia="Times New Roman" w:hAnsi="Times New Roman" w:cs="Times New Roman"/>
          <w:kern w:val="0"/>
          <w:sz w:val="24"/>
          <w:szCs w:val="24"/>
          <w14:ligatures w14:val="none"/>
        </w:rPr>
        <w:t xml:space="preserve">Figure 1: Determination of (a) DPPH radical scavenging activity and (b) </w:t>
      </w:r>
      <w:r w:rsidRPr="0078079E">
        <w:rPr>
          <w:rFonts w:ascii="Times New Roman" w:hAnsi="Times New Roman" w:cs="Times New Roman"/>
          <w:sz w:val="24"/>
          <w:szCs w:val="24"/>
        </w:rPr>
        <w:t>IC</w:t>
      </w:r>
      <w:r w:rsidRPr="0078079E">
        <w:rPr>
          <w:rFonts w:ascii="Times New Roman" w:hAnsi="Times New Roman" w:cs="Times New Roman"/>
          <w:sz w:val="24"/>
          <w:szCs w:val="24"/>
          <w:vertAlign w:val="subscript"/>
        </w:rPr>
        <w:t xml:space="preserve">50 </w:t>
      </w:r>
      <w:r w:rsidRPr="0078079E">
        <w:rPr>
          <w:rFonts w:ascii="Times New Roman" w:hAnsi="Times New Roman" w:cs="Times New Roman"/>
          <w:sz w:val="24"/>
          <w:szCs w:val="24"/>
        </w:rPr>
        <w:t xml:space="preserve">of the extractive fractions and the standard. All experimental data are obtained in triplicate. Data are expressed as mean ± SD for all tested concentration.   </w:t>
      </w:r>
    </w:p>
    <w:p w14:paraId="3F525E06" w14:textId="77777777" w:rsidR="00A431CA" w:rsidRPr="0078079E" w:rsidRDefault="00A431CA" w:rsidP="00A028F1">
      <w:pPr>
        <w:spacing w:after="0" w:line="240" w:lineRule="auto"/>
        <w:jc w:val="both"/>
        <w:rPr>
          <w:rFonts w:ascii="Times New Roman" w:eastAsia="Times New Roman" w:hAnsi="Times New Roman" w:cs="Times New Roman"/>
          <w:kern w:val="0"/>
          <w:sz w:val="24"/>
          <w:szCs w:val="24"/>
          <w14:ligatures w14:val="none"/>
        </w:rPr>
      </w:pPr>
    </w:p>
    <w:p w14:paraId="55EDEB0A" w14:textId="77777777" w:rsidR="00A431CA" w:rsidRPr="0078079E" w:rsidRDefault="00A431CA" w:rsidP="00A028F1">
      <w:pPr>
        <w:spacing w:after="0" w:line="240" w:lineRule="auto"/>
        <w:jc w:val="center"/>
        <w:rPr>
          <w:rFonts w:ascii="Times New Roman" w:eastAsia="Times New Roman" w:hAnsi="Times New Roman" w:cs="Times New Roman"/>
          <w:color w:val="ED0000"/>
          <w:kern w:val="0"/>
          <w:sz w:val="24"/>
          <w:szCs w:val="24"/>
          <w14:ligatures w14:val="none"/>
        </w:rPr>
      </w:pPr>
    </w:p>
    <w:p w14:paraId="235EB6D3"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Antioxidant activity by FRAP assay</w:t>
      </w:r>
    </w:p>
    <w:p w14:paraId="03988E7A"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In this assay, the presence of electron donating compounds resulted in the reduction of Fe</w:t>
      </w:r>
      <w:r w:rsidRPr="0078079E">
        <w:rPr>
          <w:rFonts w:ascii="Times New Roman" w:hAnsi="Times New Roman" w:cs="Times New Roman"/>
          <w:sz w:val="24"/>
          <w:szCs w:val="24"/>
          <w:vertAlign w:val="superscript"/>
        </w:rPr>
        <w:t>3+</w:t>
      </w:r>
      <w:r w:rsidRPr="0078079E">
        <w:rPr>
          <w:rFonts w:ascii="Times New Roman" w:hAnsi="Times New Roman" w:cs="Times New Roman"/>
          <w:sz w:val="24"/>
          <w:szCs w:val="24"/>
        </w:rPr>
        <w:t xml:space="preserve"> (ferricyanide) into Fe</w:t>
      </w:r>
      <w:r w:rsidRPr="0078079E">
        <w:rPr>
          <w:rFonts w:ascii="Times New Roman" w:hAnsi="Times New Roman" w:cs="Times New Roman"/>
          <w:sz w:val="24"/>
          <w:szCs w:val="24"/>
          <w:vertAlign w:val="superscript"/>
        </w:rPr>
        <w:t>2+</w:t>
      </w:r>
      <w:r w:rsidRPr="0078079E">
        <w:rPr>
          <w:rFonts w:ascii="Times New Roman" w:hAnsi="Times New Roman" w:cs="Times New Roman"/>
          <w:sz w:val="24"/>
          <w:szCs w:val="24"/>
        </w:rPr>
        <w:t xml:space="preserve"> (ferrous). The results are shown in the Figure (2a &amp; 2b). The reducing potential of the extracts measured for the concentration up to 10 mg/mL showed a general increase in activity when the concentration was increased. Among the two tested extracts, the ethyl acetate extract possessed the highest reducing capacity of free radicals scavenging (53.77 ± 2.68), with absorbance at 593 nm. The extracts had better free radical reductive ability with increasing concentrations of the extract. </w:t>
      </w:r>
      <w:r w:rsidRPr="0078079E">
        <w:rPr>
          <w:rFonts w:ascii="Times New Roman" w:eastAsia="Times New Roman" w:hAnsi="Times New Roman" w:cs="Times New Roman"/>
          <w:kern w:val="0"/>
          <w:sz w:val="24"/>
          <w:szCs w:val="24"/>
          <w14:ligatures w14:val="none"/>
        </w:rPr>
        <w:t xml:space="preserve">Ojo et al. (2018) </w:t>
      </w:r>
      <w:r w:rsidRPr="0078079E">
        <w:rPr>
          <w:rFonts w:ascii="Times New Roman" w:hAnsi="Times New Roman" w:cs="Times New Roman"/>
          <w:sz w:val="24"/>
          <w:szCs w:val="24"/>
        </w:rPr>
        <w:t xml:space="preserve">reported the same behavior in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extracts. This concentration-dependent activity pattern was also followed by ethanol extracts which behaved the best at 10 mg/mL but not as best as the ethyl acetate extract.</w:t>
      </w:r>
    </w:p>
    <w:p w14:paraId="0E9E9F49"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noProof/>
          <w:sz w:val="24"/>
          <w:szCs w:val="24"/>
        </w:rPr>
        <w:lastRenderedPageBreak/>
        <w:drawing>
          <wp:inline distT="0" distB="0" distL="0" distR="0" wp14:anchorId="0F1FE924" wp14:editId="563FC98B">
            <wp:extent cx="2976245" cy="2684834"/>
            <wp:effectExtent l="0" t="0" r="0" b="1270"/>
            <wp:docPr id="10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8" cstate="print"/>
                    <a:srcRect/>
                    <a:stretch/>
                  </pic:blipFill>
                  <pic:spPr>
                    <a:xfrm>
                      <a:off x="0" y="0"/>
                      <a:ext cx="2976245" cy="2684834"/>
                    </a:xfrm>
                    <a:prstGeom prst="rect">
                      <a:avLst/>
                    </a:prstGeom>
                  </pic:spPr>
                </pic:pic>
              </a:graphicData>
            </a:graphic>
          </wp:inline>
        </w:drawing>
      </w:r>
      <w:r w:rsidRPr="0078079E">
        <w:rPr>
          <w:rFonts w:ascii="Times New Roman" w:hAnsi="Times New Roman" w:cs="Times New Roman"/>
          <w:noProof/>
          <w:sz w:val="24"/>
          <w:szCs w:val="24"/>
        </w:rPr>
        <w:drawing>
          <wp:inline distT="0" distB="0" distL="0" distR="0" wp14:anchorId="6823AD90" wp14:editId="3BC665DF">
            <wp:extent cx="2898842" cy="2674335"/>
            <wp:effectExtent l="0" t="0" r="0" b="0"/>
            <wp:docPr id="102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9" cstate="print"/>
                    <a:srcRect/>
                    <a:stretch/>
                  </pic:blipFill>
                  <pic:spPr>
                    <a:xfrm>
                      <a:off x="0" y="0"/>
                      <a:ext cx="2898842" cy="2674335"/>
                    </a:xfrm>
                    <a:prstGeom prst="rect">
                      <a:avLst/>
                    </a:prstGeom>
                  </pic:spPr>
                </pic:pic>
              </a:graphicData>
            </a:graphic>
          </wp:inline>
        </w:drawing>
      </w:r>
    </w:p>
    <w:p w14:paraId="76517980" w14:textId="77777777" w:rsidR="00A431CA" w:rsidRPr="0078079E" w:rsidRDefault="00DB74BC" w:rsidP="00A028F1">
      <w:pPr>
        <w:spacing w:after="0" w:line="240" w:lineRule="auto"/>
        <w:jc w:val="center"/>
        <w:rPr>
          <w:rFonts w:ascii="Times New Roman" w:eastAsia="Times New Roman" w:hAnsi="Times New Roman" w:cs="Times New Roman"/>
          <w:color w:val="ED0000"/>
          <w:kern w:val="0"/>
          <w:sz w:val="24"/>
          <w:szCs w:val="24"/>
          <w14:ligatures w14:val="none"/>
        </w:rPr>
      </w:pPr>
      <w:r w:rsidRPr="0078079E">
        <w:rPr>
          <w:rFonts w:ascii="Times New Roman" w:eastAsia="Times New Roman" w:hAnsi="Times New Roman" w:cs="Times New Roman"/>
          <w:color w:val="ED0000"/>
          <w:kern w:val="0"/>
          <w:sz w:val="24"/>
          <w:szCs w:val="24"/>
          <w14:ligatures w14:val="none"/>
        </w:rPr>
        <w:t>a                                                        b</w:t>
      </w:r>
    </w:p>
    <w:p w14:paraId="2EAF165E" w14:textId="77777777" w:rsidR="00A431CA" w:rsidRPr="0078079E" w:rsidRDefault="00DB74BC" w:rsidP="00A028F1">
      <w:pPr>
        <w:spacing w:after="0" w:line="240" w:lineRule="auto"/>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 xml:space="preserve">Figure 2: Determination of (a) FRAP radical scavenging activity and (b) </w:t>
      </w:r>
      <w:r w:rsidRPr="0078079E">
        <w:rPr>
          <w:rFonts w:ascii="Times New Roman" w:hAnsi="Times New Roman" w:cs="Times New Roman"/>
          <w:sz w:val="24"/>
          <w:szCs w:val="24"/>
        </w:rPr>
        <w:t>IC</w:t>
      </w:r>
      <w:r w:rsidRPr="0078079E">
        <w:rPr>
          <w:rFonts w:ascii="Times New Roman" w:hAnsi="Times New Roman" w:cs="Times New Roman"/>
          <w:sz w:val="24"/>
          <w:szCs w:val="24"/>
          <w:vertAlign w:val="subscript"/>
        </w:rPr>
        <w:t xml:space="preserve">50 </w:t>
      </w:r>
      <w:r w:rsidRPr="0078079E">
        <w:rPr>
          <w:rFonts w:ascii="Times New Roman" w:hAnsi="Times New Roman" w:cs="Times New Roman"/>
          <w:sz w:val="24"/>
          <w:szCs w:val="24"/>
        </w:rPr>
        <w:t xml:space="preserve">of the extractive fractions and the standard. All experimental data are obtained in triplicate. Data are expressed as mean ± SD for all tested concentration.   </w:t>
      </w:r>
    </w:p>
    <w:p w14:paraId="0DF9D929" w14:textId="77777777" w:rsidR="00A431CA" w:rsidRPr="0078079E" w:rsidRDefault="00A431CA" w:rsidP="00A028F1">
      <w:pPr>
        <w:spacing w:line="240" w:lineRule="auto"/>
        <w:jc w:val="both"/>
        <w:rPr>
          <w:rFonts w:ascii="Times New Roman" w:hAnsi="Times New Roman" w:cs="Times New Roman"/>
          <w:sz w:val="24"/>
          <w:szCs w:val="24"/>
        </w:rPr>
      </w:pPr>
    </w:p>
    <w:p w14:paraId="450CB889" w14:textId="77777777" w:rsidR="00A431CA" w:rsidRPr="0078079E" w:rsidRDefault="00A431CA" w:rsidP="00A028F1">
      <w:pPr>
        <w:spacing w:after="0" w:line="240" w:lineRule="auto"/>
        <w:jc w:val="both"/>
        <w:rPr>
          <w:rFonts w:ascii="Times New Roman" w:hAnsi="Times New Roman" w:cs="Times New Roman"/>
          <w:sz w:val="24"/>
          <w:szCs w:val="24"/>
        </w:rPr>
      </w:pPr>
    </w:p>
    <w:p w14:paraId="141033EB"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Alpha amylase assay (Antidiabetic)</w:t>
      </w:r>
    </w:p>
    <w:p w14:paraId="4CA4712C"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The different polar solvent extracts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leaves were investigated for their potential to inhibit α-amylase activity at three different concentrations (2.50, 5.00 and 10.00 mg/mL). The dose-response calibration curves for ethyl acetate and ethanol extracts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leaves were plotted individually. Percent α-amylase inhibition and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values were determined from the dose–response calibration curves for each of extract Figures Figure (3a &amp; 3b). The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 of the standard acarbose was 0.67 mg/mL. ethyl acetate extract of </w:t>
      </w:r>
      <w:r w:rsidRPr="0078079E">
        <w:rPr>
          <w:rFonts w:ascii="Times New Roman" w:hAnsi="Times New Roman" w:cs="Times New Roman"/>
          <w:i/>
          <w:iCs/>
          <w:sz w:val="24"/>
          <w:szCs w:val="24"/>
        </w:rPr>
        <w:t xml:space="preserve">Blighia sapida </w:t>
      </w:r>
      <w:r w:rsidRPr="0078079E">
        <w:rPr>
          <w:rFonts w:ascii="Times New Roman" w:hAnsi="Times New Roman" w:cs="Times New Roman"/>
          <w:sz w:val="24"/>
          <w:szCs w:val="24"/>
        </w:rPr>
        <w:t>leave showed highest alpha amylase inhibition activity with and IC</w:t>
      </w:r>
      <w:r w:rsidRPr="0078079E">
        <w:rPr>
          <w:rFonts w:ascii="Times New Roman" w:hAnsi="Times New Roman" w:cs="Times New Roman"/>
          <w:sz w:val="24"/>
          <w:szCs w:val="24"/>
          <w:vertAlign w:val="subscript"/>
        </w:rPr>
        <w:t xml:space="preserve">50 </w:t>
      </w:r>
      <w:r w:rsidRPr="0078079E">
        <w:rPr>
          <w:rFonts w:ascii="Times New Roman" w:hAnsi="Times New Roman" w:cs="Times New Roman"/>
          <w:sz w:val="24"/>
          <w:szCs w:val="24"/>
        </w:rPr>
        <w:t>value of 1.27 mg/mL. lowest alpha amylase inhibition property was shown by ethanolic extract (2.19 mg/mL). the results showed a dose-dependent increase in percentage inhibitoty activity of alpha amylase by the two extracts.</w:t>
      </w:r>
    </w:p>
    <w:p w14:paraId="5B9684AB"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The plants extract exhibiting antidiabetic properties are mainly due to the presence of phenols and flavonoids as the principal compounds such as phenolic acids, flavonoids, and tannins are mostly responsible for the antidiabetic activity of the plant, thereby, preventing the onset of many chronic diseases such as cancer, diabetes, cardiovascular problems and aging. Thus, in the present investigation, it was found that the ethanol extract of </w:t>
      </w:r>
      <w:r w:rsidRPr="0078079E">
        <w:rPr>
          <w:rFonts w:ascii="Times New Roman" w:hAnsi="Times New Roman" w:cs="Times New Roman"/>
          <w:i/>
          <w:iCs/>
          <w:sz w:val="24"/>
          <w:szCs w:val="24"/>
        </w:rPr>
        <w:t>Blighia sapida</w:t>
      </w:r>
      <w:r w:rsidRPr="0078079E">
        <w:rPr>
          <w:rFonts w:ascii="Times New Roman" w:hAnsi="Times New Roman" w:cs="Times New Roman"/>
          <w:sz w:val="24"/>
          <w:szCs w:val="24"/>
        </w:rPr>
        <w:t xml:space="preserve"> leaves displayed the highest antidiabetic potential which may be attributed to the presence of phenol, flavonoids, and tannins in the extract revealed in the study. </w:t>
      </w:r>
    </w:p>
    <w:p w14:paraId="386C6C3D" w14:textId="77777777" w:rsidR="00A431CA" w:rsidRPr="0078079E" w:rsidRDefault="00A431CA" w:rsidP="00A028F1">
      <w:pPr>
        <w:spacing w:after="0" w:line="240" w:lineRule="auto"/>
        <w:jc w:val="both"/>
        <w:rPr>
          <w:rFonts w:ascii="Times New Roman" w:hAnsi="Times New Roman" w:cs="Times New Roman"/>
          <w:sz w:val="24"/>
          <w:szCs w:val="24"/>
        </w:rPr>
      </w:pPr>
    </w:p>
    <w:p w14:paraId="32812B04" w14:textId="77777777" w:rsidR="00A431CA" w:rsidRPr="0078079E" w:rsidRDefault="00A431CA" w:rsidP="00A028F1">
      <w:pPr>
        <w:spacing w:after="0" w:line="240" w:lineRule="auto"/>
        <w:jc w:val="both"/>
        <w:rPr>
          <w:rFonts w:ascii="Times New Roman" w:hAnsi="Times New Roman" w:cs="Times New Roman"/>
          <w:sz w:val="24"/>
          <w:szCs w:val="24"/>
        </w:rPr>
      </w:pPr>
    </w:p>
    <w:p w14:paraId="205BFD8A" w14:textId="77777777" w:rsidR="00A431CA" w:rsidRPr="0078079E" w:rsidRDefault="00A431CA" w:rsidP="00A028F1">
      <w:pPr>
        <w:spacing w:after="0" w:line="240" w:lineRule="auto"/>
        <w:jc w:val="both"/>
        <w:rPr>
          <w:rFonts w:ascii="Times New Roman" w:hAnsi="Times New Roman" w:cs="Times New Roman"/>
          <w:sz w:val="24"/>
          <w:szCs w:val="24"/>
        </w:rPr>
      </w:pPr>
    </w:p>
    <w:p w14:paraId="041A5CBF"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noProof/>
          <w:sz w:val="24"/>
          <w:szCs w:val="24"/>
        </w:rPr>
        <w:lastRenderedPageBreak/>
        <w:drawing>
          <wp:inline distT="0" distB="0" distL="0" distR="0" wp14:anchorId="453EFFD1" wp14:editId="1CE8CCAB">
            <wp:extent cx="3014980" cy="2949619"/>
            <wp:effectExtent l="0" t="0" r="0" b="3175"/>
            <wp:docPr id="103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10" cstate="print"/>
                    <a:srcRect/>
                    <a:stretch/>
                  </pic:blipFill>
                  <pic:spPr>
                    <a:xfrm>
                      <a:off x="0" y="0"/>
                      <a:ext cx="3014980" cy="2949619"/>
                    </a:xfrm>
                    <a:prstGeom prst="rect">
                      <a:avLst/>
                    </a:prstGeom>
                  </pic:spPr>
                </pic:pic>
              </a:graphicData>
            </a:graphic>
          </wp:inline>
        </w:drawing>
      </w:r>
      <w:r w:rsidRPr="0078079E">
        <w:rPr>
          <w:noProof/>
        </w:rPr>
        <w:t xml:space="preserve"> </w:t>
      </w:r>
      <w:r w:rsidRPr="0078079E">
        <w:rPr>
          <w:rFonts w:ascii="Times New Roman" w:hAnsi="Times New Roman" w:cs="Times New Roman"/>
          <w:noProof/>
          <w:sz w:val="24"/>
          <w:szCs w:val="24"/>
        </w:rPr>
        <w:drawing>
          <wp:inline distT="0" distB="0" distL="0" distR="0" wp14:anchorId="2A008A7F" wp14:editId="71CE03D3">
            <wp:extent cx="2897026" cy="2957209"/>
            <wp:effectExtent l="0" t="0" r="0" b="0"/>
            <wp:docPr id="103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a:blip r:embed="rId11" cstate="print"/>
                    <a:srcRect/>
                    <a:stretch/>
                  </pic:blipFill>
                  <pic:spPr>
                    <a:xfrm>
                      <a:off x="0" y="0"/>
                      <a:ext cx="2897026" cy="2957209"/>
                    </a:xfrm>
                    <a:prstGeom prst="rect">
                      <a:avLst/>
                    </a:prstGeom>
                  </pic:spPr>
                </pic:pic>
              </a:graphicData>
            </a:graphic>
          </wp:inline>
        </w:drawing>
      </w:r>
    </w:p>
    <w:p w14:paraId="0264B50D" w14:textId="77777777" w:rsidR="00A431CA" w:rsidRPr="0078079E" w:rsidRDefault="00DB74BC" w:rsidP="00A028F1">
      <w:pPr>
        <w:spacing w:after="0" w:line="240" w:lineRule="auto"/>
        <w:jc w:val="center"/>
        <w:rPr>
          <w:rFonts w:ascii="Times New Roman" w:eastAsia="Times New Roman" w:hAnsi="Times New Roman" w:cs="Times New Roman"/>
          <w:color w:val="ED0000"/>
          <w:kern w:val="0"/>
          <w:sz w:val="24"/>
          <w:szCs w:val="24"/>
          <w14:ligatures w14:val="none"/>
        </w:rPr>
      </w:pPr>
      <w:r w:rsidRPr="0078079E">
        <w:rPr>
          <w:rFonts w:ascii="Times New Roman" w:eastAsia="Times New Roman" w:hAnsi="Times New Roman" w:cs="Times New Roman"/>
          <w:color w:val="ED0000"/>
          <w:kern w:val="0"/>
          <w:sz w:val="24"/>
          <w:szCs w:val="24"/>
          <w14:ligatures w14:val="none"/>
        </w:rPr>
        <w:t>a                                                        b</w:t>
      </w:r>
    </w:p>
    <w:p w14:paraId="6C8266E5" w14:textId="77777777" w:rsidR="00A431CA" w:rsidRPr="0078079E" w:rsidRDefault="00DB74BC" w:rsidP="00A028F1">
      <w:pPr>
        <w:spacing w:after="0" w:line="240" w:lineRule="auto"/>
        <w:jc w:val="both"/>
        <w:rPr>
          <w:rFonts w:ascii="Times New Roman" w:eastAsia="Times New Roman" w:hAnsi="Times New Roman" w:cs="Times New Roman"/>
          <w:kern w:val="0"/>
          <w:sz w:val="24"/>
          <w:szCs w:val="24"/>
          <w14:ligatures w14:val="none"/>
        </w:rPr>
      </w:pPr>
      <w:r w:rsidRPr="0078079E">
        <w:rPr>
          <w:rFonts w:ascii="Times New Roman" w:eastAsia="Times New Roman" w:hAnsi="Times New Roman" w:cs="Times New Roman"/>
          <w:kern w:val="0"/>
          <w:sz w:val="24"/>
          <w:szCs w:val="24"/>
          <w14:ligatures w14:val="none"/>
        </w:rPr>
        <w:t xml:space="preserve">Figure 3: Determination of (a) Alpha-amylase scavenging activity and (b) </w:t>
      </w:r>
      <w:r w:rsidRPr="0078079E">
        <w:rPr>
          <w:rFonts w:ascii="Times New Roman" w:hAnsi="Times New Roman" w:cs="Times New Roman"/>
          <w:sz w:val="24"/>
          <w:szCs w:val="24"/>
        </w:rPr>
        <w:t>IC</w:t>
      </w:r>
      <w:r w:rsidRPr="0078079E">
        <w:rPr>
          <w:rFonts w:ascii="Times New Roman" w:hAnsi="Times New Roman" w:cs="Times New Roman"/>
          <w:sz w:val="24"/>
          <w:szCs w:val="24"/>
          <w:vertAlign w:val="subscript"/>
        </w:rPr>
        <w:t xml:space="preserve">50 </w:t>
      </w:r>
      <w:r w:rsidRPr="0078079E">
        <w:rPr>
          <w:rFonts w:ascii="Times New Roman" w:hAnsi="Times New Roman" w:cs="Times New Roman"/>
          <w:sz w:val="24"/>
          <w:szCs w:val="24"/>
        </w:rPr>
        <w:t xml:space="preserve">of the extractive fractions and the standard. All experimental data are obtained in triplicate. Data are expressed as mean ± SD for all tested concentration.   </w:t>
      </w:r>
    </w:p>
    <w:p w14:paraId="61B261B8" w14:textId="77777777" w:rsidR="00A431CA" w:rsidRPr="0078079E" w:rsidRDefault="00A431CA" w:rsidP="00A028F1">
      <w:pPr>
        <w:spacing w:after="0" w:line="240" w:lineRule="auto"/>
        <w:jc w:val="both"/>
        <w:rPr>
          <w:rFonts w:ascii="Times New Roman" w:hAnsi="Times New Roman" w:cs="Times New Roman"/>
          <w:sz w:val="24"/>
          <w:szCs w:val="24"/>
        </w:rPr>
      </w:pPr>
    </w:p>
    <w:p w14:paraId="135BAA6F" w14:textId="77777777" w:rsidR="00A431CA" w:rsidRPr="0078079E" w:rsidRDefault="00A431CA" w:rsidP="00A028F1">
      <w:pPr>
        <w:spacing w:after="0" w:line="240" w:lineRule="auto"/>
        <w:jc w:val="both"/>
        <w:rPr>
          <w:rFonts w:ascii="Times New Roman" w:hAnsi="Times New Roman" w:cs="Times New Roman"/>
          <w:sz w:val="24"/>
          <w:szCs w:val="24"/>
        </w:rPr>
      </w:pPr>
    </w:p>
    <w:p w14:paraId="3EA62EF4" w14:textId="77777777" w:rsidR="00A431CA" w:rsidRPr="0078079E" w:rsidRDefault="00DB74BC" w:rsidP="00A028F1">
      <w:pPr>
        <w:spacing w:after="0"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Antifungal studies </w:t>
      </w:r>
    </w:p>
    <w:p w14:paraId="08641D30" w14:textId="77777777" w:rsidR="00A431CA" w:rsidRPr="0078079E" w:rsidRDefault="00DB74BC" w:rsidP="00A028F1">
      <w:pPr>
        <w:spacing w:line="240" w:lineRule="auto"/>
        <w:contextualSpacing/>
        <w:jc w:val="both"/>
        <w:rPr>
          <w:rFonts w:ascii="Times New Roman" w:hAnsi="Times New Roman" w:cs="Times New Roman"/>
          <w:sz w:val="24"/>
          <w:szCs w:val="24"/>
        </w:rPr>
      </w:pPr>
      <w:r w:rsidRPr="0078079E">
        <w:rPr>
          <w:rFonts w:ascii="Times New Roman" w:hAnsi="Times New Roman" w:cs="Times New Roman"/>
          <w:sz w:val="24"/>
          <w:szCs w:val="24"/>
        </w:rPr>
        <w:t xml:space="preserve">The antifungal results Table 5 and Figure 4, obtained from the ethyl acetate and ethanol extracts of </w:t>
      </w:r>
      <w:r w:rsidRPr="0078079E">
        <w:rPr>
          <w:rFonts w:ascii="Times New Roman" w:hAnsi="Times New Roman" w:cs="Times New Roman"/>
          <w:i/>
          <w:iCs/>
          <w:sz w:val="24"/>
          <w:szCs w:val="24"/>
        </w:rPr>
        <w:t>B. sapida</w:t>
      </w:r>
      <w:r w:rsidRPr="0078079E">
        <w:rPr>
          <w:rFonts w:ascii="Times New Roman" w:hAnsi="Times New Roman" w:cs="Times New Roman"/>
          <w:sz w:val="24"/>
          <w:szCs w:val="24"/>
        </w:rPr>
        <w:t xml:space="preserve"> leaves against </w:t>
      </w:r>
      <w:r w:rsidRPr="0078079E">
        <w:rPr>
          <w:rFonts w:ascii="Times New Roman" w:hAnsi="Times New Roman" w:cs="Times New Roman"/>
          <w:i/>
          <w:iCs/>
          <w:sz w:val="24"/>
          <w:szCs w:val="24"/>
        </w:rPr>
        <w:t>Aspergillus niger, Aspergillus flavus, Penicillium atroventum</w:t>
      </w:r>
      <w:r w:rsidRPr="0078079E">
        <w:rPr>
          <w:rFonts w:ascii="Times New Roman" w:hAnsi="Times New Roman" w:cs="Times New Roman"/>
          <w:sz w:val="24"/>
          <w:szCs w:val="24"/>
        </w:rPr>
        <w:t xml:space="preserve">, and </w:t>
      </w:r>
      <w:r w:rsidRPr="0078079E">
        <w:rPr>
          <w:rFonts w:ascii="Times New Roman" w:hAnsi="Times New Roman" w:cs="Times New Roman"/>
          <w:i/>
          <w:iCs/>
          <w:sz w:val="24"/>
          <w:szCs w:val="24"/>
        </w:rPr>
        <w:t>Murcortic spp</w:t>
      </w:r>
      <w:r w:rsidRPr="0078079E">
        <w:rPr>
          <w:rFonts w:ascii="Times New Roman" w:hAnsi="Times New Roman" w:cs="Times New Roman"/>
          <w:sz w:val="24"/>
          <w:szCs w:val="24"/>
        </w:rPr>
        <w:t xml:space="preserve"> reveal interesting findings. The ethyl acetate extract exhibits percentage inhibition values of 89% against </w:t>
      </w:r>
      <w:r w:rsidRPr="0078079E">
        <w:rPr>
          <w:rFonts w:ascii="Times New Roman" w:hAnsi="Times New Roman" w:cs="Times New Roman"/>
          <w:i/>
          <w:iCs/>
          <w:sz w:val="24"/>
          <w:szCs w:val="24"/>
        </w:rPr>
        <w:t>Aspergillus niger</w:t>
      </w:r>
      <w:r w:rsidRPr="0078079E">
        <w:rPr>
          <w:rFonts w:ascii="Times New Roman" w:hAnsi="Times New Roman" w:cs="Times New Roman"/>
          <w:sz w:val="24"/>
          <w:szCs w:val="24"/>
        </w:rPr>
        <w:t xml:space="preserve">, 92% against </w:t>
      </w:r>
      <w:r w:rsidRPr="0078079E">
        <w:rPr>
          <w:rFonts w:ascii="Times New Roman" w:hAnsi="Times New Roman" w:cs="Times New Roman"/>
          <w:i/>
          <w:iCs/>
          <w:sz w:val="24"/>
          <w:szCs w:val="24"/>
        </w:rPr>
        <w:t xml:space="preserve">Aspergillus flavus, </w:t>
      </w:r>
      <w:r w:rsidRPr="0078079E">
        <w:rPr>
          <w:rFonts w:ascii="Times New Roman" w:hAnsi="Times New Roman" w:cs="Times New Roman"/>
          <w:sz w:val="24"/>
          <w:szCs w:val="24"/>
        </w:rPr>
        <w:t xml:space="preserve">and </w:t>
      </w:r>
      <w:r w:rsidRPr="0078079E">
        <w:rPr>
          <w:rFonts w:ascii="Times New Roman" w:hAnsi="Times New Roman" w:cs="Times New Roman"/>
          <w:i/>
          <w:iCs/>
          <w:sz w:val="24"/>
          <w:szCs w:val="24"/>
        </w:rPr>
        <w:t>Penicillium atroventum</w:t>
      </w:r>
      <w:r w:rsidRPr="0078079E">
        <w:rPr>
          <w:rFonts w:ascii="Times New Roman" w:hAnsi="Times New Roman" w:cs="Times New Roman"/>
          <w:sz w:val="24"/>
          <w:szCs w:val="24"/>
        </w:rPr>
        <w:t xml:space="preserve">, and 90% against </w:t>
      </w:r>
      <w:r w:rsidRPr="0078079E">
        <w:rPr>
          <w:rFonts w:ascii="Times New Roman" w:hAnsi="Times New Roman" w:cs="Times New Roman"/>
          <w:i/>
          <w:iCs/>
          <w:sz w:val="24"/>
          <w:szCs w:val="24"/>
        </w:rPr>
        <w:t>Murcortic spp</w:t>
      </w:r>
      <w:r w:rsidRPr="0078079E">
        <w:rPr>
          <w:rFonts w:ascii="Times New Roman" w:hAnsi="Times New Roman" w:cs="Times New Roman"/>
          <w:sz w:val="24"/>
          <w:szCs w:val="24"/>
        </w:rPr>
        <w:t xml:space="preserve">. Conversely, the ethanol extract displays percentage inhibition values of 92% against </w:t>
      </w:r>
      <w:r w:rsidRPr="0078079E">
        <w:rPr>
          <w:rFonts w:ascii="Times New Roman" w:hAnsi="Times New Roman" w:cs="Times New Roman"/>
          <w:i/>
          <w:iCs/>
          <w:sz w:val="24"/>
          <w:szCs w:val="24"/>
        </w:rPr>
        <w:t>Aspergillus niger</w:t>
      </w:r>
      <w:r w:rsidRPr="0078079E">
        <w:rPr>
          <w:rFonts w:ascii="Times New Roman" w:hAnsi="Times New Roman" w:cs="Times New Roman"/>
          <w:sz w:val="24"/>
          <w:szCs w:val="24"/>
        </w:rPr>
        <w:t xml:space="preserve">, 92% against </w:t>
      </w:r>
      <w:r w:rsidRPr="0078079E">
        <w:rPr>
          <w:rFonts w:ascii="Times New Roman" w:hAnsi="Times New Roman" w:cs="Times New Roman"/>
          <w:i/>
          <w:iCs/>
          <w:sz w:val="24"/>
          <w:szCs w:val="24"/>
        </w:rPr>
        <w:t>Aspergillus flavus</w:t>
      </w:r>
      <w:r w:rsidRPr="0078079E">
        <w:rPr>
          <w:rFonts w:ascii="Times New Roman" w:hAnsi="Times New Roman" w:cs="Times New Roman"/>
          <w:sz w:val="24"/>
          <w:szCs w:val="24"/>
        </w:rPr>
        <w:t xml:space="preserve">, 90% against </w:t>
      </w:r>
      <w:r w:rsidRPr="0078079E">
        <w:rPr>
          <w:rFonts w:ascii="Times New Roman" w:hAnsi="Times New Roman" w:cs="Times New Roman"/>
          <w:i/>
          <w:iCs/>
          <w:sz w:val="24"/>
          <w:szCs w:val="24"/>
        </w:rPr>
        <w:t>Penicillium atroventum</w:t>
      </w:r>
      <w:r w:rsidRPr="0078079E">
        <w:rPr>
          <w:rFonts w:ascii="Times New Roman" w:hAnsi="Times New Roman" w:cs="Times New Roman"/>
          <w:sz w:val="24"/>
          <w:szCs w:val="24"/>
        </w:rPr>
        <w:t xml:space="preserve">, but no inhibition against </w:t>
      </w:r>
      <w:r w:rsidRPr="0078079E">
        <w:rPr>
          <w:rFonts w:ascii="Times New Roman" w:hAnsi="Times New Roman" w:cs="Times New Roman"/>
          <w:i/>
          <w:iCs/>
          <w:sz w:val="24"/>
          <w:szCs w:val="24"/>
        </w:rPr>
        <w:t>Murcortic spp</w:t>
      </w:r>
      <w:r w:rsidRPr="0078079E">
        <w:rPr>
          <w:rFonts w:ascii="Times New Roman" w:hAnsi="Times New Roman" w:cs="Times New Roman"/>
          <w:sz w:val="24"/>
          <w:szCs w:val="24"/>
        </w:rPr>
        <w:t xml:space="preserve">. These results indicate that both extracts possess significant antifungal properties, particularly against </w:t>
      </w:r>
      <w:r w:rsidRPr="0078079E">
        <w:rPr>
          <w:rFonts w:ascii="Times New Roman" w:hAnsi="Times New Roman" w:cs="Times New Roman"/>
          <w:i/>
          <w:iCs/>
          <w:sz w:val="24"/>
          <w:szCs w:val="24"/>
        </w:rPr>
        <w:t>Aspergillus species</w:t>
      </w:r>
      <w:r w:rsidRPr="0078079E">
        <w:rPr>
          <w:rFonts w:ascii="Times New Roman" w:hAnsi="Times New Roman" w:cs="Times New Roman"/>
          <w:sz w:val="24"/>
          <w:szCs w:val="24"/>
        </w:rPr>
        <w:t xml:space="preserve"> and </w:t>
      </w:r>
      <w:r w:rsidRPr="0078079E">
        <w:rPr>
          <w:rFonts w:ascii="Times New Roman" w:hAnsi="Times New Roman" w:cs="Times New Roman"/>
          <w:i/>
          <w:iCs/>
          <w:sz w:val="24"/>
          <w:szCs w:val="24"/>
        </w:rPr>
        <w:t>Penicillium atroventum</w:t>
      </w:r>
      <w:r w:rsidRPr="0078079E">
        <w:rPr>
          <w:rFonts w:ascii="Times New Roman" w:hAnsi="Times New Roman" w:cs="Times New Roman"/>
          <w:sz w:val="24"/>
          <w:szCs w:val="24"/>
        </w:rPr>
        <w:t xml:space="preserve">. And not on </w:t>
      </w:r>
      <w:r w:rsidRPr="0078079E">
        <w:rPr>
          <w:rFonts w:ascii="Times New Roman" w:hAnsi="Times New Roman" w:cs="Times New Roman"/>
          <w:i/>
          <w:iCs/>
          <w:sz w:val="24"/>
          <w:szCs w:val="24"/>
        </w:rPr>
        <w:t>Aspergillus fumigatus</w:t>
      </w:r>
      <w:r w:rsidRPr="0078079E">
        <w:rPr>
          <w:rFonts w:ascii="Times New Roman" w:hAnsi="Times New Roman" w:cs="Times New Roman"/>
          <w:sz w:val="24"/>
          <w:szCs w:val="24"/>
        </w:rPr>
        <w:t xml:space="preserve">, The higher inhibition percentages observed with the ethanol extract against </w:t>
      </w:r>
      <w:r w:rsidRPr="0078079E">
        <w:rPr>
          <w:rFonts w:ascii="Times New Roman" w:hAnsi="Times New Roman" w:cs="Times New Roman"/>
          <w:i/>
          <w:iCs/>
          <w:sz w:val="24"/>
          <w:szCs w:val="24"/>
        </w:rPr>
        <w:t xml:space="preserve">Aspergillus niger, Aspergillus flavus, </w:t>
      </w:r>
      <w:r w:rsidRPr="0078079E">
        <w:rPr>
          <w:rFonts w:ascii="Times New Roman" w:hAnsi="Times New Roman" w:cs="Times New Roman"/>
          <w:sz w:val="24"/>
          <w:szCs w:val="24"/>
        </w:rPr>
        <w:t>and</w:t>
      </w:r>
      <w:r w:rsidRPr="0078079E">
        <w:rPr>
          <w:rFonts w:ascii="Times New Roman" w:hAnsi="Times New Roman" w:cs="Times New Roman"/>
          <w:i/>
          <w:iCs/>
          <w:sz w:val="24"/>
          <w:szCs w:val="24"/>
        </w:rPr>
        <w:t xml:space="preserve"> Penicillium atroventum</w:t>
      </w:r>
      <w:r w:rsidRPr="0078079E">
        <w:rPr>
          <w:rFonts w:ascii="Times New Roman" w:hAnsi="Times New Roman" w:cs="Times New Roman"/>
          <w:sz w:val="24"/>
          <w:szCs w:val="24"/>
        </w:rPr>
        <w:t xml:space="preserve"> suggest its efficacy in inhibiting the growth of these fungi. However, the lack of inhibition against </w:t>
      </w:r>
      <w:r w:rsidRPr="0078079E">
        <w:rPr>
          <w:rFonts w:ascii="Times New Roman" w:hAnsi="Times New Roman" w:cs="Times New Roman"/>
          <w:i/>
          <w:iCs/>
          <w:sz w:val="24"/>
          <w:szCs w:val="24"/>
        </w:rPr>
        <w:t>Murcortic spp</w:t>
      </w:r>
      <w:r w:rsidRPr="0078079E">
        <w:rPr>
          <w:rFonts w:ascii="Times New Roman" w:hAnsi="Times New Roman" w:cs="Times New Roman"/>
          <w:sz w:val="24"/>
          <w:szCs w:val="24"/>
        </w:rPr>
        <w:t xml:space="preserve"> with the ethanol extract suggests potential limitations in its effectiveness against this particular species. The differences in the antifungal activity between the two extracts could be attributed to variations in their chemical composition. Ethyl acetate and ethanol extracts may contain different bioactive compounds with varying solubility and efficacy against different fungal species. Additionally, the presence of specific secondary metabolites in each extract may contribute to their differential antifungal activity (Gizaw </w:t>
      </w:r>
      <w:r w:rsidRPr="0078079E">
        <w:rPr>
          <w:rFonts w:ascii="Times New Roman" w:hAnsi="Times New Roman" w:cs="Times New Roman"/>
          <w:i/>
          <w:iCs/>
          <w:sz w:val="24"/>
          <w:szCs w:val="24"/>
        </w:rPr>
        <w:t>et al.,</w:t>
      </w:r>
      <w:r w:rsidRPr="0078079E">
        <w:rPr>
          <w:rFonts w:ascii="Times New Roman" w:hAnsi="Times New Roman" w:cs="Times New Roman"/>
          <w:sz w:val="24"/>
          <w:szCs w:val="24"/>
        </w:rPr>
        <w:t xml:space="preserve"> 2022). </w:t>
      </w:r>
    </w:p>
    <w:p w14:paraId="03C0660D" w14:textId="77777777" w:rsidR="00A431CA" w:rsidRPr="0078079E" w:rsidRDefault="00A431CA" w:rsidP="00A028F1">
      <w:pPr>
        <w:spacing w:after="0" w:line="240" w:lineRule="auto"/>
        <w:jc w:val="both"/>
        <w:rPr>
          <w:rFonts w:ascii="Times New Roman" w:hAnsi="Times New Roman" w:cs="Times New Roman"/>
          <w:sz w:val="24"/>
          <w:szCs w:val="24"/>
        </w:rPr>
      </w:pPr>
    </w:p>
    <w:p w14:paraId="0717A943" w14:textId="77777777" w:rsidR="00A431CA" w:rsidRPr="0078079E" w:rsidRDefault="00A431CA" w:rsidP="00A028F1">
      <w:pPr>
        <w:spacing w:after="0" w:line="240" w:lineRule="auto"/>
        <w:contextualSpacing/>
        <w:jc w:val="both"/>
        <w:rPr>
          <w:rFonts w:ascii="Times New Roman" w:hAnsi="Times New Roman" w:cs="Times New Roman"/>
          <w:sz w:val="24"/>
          <w:szCs w:val="24"/>
        </w:rPr>
      </w:pPr>
    </w:p>
    <w:p w14:paraId="31C52D15" w14:textId="77777777" w:rsidR="00A431CA" w:rsidRPr="0078079E" w:rsidRDefault="00DB74BC" w:rsidP="00A028F1">
      <w:pPr>
        <w:spacing w:after="0" w:line="240" w:lineRule="auto"/>
        <w:contextualSpacing/>
        <w:jc w:val="both"/>
        <w:rPr>
          <w:rFonts w:ascii="Times New Roman" w:hAnsi="Times New Roman" w:cs="Times New Roman"/>
          <w:sz w:val="24"/>
          <w:szCs w:val="24"/>
        </w:rPr>
      </w:pPr>
      <w:r w:rsidRPr="0078079E">
        <w:rPr>
          <w:rFonts w:ascii="Times New Roman" w:hAnsi="Times New Roman" w:cs="Times New Roman"/>
          <w:sz w:val="24"/>
          <w:szCs w:val="24"/>
        </w:rPr>
        <w:t xml:space="preserve">Table 4: Antifungal activity study of leave extracts of </w:t>
      </w:r>
      <w:r w:rsidRPr="0078079E">
        <w:rPr>
          <w:rFonts w:ascii="Times New Roman" w:hAnsi="Times New Roman" w:cs="Times New Roman"/>
          <w:i/>
          <w:iCs/>
          <w:sz w:val="24"/>
          <w:szCs w:val="24"/>
        </w:rPr>
        <w:t xml:space="preserve">B. sapida </w:t>
      </w:r>
      <w:r w:rsidRPr="0078079E">
        <w:rPr>
          <w:rFonts w:ascii="Times New Roman" w:hAnsi="Times New Roman" w:cs="Times New Roman"/>
          <w:sz w:val="24"/>
          <w:szCs w:val="24"/>
        </w:rPr>
        <w:t>on clinical isolate.</w:t>
      </w:r>
      <w:bookmarkStart w:id="0" w:name="_Hlk158301375"/>
      <w:r w:rsidRPr="0078079E">
        <w:rPr>
          <w:rFonts w:ascii="Times New Roman" w:hAnsi="Times New Roman" w:cs="Times New Roman"/>
          <w:sz w:val="24"/>
          <w:szCs w:val="24"/>
        </w:rPr>
        <w:t xml:space="preserve"> </w:t>
      </w:r>
    </w:p>
    <w:bookmarkEnd w:id="0"/>
    <w:tbl>
      <w:tblPr>
        <w:tblStyle w:val="ListTable6Colorful1"/>
        <w:tblW w:w="0" w:type="auto"/>
        <w:shd w:val="clear" w:color="auto" w:fill="FFFFFF"/>
        <w:tblLook w:val="04A0" w:firstRow="1" w:lastRow="0" w:firstColumn="1" w:lastColumn="0" w:noHBand="0" w:noVBand="1"/>
      </w:tblPr>
      <w:tblGrid>
        <w:gridCol w:w="2520"/>
        <w:gridCol w:w="2880"/>
        <w:gridCol w:w="3150"/>
      </w:tblGrid>
      <w:tr w:rsidR="00A431CA" w:rsidRPr="0078079E" w14:paraId="14541D9D" w14:textId="77777777" w:rsidTr="00A431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single" w:sz="4" w:space="0" w:color="000000"/>
              <w:left w:val="nil"/>
              <w:right w:val="nil"/>
            </w:tcBorders>
            <w:shd w:val="clear" w:color="auto" w:fill="FFFFFF"/>
          </w:tcPr>
          <w:p w14:paraId="745F4BE1" w14:textId="77777777" w:rsidR="00A431CA" w:rsidRPr="0078079E" w:rsidRDefault="00A431CA" w:rsidP="00A028F1">
            <w:pPr>
              <w:contextualSpacing/>
              <w:jc w:val="both"/>
              <w:rPr>
                <w:rFonts w:ascii="Times New Roman" w:hAnsi="Times New Roman" w:cs="Times New Roman"/>
                <w:sz w:val="24"/>
                <w:szCs w:val="24"/>
              </w:rPr>
            </w:pPr>
          </w:p>
        </w:tc>
        <w:tc>
          <w:tcPr>
            <w:tcW w:w="6030" w:type="dxa"/>
            <w:gridSpan w:val="2"/>
            <w:tcBorders>
              <w:top w:val="single" w:sz="4" w:space="0" w:color="000000"/>
              <w:left w:val="nil"/>
              <w:right w:val="nil"/>
            </w:tcBorders>
            <w:shd w:val="clear" w:color="auto" w:fill="FFFFFF"/>
            <w:hideMark/>
          </w:tcPr>
          <w:p w14:paraId="06EEDAFF" w14:textId="77777777" w:rsidR="00A431CA" w:rsidRPr="0078079E" w:rsidRDefault="00DB74BC" w:rsidP="00A028F1">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b w:val="0"/>
                <w:bCs w:val="0"/>
                <w:sz w:val="24"/>
                <w:szCs w:val="24"/>
              </w:rPr>
              <w:t>Growth Inhibition (%)</w:t>
            </w:r>
          </w:p>
        </w:tc>
      </w:tr>
      <w:tr w:rsidR="00A431CA" w:rsidRPr="0078079E" w14:paraId="5F02A09F"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shd w:val="clear" w:color="auto" w:fill="FFFFFF"/>
            <w:hideMark/>
          </w:tcPr>
          <w:p w14:paraId="7A00D39E" w14:textId="77777777" w:rsidR="00A431CA" w:rsidRPr="0078079E" w:rsidRDefault="00DB74BC" w:rsidP="00A028F1">
            <w:pPr>
              <w:contextualSpacing/>
              <w:jc w:val="both"/>
              <w:rPr>
                <w:rFonts w:ascii="Times New Roman" w:hAnsi="Times New Roman" w:cs="Times New Roman"/>
                <w:sz w:val="24"/>
                <w:szCs w:val="24"/>
              </w:rPr>
            </w:pPr>
            <w:r w:rsidRPr="0078079E">
              <w:rPr>
                <w:rFonts w:ascii="Times New Roman" w:hAnsi="Times New Roman" w:cs="Times New Roman"/>
                <w:b w:val="0"/>
                <w:bCs w:val="0"/>
                <w:sz w:val="24"/>
                <w:szCs w:val="24"/>
              </w:rPr>
              <w:t>Organisms</w:t>
            </w:r>
          </w:p>
        </w:tc>
        <w:tc>
          <w:tcPr>
            <w:tcW w:w="2880" w:type="dxa"/>
            <w:tcBorders>
              <w:top w:val="nil"/>
              <w:left w:val="nil"/>
              <w:bottom w:val="nil"/>
              <w:right w:val="nil"/>
            </w:tcBorders>
            <w:shd w:val="clear" w:color="auto" w:fill="FFFFFF"/>
            <w:hideMark/>
          </w:tcPr>
          <w:p w14:paraId="0CC34E76" w14:textId="77777777" w:rsidR="00A431CA" w:rsidRPr="0078079E" w:rsidRDefault="00DB74BC" w:rsidP="00A028F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Ethyl acetate extract</w:t>
            </w:r>
          </w:p>
        </w:tc>
        <w:tc>
          <w:tcPr>
            <w:tcW w:w="3150" w:type="dxa"/>
            <w:tcBorders>
              <w:top w:val="nil"/>
              <w:left w:val="nil"/>
              <w:bottom w:val="nil"/>
              <w:right w:val="nil"/>
            </w:tcBorders>
            <w:shd w:val="clear" w:color="auto" w:fill="FFFFFF"/>
            <w:hideMark/>
          </w:tcPr>
          <w:p w14:paraId="3BA5B44C" w14:textId="77777777" w:rsidR="00A431CA" w:rsidRPr="0078079E" w:rsidRDefault="00DB74BC" w:rsidP="00A028F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Ethanol extract</w:t>
            </w:r>
          </w:p>
        </w:tc>
      </w:tr>
      <w:tr w:rsidR="00A431CA" w:rsidRPr="0078079E" w14:paraId="27663888" w14:textId="77777777" w:rsidTr="00A431CA">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shd w:val="clear" w:color="auto" w:fill="FFFFFF"/>
            <w:hideMark/>
          </w:tcPr>
          <w:p w14:paraId="02D8EBE0" w14:textId="77777777" w:rsidR="00A431CA" w:rsidRPr="0078079E" w:rsidRDefault="00DB74BC" w:rsidP="00A028F1">
            <w:pPr>
              <w:contextualSpacing/>
              <w:jc w:val="both"/>
              <w:rPr>
                <w:rFonts w:ascii="Times New Roman" w:hAnsi="Times New Roman" w:cs="Times New Roman"/>
                <w:i/>
                <w:iCs/>
                <w:sz w:val="24"/>
                <w:szCs w:val="24"/>
              </w:rPr>
            </w:pPr>
            <w:r w:rsidRPr="0078079E">
              <w:rPr>
                <w:rFonts w:ascii="Times New Roman" w:hAnsi="Times New Roman" w:cs="Times New Roman"/>
                <w:b w:val="0"/>
                <w:bCs w:val="0"/>
                <w:i/>
                <w:iCs/>
                <w:sz w:val="24"/>
                <w:szCs w:val="24"/>
              </w:rPr>
              <w:t>Aspergillus niger</w:t>
            </w:r>
          </w:p>
        </w:tc>
        <w:tc>
          <w:tcPr>
            <w:tcW w:w="2880" w:type="dxa"/>
            <w:tcBorders>
              <w:top w:val="nil"/>
              <w:left w:val="nil"/>
              <w:bottom w:val="nil"/>
              <w:right w:val="nil"/>
            </w:tcBorders>
            <w:shd w:val="clear" w:color="auto" w:fill="FFFFFF"/>
            <w:hideMark/>
          </w:tcPr>
          <w:p w14:paraId="56DDAA5E" w14:textId="77777777" w:rsidR="00A431CA" w:rsidRPr="0078079E" w:rsidRDefault="00DB74BC" w:rsidP="00A028F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89</w:t>
            </w:r>
          </w:p>
        </w:tc>
        <w:tc>
          <w:tcPr>
            <w:tcW w:w="3150" w:type="dxa"/>
            <w:tcBorders>
              <w:top w:val="nil"/>
              <w:left w:val="nil"/>
              <w:bottom w:val="nil"/>
              <w:right w:val="nil"/>
            </w:tcBorders>
            <w:shd w:val="clear" w:color="auto" w:fill="FFFFFF"/>
            <w:hideMark/>
          </w:tcPr>
          <w:p w14:paraId="10DDC89F" w14:textId="77777777" w:rsidR="00A431CA" w:rsidRPr="0078079E" w:rsidRDefault="00DB74BC" w:rsidP="00A028F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92</w:t>
            </w:r>
          </w:p>
        </w:tc>
      </w:tr>
      <w:tr w:rsidR="00A431CA" w:rsidRPr="0078079E" w14:paraId="5BCABC41" w14:textId="77777777" w:rsidTr="00A43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shd w:val="clear" w:color="auto" w:fill="FFFFFF"/>
            <w:hideMark/>
          </w:tcPr>
          <w:p w14:paraId="179378CC" w14:textId="77777777" w:rsidR="00A431CA" w:rsidRPr="0078079E" w:rsidRDefault="00DB74BC" w:rsidP="00A028F1">
            <w:pPr>
              <w:contextualSpacing/>
              <w:jc w:val="both"/>
              <w:rPr>
                <w:rFonts w:ascii="Times New Roman" w:hAnsi="Times New Roman" w:cs="Times New Roman"/>
                <w:i/>
                <w:iCs/>
                <w:sz w:val="24"/>
                <w:szCs w:val="24"/>
              </w:rPr>
            </w:pPr>
            <w:r w:rsidRPr="0078079E">
              <w:rPr>
                <w:rFonts w:ascii="Times New Roman" w:hAnsi="Times New Roman" w:cs="Times New Roman"/>
                <w:b w:val="0"/>
                <w:bCs w:val="0"/>
                <w:i/>
                <w:iCs/>
                <w:sz w:val="24"/>
                <w:szCs w:val="24"/>
              </w:rPr>
              <w:lastRenderedPageBreak/>
              <w:t>Aspergillus flavus</w:t>
            </w:r>
          </w:p>
        </w:tc>
        <w:tc>
          <w:tcPr>
            <w:tcW w:w="2880" w:type="dxa"/>
            <w:tcBorders>
              <w:top w:val="nil"/>
              <w:left w:val="nil"/>
              <w:bottom w:val="nil"/>
              <w:right w:val="nil"/>
            </w:tcBorders>
            <w:shd w:val="clear" w:color="auto" w:fill="FFFFFF"/>
            <w:hideMark/>
          </w:tcPr>
          <w:p w14:paraId="0F8DF737" w14:textId="77777777" w:rsidR="00A431CA" w:rsidRPr="0078079E" w:rsidRDefault="00DB74BC" w:rsidP="00A028F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92</w:t>
            </w:r>
          </w:p>
        </w:tc>
        <w:tc>
          <w:tcPr>
            <w:tcW w:w="3150" w:type="dxa"/>
            <w:tcBorders>
              <w:top w:val="nil"/>
              <w:left w:val="nil"/>
              <w:bottom w:val="nil"/>
              <w:right w:val="nil"/>
            </w:tcBorders>
            <w:shd w:val="clear" w:color="auto" w:fill="FFFFFF"/>
            <w:hideMark/>
          </w:tcPr>
          <w:p w14:paraId="5451A8EF" w14:textId="77777777" w:rsidR="00A431CA" w:rsidRPr="0078079E" w:rsidRDefault="00DB74BC" w:rsidP="00A028F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92</w:t>
            </w:r>
          </w:p>
        </w:tc>
      </w:tr>
      <w:tr w:rsidR="00A431CA" w:rsidRPr="0078079E" w14:paraId="095E40B9" w14:textId="77777777" w:rsidTr="00A431CA">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shd w:val="clear" w:color="auto" w:fill="FFFFFF"/>
          </w:tcPr>
          <w:p w14:paraId="0BA4E4E1" w14:textId="77777777" w:rsidR="00A431CA" w:rsidRPr="0078079E" w:rsidRDefault="00DB74BC" w:rsidP="00A028F1">
            <w:pPr>
              <w:contextualSpacing/>
              <w:jc w:val="both"/>
              <w:rPr>
                <w:rFonts w:ascii="Times New Roman" w:hAnsi="Times New Roman" w:cs="Times New Roman"/>
                <w:i/>
                <w:iCs/>
                <w:sz w:val="24"/>
                <w:szCs w:val="24"/>
              </w:rPr>
            </w:pPr>
            <w:r w:rsidRPr="0078079E">
              <w:rPr>
                <w:rFonts w:ascii="Times New Roman" w:hAnsi="Times New Roman" w:cs="Times New Roman"/>
                <w:b w:val="0"/>
                <w:bCs w:val="0"/>
                <w:i/>
                <w:iCs/>
                <w:sz w:val="24"/>
                <w:szCs w:val="24"/>
              </w:rPr>
              <w:t>Aspergillus fumigatus</w:t>
            </w:r>
          </w:p>
        </w:tc>
        <w:tc>
          <w:tcPr>
            <w:tcW w:w="2880" w:type="dxa"/>
            <w:tcBorders>
              <w:top w:val="nil"/>
              <w:left w:val="nil"/>
              <w:bottom w:val="nil"/>
              <w:right w:val="nil"/>
            </w:tcBorders>
            <w:shd w:val="clear" w:color="auto" w:fill="FFFFFF"/>
          </w:tcPr>
          <w:p w14:paraId="4FED485B" w14:textId="77777777" w:rsidR="00A431CA" w:rsidRPr="0078079E" w:rsidRDefault="00DB74BC" w:rsidP="00A028F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0</w:t>
            </w:r>
          </w:p>
        </w:tc>
        <w:tc>
          <w:tcPr>
            <w:tcW w:w="3150" w:type="dxa"/>
            <w:tcBorders>
              <w:top w:val="nil"/>
              <w:left w:val="nil"/>
              <w:bottom w:val="nil"/>
              <w:right w:val="nil"/>
            </w:tcBorders>
            <w:shd w:val="clear" w:color="auto" w:fill="FFFFFF"/>
          </w:tcPr>
          <w:p w14:paraId="5CFDA2E0" w14:textId="77777777" w:rsidR="00A431CA" w:rsidRPr="0078079E" w:rsidRDefault="00DB74BC" w:rsidP="00A028F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0</w:t>
            </w:r>
          </w:p>
        </w:tc>
      </w:tr>
      <w:tr w:rsidR="00A431CA" w:rsidRPr="0078079E" w14:paraId="10D45756" w14:textId="77777777" w:rsidTr="00A431CA">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shd w:val="clear" w:color="auto" w:fill="FFFFFF"/>
            <w:hideMark/>
          </w:tcPr>
          <w:p w14:paraId="7FE5A869" w14:textId="77777777" w:rsidR="00A431CA" w:rsidRPr="0078079E" w:rsidRDefault="00DB74BC" w:rsidP="00A028F1">
            <w:pPr>
              <w:contextualSpacing/>
              <w:jc w:val="both"/>
              <w:rPr>
                <w:rFonts w:ascii="Times New Roman" w:hAnsi="Times New Roman" w:cs="Times New Roman"/>
                <w:i/>
                <w:iCs/>
                <w:sz w:val="24"/>
                <w:szCs w:val="24"/>
              </w:rPr>
            </w:pPr>
            <w:r w:rsidRPr="0078079E">
              <w:rPr>
                <w:rFonts w:ascii="Times New Roman" w:hAnsi="Times New Roman" w:cs="Times New Roman"/>
                <w:b w:val="0"/>
                <w:bCs w:val="0"/>
                <w:i/>
                <w:iCs/>
                <w:sz w:val="24"/>
                <w:szCs w:val="24"/>
              </w:rPr>
              <w:t>Penicillium atroventum</w:t>
            </w:r>
          </w:p>
        </w:tc>
        <w:tc>
          <w:tcPr>
            <w:tcW w:w="2880" w:type="dxa"/>
            <w:tcBorders>
              <w:top w:val="nil"/>
              <w:left w:val="nil"/>
              <w:bottom w:val="nil"/>
              <w:right w:val="nil"/>
            </w:tcBorders>
            <w:shd w:val="clear" w:color="auto" w:fill="FFFFFF"/>
            <w:hideMark/>
          </w:tcPr>
          <w:p w14:paraId="287AAE9F" w14:textId="77777777" w:rsidR="00A431CA" w:rsidRPr="0078079E" w:rsidRDefault="00DB74BC" w:rsidP="00A028F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92</w:t>
            </w:r>
          </w:p>
        </w:tc>
        <w:tc>
          <w:tcPr>
            <w:tcW w:w="3150" w:type="dxa"/>
            <w:tcBorders>
              <w:top w:val="nil"/>
              <w:left w:val="nil"/>
              <w:bottom w:val="nil"/>
              <w:right w:val="nil"/>
            </w:tcBorders>
            <w:shd w:val="clear" w:color="auto" w:fill="FFFFFF"/>
            <w:hideMark/>
          </w:tcPr>
          <w:p w14:paraId="0589C196" w14:textId="77777777" w:rsidR="00A431CA" w:rsidRPr="0078079E" w:rsidRDefault="00DB74BC" w:rsidP="00A028F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90</w:t>
            </w:r>
          </w:p>
        </w:tc>
      </w:tr>
      <w:tr w:rsidR="00A431CA" w:rsidRPr="0078079E" w14:paraId="287A1B0D" w14:textId="77777777" w:rsidTr="00A431CA">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single" w:sz="4" w:space="0" w:color="000000"/>
              <w:right w:val="nil"/>
            </w:tcBorders>
            <w:shd w:val="clear" w:color="auto" w:fill="FFFFFF"/>
            <w:hideMark/>
          </w:tcPr>
          <w:p w14:paraId="3D27286D" w14:textId="77777777" w:rsidR="00A431CA" w:rsidRPr="0078079E" w:rsidRDefault="00DB74BC" w:rsidP="00A028F1">
            <w:pPr>
              <w:contextualSpacing/>
              <w:jc w:val="both"/>
              <w:rPr>
                <w:rFonts w:ascii="Times New Roman" w:hAnsi="Times New Roman" w:cs="Times New Roman"/>
                <w:i/>
                <w:iCs/>
                <w:sz w:val="24"/>
                <w:szCs w:val="24"/>
              </w:rPr>
            </w:pPr>
            <w:r w:rsidRPr="0078079E">
              <w:rPr>
                <w:rFonts w:ascii="Times New Roman" w:hAnsi="Times New Roman" w:cs="Times New Roman"/>
                <w:b w:val="0"/>
                <w:bCs w:val="0"/>
                <w:i/>
                <w:iCs/>
                <w:sz w:val="24"/>
                <w:szCs w:val="24"/>
              </w:rPr>
              <w:t>Murcortic spp</w:t>
            </w:r>
          </w:p>
        </w:tc>
        <w:tc>
          <w:tcPr>
            <w:tcW w:w="2880" w:type="dxa"/>
            <w:tcBorders>
              <w:top w:val="nil"/>
              <w:left w:val="nil"/>
              <w:bottom w:val="single" w:sz="4" w:space="0" w:color="000000"/>
              <w:right w:val="nil"/>
            </w:tcBorders>
            <w:shd w:val="clear" w:color="auto" w:fill="FFFFFF"/>
            <w:hideMark/>
          </w:tcPr>
          <w:p w14:paraId="2246C18E" w14:textId="77777777" w:rsidR="00A431CA" w:rsidRPr="0078079E" w:rsidRDefault="00DB74BC" w:rsidP="00A028F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90</w:t>
            </w:r>
          </w:p>
        </w:tc>
        <w:tc>
          <w:tcPr>
            <w:tcW w:w="3150" w:type="dxa"/>
            <w:tcBorders>
              <w:top w:val="nil"/>
              <w:left w:val="nil"/>
              <w:bottom w:val="single" w:sz="4" w:space="0" w:color="000000"/>
              <w:right w:val="nil"/>
            </w:tcBorders>
            <w:shd w:val="clear" w:color="auto" w:fill="FFFFFF"/>
            <w:hideMark/>
          </w:tcPr>
          <w:p w14:paraId="0F7C23E7" w14:textId="77777777" w:rsidR="00A431CA" w:rsidRPr="0078079E" w:rsidRDefault="00DB74BC" w:rsidP="00A028F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079E">
              <w:rPr>
                <w:rFonts w:ascii="Times New Roman" w:hAnsi="Times New Roman" w:cs="Times New Roman"/>
                <w:sz w:val="24"/>
                <w:szCs w:val="24"/>
              </w:rPr>
              <w:t>0</w:t>
            </w:r>
          </w:p>
        </w:tc>
      </w:tr>
    </w:tbl>
    <w:p w14:paraId="6F6C9C29" w14:textId="77777777" w:rsidR="00A431CA" w:rsidRPr="0078079E" w:rsidRDefault="00DB74BC" w:rsidP="00A028F1">
      <w:pPr>
        <w:spacing w:after="0" w:line="240" w:lineRule="auto"/>
        <w:contextualSpacing/>
        <w:rPr>
          <w:rFonts w:ascii="Times New Roman" w:hAnsi="Times New Roman" w:cs="Times New Roman"/>
          <w:sz w:val="24"/>
          <w:szCs w:val="24"/>
        </w:rPr>
      </w:pPr>
      <w:r w:rsidRPr="0078079E">
        <w:rPr>
          <w:rFonts w:ascii="Times New Roman" w:hAnsi="Times New Roman" w:cs="Times New Roman"/>
          <w:sz w:val="24"/>
          <w:szCs w:val="24"/>
        </w:rPr>
        <w:br w:type="textWrapping" w:clear="all"/>
      </w:r>
    </w:p>
    <w:p w14:paraId="34AFB3F3" w14:textId="77777777" w:rsidR="00A431CA" w:rsidRPr="0078079E" w:rsidRDefault="00DB74BC" w:rsidP="00A028F1">
      <w:pPr>
        <w:spacing w:after="0" w:line="240" w:lineRule="auto"/>
        <w:contextualSpacing/>
        <w:rPr>
          <w:rFonts w:ascii="Times New Roman" w:hAnsi="Times New Roman" w:cs="Times New Roman"/>
          <w:sz w:val="24"/>
          <w:szCs w:val="24"/>
        </w:rPr>
      </w:pPr>
      <w:r w:rsidRPr="0078079E">
        <w:rPr>
          <w:rFonts w:ascii="Times New Roman" w:hAnsi="Times New Roman" w:cs="Times New Roman"/>
          <w:noProof/>
          <w:sz w:val="24"/>
          <w:szCs w:val="24"/>
        </w:rPr>
        <w:drawing>
          <wp:inline distT="0" distB="0" distL="0" distR="0" wp14:anchorId="07759FC1" wp14:editId="467E6A62">
            <wp:extent cx="5807412" cy="1517015"/>
            <wp:effectExtent l="0" t="0" r="3175" b="6985"/>
            <wp:docPr id="103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12" cstate="print"/>
                    <a:srcRect/>
                    <a:stretch/>
                  </pic:blipFill>
                  <pic:spPr>
                    <a:xfrm>
                      <a:off x="0" y="0"/>
                      <a:ext cx="5807412" cy="1517015"/>
                    </a:xfrm>
                    <a:prstGeom prst="rect">
                      <a:avLst/>
                    </a:prstGeom>
                  </pic:spPr>
                </pic:pic>
              </a:graphicData>
            </a:graphic>
          </wp:inline>
        </w:drawing>
      </w:r>
    </w:p>
    <w:p w14:paraId="53975036" w14:textId="77777777" w:rsidR="00A431CA" w:rsidRPr="0078079E" w:rsidRDefault="00DB74BC" w:rsidP="00A028F1">
      <w:pPr>
        <w:spacing w:after="0" w:line="240" w:lineRule="auto"/>
        <w:contextualSpacing/>
        <w:jc w:val="center"/>
        <w:rPr>
          <w:rFonts w:ascii="Times New Roman" w:hAnsi="Times New Roman" w:cs="Times New Roman"/>
          <w:color w:val="ED0000"/>
          <w:sz w:val="24"/>
          <w:szCs w:val="24"/>
        </w:rPr>
      </w:pPr>
      <w:r w:rsidRPr="0078079E">
        <w:rPr>
          <w:rFonts w:ascii="Times New Roman" w:hAnsi="Times New Roman" w:cs="Times New Roman"/>
          <w:color w:val="ED0000"/>
          <w:sz w:val="24"/>
          <w:szCs w:val="24"/>
        </w:rPr>
        <w:t>a</w:t>
      </w:r>
    </w:p>
    <w:p w14:paraId="6EED06C6" w14:textId="77777777" w:rsidR="00A431CA" w:rsidRPr="0078079E" w:rsidRDefault="00DB74BC" w:rsidP="00A028F1">
      <w:pPr>
        <w:spacing w:after="0" w:line="240" w:lineRule="auto"/>
        <w:jc w:val="both"/>
        <w:rPr>
          <w:rFonts w:ascii="Times New Roman" w:hAnsi="Times New Roman" w:cs="Times New Roman"/>
          <w:sz w:val="24"/>
          <w:szCs w:val="24"/>
        </w:rPr>
      </w:pPr>
      <w:r w:rsidRPr="0078079E">
        <w:rPr>
          <w:rFonts w:ascii="Times New Roman" w:hAnsi="Times New Roman" w:cs="Times New Roman"/>
          <w:noProof/>
          <w:sz w:val="24"/>
          <w:szCs w:val="24"/>
        </w:rPr>
        <w:drawing>
          <wp:inline distT="0" distB="0" distL="0" distR="0" wp14:anchorId="7AC3FF13" wp14:editId="4C1D7510">
            <wp:extent cx="5722857" cy="1459149"/>
            <wp:effectExtent l="0" t="0" r="0" b="8255"/>
            <wp:docPr id="103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
                    <pic:cNvPicPr/>
                  </pic:nvPicPr>
                  <pic:blipFill>
                    <a:blip r:embed="rId13" cstate="print"/>
                    <a:srcRect/>
                    <a:stretch/>
                  </pic:blipFill>
                  <pic:spPr>
                    <a:xfrm>
                      <a:off x="0" y="0"/>
                      <a:ext cx="5722857" cy="1459149"/>
                    </a:xfrm>
                    <a:prstGeom prst="rect">
                      <a:avLst/>
                    </a:prstGeom>
                  </pic:spPr>
                </pic:pic>
              </a:graphicData>
            </a:graphic>
          </wp:inline>
        </w:drawing>
      </w:r>
    </w:p>
    <w:p w14:paraId="1629CDFF" w14:textId="77777777" w:rsidR="00A431CA" w:rsidRPr="0078079E" w:rsidRDefault="00A431CA" w:rsidP="00A028F1">
      <w:pPr>
        <w:spacing w:after="0" w:line="240" w:lineRule="auto"/>
        <w:jc w:val="both"/>
        <w:rPr>
          <w:rFonts w:ascii="Times New Roman" w:hAnsi="Times New Roman" w:cs="Times New Roman"/>
          <w:sz w:val="24"/>
          <w:szCs w:val="24"/>
        </w:rPr>
      </w:pPr>
    </w:p>
    <w:p w14:paraId="5CD0710C" w14:textId="77777777" w:rsidR="00A431CA" w:rsidRPr="0078079E" w:rsidRDefault="00DB74BC" w:rsidP="00A028F1">
      <w:pPr>
        <w:spacing w:after="0" w:line="240" w:lineRule="auto"/>
        <w:contextualSpacing/>
        <w:jc w:val="center"/>
        <w:rPr>
          <w:rFonts w:ascii="Times New Roman" w:hAnsi="Times New Roman" w:cs="Times New Roman"/>
          <w:color w:val="ED0000"/>
          <w:sz w:val="24"/>
          <w:szCs w:val="24"/>
        </w:rPr>
      </w:pPr>
      <w:r w:rsidRPr="0078079E">
        <w:rPr>
          <w:rFonts w:ascii="Times New Roman" w:hAnsi="Times New Roman" w:cs="Times New Roman"/>
          <w:color w:val="ED0000"/>
          <w:sz w:val="24"/>
          <w:szCs w:val="24"/>
        </w:rPr>
        <w:t>b</w:t>
      </w:r>
    </w:p>
    <w:p w14:paraId="438DC927" w14:textId="77777777" w:rsidR="00A431CA" w:rsidRPr="0078079E" w:rsidRDefault="00A431CA" w:rsidP="00A028F1">
      <w:pPr>
        <w:spacing w:after="0" w:line="240" w:lineRule="auto"/>
        <w:jc w:val="both"/>
        <w:rPr>
          <w:rFonts w:ascii="Times New Roman" w:hAnsi="Times New Roman" w:cs="Times New Roman"/>
          <w:b/>
          <w:bCs/>
          <w:sz w:val="24"/>
          <w:szCs w:val="24"/>
        </w:rPr>
      </w:pPr>
    </w:p>
    <w:p w14:paraId="316AB74F" w14:textId="77777777" w:rsidR="00A431CA" w:rsidRPr="0078079E" w:rsidRDefault="00DB74BC" w:rsidP="00A028F1">
      <w:pPr>
        <w:spacing w:after="0" w:line="240" w:lineRule="auto"/>
        <w:jc w:val="center"/>
        <w:rPr>
          <w:rFonts w:ascii="Times New Roman" w:hAnsi="Times New Roman" w:cs="Times New Roman"/>
          <w:sz w:val="24"/>
          <w:szCs w:val="24"/>
        </w:rPr>
      </w:pPr>
      <w:r w:rsidRPr="0078079E">
        <w:rPr>
          <w:rFonts w:ascii="Times New Roman" w:hAnsi="Times New Roman" w:cs="Times New Roman"/>
          <w:sz w:val="24"/>
          <w:szCs w:val="24"/>
        </w:rPr>
        <w:t>Figure 4a and 4b: Zone of inhibition of extracts against selected fungi strains</w:t>
      </w:r>
    </w:p>
    <w:p w14:paraId="660718E1" w14:textId="77777777" w:rsidR="00A431CA" w:rsidRPr="0078079E" w:rsidRDefault="00A431CA" w:rsidP="00A028F1">
      <w:pPr>
        <w:spacing w:line="240" w:lineRule="auto"/>
        <w:jc w:val="both"/>
        <w:rPr>
          <w:rFonts w:ascii="Times New Roman" w:hAnsi="Times New Roman" w:cs="Times New Roman"/>
          <w:b/>
          <w:bCs/>
          <w:sz w:val="24"/>
          <w:szCs w:val="24"/>
        </w:rPr>
      </w:pPr>
    </w:p>
    <w:p w14:paraId="39525F02" w14:textId="77777777" w:rsidR="00A431CA" w:rsidRPr="0078079E" w:rsidRDefault="00DB74BC" w:rsidP="00A028F1">
      <w:pPr>
        <w:spacing w:line="240" w:lineRule="auto"/>
        <w:jc w:val="both"/>
        <w:rPr>
          <w:rFonts w:ascii="Times New Roman" w:hAnsi="Times New Roman" w:cs="Times New Roman"/>
          <w:b/>
          <w:bCs/>
          <w:sz w:val="24"/>
          <w:szCs w:val="24"/>
        </w:rPr>
      </w:pPr>
      <w:r w:rsidRPr="0078079E">
        <w:rPr>
          <w:rFonts w:ascii="Times New Roman" w:hAnsi="Times New Roman" w:cs="Times New Roman"/>
          <w:b/>
          <w:bCs/>
          <w:sz w:val="24"/>
          <w:szCs w:val="24"/>
        </w:rPr>
        <w:t xml:space="preserve">CONCLUSIONS </w:t>
      </w:r>
    </w:p>
    <w:p w14:paraId="28139F74" w14:textId="77777777" w:rsidR="00A431CA" w:rsidRPr="0078079E" w:rsidRDefault="00DB74BC" w:rsidP="00A028F1">
      <w:pPr>
        <w:spacing w:line="240" w:lineRule="auto"/>
        <w:jc w:val="both"/>
        <w:rPr>
          <w:rFonts w:ascii="Times New Roman" w:hAnsi="Times New Roman" w:cs="Times New Roman"/>
          <w:sz w:val="24"/>
          <w:szCs w:val="24"/>
        </w:rPr>
      </w:pPr>
      <w:r w:rsidRPr="0078079E">
        <w:rPr>
          <w:rFonts w:ascii="Times New Roman" w:hAnsi="Times New Roman" w:cs="Times New Roman"/>
          <w:sz w:val="24"/>
          <w:szCs w:val="24"/>
        </w:rPr>
        <w:t xml:space="preserve">The study demonstrates that the ethanolic extract of </w:t>
      </w:r>
      <w:r w:rsidRPr="0078079E">
        <w:rPr>
          <w:rFonts w:ascii="Times New Roman" w:eastAsia="Times New Roman" w:hAnsi="Times New Roman" w:cs="Times New Roman"/>
          <w:i/>
          <w:iCs/>
          <w:kern w:val="0"/>
          <w:sz w:val="24"/>
          <w:szCs w:val="24"/>
          <w14:ligatures w14:val="none"/>
        </w:rPr>
        <w:t xml:space="preserve">Blighia sapida </w:t>
      </w:r>
      <w:r w:rsidRPr="0078079E">
        <w:rPr>
          <w:rFonts w:ascii="Times New Roman" w:eastAsia="Times New Roman" w:hAnsi="Times New Roman" w:cs="Times New Roman"/>
          <w:kern w:val="0"/>
          <w:sz w:val="24"/>
          <w:szCs w:val="24"/>
          <w14:ligatures w14:val="none"/>
        </w:rPr>
        <w:t>leaves</w:t>
      </w:r>
      <w:r w:rsidRPr="0078079E">
        <w:rPr>
          <w:rFonts w:ascii="Times New Roman" w:eastAsia="Times New Roman" w:hAnsi="Times New Roman" w:cs="Times New Roman"/>
          <w:b/>
          <w:bCs/>
          <w:kern w:val="0"/>
          <w:sz w:val="24"/>
          <w:szCs w:val="24"/>
          <w14:ligatures w14:val="none"/>
        </w:rPr>
        <w:t xml:space="preserve"> </w:t>
      </w:r>
      <w:r w:rsidRPr="0078079E">
        <w:rPr>
          <w:rFonts w:ascii="Times New Roman" w:hAnsi="Times New Roman" w:cs="Times New Roman"/>
          <w:sz w:val="24"/>
          <w:szCs w:val="24"/>
        </w:rPr>
        <w:t>is the most effective in terms of extract yield, antioxidant activity, and antimicrobial properties compared to extracts obtained using ethyl acetate and hexane. The ethanolic extract exhibited the highest TPC and TFC, as well as the lowest IC</w:t>
      </w:r>
      <w:r w:rsidRPr="0078079E">
        <w:rPr>
          <w:rFonts w:ascii="Times New Roman" w:hAnsi="Times New Roman" w:cs="Times New Roman"/>
          <w:sz w:val="24"/>
          <w:szCs w:val="24"/>
          <w:vertAlign w:val="subscript"/>
        </w:rPr>
        <w:t>50</w:t>
      </w:r>
      <w:r w:rsidRPr="0078079E">
        <w:rPr>
          <w:rFonts w:ascii="Times New Roman" w:hAnsi="Times New Roman" w:cs="Times New Roman"/>
          <w:sz w:val="24"/>
          <w:szCs w:val="24"/>
        </w:rPr>
        <w:t xml:space="preserve"> value in the DPPH and FRAP radical scavenging assay, indicating strong antioxidant potential. Additionally, it was the only extract showing significant antimicrobial activity against Proteus vulgaris, Pseudomonas aeruginosa, and Staphylococcus aureus. These findings highlight the methanolic extract of Juglans regia kernels as a promising source of natural antioxidants and antimicrobial agents</w:t>
      </w:r>
    </w:p>
    <w:p w14:paraId="13D8E2CF" w14:textId="77777777" w:rsidR="00A431CA" w:rsidRPr="0078079E" w:rsidRDefault="00A431CA" w:rsidP="00A028F1">
      <w:pPr>
        <w:spacing w:line="240" w:lineRule="auto"/>
        <w:jc w:val="both"/>
        <w:rPr>
          <w:rFonts w:ascii="Times New Roman" w:hAnsi="Times New Roman" w:cs="Times New Roman"/>
          <w:b/>
          <w:bCs/>
          <w:sz w:val="24"/>
          <w:szCs w:val="24"/>
        </w:rPr>
      </w:pPr>
    </w:p>
    <w:p w14:paraId="0281E57C" w14:textId="77777777" w:rsidR="00A431CA" w:rsidRPr="0078079E" w:rsidRDefault="00A431CA" w:rsidP="00A028F1">
      <w:pPr>
        <w:spacing w:line="240" w:lineRule="auto"/>
        <w:jc w:val="both"/>
        <w:rPr>
          <w:rFonts w:ascii="Times New Roman" w:hAnsi="Times New Roman" w:cs="Times New Roman"/>
          <w:b/>
          <w:bCs/>
          <w:sz w:val="24"/>
          <w:szCs w:val="24"/>
        </w:rPr>
      </w:pPr>
    </w:p>
    <w:p w14:paraId="4C4D880F" w14:textId="77777777" w:rsidR="00A431CA" w:rsidRPr="0078079E" w:rsidRDefault="00A431CA" w:rsidP="00A028F1">
      <w:pPr>
        <w:spacing w:line="240" w:lineRule="auto"/>
        <w:jc w:val="both"/>
        <w:rPr>
          <w:rFonts w:ascii="Times New Roman" w:hAnsi="Times New Roman" w:cs="Times New Roman"/>
          <w:b/>
          <w:bCs/>
          <w:sz w:val="24"/>
          <w:szCs w:val="24"/>
        </w:rPr>
      </w:pPr>
    </w:p>
    <w:p w14:paraId="55698243" w14:textId="77777777" w:rsidR="00A431CA" w:rsidRPr="0078079E" w:rsidRDefault="00A431CA" w:rsidP="00A028F1">
      <w:pPr>
        <w:spacing w:line="240" w:lineRule="auto"/>
        <w:jc w:val="both"/>
        <w:rPr>
          <w:rFonts w:ascii="Times New Roman" w:hAnsi="Times New Roman" w:cs="Times New Roman"/>
          <w:b/>
          <w:bCs/>
          <w:sz w:val="24"/>
          <w:szCs w:val="24"/>
        </w:rPr>
      </w:pPr>
    </w:p>
    <w:p w14:paraId="4BB73AE0" w14:textId="77777777" w:rsidR="00A431CA" w:rsidRPr="0078079E" w:rsidRDefault="00A431CA" w:rsidP="00A028F1">
      <w:pPr>
        <w:spacing w:line="240" w:lineRule="auto"/>
        <w:jc w:val="both"/>
        <w:rPr>
          <w:rFonts w:ascii="Times New Roman" w:hAnsi="Times New Roman" w:cs="Times New Roman"/>
          <w:b/>
          <w:bCs/>
          <w:sz w:val="24"/>
          <w:szCs w:val="24"/>
        </w:rPr>
      </w:pPr>
    </w:p>
    <w:p w14:paraId="4F5A8ADA" w14:textId="77777777" w:rsidR="00A431CA" w:rsidRPr="0078079E" w:rsidRDefault="00A431CA" w:rsidP="00A028F1">
      <w:pPr>
        <w:spacing w:line="240" w:lineRule="auto"/>
        <w:jc w:val="both"/>
        <w:rPr>
          <w:rFonts w:ascii="Times New Roman" w:hAnsi="Times New Roman" w:cs="Times New Roman"/>
          <w:b/>
          <w:bCs/>
          <w:sz w:val="24"/>
          <w:szCs w:val="24"/>
        </w:rPr>
      </w:pPr>
    </w:p>
    <w:p w14:paraId="5F8DA11D" w14:textId="77777777" w:rsidR="00A431CA" w:rsidRPr="0078079E" w:rsidRDefault="00A431CA" w:rsidP="00A028F1">
      <w:pPr>
        <w:spacing w:line="240" w:lineRule="auto"/>
        <w:jc w:val="both"/>
        <w:rPr>
          <w:rFonts w:ascii="Times New Roman" w:hAnsi="Times New Roman" w:cs="Times New Roman"/>
          <w:b/>
          <w:bCs/>
          <w:sz w:val="24"/>
          <w:szCs w:val="24"/>
        </w:rPr>
      </w:pPr>
    </w:p>
    <w:p w14:paraId="576AC028" w14:textId="77777777" w:rsidR="00A431CA" w:rsidRPr="0078079E" w:rsidRDefault="00A431CA" w:rsidP="00A028F1">
      <w:pPr>
        <w:spacing w:line="240" w:lineRule="auto"/>
        <w:rPr>
          <w:rFonts w:ascii="Times New Roman" w:hAnsi="Times New Roman" w:cs="Times New Roman"/>
          <w:b/>
          <w:bCs/>
          <w:sz w:val="24"/>
          <w:szCs w:val="24"/>
        </w:rPr>
      </w:pPr>
    </w:p>
    <w:p w14:paraId="355AAA94" w14:textId="77777777" w:rsidR="00A431CA" w:rsidRPr="0078079E" w:rsidRDefault="00DB74BC" w:rsidP="00A028F1">
      <w:pPr>
        <w:spacing w:line="240" w:lineRule="auto"/>
        <w:jc w:val="center"/>
        <w:rPr>
          <w:rFonts w:ascii="Times New Roman" w:hAnsi="Times New Roman" w:cs="Times New Roman"/>
          <w:b/>
          <w:bCs/>
          <w:sz w:val="24"/>
          <w:szCs w:val="24"/>
        </w:rPr>
      </w:pPr>
      <w:r w:rsidRPr="0078079E">
        <w:rPr>
          <w:rFonts w:ascii="Times New Roman" w:hAnsi="Times New Roman" w:cs="Times New Roman"/>
          <w:b/>
          <w:bCs/>
          <w:sz w:val="24"/>
          <w:szCs w:val="24"/>
        </w:rPr>
        <w:t>REFERENCES</w:t>
      </w:r>
    </w:p>
    <w:p w14:paraId="724EC6C1" w14:textId="77777777" w:rsidR="00A431CA" w:rsidRPr="0078079E" w:rsidRDefault="00A431CA" w:rsidP="00A028F1">
      <w:pPr>
        <w:pStyle w:val="NormalWeb"/>
        <w:spacing w:before="0" w:beforeAutospacing="0" w:after="0" w:afterAutospacing="0"/>
        <w:jc w:val="both"/>
        <w:rPr>
          <w:color w:val="0563C1"/>
          <w:u w:val="single"/>
        </w:rPr>
      </w:pPr>
    </w:p>
    <w:p w14:paraId="532BD5E5" w14:textId="77777777" w:rsidR="00A431CA" w:rsidRPr="0078079E" w:rsidRDefault="00DB74BC" w:rsidP="00A028F1">
      <w:pPr>
        <w:pStyle w:val="NormalWeb"/>
        <w:spacing w:before="0" w:beforeAutospacing="0" w:after="0" w:afterAutospacing="0"/>
        <w:ind w:left="720" w:hanging="720"/>
        <w:jc w:val="both"/>
      </w:pPr>
      <w:r w:rsidRPr="0078079E">
        <w:t xml:space="preserve">Abba, Y. B., Salisu, A. G., &amp; Rukaiyat, M. S. (2018). Comparative yield and characterization of flavonoids from the stem back and root of Blighia sapida. </w:t>
      </w:r>
      <w:r w:rsidRPr="0078079E">
        <w:rPr>
          <w:i/>
          <w:iCs/>
        </w:rPr>
        <w:t>Bayero Journal of Pure and Applied Sciences</w:t>
      </w:r>
      <w:r w:rsidRPr="0078079E">
        <w:t xml:space="preserve">, </w:t>
      </w:r>
      <w:r w:rsidRPr="0078079E">
        <w:rPr>
          <w:i/>
          <w:iCs/>
        </w:rPr>
        <w:t>10</w:t>
      </w:r>
      <w:r w:rsidRPr="0078079E">
        <w:t xml:space="preserve">(1), 265. </w:t>
      </w:r>
      <w:hyperlink r:id="rId14" w:history="1">
        <w:r w:rsidRPr="0078079E">
          <w:rPr>
            <w:rStyle w:val="Hyperlink"/>
          </w:rPr>
          <w:t>https://doi.org/10.4314/bajopas.v10i1.53s</w:t>
        </w:r>
      </w:hyperlink>
    </w:p>
    <w:p w14:paraId="53B98EBA" w14:textId="77777777" w:rsidR="00A431CA" w:rsidRPr="0078079E" w:rsidRDefault="00A431CA" w:rsidP="00A028F1">
      <w:pPr>
        <w:pStyle w:val="NormalWeb"/>
        <w:spacing w:before="0" w:beforeAutospacing="0" w:after="0" w:afterAutospacing="0"/>
        <w:ind w:left="720" w:hanging="720"/>
        <w:jc w:val="both"/>
      </w:pPr>
    </w:p>
    <w:p w14:paraId="10A55BED" w14:textId="77777777" w:rsidR="00A431CA" w:rsidRPr="0078079E" w:rsidRDefault="00DB74BC" w:rsidP="00A028F1">
      <w:pPr>
        <w:pStyle w:val="NormalWeb"/>
        <w:spacing w:before="0" w:beforeAutospacing="0" w:after="0" w:afterAutospacing="0"/>
        <w:ind w:left="720" w:hanging="720"/>
        <w:jc w:val="both"/>
      </w:pPr>
      <w:r w:rsidRPr="0078079E">
        <w:t xml:space="preserve">Adekola, M. B., Areola, J. O., Fagbohun, O. F., Asaolu, F. T., Ogundepo, G. E., Fajobi, A. O., &amp; Babalola, O. O. (2022). In-vitro antioxidant and anti-inflammatory activities of ethanol stem-bark extract of Blighia sapida K.D. Koenig. </w:t>
      </w:r>
      <w:r w:rsidRPr="0078079E">
        <w:rPr>
          <w:i/>
          <w:iCs/>
        </w:rPr>
        <w:t>Journal of Pharmaceutical Analysis</w:t>
      </w:r>
      <w:r w:rsidRPr="0078079E">
        <w:t xml:space="preserve">, </w:t>
      </w:r>
      <w:r w:rsidRPr="0078079E">
        <w:rPr>
          <w:i/>
          <w:iCs/>
        </w:rPr>
        <w:t>12</w:t>
      </w:r>
      <w:r w:rsidRPr="0078079E">
        <w:t xml:space="preserve">(2), 350–354. </w:t>
      </w:r>
      <w:hyperlink r:id="rId15" w:history="1">
        <w:r w:rsidRPr="0078079E">
          <w:rPr>
            <w:rStyle w:val="Hyperlink"/>
          </w:rPr>
          <w:t>https://doi.org/10.1016/j.jpha.2021.04.002</w:t>
        </w:r>
      </w:hyperlink>
    </w:p>
    <w:p w14:paraId="32C44B38" w14:textId="77777777" w:rsidR="00A431CA" w:rsidRPr="0078079E" w:rsidRDefault="00A431CA" w:rsidP="00A028F1">
      <w:pPr>
        <w:pStyle w:val="NormalWeb"/>
        <w:spacing w:before="0" w:beforeAutospacing="0" w:after="0" w:afterAutospacing="0"/>
        <w:ind w:left="720" w:hanging="720"/>
        <w:jc w:val="both"/>
      </w:pPr>
    </w:p>
    <w:p w14:paraId="2F867F0F"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Adepoju, A. J., Esan, A. O., Olawoore, I. T., Ibikunle, G. J., &amp; Adepoju, V. O. (2024). Nauclea latifolia Stem Bark Extracts: Potentially Effective Source of Antibacterial, Antioxidant, Antidiabetic and Anti-Inflammatory Compounds. </w:t>
      </w:r>
      <w:r w:rsidRPr="0078079E">
        <w:rPr>
          <w:i/>
          <w:iCs/>
        </w:rPr>
        <w:t>Journal of Applied Science and Environmental Management</w:t>
      </w:r>
      <w:r w:rsidRPr="0078079E">
        <w:t xml:space="preserve">, </w:t>
      </w:r>
      <w:r w:rsidRPr="0078079E">
        <w:rPr>
          <w:i/>
          <w:iCs/>
        </w:rPr>
        <w:t>28</w:t>
      </w:r>
      <w:r w:rsidRPr="0078079E">
        <w:t xml:space="preserve">(1), 49–59. </w:t>
      </w:r>
      <w:hyperlink r:id="rId16" w:history="1">
        <w:r w:rsidRPr="0078079E">
          <w:rPr>
            <w:rStyle w:val="Hyperlink"/>
          </w:rPr>
          <w:t>https://doi.org/10.4314/jasem.v28i1.6</w:t>
        </w:r>
      </w:hyperlink>
    </w:p>
    <w:p w14:paraId="55C52283" w14:textId="77777777" w:rsidR="00A431CA" w:rsidRPr="0078079E" w:rsidRDefault="00A431CA" w:rsidP="00A028F1">
      <w:pPr>
        <w:pStyle w:val="NormalWeb"/>
        <w:spacing w:before="0" w:beforeAutospacing="0" w:after="0" w:afterAutospacing="0"/>
        <w:ind w:left="720" w:hanging="720"/>
        <w:jc w:val="both"/>
        <w:rPr>
          <w:rStyle w:val="url"/>
        </w:rPr>
      </w:pPr>
    </w:p>
    <w:p w14:paraId="06C9E10C"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Adeyeni, E. G., Ayodele, E. T., Olawoore, I. T., Adeyeni., R. A. (2024). Biosynthesis and Characterization of Silver Nano-Composites of Enantia chlorantha Extracts. </w:t>
      </w:r>
      <w:r w:rsidRPr="0078079E">
        <w:rPr>
          <w:i/>
          <w:iCs/>
        </w:rPr>
        <w:t>Journal of Applied Science and Environmental Management</w:t>
      </w:r>
      <w:r w:rsidRPr="0078079E">
        <w:t xml:space="preserve">, </w:t>
      </w:r>
      <w:r w:rsidRPr="0078079E">
        <w:rPr>
          <w:i/>
          <w:iCs/>
        </w:rPr>
        <w:t>28</w:t>
      </w:r>
      <w:r w:rsidRPr="0078079E">
        <w:t xml:space="preserve">(3), 803–813. </w:t>
      </w:r>
      <w:hyperlink r:id="rId17" w:history="1">
        <w:r w:rsidRPr="0078079E">
          <w:rPr>
            <w:rStyle w:val="Hyperlink"/>
          </w:rPr>
          <w:t>https://doi.org/10.4314/jasem.v28i3.22</w:t>
        </w:r>
      </w:hyperlink>
    </w:p>
    <w:p w14:paraId="09CB3A97" w14:textId="77777777" w:rsidR="00A431CA" w:rsidRPr="0078079E" w:rsidRDefault="00A431CA" w:rsidP="00A028F1">
      <w:pPr>
        <w:pStyle w:val="NormalWeb"/>
        <w:spacing w:before="0" w:beforeAutospacing="0" w:after="0" w:afterAutospacing="0"/>
        <w:ind w:left="720" w:hanging="720"/>
        <w:jc w:val="both"/>
      </w:pPr>
    </w:p>
    <w:p w14:paraId="5493734B"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Akinmoladun, A. C., Obuotor, E. M., &amp; Farombi, E. O. (2010). Evaluation of antioxidant and free radical scavenging capacities of some Nigerian indigenous medicinal plants. </w:t>
      </w:r>
      <w:r w:rsidRPr="0078079E">
        <w:rPr>
          <w:i/>
          <w:iCs/>
        </w:rPr>
        <w:t>Journal of Medicinal Food</w:t>
      </w:r>
      <w:r w:rsidRPr="0078079E">
        <w:t xml:space="preserve">, </w:t>
      </w:r>
      <w:r w:rsidRPr="0078079E">
        <w:rPr>
          <w:i/>
          <w:iCs/>
        </w:rPr>
        <w:t>13</w:t>
      </w:r>
      <w:r w:rsidRPr="0078079E">
        <w:t xml:space="preserve">(2), 444–451. </w:t>
      </w:r>
      <w:hyperlink r:id="rId18" w:history="1">
        <w:r w:rsidRPr="0078079E">
          <w:rPr>
            <w:rStyle w:val="Hyperlink"/>
          </w:rPr>
          <w:t>https://doi.org/10.1089/jmf.2008.0292</w:t>
        </w:r>
      </w:hyperlink>
    </w:p>
    <w:p w14:paraId="37BAE62E" w14:textId="77777777" w:rsidR="00A431CA" w:rsidRPr="0078079E" w:rsidRDefault="00A431CA" w:rsidP="00A028F1">
      <w:pPr>
        <w:pStyle w:val="NormalWeb"/>
        <w:spacing w:before="0" w:beforeAutospacing="0" w:after="0" w:afterAutospacing="0"/>
        <w:ind w:left="720" w:hanging="720"/>
        <w:jc w:val="both"/>
        <w:rPr>
          <w:rStyle w:val="url"/>
        </w:rPr>
      </w:pPr>
    </w:p>
    <w:p w14:paraId="181D35B3"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Aloko, S., Oluwasesan, B., &amp; Chukwuemeka, A. P. (2019). Blighia sapida K.D. Koenig: A review on its phytochemistry, pharmacological and nutritional properties. </w:t>
      </w:r>
      <w:r w:rsidRPr="0078079E">
        <w:rPr>
          <w:i/>
          <w:iCs/>
        </w:rPr>
        <w:t>Journal of Ethnopharmacology</w:t>
      </w:r>
      <w:r w:rsidRPr="0078079E">
        <w:t xml:space="preserve">, </w:t>
      </w:r>
      <w:r w:rsidRPr="0078079E">
        <w:rPr>
          <w:i/>
          <w:iCs/>
        </w:rPr>
        <w:t>235</w:t>
      </w:r>
      <w:r w:rsidRPr="0078079E">
        <w:t xml:space="preserve">, 446–459. </w:t>
      </w:r>
      <w:hyperlink r:id="rId19" w:history="1">
        <w:r w:rsidRPr="0078079E">
          <w:rPr>
            <w:rStyle w:val="Hyperlink"/>
          </w:rPr>
          <w:t>https://doi.org/10.1016/j.jep.2019.01.017</w:t>
        </w:r>
      </w:hyperlink>
    </w:p>
    <w:p w14:paraId="33A1D657" w14:textId="77777777" w:rsidR="00A431CA" w:rsidRPr="0078079E" w:rsidRDefault="00A431CA" w:rsidP="00A028F1">
      <w:pPr>
        <w:pStyle w:val="NormalWeb"/>
        <w:spacing w:before="0" w:beforeAutospacing="0" w:after="0" w:afterAutospacing="0"/>
        <w:jc w:val="both"/>
      </w:pPr>
    </w:p>
    <w:p w14:paraId="62A897ED" w14:textId="77777777" w:rsidR="00A431CA" w:rsidRPr="0078079E" w:rsidRDefault="00DB74BC" w:rsidP="00A028F1">
      <w:pPr>
        <w:pStyle w:val="NormalWeb"/>
        <w:spacing w:before="0" w:beforeAutospacing="0" w:after="0" w:afterAutospacing="0"/>
        <w:ind w:left="720" w:hanging="720"/>
        <w:jc w:val="both"/>
      </w:pPr>
      <w:r w:rsidRPr="0078079E">
        <w:t xml:space="preserve">Anupama, R., &amp; Sunilkumar, T. (2019). Phytochemical analysis and nutraceutical studies on aril of Blighia sapida K.D Koenig. </w:t>
      </w:r>
      <w:r w:rsidRPr="0078079E">
        <w:rPr>
          <w:i/>
          <w:iCs/>
        </w:rPr>
        <w:t>Journal of Pharmacognosy and Phytochemistry</w:t>
      </w:r>
      <w:r w:rsidRPr="0078079E">
        <w:t xml:space="preserve">, </w:t>
      </w:r>
      <w:r w:rsidRPr="0078079E">
        <w:rPr>
          <w:i/>
          <w:iCs/>
        </w:rPr>
        <w:t>8</w:t>
      </w:r>
      <w:r w:rsidRPr="0078079E">
        <w:t xml:space="preserve">(4), 34–40. </w:t>
      </w:r>
      <w:hyperlink r:id="rId20" w:history="1">
        <w:r w:rsidRPr="0078079E">
          <w:rPr>
            <w:rStyle w:val="Hyperlink"/>
          </w:rPr>
          <w:t>https://www.phytojournal.com/archives/2019/vol8issue4/PartA/8-1-596-997.pdf</w:t>
        </w:r>
      </w:hyperlink>
    </w:p>
    <w:p w14:paraId="78D95482" w14:textId="77777777" w:rsidR="00A431CA" w:rsidRPr="0078079E" w:rsidRDefault="00A431CA" w:rsidP="00A028F1">
      <w:pPr>
        <w:pStyle w:val="NormalWeb"/>
        <w:spacing w:before="0" w:beforeAutospacing="0" w:after="0" w:afterAutospacing="0"/>
        <w:ind w:left="720" w:hanging="720"/>
        <w:jc w:val="both"/>
      </w:pPr>
    </w:p>
    <w:p w14:paraId="448BF144" w14:textId="77777777" w:rsidR="00A431CA" w:rsidRPr="0078079E" w:rsidRDefault="00DB74BC" w:rsidP="00A028F1">
      <w:pPr>
        <w:pStyle w:val="NormalWeb"/>
        <w:spacing w:before="0" w:beforeAutospacing="0" w:after="0" w:afterAutospacing="0"/>
        <w:ind w:left="720" w:hanging="720"/>
        <w:jc w:val="both"/>
        <w:rPr>
          <w:rStyle w:val="url"/>
        </w:rPr>
      </w:pPr>
      <w:r w:rsidRPr="0078079E">
        <w:t xml:space="preserve">Boakye‐Yiadom, M., Kumadoh, D., Adase, E., &amp; Woode, E. (2021). Medicinal Plants with Prospective Benefits in the Management of Peptic Ulcer Diseases in Ghana. </w:t>
      </w:r>
      <w:r w:rsidRPr="0078079E">
        <w:rPr>
          <w:i/>
          <w:iCs/>
        </w:rPr>
        <w:t>BioMed Research International</w:t>
      </w:r>
      <w:r w:rsidRPr="0078079E">
        <w:t xml:space="preserve">, </w:t>
      </w:r>
      <w:r w:rsidRPr="0078079E">
        <w:rPr>
          <w:i/>
          <w:iCs/>
        </w:rPr>
        <w:t>2021</w:t>
      </w:r>
      <w:r w:rsidRPr="0078079E">
        <w:t xml:space="preserve">, 1–14. </w:t>
      </w:r>
      <w:hyperlink r:id="rId21" w:history="1">
        <w:r w:rsidRPr="0078079E">
          <w:rPr>
            <w:rStyle w:val="Hyperlink"/>
          </w:rPr>
          <w:t>https://doi.org/10.1155/2021/5574041</w:t>
        </w:r>
      </w:hyperlink>
    </w:p>
    <w:p w14:paraId="47B3A93A"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Bolouri, P., Salami, R., Kouhi, S., Kordi, M., Lajayer, B. A., Hadian, J., &amp; Astatkie, T. (2022). Applications of essential oils and plant extracts in different industries. </w:t>
      </w:r>
      <w:r w:rsidRPr="0078079E">
        <w:rPr>
          <w:i/>
          <w:iCs/>
        </w:rPr>
        <w:t>Molecules/Molecules Online/Molecules Annual</w:t>
      </w:r>
      <w:r w:rsidRPr="0078079E">
        <w:t xml:space="preserve">, </w:t>
      </w:r>
      <w:r w:rsidRPr="0078079E">
        <w:rPr>
          <w:i/>
          <w:iCs/>
        </w:rPr>
        <w:t>27</w:t>
      </w:r>
      <w:r w:rsidRPr="0078079E">
        <w:t xml:space="preserve">(24), 8999. </w:t>
      </w:r>
      <w:hyperlink r:id="rId22" w:history="1">
        <w:r w:rsidRPr="0078079E">
          <w:rPr>
            <w:rStyle w:val="Hyperlink"/>
          </w:rPr>
          <w:t>https://doi.org/10.3390/molecules27248999</w:t>
        </w:r>
      </w:hyperlink>
    </w:p>
    <w:p w14:paraId="526FE2A5" w14:textId="77777777" w:rsidR="00A431CA" w:rsidRPr="0078079E" w:rsidRDefault="00A431CA" w:rsidP="00A028F1">
      <w:pPr>
        <w:pStyle w:val="NormalWeb"/>
        <w:spacing w:before="0" w:beforeAutospacing="0" w:after="0" w:afterAutospacing="0"/>
        <w:ind w:left="720" w:hanging="720"/>
        <w:jc w:val="both"/>
        <w:rPr>
          <w:rStyle w:val="url"/>
        </w:rPr>
      </w:pPr>
    </w:p>
    <w:p w14:paraId="2956C635"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Chaachouay, N., &amp; Zidane, L. (2024c). Plant-Derived Natural Products: a source for drug discovery and development. </w:t>
      </w:r>
      <w:r w:rsidRPr="0078079E">
        <w:rPr>
          <w:i/>
          <w:iCs/>
        </w:rPr>
        <w:t>Drugs and Drug Candidates</w:t>
      </w:r>
      <w:r w:rsidRPr="0078079E">
        <w:t xml:space="preserve">, </w:t>
      </w:r>
      <w:r w:rsidRPr="0078079E">
        <w:rPr>
          <w:i/>
          <w:iCs/>
        </w:rPr>
        <w:t>3</w:t>
      </w:r>
      <w:r w:rsidRPr="0078079E">
        <w:t xml:space="preserve">(1), 184–207. </w:t>
      </w:r>
      <w:hyperlink r:id="rId23" w:history="1">
        <w:r w:rsidRPr="0078079E">
          <w:rPr>
            <w:rStyle w:val="Hyperlink"/>
          </w:rPr>
          <w:t>https://doi.org/10.3390/ddc3010011</w:t>
        </w:r>
      </w:hyperlink>
    </w:p>
    <w:p w14:paraId="00FEB92C" w14:textId="77777777" w:rsidR="00A431CA" w:rsidRPr="0078079E" w:rsidRDefault="00A431CA" w:rsidP="00A028F1">
      <w:pPr>
        <w:pStyle w:val="NormalWeb"/>
        <w:spacing w:before="0" w:beforeAutospacing="0" w:after="0" w:afterAutospacing="0"/>
        <w:ind w:left="720" w:hanging="720"/>
        <w:jc w:val="both"/>
        <w:rPr>
          <w:rStyle w:val="url"/>
        </w:rPr>
      </w:pPr>
    </w:p>
    <w:p w14:paraId="47127F43"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Dar, R. A., Shahnawaz, M., &amp; Qazi, P. H. (2017). General overview of medicinal plants: A review. </w:t>
      </w:r>
      <w:r w:rsidRPr="0078079E">
        <w:rPr>
          <w:i/>
          <w:iCs/>
        </w:rPr>
        <w:t>The Journal of Phytopharmacology</w:t>
      </w:r>
      <w:r w:rsidRPr="0078079E">
        <w:t xml:space="preserve">, </w:t>
      </w:r>
      <w:r w:rsidRPr="0078079E">
        <w:rPr>
          <w:i/>
          <w:iCs/>
        </w:rPr>
        <w:t>6</w:t>
      </w:r>
      <w:r w:rsidRPr="0078079E">
        <w:t xml:space="preserve">(6), 349–351. </w:t>
      </w:r>
      <w:hyperlink r:id="rId24" w:history="1">
        <w:r w:rsidRPr="0078079E">
          <w:rPr>
            <w:rStyle w:val="Hyperlink"/>
          </w:rPr>
          <w:t>https://doi.org/10.31254/phyto.2017.6608</w:t>
        </w:r>
      </w:hyperlink>
    </w:p>
    <w:p w14:paraId="2BA9029C" w14:textId="77777777" w:rsidR="00A431CA" w:rsidRPr="0078079E" w:rsidRDefault="00A431CA" w:rsidP="00A028F1">
      <w:pPr>
        <w:pStyle w:val="NormalWeb"/>
        <w:spacing w:before="0" w:beforeAutospacing="0" w:after="0" w:afterAutospacing="0"/>
        <w:ind w:left="720" w:hanging="720"/>
        <w:jc w:val="both"/>
        <w:rPr>
          <w:rStyle w:val="Hyperlink"/>
        </w:rPr>
      </w:pPr>
    </w:p>
    <w:p w14:paraId="0DD5F4BD"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Dar, R. A., Shahnawaz, M., Ahanger, M. A., &amp; Majid, I. A. (2023). Exploring the Diverse Bioactive Compounds from Medicinal Plants: A Review. </w:t>
      </w:r>
      <w:r w:rsidRPr="0078079E">
        <w:rPr>
          <w:i/>
          <w:iCs/>
        </w:rPr>
        <w:t>The Journal of Phytopharmacology</w:t>
      </w:r>
      <w:r w:rsidRPr="0078079E">
        <w:t xml:space="preserve">, </w:t>
      </w:r>
      <w:r w:rsidRPr="0078079E">
        <w:rPr>
          <w:i/>
          <w:iCs/>
        </w:rPr>
        <w:t>12</w:t>
      </w:r>
      <w:r w:rsidRPr="0078079E">
        <w:t xml:space="preserve">(3), 189–195. </w:t>
      </w:r>
      <w:hyperlink r:id="rId25" w:history="1">
        <w:r w:rsidRPr="0078079E">
          <w:rPr>
            <w:rStyle w:val="Hyperlink"/>
          </w:rPr>
          <w:t>https://doi.org/10.31254/phyto.2023.12307</w:t>
        </w:r>
      </w:hyperlink>
    </w:p>
    <w:p w14:paraId="641AB6DF" w14:textId="77777777" w:rsidR="00A431CA" w:rsidRPr="0078079E" w:rsidRDefault="00A431CA" w:rsidP="00A028F1">
      <w:pPr>
        <w:pStyle w:val="NormalWeb"/>
        <w:spacing w:before="0" w:beforeAutospacing="0" w:after="0" w:afterAutospacing="0"/>
        <w:ind w:left="720" w:hanging="720"/>
        <w:jc w:val="both"/>
        <w:rPr>
          <w:rStyle w:val="url"/>
        </w:rPr>
      </w:pPr>
    </w:p>
    <w:p w14:paraId="6FE67C66"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Dermane, A., Tayama, W., Kpoyizoun, P. K., Kola, P., Metowogo, K., &amp; Eklu-Gadegbeku, K. (2024). Evaluation of the antioxidant and anti-inflammatory properties of the hydroethanolic extract of the leaves of Blighia sapida KD Koenig. </w:t>
      </w:r>
      <w:r w:rsidRPr="0078079E">
        <w:rPr>
          <w:i/>
          <w:iCs/>
        </w:rPr>
        <w:t>International Journal of Biological and Chemical Sciences</w:t>
      </w:r>
      <w:r w:rsidRPr="0078079E">
        <w:t xml:space="preserve">, </w:t>
      </w:r>
      <w:r w:rsidRPr="0078079E">
        <w:rPr>
          <w:i/>
          <w:iCs/>
        </w:rPr>
        <w:t>18</w:t>
      </w:r>
      <w:r w:rsidRPr="0078079E">
        <w:t xml:space="preserve">(1), 10–19. </w:t>
      </w:r>
      <w:hyperlink r:id="rId26" w:history="1">
        <w:r w:rsidRPr="0078079E">
          <w:rPr>
            <w:rStyle w:val="Hyperlink"/>
          </w:rPr>
          <w:t>https://doi.org/10.4314/ijbcs.v18i1.2</w:t>
        </w:r>
      </w:hyperlink>
    </w:p>
    <w:p w14:paraId="783F4AC4" w14:textId="77777777" w:rsidR="00A431CA" w:rsidRPr="0078079E" w:rsidRDefault="00A431CA" w:rsidP="00A028F1">
      <w:pPr>
        <w:pStyle w:val="NormalWeb"/>
        <w:spacing w:before="0" w:beforeAutospacing="0" w:after="0" w:afterAutospacing="0"/>
        <w:ind w:left="720" w:hanging="720"/>
        <w:jc w:val="both"/>
      </w:pPr>
    </w:p>
    <w:p w14:paraId="2F2428D5" w14:textId="77777777" w:rsidR="00A431CA" w:rsidRPr="0078079E" w:rsidRDefault="00DB74BC" w:rsidP="00A028F1">
      <w:pPr>
        <w:pStyle w:val="NormalWeb"/>
        <w:spacing w:before="0" w:beforeAutospacing="0" w:after="0" w:afterAutospacing="0"/>
        <w:ind w:left="720" w:hanging="720"/>
        <w:jc w:val="both"/>
        <w:rPr>
          <w:color w:val="0563C1"/>
          <w:u w:val="single"/>
        </w:rPr>
      </w:pPr>
      <w:r w:rsidRPr="0078079E">
        <w:t xml:space="preserve">Dossou, V. M. (2014). Ackee (Blighia sapida) Fruit Arils: Nutritional, Phytochemicals and Antioxidant Properties. </w:t>
      </w:r>
      <w:r w:rsidRPr="0078079E">
        <w:rPr>
          <w:i/>
          <w:iCs/>
        </w:rPr>
        <w:t>International Journal of Nutrition and Food Sciences</w:t>
      </w:r>
      <w:r w:rsidRPr="0078079E">
        <w:t xml:space="preserve">, </w:t>
      </w:r>
      <w:r w:rsidRPr="0078079E">
        <w:rPr>
          <w:i/>
          <w:iCs/>
        </w:rPr>
        <w:t>3</w:t>
      </w:r>
      <w:r w:rsidRPr="0078079E">
        <w:t xml:space="preserve">(6), 534. </w:t>
      </w:r>
      <w:hyperlink r:id="rId27" w:history="1">
        <w:r w:rsidRPr="0078079E">
          <w:rPr>
            <w:rStyle w:val="Hyperlink"/>
          </w:rPr>
          <w:t>https://doi.org/10.11648/j.ijnfs.20140306.17</w:t>
        </w:r>
      </w:hyperlink>
    </w:p>
    <w:p w14:paraId="193F2EF3" w14:textId="77777777" w:rsidR="00A431CA" w:rsidRPr="0078079E" w:rsidRDefault="00A431CA" w:rsidP="00A028F1">
      <w:pPr>
        <w:pStyle w:val="NormalWeb"/>
        <w:spacing w:before="0" w:beforeAutospacing="0" w:after="0" w:afterAutospacing="0"/>
        <w:ind w:left="720" w:hanging="720"/>
        <w:jc w:val="both"/>
      </w:pPr>
    </w:p>
    <w:p w14:paraId="27F8E344"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Ibraheem, O., Oyewole, T. A., Adedara, A. O., Abolaji, A. O., Ogundipe, O. M., Akinyelu, J., Eze, C. T., Albogami, S., Alotaibi, S. S., Adeyemı, O. S., Batiha, G. E., Alorabi, M., &amp; De Waard, M. (2022). Ackee (Blighia sapida K.D. Koenig) Leaves and Arils Methanolic Extracts Ameliorate CdCl2-Induced Oxidative Stress Biomarkers in Drosophila melanogaster. </w:t>
      </w:r>
      <w:r w:rsidRPr="0078079E">
        <w:rPr>
          <w:i/>
          <w:iCs/>
        </w:rPr>
        <w:t>Oxidative Medicine and Cellular Longevity</w:t>
      </w:r>
      <w:r w:rsidRPr="0078079E">
        <w:t xml:space="preserve">, </w:t>
      </w:r>
      <w:r w:rsidRPr="0078079E">
        <w:rPr>
          <w:i/>
          <w:iCs/>
        </w:rPr>
        <w:t>2022</w:t>
      </w:r>
      <w:r w:rsidRPr="0078079E">
        <w:t xml:space="preserve">, 1–20. </w:t>
      </w:r>
      <w:hyperlink r:id="rId28" w:history="1">
        <w:r w:rsidRPr="0078079E">
          <w:rPr>
            <w:rStyle w:val="Hyperlink"/>
          </w:rPr>
          <w:t>https://doi.org/10.1155/2022/3235031</w:t>
        </w:r>
      </w:hyperlink>
    </w:p>
    <w:p w14:paraId="12336A05" w14:textId="77777777" w:rsidR="00A431CA" w:rsidRPr="0078079E" w:rsidRDefault="00A431CA" w:rsidP="00A028F1">
      <w:pPr>
        <w:pStyle w:val="NormalWeb"/>
        <w:spacing w:before="0" w:beforeAutospacing="0" w:after="0" w:afterAutospacing="0"/>
        <w:ind w:left="720" w:hanging="720"/>
        <w:jc w:val="both"/>
        <w:rPr>
          <w:rStyle w:val="url"/>
        </w:rPr>
      </w:pPr>
    </w:p>
    <w:p w14:paraId="5976EBC6"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Kiehlbauch, J. A., Hannett, G. E., Salfinger, M., Archinal, W. A., Monserrat, C., &amp; Carlyn, C. J. (2000). Use of the National Committee for Clinical Laboratory Standards Guidelines for disk Diffusion Susceptibility testing in New York State laboratories. </w:t>
      </w:r>
      <w:r w:rsidRPr="0078079E">
        <w:rPr>
          <w:i/>
          <w:iCs/>
        </w:rPr>
        <w:t>Journal of Clinical Microbiology</w:t>
      </w:r>
      <w:r w:rsidRPr="0078079E">
        <w:t xml:space="preserve">, </w:t>
      </w:r>
      <w:r w:rsidRPr="0078079E">
        <w:rPr>
          <w:i/>
          <w:iCs/>
        </w:rPr>
        <w:t>38</w:t>
      </w:r>
      <w:r w:rsidRPr="0078079E">
        <w:t xml:space="preserve">(9), 3341–3348. </w:t>
      </w:r>
      <w:hyperlink r:id="rId29" w:history="1">
        <w:r w:rsidRPr="0078079E">
          <w:rPr>
            <w:rStyle w:val="Hyperlink"/>
          </w:rPr>
          <w:t>https://doi.org/10.1128/jcm.38.9.3341-3348.2000</w:t>
        </w:r>
      </w:hyperlink>
    </w:p>
    <w:p w14:paraId="42400058" w14:textId="77777777" w:rsidR="00A431CA" w:rsidRPr="0078079E" w:rsidRDefault="00A431CA" w:rsidP="00A028F1">
      <w:pPr>
        <w:pStyle w:val="NormalWeb"/>
        <w:spacing w:before="0" w:beforeAutospacing="0" w:after="0" w:afterAutospacing="0"/>
        <w:ind w:left="720" w:hanging="720"/>
        <w:jc w:val="both"/>
        <w:rPr>
          <w:rStyle w:val="url"/>
        </w:rPr>
      </w:pPr>
    </w:p>
    <w:p w14:paraId="2C59FBA6"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Krutmuang, P., Rajula, J., Pittarate, S., Chatima, C., &amp; Thungrabeab, M. (2022). The inhibitory action of plant extracts on the mycelial growth of Ascosphaera apis, the causative agent of chalkbrood disease in Honey bee. </w:t>
      </w:r>
      <w:r w:rsidRPr="0078079E">
        <w:rPr>
          <w:i/>
          <w:iCs/>
        </w:rPr>
        <w:t>Toxicology Reports</w:t>
      </w:r>
      <w:r w:rsidRPr="0078079E">
        <w:t xml:space="preserve">, </w:t>
      </w:r>
      <w:r w:rsidRPr="0078079E">
        <w:rPr>
          <w:i/>
          <w:iCs/>
        </w:rPr>
        <w:t>9</w:t>
      </w:r>
      <w:r w:rsidRPr="0078079E">
        <w:t xml:space="preserve">, 713–719. </w:t>
      </w:r>
      <w:hyperlink r:id="rId30" w:history="1">
        <w:r w:rsidRPr="0078079E">
          <w:rPr>
            <w:rStyle w:val="Hyperlink"/>
          </w:rPr>
          <w:t>https://doi.org/10.1016/j.toxrep.2022.03.036</w:t>
        </w:r>
      </w:hyperlink>
    </w:p>
    <w:p w14:paraId="1317D451" w14:textId="77777777" w:rsidR="00A431CA" w:rsidRPr="0078079E" w:rsidRDefault="00A431CA" w:rsidP="00A028F1">
      <w:pPr>
        <w:pStyle w:val="NormalWeb"/>
        <w:spacing w:before="0" w:beforeAutospacing="0" w:after="0" w:afterAutospacing="0"/>
        <w:ind w:left="720" w:hanging="720"/>
        <w:jc w:val="both"/>
        <w:rPr>
          <w:rStyle w:val="url"/>
        </w:rPr>
      </w:pPr>
    </w:p>
    <w:p w14:paraId="1438E612"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Nasim, N., Sandeep, I. S., &amp; Mohanty, S. (2022). Plant-derived natural products for drug discovery: current approaches and prospects. </w:t>
      </w:r>
      <w:r w:rsidRPr="0078079E">
        <w:rPr>
          <w:i/>
          <w:iCs/>
        </w:rPr>
        <w:t>Nucleus/the Nucleus</w:t>
      </w:r>
      <w:r w:rsidRPr="0078079E">
        <w:t xml:space="preserve">, </w:t>
      </w:r>
      <w:r w:rsidRPr="0078079E">
        <w:rPr>
          <w:i/>
          <w:iCs/>
        </w:rPr>
        <w:t>65</w:t>
      </w:r>
      <w:r w:rsidRPr="0078079E">
        <w:t xml:space="preserve">(3), 399–411. </w:t>
      </w:r>
      <w:hyperlink r:id="rId31" w:history="1">
        <w:r w:rsidRPr="0078079E">
          <w:rPr>
            <w:rStyle w:val="Hyperlink"/>
          </w:rPr>
          <w:t>https://doi.org/10.1007/s13237-022-00405-3</w:t>
        </w:r>
      </w:hyperlink>
    </w:p>
    <w:p w14:paraId="65DEEE51" w14:textId="77777777" w:rsidR="00A431CA" w:rsidRPr="0078079E" w:rsidRDefault="00A431CA" w:rsidP="00A028F1">
      <w:pPr>
        <w:pStyle w:val="NormalWeb"/>
        <w:spacing w:before="0" w:beforeAutospacing="0" w:after="0" w:afterAutospacing="0"/>
        <w:ind w:left="720" w:hanging="720"/>
        <w:jc w:val="both"/>
        <w:rPr>
          <w:rStyle w:val="url"/>
        </w:rPr>
      </w:pPr>
    </w:p>
    <w:p w14:paraId="346998F4" w14:textId="77777777" w:rsidR="00A431CA" w:rsidRPr="0078079E" w:rsidRDefault="00DB74BC" w:rsidP="00A028F1">
      <w:pPr>
        <w:pStyle w:val="NormalWeb"/>
        <w:spacing w:before="0" w:beforeAutospacing="0" w:after="0" w:afterAutospacing="0"/>
        <w:ind w:left="720" w:hanging="720"/>
        <w:jc w:val="both"/>
      </w:pPr>
      <w:r w:rsidRPr="0078079E">
        <w:t xml:space="preserve">Ojo, O. A., Ajiboye, B. O., Ojo, A. B., Oyinloye, B. E., Imiere, O. D., &amp; Adeyonu, O. (2017). Ameliorative potential of Blighia sapida K.D. Koenig bark against pancreatic β-cell </w:t>
      </w:r>
      <w:r w:rsidRPr="0078079E">
        <w:lastRenderedPageBreak/>
        <w:t xml:space="preserve">dysfunction in alloxan-induced diabetic rats. </w:t>
      </w:r>
      <w:r w:rsidRPr="0078079E">
        <w:rPr>
          <w:i/>
          <w:iCs/>
        </w:rPr>
        <w:t>Journal of Complementary and Integrative Medicine</w:t>
      </w:r>
      <w:r w:rsidRPr="0078079E">
        <w:t xml:space="preserve">, </w:t>
      </w:r>
      <w:r w:rsidRPr="0078079E">
        <w:rPr>
          <w:i/>
          <w:iCs/>
        </w:rPr>
        <w:t>14</w:t>
      </w:r>
      <w:r w:rsidRPr="0078079E">
        <w:t xml:space="preserve">(3). </w:t>
      </w:r>
      <w:hyperlink r:id="rId32" w:history="1">
        <w:r w:rsidRPr="0078079E">
          <w:rPr>
            <w:rStyle w:val="Hyperlink"/>
          </w:rPr>
          <w:t>https://doi.org/10.1515/jcim-2016-0145</w:t>
        </w:r>
      </w:hyperlink>
    </w:p>
    <w:p w14:paraId="521DA853" w14:textId="77777777" w:rsidR="00A431CA" w:rsidRPr="0078079E" w:rsidRDefault="00A431CA" w:rsidP="00A028F1">
      <w:pPr>
        <w:pStyle w:val="NormalWeb"/>
        <w:spacing w:before="0" w:beforeAutospacing="0" w:after="0" w:afterAutospacing="0"/>
        <w:ind w:left="720" w:hanging="720"/>
        <w:jc w:val="both"/>
      </w:pPr>
    </w:p>
    <w:p w14:paraId="56CF5044" w14:textId="77777777" w:rsidR="00A431CA" w:rsidRPr="0078079E" w:rsidRDefault="00DB74BC" w:rsidP="00A028F1">
      <w:pPr>
        <w:pStyle w:val="NormalWeb"/>
        <w:spacing w:before="0" w:beforeAutospacing="0" w:after="0" w:afterAutospacing="0"/>
        <w:ind w:left="720" w:hanging="720"/>
        <w:jc w:val="both"/>
      </w:pPr>
      <w:r w:rsidRPr="0078079E">
        <w:t xml:space="preserve">Oloyede, H. O. B., Ajiboye, T. O., Komolafe, Y. O., &amp; Salau, A. K. (2013). Polyphenolic extract of Blighia sapida arilli prevents N-nitrosodiethylamine-mediated oxidative onslaught on microsomal protein, lipid and DNA. </w:t>
      </w:r>
      <w:r w:rsidRPr="0078079E">
        <w:rPr>
          <w:i/>
          <w:iCs/>
        </w:rPr>
        <w:t>Food Bioscience</w:t>
      </w:r>
      <w:r w:rsidRPr="0078079E">
        <w:t xml:space="preserve">, </w:t>
      </w:r>
      <w:r w:rsidRPr="0078079E">
        <w:rPr>
          <w:i/>
          <w:iCs/>
        </w:rPr>
        <w:t>1</w:t>
      </w:r>
      <w:r w:rsidRPr="0078079E">
        <w:t xml:space="preserve">, 48–56. </w:t>
      </w:r>
      <w:hyperlink r:id="rId33" w:history="1">
        <w:r w:rsidRPr="0078079E">
          <w:rPr>
            <w:rStyle w:val="Hyperlink"/>
          </w:rPr>
          <w:t>https://doi.org/10.1016/j.fbio.2013.03.003</w:t>
        </w:r>
      </w:hyperlink>
    </w:p>
    <w:p w14:paraId="6A4731EB" w14:textId="77777777" w:rsidR="00A431CA" w:rsidRPr="0078079E" w:rsidRDefault="00A431CA" w:rsidP="00A028F1">
      <w:pPr>
        <w:pStyle w:val="NormalWeb"/>
        <w:spacing w:before="0" w:beforeAutospacing="0" w:after="0" w:afterAutospacing="0"/>
        <w:ind w:left="720" w:hanging="720"/>
        <w:jc w:val="both"/>
      </w:pPr>
    </w:p>
    <w:p w14:paraId="4852EFD1"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Oloyede, O. B., Ajiboye, T. O., Abdussalam, A., &amp; Adeleye, A. O. (2014). Blighia sapida leaves halt elevated blood glucose, dyslipidemia and oxidative stress in alloxan-induced diabetic rats. </w:t>
      </w:r>
      <w:r w:rsidRPr="0078079E">
        <w:rPr>
          <w:i/>
          <w:iCs/>
        </w:rPr>
        <w:t>Journal of Ethnopharmacology</w:t>
      </w:r>
      <w:r w:rsidRPr="0078079E">
        <w:t xml:space="preserve">, </w:t>
      </w:r>
      <w:r w:rsidRPr="0078079E">
        <w:rPr>
          <w:i/>
          <w:iCs/>
        </w:rPr>
        <w:t>157</w:t>
      </w:r>
      <w:r w:rsidRPr="0078079E">
        <w:t xml:space="preserve">, 309–319. </w:t>
      </w:r>
      <w:hyperlink r:id="rId34" w:history="1">
        <w:r w:rsidRPr="0078079E">
          <w:rPr>
            <w:rStyle w:val="Hyperlink"/>
          </w:rPr>
          <w:t>https://doi.org/10.1016/j.jep.2014.08.022</w:t>
        </w:r>
      </w:hyperlink>
    </w:p>
    <w:p w14:paraId="30C710E6" w14:textId="77777777" w:rsidR="00A431CA" w:rsidRPr="0078079E" w:rsidRDefault="00A431CA" w:rsidP="00A028F1">
      <w:pPr>
        <w:pStyle w:val="NormalWeb"/>
        <w:spacing w:before="0" w:beforeAutospacing="0" w:after="0" w:afterAutospacing="0"/>
        <w:ind w:left="720" w:hanging="720"/>
        <w:jc w:val="both"/>
        <w:rPr>
          <w:rStyle w:val="url"/>
        </w:rPr>
      </w:pPr>
    </w:p>
    <w:p w14:paraId="5FE01794"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Paul, T. J., Taylor, T. A., &amp; Santosh, A. B. R. (2020). The potential of saponin from Jamaica’s Blighia sapida (ackee) as a substitute for sodium lauryl sulphate in toothpaste. </w:t>
      </w:r>
      <w:r w:rsidRPr="0078079E">
        <w:rPr>
          <w:i/>
          <w:iCs/>
        </w:rPr>
        <w:t>Medical Hypotheses</w:t>
      </w:r>
      <w:r w:rsidRPr="0078079E">
        <w:t xml:space="preserve">, </w:t>
      </w:r>
      <w:r w:rsidRPr="0078079E">
        <w:rPr>
          <w:i/>
          <w:iCs/>
        </w:rPr>
        <w:t>137</w:t>
      </w:r>
      <w:r w:rsidRPr="0078079E">
        <w:t xml:space="preserve">, 109555. </w:t>
      </w:r>
      <w:hyperlink r:id="rId35" w:history="1">
        <w:r w:rsidRPr="0078079E">
          <w:rPr>
            <w:rStyle w:val="Hyperlink"/>
          </w:rPr>
          <w:t>https://doi.org/10.1016/j.mehy.2020.109555</w:t>
        </w:r>
      </w:hyperlink>
    </w:p>
    <w:p w14:paraId="32F5624E" w14:textId="77777777" w:rsidR="00A431CA" w:rsidRPr="0078079E" w:rsidRDefault="00A431CA" w:rsidP="00A028F1">
      <w:pPr>
        <w:pStyle w:val="NormalWeb"/>
        <w:spacing w:before="0" w:beforeAutospacing="0" w:after="0" w:afterAutospacing="0"/>
        <w:ind w:left="720" w:hanging="720"/>
        <w:jc w:val="both"/>
        <w:rPr>
          <w:rStyle w:val="url"/>
        </w:rPr>
      </w:pPr>
    </w:p>
    <w:p w14:paraId="0AC92680" w14:textId="77777777" w:rsidR="00A431CA" w:rsidRPr="0078079E" w:rsidRDefault="00A431CA" w:rsidP="00A028F1">
      <w:pPr>
        <w:pStyle w:val="NormalWeb"/>
        <w:spacing w:before="0" w:beforeAutospacing="0" w:after="0" w:afterAutospacing="0"/>
        <w:ind w:left="720" w:hanging="720"/>
        <w:jc w:val="both"/>
      </w:pPr>
    </w:p>
    <w:p w14:paraId="61D6C002"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Phillip O. A., Adebayo S. D., &amp; Waheed A.O. (2019). Phytochemical screening and in vitro antioxidant activity of hydro-ethanolic extract of Blighia sapida stem bark. </w:t>
      </w:r>
      <w:r w:rsidRPr="0078079E">
        <w:rPr>
          <w:i/>
          <w:iCs/>
        </w:rPr>
        <w:t>Journal of Biology, Agriculture and Health care, 9</w:t>
      </w:r>
      <w:r w:rsidRPr="0078079E">
        <w:t xml:space="preserve">(16). </w:t>
      </w:r>
      <w:hyperlink r:id="rId36" w:history="1">
        <w:r w:rsidRPr="0078079E">
          <w:rPr>
            <w:rStyle w:val="Hyperlink"/>
          </w:rPr>
          <w:t>https://doi.10.7176/JBAH</w:t>
        </w:r>
      </w:hyperlink>
    </w:p>
    <w:p w14:paraId="0690FFD2" w14:textId="77777777" w:rsidR="00A431CA" w:rsidRPr="0078079E" w:rsidRDefault="00A431CA" w:rsidP="00A028F1">
      <w:pPr>
        <w:pStyle w:val="NormalWeb"/>
        <w:spacing w:before="0" w:beforeAutospacing="0" w:after="0" w:afterAutospacing="0"/>
        <w:ind w:left="720" w:hanging="720"/>
        <w:jc w:val="both"/>
        <w:rPr>
          <w:rStyle w:val="Hyperlink"/>
        </w:rPr>
      </w:pPr>
    </w:p>
    <w:p w14:paraId="03B2CEC5" w14:textId="77777777" w:rsidR="00A431CA" w:rsidRPr="0078079E" w:rsidRDefault="00DB74BC" w:rsidP="00A028F1">
      <w:pPr>
        <w:pStyle w:val="NormalWeb"/>
        <w:spacing w:before="0" w:beforeAutospacing="0" w:after="0" w:afterAutospacing="0"/>
        <w:ind w:left="720" w:hanging="720"/>
        <w:jc w:val="both"/>
      </w:pPr>
      <w:r w:rsidRPr="0078079E">
        <w:t xml:space="preserve">Pinar, O., &amp; Rodríguez-Couto, S. (2024). Biologically active secondary metabolites from white-rot fungi. </w:t>
      </w:r>
      <w:r w:rsidRPr="0078079E">
        <w:rPr>
          <w:i/>
          <w:iCs/>
        </w:rPr>
        <w:t>Frontiers in Chemistry</w:t>
      </w:r>
      <w:r w:rsidRPr="0078079E">
        <w:t xml:space="preserve">, </w:t>
      </w:r>
      <w:r w:rsidRPr="0078079E">
        <w:rPr>
          <w:i/>
          <w:iCs/>
        </w:rPr>
        <w:t>12</w:t>
      </w:r>
      <w:r w:rsidRPr="0078079E">
        <w:t xml:space="preserve">. </w:t>
      </w:r>
      <w:hyperlink r:id="rId37" w:history="1">
        <w:r w:rsidRPr="0078079E">
          <w:rPr>
            <w:rStyle w:val="Hyperlink"/>
          </w:rPr>
          <w:t>https://doi.org/10.3389/fchem.2024.1363354</w:t>
        </w:r>
      </w:hyperlink>
    </w:p>
    <w:p w14:paraId="7DB306DF" w14:textId="77777777" w:rsidR="00A431CA" w:rsidRPr="0078079E" w:rsidRDefault="00A431CA" w:rsidP="00A028F1">
      <w:pPr>
        <w:pStyle w:val="NormalWeb"/>
        <w:spacing w:before="0" w:beforeAutospacing="0" w:after="0" w:afterAutospacing="0"/>
        <w:ind w:left="720" w:hanging="720"/>
        <w:jc w:val="both"/>
        <w:rPr>
          <w:rStyle w:val="url"/>
          <w:color w:val="0563C1"/>
          <w:u w:val="single"/>
        </w:rPr>
      </w:pPr>
    </w:p>
    <w:p w14:paraId="581B98C3"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Shraim, A., Ahmed, T., Rahman, M., &amp; Hijji, Y. M. (2021b). Determination of total flavonoid content by aluminum chloride assay: A critical evaluation. </w:t>
      </w:r>
      <w:r w:rsidRPr="0078079E">
        <w:rPr>
          <w:i/>
          <w:iCs/>
        </w:rPr>
        <w:t>Lebensmittel-Wissenschaft + Technologie/Food Science &amp; Technology</w:t>
      </w:r>
      <w:r w:rsidRPr="0078079E">
        <w:t xml:space="preserve">, </w:t>
      </w:r>
      <w:r w:rsidRPr="0078079E">
        <w:rPr>
          <w:i/>
          <w:iCs/>
        </w:rPr>
        <w:t>150</w:t>
      </w:r>
      <w:r w:rsidRPr="0078079E">
        <w:t xml:space="preserve">, 111932. </w:t>
      </w:r>
      <w:hyperlink r:id="rId38" w:history="1">
        <w:r w:rsidRPr="0078079E">
          <w:rPr>
            <w:rStyle w:val="Hyperlink"/>
          </w:rPr>
          <w:t>https://doi.org/10.1016/j.lwt.2021.111932</w:t>
        </w:r>
      </w:hyperlink>
    </w:p>
    <w:p w14:paraId="35C06581" w14:textId="77777777" w:rsidR="00A431CA" w:rsidRPr="0078079E" w:rsidRDefault="00A431CA" w:rsidP="00A028F1">
      <w:pPr>
        <w:pStyle w:val="NormalWeb"/>
        <w:spacing w:before="0" w:beforeAutospacing="0" w:after="0" w:afterAutospacing="0"/>
        <w:ind w:left="720" w:hanging="720"/>
        <w:jc w:val="both"/>
        <w:rPr>
          <w:rStyle w:val="url"/>
        </w:rPr>
      </w:pPr>
    </w:p>
    <w:p w14:paraId="3102D896"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Siddiqui, N., Rauf, A., Latif, A., &amp; Mahmood, Z. (2017). Spectrophotometric determination of the total phenolic content, spectral and fluorescence study of the herbal Unani drug Gul-e-Zoofa ( Nepeta bracteata Benth). </w:t>
      </w:r>
      <w:r w:rsidRPr="0078079E">
        <w:rPr>
          <w:i/>
          <w:iCs/>
        </w:rPr>
        <w:t>Journal of Taibah University Medical Sciences</w:t>
      </w:r>
      <w:r w:rsidRPr="0078079E">
        <w:t xml:space="preserve">, </w:t>
      </w:r>
      <w:r w:rsidRPr="0078079E">
        <w:rPr>
          <w:i/>
          <w:iCs/>
        </w:rPr>
        <w:t>12</w:t>
      </w:r>
      <w:r w:rsidRPr="0078079E">
        <w:t xml:space="preserve">(4), 360–363. </w:t>
      </w:r>
      <w:hyperlink r:id="rId39" w:history="1">
        <w:r w:rsidRPr="0078079E">
          <w:rPr>
            <w:rStyle w:val="Hyperlink"/>
          </w:rPr>
          <w:t>https://doi.org/10.1016/j.jtumed.2016.11.006</w:t>
        </w:r>
      </w:hyperlink>
    </w:p>
    <w:p w14:paraId="553BBA59" w14:textId="77777777" w:rsidR="00A431CA" w:rsidRPr="0078079E" w:rsidRDefault="00A431CA" w:rsidP="00A028F1">
      <w:pPr>
        <w:pStyle w:val="NormalWeb"/>
        <w:spacing w:before="0" w:beforeAutospacing="0" w:after="0" w:afterAutospacing="0"/>
        <w:ind w:left="720" w:hanging="720"/>
        <w:jc w:val="both"/>
        <w:rPr>
          <w:rStyle w:val="url"/>
        </w:rPr>
      </w:pPr>
    </w:p>
    <w:p w14:paraId="6F68C996" w14:textId="77777777" w:rsidR="00A431CA" w:rsidRPr="0078079E" w:rsidRDefault="00DB74BC" w:rsidP="00A028F1">
      <w:pPr>
        <w:pStyle w:val="NormalWeb"/>
        <w:spacing w:before="0" w:beforeAutospacing="0" w:after="0" w:afterAutospacing="0"/>
        <w:ind w:left="720" w:hanging="720"/>
        <w:jc w:val="both"/>
      </w:pPr>
      <w:r w:rsidRPr="0078079E">
        <w:t xml:space="preserve">Synytsya, A., Monkai, J., Bleha, R., Macurkova, A., Ruml, T., Ahn, J., &amp; Chukeatirote, E. (2017). Antimicrobial activity of crude extracts prepared from fungal mycelia. </w:t>
      </w:r>
      <w:r w:rsidRPr="0078079E">
        <w:rPr>
          <w:i/>
          <w:iCs/>
        </w:rPr>
        <w:t>Asian Pacific Journal of Tropical Biomedicine</w:t>
      </w:r>
      <w:r w:rsidRPr="0078079E">
        <w:t xml:space="preserve">, </w:t>
      </w:r>
      <w:r w:rsidRPr="0078079E">
        <w:rPr>
          <w:i/>
          <w:iCs/>
        </w:rPr>
        <w:t>7</w:t>
      </w:r>
      <w:r w:rsidRPr="0078079E">
        <w:t xml:space="preserve">(3), 257–261. </w:t>
      </w:r>
      <w:hyperlink r:id="rId40" w:history="1">
        <w:r w:rsidRPr="0078079E">
          <w:rPr>
            <w:rStyle w:val="Hyperlink"/>
          </w:rPr>
          <w:t>https://doi.org/10.1016/j.apjtb.2016.12.011</w:t>
        </w:r>
      </w:hyperlink>
    </w:p>
    <w:p w14:paraId="220A76DB" w14:textId="77777777" w:rsidR="00A431CA" w:rsidRPr="0078079E" w:rsidRDefault="00A431CA" w:rsidP="00A028F1">
      <w:pPr>
        <w:pStyle w:val="NormalWeb"/>
        <w:spacing w:before="0" w:beforeAutospacing="0" w:after="0" w:afterAutospacing="0"/>
        <w:ind w:left="720" w:hanging="720"/>
        <w:jc w:val="both"/>
        <w:rPr>
          <w:color w:val="0563C1"/>
          <w:u w:val="single"/>
        </w:rPr>
      </w:pPr>
    </w:p>
    <w:p w14:paraId="067E70AD"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Tomasina, F., Carabio, C., Celano, L., &amp; Thomson, L. (2012). Analysis of two methods to evaluate antioxidants. </w:t>
      </w:r>
      <w:r w:rsidRPr="0078079E">
        <w:rPr>
          <w:i/>
          <w:iCs/>
        </w:rPr>
        <w:t>Biochemistry and Molecular Biology Education</w:t>
      </w:r>
      <w:r w:rsidRPr="0078079E">
        <w:t xml:space="preserve">, </w:t>
      </w:r>
      <w:r w:rsidRPr="0078079E">
        <w:rPr>
          <w:i/>
          <w:iCs/>
        </w:rPr>
        <w:t>40</w:t>
      </w:r>
      <w:r w:rsidRPr="0078079E">
        <w:t xml:space="preserve">(4), 266–270. </w:t>
      </w:r>
      <w:hyperlink r:id="rId41" w:history="1">
        <w:r w:rsidRPr="0078079E">
          <w:rPr>
            <w:rStyle w:val="Hyperlink"/>
          </w:rPr>
          <w:t>https://doi.org/10.1002/bmb.20617</w:t>
        </w:r>
      </w:hyperlink>
    </w:p>
    <w:p w14:paraId="3BB54A68" w14:textId="77777777" w:rsidR="00A431CA" w:rsidRPr="0078079E" w:rsidRDefault="00A431CA" w:rsidP="00A028F1">
      <w:pPr>
        <w:pStyle w:val="NormalWeb"/>
        <w:spacing w:before="0" w:beforeAutospacing="0" w:after="0" w:afterAutospacing="0"/>
        <w:ind w:left="720" w:hanging="720"/>
        <w:jc w:val="both"/>
        <w:rPr>
          <w:rStyle w:val="url"/>
        </w:rPr>
      </w:pPr>
    </w:p>
    <w:p w14:paraId="34F43C0B" w14:textId="77777777" w:rsidR="00A431CA" w:rsidRPr="0078079E" w:rsidRDefault="00DB74BC" w:rsidP="00A028F1">
      <w:pPr>
        <w:pStyle w:val="NormalWeb"/>
        <w:spacing w:before="0" w:beforeAutospacing="0" w:after="0" w:afterAutospacing="0"/>
        <w:ind w:left="720" w:hanging="720"/>
        <w:jc w:val="both"/>
        <w:rPr>
          <w:rStyle w:val="Hyperlink"/>
        </w:rPr>
      </w:pPr>
      <w:r w:rsidRPr="0078079E">
        <w:lastRenderedPageBreak/>
        <w:t xml:space="preserve">Ugboko, H. U., Nwinyi, O. C., Oranusi, S. U., Fatoki, T. H., &amp; Omonhinmin, C. A. (2020a). Antimicrobial importance of medicinal plants in Nigeria. </w:t>
      </w:r>
      <w:r w:rsidRPr="0078079E">
        <w:rPr>
          <w:rFonts w:ascii="Calibri" w:hAnsi="Calibri" w:cs="Calibri"/>
          <w:i/>
          <w:iCs/>
        </w:rPr>
        <w:t></w:t>
      </w:r>
      <w:r w:rsidRPr="0078079E">
        <w:rPr>
          <w:i/>
          <w:iCs/>
        </w:rPr>
        <w:t xml:space="preserve">the </w:t>
      </w:r>
      <w:r w:rsidRPr="0078079E">
        <w:rPr>
          <w:rFonts w:ascii="Calibri" w:hAnsi="Calibri" w:cs="Calibri"/>
          <w:i/>
          <w:iCs/>
        </w:rPr>
        <w:t></w:t>
      </w:r>
      <w:r w:rsidRPr="0078079E">
        <w:rPr>
          <w:i/>
          <w:iCs/>
        </w:rPr>
        <w:t>Scientific World Journal/TheScientificWorldjournal</w:t>
      </w:r>
      <w:r w:rsidRPr="0078079E">
        <w:t xml:space="preserve">, </w:t>
      </w:r>
      <w:r w:rsidRPr="0078079E">
        <w:rPr>
          <w:i/>
          <w:iCs/>
        </w:rPr>
        <w:t>2020</w:t>
      </w:r>
      <w:r w:rsidRPr="0078079E">
        <w:t xml:space="preserve">, 1–10. </w:t>
      </w:r>
      <w:hyperlink r:id="rId42" w:history="1">
        <w:r w:rsidRPr="0078079E">
          <w:rPr>
            <w:rStyle w:val="Hyperlink"/>
          </w:rPr>
          <w:t>https://doi.org/10.1155/2020/7059323</w:t>
        </w:r>
      </w:hyperlink>
    </w:p>
    <w:p w14:paraId="18B037AF" w14:textId="77777777" w:rsidR="00A431CA" w:rsidRPr="0078079E" w:rsidRDefault="00A431CA" w:rsidP="00A028F1">
      <w:pPr>
        <w:pStyle w:val="NormalWeb"/>
        <w:spacing w:before="0" w:beforeAutospacing="0" w:after="0" w:afterAutospacing="0"/>
        <w:ind w:left="720" w:hanging="720"/>
        <w:jc w:val="both"/>
        <w:rPr>
          <w:rStyle w:val="url"/>
        </w:rPr>
      </w:pPr>
    </w:p>
    <w:p w14:paraId="3B54E534" w14:textId="77777777" w:rsidR="00A431CA" w:rsidRPr="0078079E" w:rsidRDefault="00DB74BC" w:rsidP="00A028F1">
      <w:pPr>
        <w:pStyle w:val="NormalWeb"/>
        <w:spacing w:before="0" w:beforeAutospacing="0" w:after="0" w:afterAutospacing="0"/>
        <w:ind w:left="720" w:hanging="720"/>
        <w:jc w:val="both"/>
        <w:rPr>
          <w:rStyle w:val="Hyperlink"/>
        </w:rPr>
      </w:pPr>
      <w:r w:rsidRPr="0078079E">
        <w:t xml:space="preserve">Van Tan, P. (2018). The Determination of Total Alkaloid, Polyphenol, Flavonoid and Saponin Contents of Pogang gan (Curcuma sp.). </w:t>
      </w:r>
      <w:r w:rsidRPr="0078079E">
        <w:rPr>
          <w:i/>
          <w:iCs/>
        </w:rPr>
        <w:t>International Journal of Biology/Internationa Journal of Biology</w:t>
      </w:r>
      <w:r w:rsidRPr="0078079E">
        <w:t xml:space="preserve">, </w:t>
      </w:r>
      <w:r w:rsidRPr="0078079E">
        <w:rPr>
          <w:i/>
          <w:iCs/>
        </w:rPr>
        <w:t>10</w:t>
      </w:r>
      <w:r w:rsidRPr="0078079E">
        <w:t xml:space="preserve">(4), 42. </w:t>
      </w:r>
      <w:hyperlink r:id="rId43" w:history="1">
        <w:r w:rsidRPr="0078079E">
          <w:rPr>
            <w:rStyle w:val="Hyperlink"/>
          </w:rPr>
          <w:t>https://doi.org/10.5539/ijb.v10n4p42</w:t>
        </w:r>
      </w:hyperlink>
    </w:p>
    <w:p w14:paraId="42E9D14F" w14:textId="77777777" w:rsidR="00A431CA" w:rsidRPr="0078079E" w:rsidRDefault="00A431CA" w:rsidP="00A028F1">
      <w:pPr>
        <w:pStyle w:val="NormalWeb"/>
        <w:spacing w:before="0" w:beforeAutospacing="0" w:after="0" w:afterAutospacing="0"/>
        <w:ind w:left="720" w:hanging="720"/>
        <w:jc w:val="both"/>
        <w:rPr>
          <w:rStyle w:val="url"/>
        </w:rPr>
      </w:pPr>
    </w:p>
    <w:p w14:paraId="1F0FA03D" w14:textId="77777777" w:rsidR="00A431CA" w:rsidRDefault="00DB74BC" w:rsidP="00A028F1">
      <w:pPr>
        <w:pStyle w:val="NormalWeb"/>
        <w:spacing w:before="0" w:beforeAutospacing="0" w:after="0" w:afterAutospacing="0"/>
        <w:ind w:left="720" w:hanging="720"/>
        <w:jc w:val="both"/>
        <w:rPr>
          <w:rStyle w:val="url"/>
        </w:rPr>
      </w:pPr>
      <w:r w:rsidRPr="0078079E">
        <w:t xml:space="preserve">Wray, D., Goldson-Barnaby, A., &amp; Bailey, D. (2020). ACKEE (Blighia Sapida KD Koenig) - A review of its economic importance, bioactive components, associated health benefits and commercial applications. </w:t>
      </w:r>
      <w:r w:rsidRPr="0078079E">
        <w:rPr>
          <w:i/>
          <w:iCs/>
        </w:rPr>
        <w:t>International Journal of Fruit Science</w:t>
      </w:r>
      <w:r w:rsidRPr="0078079E">
        <w:t xml:space="preserve">, </w:t>
      </w:r>
      <w:r w:rsidRPr="0078079E">
        <w:rPr>
          <w:i/>
          <w:iCs/>
        </w:rPr>
        <w:t>20</w:t>
      </w:r>
      <w:r w:rsidRPr="0078079E">
        <w:t xml:space="preserve">(sup2), S910–S924. </w:t>
      </w:r>
      <w:hyperlink r:id="rId44" w:history="1">
        <w:r w:rsidRPr="0078079E">
          <w:rPr>
            <w:rStyle w:val="Hyperlink"/>
          </w:rPr>
          <w:t>https://doi.org/10.1080/15538362.2020.1772941</w:t>
        </w:r>
      </w:hyperlink>
    </w:p>
    <w:p w14:paraId="35830426" w14:textId="77777777" w:rsidR="00A431CA" w:rsidRDefault="00A431CA" w:rsidP="00A028F1">
      <w:pPr>
        <w:pStyle w:val="NormalWeb"/>
        <w:spacing w:before="0" w:beforeAutospacing="0" w:after="0" w:afterAutospacing="0"/>
        <w:ind w:left="720" w:hanging="720"/>
        <w:jc w:val="both"/>
        <w:rPr>
          <w:rStyle w:val="url"/>
        </w:rPr>
      </w:pPr>
    </w:p>
    <w:p w14:paraId="7E430449" w14:textId="77777777" w:rsidR="00A431CA" w:rsidRDefault="00A431CA" w:rsidP="00A028F1">
      <w:pPr>
        <w:pStyle w:val="NormalWeb"/>
        <w:spacing w:before="0" w:beforeAutospacing="0" w:after="0" w:afterAutospacing="0"/>
        <w:ind w:left="720" w:hanging="720"/>
        <w:jc w:val="both"/>
      </w:pPr>
    </w:p>
    <w:p w14:paraId="6C086698" w14:textId="77777777" w:rsidR="00A431CA" w:rsidRDefault="00A431CA" w:rsidP="00A028F1">
      <w:pPr>
        <w:spacing w:line="240" w:lineRule="auto"/>
        <w:jc w:val="both"/>
        <w:rPr>
          <w:rFonts w:ascii="Times New Roman" w:hAnsi="Times New Roman" w:cs="Times New Roman"/>
          <w:sz w:val="24"/>
          <w:szCs w:val="24"/>
        </w:rPr>
      </w:pPr>
    </w:p>
    <w:sectPr w:rsidR="00A431CA">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00212" w14:textId="77777777" w:rsidR="00661FDD" w:rsidRDefault="00661FDD" w:rsidP="003465DC">
      <w:pPr>
        <w:spacing w:after="0" w:line="240" w:lineRule="auto"/>
      </w:pPr>
      <w:r>
        <w:separator/>
      </w:r>
    </w:p>
  </w:endnote>
  <w:endnote w:type="continuationSeparator" w:id="0">
    <w:p w14:paraId="21AC54CF" w14:textId="77777777" w:rsidR="00661FDD" w:rsidRDefault="00661FDD" w:rsidP="00346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D1484" w14:textId="77777777" w:rsidR="003465DC" w:rsidRDefault="00346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CAAC" w14:textId="77777777" w:rsidR="003465DC" w:rsidRDefault="00346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5A3A" w14:textId="77777777" w:rsidR="003465DC" w:rsidRDefault="00346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97B1E" w14:textId="77777777" w:rsidR="00661FDD" w:rsidRDefault="00661FDD" w:rsidP="003465DC">
      <w:pPr>
        <w:spacing w:after="0" w:line="240" w:lineRule="auto"/>
      </w:pPr>
      <w:r>
        <w:separator/>
      </w:r>
    </w:p>
  </w:footnote>
  <w:footnote w:type="continuationSeparator" w:id="0">
    <w:p w14:paraId="091131CF" w14:textId="77777777" w:rsidR="00661FDD" w:rsidRDefault="00661FDD" w:rsidP="00346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460F1" w14:textId="56A61891" w:rsidR="003465DC" w:rsidRDefault="003465DC">
    <w:pPr>
      <w:pStyle w:val="Header"/>
    </w:pPr>
    <w:r>
      <w:rPr>
        <w:noProof/>
      </w:rPr>
      <w:pict w14:anchorId="7F395C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076532"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F97F" w14:textId="67873B13" w:rsidR="003465DC" w:rsidRDefault="003465DC">
    <w:pPr>
      <w:pStyle w:val="Header"/>
    </w:pPr>
    <w:r>
      <w:rPr>
        <w:noProof/>
      </w:rPr>
      <w:pict w14:anchorId="53F48B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076533"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6672" w14:textId="16C05298" w:rsidR="003465DC" w:rsidRDefault="003465DC">
    <w:pPr>
      <w:pStyle w:val="Header"/>
    </w:pPr>
    <w:r>
      <w:rPr>
        <w:noProof/>
      </w:rPr>
      <w:pict w14:anchorId="04499A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076531"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1CA"/>
    <w:rsid w:val="00012E59"/>
    <w:rsid w:val="0021062B"/>
    <w:rsid w:val="003465DC"/>
    <w:rsid w:val="003E0B0F"/>
    <w:rsid w:val="00476387"/>
    <w:rsid w:val="00661FDD"/>
    <w:rsid w:val="006A71AE"/>
    <w:rsid w:val="006B1899"/>
    <w:rsid w:val="00702626"/>
    <w:rsid w:val="0076402A"/>
    <w:rsid w:val="0078079E"/>
    <w:rsid w:val="007F05C8"/>
    <w:rsid w:val="008D113A"/>
    <w:rsid w:val="008E2219"/>
    <w:rsid w:val="00A028F1"/>
    <w:rsid w:val="00A431CA"/>
    <w:rsid w:val="00A874F6"/>
    <w:rsid w:val="00DB74BC"/>
    <w:rsid w:val="00E14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2B955"/>
  <w15:docId w15:val="{554FF6A7-10F1-47DB-B082-6337D1A0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character" w:customStyle="1" w:styleId="selectable-text">
    <w:name w:val="selectable-text"/>
    <w:basedOn w:val="DefaultParagraphFont"/>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rl">
    <w:name w:val="url"/>
    <w:basedOn w:val="DefaultParagraphFont"/>
  </w:style>
  <w:style w:type="table" w:customStyle="1" w:styleId="ListTable6Colorful1">
    <w:name w:val="List Table 6 Colorful1"/>
    <w:basedOn w:val="TableNormal"/>
    <w:uiPriority w:val="51"/>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Pr>
      <w:color w:val="605E5C"/>
      <w:shd w:val="clear" w:color="auto" w:fill="E1DFDD"/>
    </w:rPr>
  </w:style>
  <w:style w:type="character" w:styleId="UnresolvedMention">
    <w:name w:val="Unresolved Mention"/>
    <w:basedOn w:val="DefaultParagraphFont"/>
    <w:uiPriority w:val="99"/>
    <w:semiHidden/>
    <w:unhideWhenUsed/>
    <w:rsid w:val="00012E59"/>
    <w:rPr>
      <w:color w:val="605E5C"/>
      <w:shd w:val="clear" w:color="auto" w:fill="E1DFDD"/>
    </w:rPr>
  </w:style>
  <w:style w:type="paragraph" w:styleId="Header">
    <w:name w:val="header"/>
    <w:basedOn w:val="Normal"/>
    <w:link w:val="HeaderChar"/>
    <w:uiPriority w:val="99"/>
    <w:unhideWhenUsed/>
    <w:rsid w:val="003465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5DC"/>
  </w:style>
  <w:style w:type="paragraph" w:styleId="Footer">
    <w:name w:val="footer"/>
    <w:basedOn w:val="Normal"/>
    <w:link w:val="FooterChar"/>
    <w:uiPriority w:val="99"/>
    <w:unhideWhenUsed/>
    <w:rsid w:val="003465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yperlink" Target="https://doi.org/10.1089/jmf.2008.0292" TargetMode="External"/><Relationship Id="rId26" Type="http://schemas.openxmlformats.org/officeDocument/2006/relationships/hyperlink" Target="https://doi.org/10.4314/ijbcs.v18i1.2" TargetMode="External"/><Relationship Id="rId39" Type="http://schemas.openxmlformats.org/officeDocument/2006/relationships/hyperlink" Target="https://doi.org/10.1016/j.jtumed.2016.11.006" TargetMode="External"/><Relationship Id="rId21" Type="http://schemas.openxmlformats.org/officeDocument/2006/relationships/hyperlink" Target="https://doi.org/10.1155/2021/5574041" TargetMode="External"/><Relationship Id="rId34" Type="http://schemas.openxmlformats.org/officeDocument/2006/relationships/hyperlink" Target="https://doi.org/10.1016/j.jep.2014.08.022" TargetMode="External"/><Relationship Id="rId42" Type="http://schemas.openxmlformats.org/officeDocument/2006/relationships/hyperlink" Target="https://doi.org/10.1155/2020/7059323"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https://doi.org/10.4314/jasem.v28i1.6" TargetMode="External"/><Relationship Id="rId29" Type="http://schemas.openxmlformats.org/officeDocument/2006/relationships/hyperlink" Target="https://doi.org/10.1128/jcm.38.9.3341-3348.2000" TargetMode="External"/><Relationship Id="rId11" Type="http://schemas.openxmlformats.org/officeDocument/2006/relationships/image" Target="media/image6.png"/><Relationship Id="rId24" Type="http://schemas.openxmlformats.org/officeDocument/2006/relationships/hyperlink" Target="https://doi.org/10.31254/phyto.2017.6608" TargetMode="External"/><Relationship Id="rId32" Type="http://schemas.openxmlformats.org/officeDocument/2006/relationships/hyperlink" Target="https://doi.org/10.1515/jcim-2016-0145" TargetMode="External"/><Relationship Id="rId37" Type="http://schemas.openxmlformats.org/officeDocument/2006/relationships/hyperlink" Target="https://doi.org/10.3389/fchem.2024.1363354" TargetMode="External"/><Relationship Id="rId40" Type="http://schemas.openxmlformats.org/officeDocument/2006/relationships/hyperlink" Target="https://doi.org/10.1016/j.apjtb.2016.12.011" TargetMode="External"/><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doi.org/10.1016/j.jpha.2021.04.002" TargetMode="External"/><Relationship Id="rId23" Type="http://schemas.openxmlformats.org/officeDocument/2006/relationships/hyperlink" Target="https://doi.org/10.3390/ddc3010011" TargetMode="External"/><Relationship Id="rId28" Type="http://schemas.openxmlformats.org/officeDocument/2006/relationships/hyperlink" Target="https://doi.org/10.1155/2022/3235031" TargetMode="External"/><Relationship Id="rId36" Type="http://schemas.openxmlformats.org/officeDocument/2006/relationships/hyperlink" Target="https://doi.10.7176/JBAHorg/10.11648/j.ijnfs.20140306.17" TargetMode="External"/><Relationship Id="rId49"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hyperlink" Target="https://doi.org/10.1016/j.jep.2019.01.017" TargetMode="External"/><Relationship Id="rId31" Type="http://schemas.openxmlformats.org/officeDocument/2006/relationships/hyperlink" Target="https://doi.org/10.1007/s13237-022-00405-3" TargetMode="External"/><Relationship Id="rId44" Type="http://schemas.openxmlformats.org/officeDocument/2006/relationships/hyperlink" Target="https://doi.org/10.1080/15538362.2020.1772941"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doi.org/10.4314/bajopas.v10i1.53s" TargetMode="External"/><Relationship Id="rId22" Type="http://schemas.openxmlformats.org/officeDocument/2006/relationships/hyperlink" Target="https://doi.org/10.3390/molecules27248999" TargetMode="External"/><Relationship Id="rId27" Type="http://schemas.openxmlformats.org/officeDocument/2006/relationships/hyperlink" Target="https://doi.org/10.11648/j.ijnfs.20140306.17" TargetMode="External"/><Relationship Id="rId30" Type="http://schemas.openxmlformats.org/officeDocument/2006/relationships/hyperlink" Target="https://doi.org/10.1016/j.toxrep.2022.03.036" TargetMode="External"/><Relationship Id="rId35" Type="http://schemas.openxmlformats.org/officeDocument/2006/relationships/hyperlink" Target="https://doi.org/10.1016/j.mehy.2020.109555" TargetMode="External"/><Relationship Id="rId43" Type="http://schemas.openxmlformats.org/officeDocument/2006/relationships/hyperlink" Target="https://doi.org/10.5539/ijb.v10n4p42" TargetMode="External"/><Relationship Id="rId48" Type="http://schemas.openxmlformats.org/officeDocument/2006/relationships/footer" Target="footer2.xml"/><Relationship Id="rId8" Type="http://schemas.openxmlformats.org/officeDocument/2006/relationships/image" Target="media/image3.png"/><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hyperlink" Target="https://doi.org/10.4314/jasem.v28i3.226" TargetMode="External"/><Relationship Id="rId25" Type="http://schemas.openxmlformats.org/officeDocument/2006/relationships/hyperlink" Target="https://doi.org/10.31254/phyto.2023.12307" TargetMode="External"/><Relationship Id="rId33" Type="http://schemas.openxmlformats.org/officeDocument/2006/relationships/hyperlink" Target="https://doi.org/10.1016/j.fbio.2013.03.003" TargetMode="External"/><Relationship Id="rId38" Type="http://schemas.openxmlformats.org/officeDocument/2006/relationships/hyperlink" Target="https://doi.org/10.1016/j.lwt.2021.111932" TargetMode="External"/><Relationship Id="rId46" Type="http://schemas.openxmlformats.org/officeDocument/2006/relationships/header" Target="header2.xml"/><Relationship Id="rId20" Type="http://schemas.openxmlformats.org/officeDocument/2006/relationships/hyperlink" Target="https://www.phytojournal.com/archives/2019/vol8issue4/PartA/8-1-596-997.pdf" TargetMode="External"/><Relationship Id="rId41" Type="http://schemas.openxmlformats.org/officeDocument/2006/relationships/hyperlink" Target="https://doi.org/10.1002/bmb.20617" TargetMode="External"/><Relationship Id="rId1"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15</Pages>
  <Words>5887</Words>
  <Characters>33560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SDI 1084</cp:lastModifiedBy>
  <cp:revision>10</cp:revision>
  <cp:lastPrinted>2024-08-26T10:33:00Z</cp:lastPrinted>
  <dcterms:created xsi:type="dcterms:W3CDTF">2026-05-30T21:00:00Z</dcterms:created>
  <dcterms:modified xsi:type="dcterms:W3CDTF">2026-06-04T11:23:00Z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bac40b902562496884c7ca53e9db689f</vt:lpwstr>
  </property>
</Properties>
</file>