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075EE" w14:textId="77777777" w:rsidR="005E25FE" w:rsidRPr="00D1336B" w:rsidRDefault="005E25FE" w:rsidP="00D1336B">
      <w:pPr>
        <w:spacing w:after="0" w:line="276" w:lineRule="auto"/>
        <w:jc w:val="right"/>
        <w:rPr>
          <w:rFonts w:ascii="Times New Roman" w:hAnsi="Times New Roman" w:cs="Times New Roman"/>
          <w:b/>
          <w:bCs/>
          <w:i/>
          <w:iCs/>
          <w:sz w:val="32"/>
          <w:szCs w:val="32"/>
          <w:u w:val="single"/>
          <w:lang w:val="en-GB"/>
        </w:rPr>
      </w:pPr>
      <w:r w:rsidRPr="00D1336B">
        <w:rPr>
          <w:rFonts w:ascii="Times New Roman" w:hAnsi="Times New Roman" w:cs="Times New Roman"/>
          <w:b/>
          <w:bCs/>
          <w:i/>
          <w:iCs/>
          <w:sz w:val="32"/>
          <w:szCs w:val="32"/>
          <w:u w:val="single"/>
          <w:lang w:val="en-GB"/>
        </w:rPr>
        <w:t>Original Research Article</w:t>
      </w:r>
    </w:p>
    <w:p w14:paraId="4D32B9D7" w14:textId="585DAA33" w:rsidR="007E0A41" w:rsidRPr="00D1336B" w:rsidRDefault="007E0A41" w:rsidP="00D1336B">
      <w:pPr>
        <w:spacing w:after="0" w:line="276" w:lineRule="auto"/>
        <w:jc w:val="right"/>
        <w:rPr>
          <w:rFonts w:ascii="Times New Roman" w:hAnsi="Times New Roman" w:cs="Times New Roman"/>
          <w:b/>
          <w:bCs/>
          <w:sz w:val="32"/>
          <w:szCs w:val="32"/>
          <w:lang w:val="en-GB"/>
        </w:rPr>
      </w:pPr>
      <w:r w:rsidRPr="00D1336B">
        <w:rPr>
          <w:rFonts w:ascii="Times New Roman" w:hAnsi="Times New Roman" w:cs="Times New Roman"/>
          <w:b/>
          <w:bCs/>
          <w:sz w:val="32"/>
          <w:szCs w:val="32"/>
          <w:lang w:val="en-GB"/>
        </w:rPr>
        <w:t>Effect on the Growth Rate of Sweet Corn through Zinc and Iron biofortification under Temperate Ecology of Kashmir</w:t>
      </w:r>
    </w:p>
    <w:p w14:paraId="1C5759EB" w14:textId="77777777" w:rsidR="00D1336B" w:rsidRPr="00D1336B" w:rsidRDefault="00D1336B" w:rsidP="00D1336B">
      <w:pPr>
        <w:spacing w:after="0" w:line="276" w:lineRule="auto"/>
        <w:jc w:val="right"/>
        <w:rPr>
          <w:rFonts w:ascii="Times New Roman" w:hAnsi="Times New Roman" w:cs="Times New Roman"/>
          <w:b/>
          <w:bCs/>
          <w:lang w:val="en-GB"/>
        </w:rPr>
      </w:pPr>
    </w:p>
    <w:p w14:paraId="7B1A6ADE" w14:textId="77777777" w:rsidR="00D1336B" w:rsidRPr="00D1336B" w:rsidRDefault="00D1336B" w:rsidP="00D1336B">
      <w:pPr>
        <w:spacing w:after="0" w:line="276" w:lineRule="auto"/>
        <w:jc w:val="center"/>
        <w:rPr>
          <w:rFonts w:ascii="Times New Roman" w:hAnsi="Times New Roman" w:cs="Times New Roman"/>
          <w:b/>
          <w:bCs/>
          <w:lang w:val="en-GB"/>
        </w:rPr>
      </w:pPr>
    </w:p>
    <w:p w14:paraId="4BF7D80D" w14:textId="54D7EFE1" w:rsidR="007E0A41" w:rsidRPr="00D1336B" w:rsidRDefault="007E0A41" w:rsidP="00D1336B">
      <w:pPr>
        <w:spacing w:after="0" w:line="276" w:lineRule="auto"/>
        <w:jc w:val="center"/>
        <w:rPr>
          <w:rFonts w:ascii="Times New Roman" w:hAnsi="Times New Roman" w:cs="Times New Roman"/>
          <w:b/>
          <w:bCs/>
          <w:lang w:val="en-GB"/>
        </w:rPr>
      </w:pPr>
      <w:r w:rsidRPr="00D1336B">
        <w:rPr>
          <w:rFonts w:ascii="Times New Roman" w:hAnsi="Times New Roman" w:cs="Times New Roman"/>
          <w:b/>
          <w:bCs/>
          <w:lang w:val="en-GB"/>
        </w:rPr>
        <w:t>Abstract</w:t>
      </w:r>
    </w:p>
    <w:p w14:paraId="7E2842E9" w14:textId="77777777" w:rsidR="007E0A41" w:rsidRPr="00D1336B" w:rsidRDefault="007E0A41" w:rsidP="00D1336B">
      <w:pPr>
        <w:spacing w:after="0" w:line="276" w:lineRule="auto"/>
        <w:jc w:val="both"/>
        <w:rPr>
          <w:rFonts w:ascii="Times New Roman" w:hAnsi="Times New Roman" w:cs="Times New Roman"/>
        </w:rPr>
      </w:pPr>
      <w:r w:rsidRPr="00D1336B">
        <w:rPr>
          <w:rFonts w:ascii="Times New Roman" w:hAnsi="Times New Roman" w:cs="Times New Roman"/>
          <w:lang w:val="en-GB"/>
        </w:rPr>
        <w:t xml:space="preserve">A field trial was conducted at </w:t>
      </w:r>
      <w:r w:rsidRPr="00D1336B">
        <w:rPr>
          <w:rFonts w:ascii="Times New Roman" w:hAnsi="Times New Roman" w:cs="Times New Roman"/>
        </w:rPr>
        <w:t xml:space="preserve">agronomy research farm, Faculty of Agriculture, SKUAST-Kashmir during </w:t>
      </w:r>
      <w:r w:rsidRPr="00D1336B">
        <w:rPr>
          <w:rFonts w:ascii="Times New Roman" w:hAnsi="Times New Roman" w:cs="Times New Roman"/>
          <w:i/>
          <w:iCs/>
        </w:rPr>
        <w:t>kharif</w:t>
      </w:r>
      <w:r w:rsidRPr="00D1336B">
        <w:rPr>
          <w:rFonts w:ascii="Times New Roman" w:hAnsi="Times New Roman" w:cs="Times New Roman"/>
        </w:rPr>
        <w:t xml:space="preserve"> 2024 and 2025. And the trial was laid out in </w:t>
      </w:r>
      <w:r w:rsidRPr="00D1336B">
        <w:rPr>
          <w:rFonts w:ascii="Times New Roman" w:hAnsi="Times New Roman" w:cs="Times New Roman"/>
          <w:bCs/>
        </w:rPr>
        <w:t>in randomized complete block design (RCBD) with thirteen treatments and three replications. The treatments were: T</w:t>
      </w:r>
      <w:r w:rsidRPr="00D1336B">
        <w:rPr>
          <w:rFonts w:ascii="Times New Roman" w:hAnsi="Times New Roman" w:cs="Times New Roman"/>
          <w:bCs/>
          <w:vertAlign w:val="subscript"/>
        </w:rPr>
        <w:t xml:space="preserve">1 </w:t>
      </w:r>
      <w:r w:rsidRPr="00D1336B">
        <w:rPr>
          <w:rFonts w:ascii="Times New Roman" w:hAnsi="Times New Roman" w:cs="Times New Roman"/>
          <w:bCs/>
        </w:rPr>
        <w:t>(Control no Zn and Fe applied), T</w:t>
      </w:r>
      <w:r w:rsidRPr="00D1336B">
        <w:rPr>
          <w:rFonts w:ascii="Times New Roman" w:hAnsi="Times New Roman" w:cs="Times New Roman"/>
          <w:bCs/>
          <w:vertAlign w:val="subscript"/>
        </w:rPr>
        <w:t xml:space="preserve">2 </w:t>
      </w:r>
      <w:r w:rsidRPr="00D1336B">
        <w:rPr>
          <w:rFonts w:ascii="Times New Roman" w:hAnsi="Times New Roman" w:cs="Times New Roman"/>
          <w:bCs/>
        </w:rPr>
        <w:t>(Foliar application of chelated iron @ 0.25%), T</w:t>
      </w:r>
      <w:r w:rsidRPr="00D1336B">
        <w:rPr>
          <w:rFonts w:ascii="Times New Roman" w:hAnsi="Times New Roman" w:cs="Times New Roman"/>
          <w:bCs/>
          <w:vertAlign w:val="subscript"/>
        </w:rPr>
        <w:t>3</w:t>
      </w:r>
      <w:r w:rsidRPr="00D1336B">
        <w:rPr>
          <w:rFonts w:ascii="Times New Roman" w:hAnsi="Times New Roman" w:cs="Times New Roman"/>
          <w:bCs/>
        </w:rPr>
        <w:t>(Foliar application of chelated iron @ 0.50%), T</w:t>
      </w:r>
      <w:r w:rsidRPr="00D1336B">
        <w:rPr>
          <w:rFonts w:ascii="Times New Roman" w:hAnsi="Times New Roman" w:cs="Times New Roman"/>
          <w:bCs/>
          <w:vertAlign w:val="subscript"/>
        </w:rPr>
        <w:t xml:space="preserve">4 </w:t>
      </w:r>
      <w:r w:rsidRPr="00D1336B">
        <w:rPr>
          <w:rFonts w:ascii="Times New Roman" w:hAnsi="Times New Roman" w:cs="Times New Roman"/>
          <w:bCs/>
        </w:rPr>
        <w:t>(Foliar application of chelated iron @ 0.75%), T</w:t>
      </w:r>
      <w:r w:rsidRPr="00D1336B">
        <w:rPr>
          <w:rFonts w:ascii="Times New Roman" w:hAnsi="Times New Roman" w:cs="Times New Roman"/>
          <w:bCs/>
          <w:vertAlign w:val="subscript"/>
        </w:rPr>
        <w:t xml:space="preserve">5 </w:t>
      </w:r>
      <w:r w:rsidRPr="00D1336B">
        <w:rPr>
          <w:rFonts w:ascii="Times New Roman" w:hAnsi="Times New Roman" w:cs="Times New Roman"/>
          <w:bCs/>
        </w:rPr>
        <w:t>(Foliar application of FeSO</w:t>
      </w:r>
      <w:r w:rsidRPr="00D1336B">
        <w:rPr>
          <w:rFonts w:ascii="Times New Roman" w:hAnsi="Times New Roman" w:cs="Times New Roman"/>
          <w:bCs/>
          <w:vertAlign w:val="subscript"/>
        </w:rPr>
        <w:t>4</w:t>
      </w:r>
      <w:r w:rsidRPr="00D1336B">
        <w:rPr>
          <w:rFonts w:ascii="Times New Roman" w:hAnsi="Times New Roman" w:cs="Times New Roman"/>
          <w:bCs/>
        </w:rPr>
        <w:t xml:space="preserve"> @ 0.25%), T</w:t>
      </w:r>
      <w:r w:rsidRPr="00D1336B">
        <w:rPr>
          <w:rFonts w:ascii="Times New Roman" w:hAnsi="Times New Roman" w:cs="Times New Roman"/>
          <w:bCs/>
          <w:vertAlign w:val="subscript"/>
        </w:rPr>
        <w:t xml:space="preserve">6 </w:t>
      </w:r>
      <w:r w:rsidRPr="00D1336B">
        <w:rPr>
          <w:rFonts w:ascii="Times New Roman" w:hAnsi="Times New Roman" w:cs="Times New Roman"/>
          <w:bCs/>
        </w:rPr>
        <w:t>(Foliar application of FeSO</w:t>
      </w:r>
      <w:r w:rsidRPr="00D1336B">
        <w:rPr>
          <w:rFonts w:ascii="Times New Roman" w:hAnsi="Times New Roman" w:cs="Times New Roman"/>
          <w:bCs/>
          <w:vertAlign w:val="subscript"/>
        </w:rPr>
        <w:t>4</w:t>
      </w:r>
      <w:r w:rsidRPr="00D1336B">
        <w:rPr>
          <w:rFonts w:ascii="Times New Roman" w:hAnsi="Times New Roman" w:cs="Times New Roman"/>
          <w:bCs/>
        </w:rPr>
        <w:t xml:space="preserve"> @ 0.50%), T</w:t>
      </w:r>
      <w:r w:rsidRPr="00D1336B">
        <w:rPr>
          <w:rFonts w:ascii="Times New Roman" w:hAnsi="Times New Roman" w:cs="Times New Roman"/>
          <w:bCs/>
          <w:vertAlign w:val="subscript"/>
        </w:rPr>
        <w:t xml:space="preserve">7 </w:t>
      </w:r>
      <w:r w:rsidRPr="00D1336B">
        <w:rPr>
          <w:rFonts w:ascii="Times New Roman" w:hAnsi="Times New Roman" w:cs="Times New Roman"/>
          <w:bCs/>
        </w:rPr>
        <w:t>(Foliar application of FeSO</w:t>
      </w:r>
      <w:r w:rsidRPr="00D1336B">
        <w:rPr>
          <w:rFonts w:ascii="Times New Roman" w:hAnsi="Times New Roman" w:cs="Times New Roman"/>
          <w:bCs/>
          <w:vertAlign w:val="subscript"/>
        </w:rPr>
        <w:t>4</w:t>
      </w:r>
      <w:r w:rsidRPr="00D1336B">
        <w:rPr>
          <w:rFonts w:ascii="Times New Roman" w:hAnsi="Times New Roman" w:cs="Times New Roman"/>
          <w:bCs/>
        </w:rPr>
        <w:t xml:space="preserve"> @ 0.75%), T</w:t>
      </w:r>
      <w:r w:rsidRPr="00D1336B">
        <w:rPr>
          <w:rFonts w:ascii="Times New Roman" w:hAnsi="Times New Roman" w:cs="Times New Roman"/>
          <w:bCs/>
          <w:vertAlign w:val="subscript"/>
        </w:rPr>
        <w:t xml:space="preserve">8 </w:t>
      </w:r>
      <w:r w:rsidRPr="00D1336B">
        <w:rPr>
          <w:rFonts w:ascii="Times New Roman" w:hAnsi="Times New Roman" w:cs="Times New Roman"/>
          <w:bCs/>
        </w:rPr>
        <w:t>(Foliar application of chelated zinc @ 0.25%), T</w:t>
      </w:r>
      <w:r w:rsidRPr="00D1336B">
        <w:rPr>
          <w:rFonts w:ascii="Times New Roman" w:hAnsi="Times New Roman" w:cs="Times New Roman"/>
          <w:bCs/>
          <w:vertAlign w:val="subscript"/>
        </w:rPr>
        <w:t xml:space="preserve">9 </w:t>
      </w:r>
      <w:r w:rsidRPr="00D1336B">
        <w:rPr>
          <w:rFonts w:ascii="Times New Roman" w:hAnsi="Times New Roman" w:cs="Times New Roman"/>
          <w:bCs/>
        </w:rPr>
        <w:t>(Foliar application of chelated zinc @ 0.25%), T</w:t>
      </w:r>
      <w:r w:rsidRPr="00D1336B">
        <w:rPr>
          <w:rFonts w:ascii="Times New Roman" w:hAnsi="Times New Roman" w:cs="Times New Roman"/>
          <w:bCs/>
          <w:vertAlign w:val="subscript"/>
        </w:rPr>
        <w:t>10</w:t>
      </w:r>
      <w:r w:rsidRPr="00D1336B">
        <w:rPr>
          <w:rFonts w:ascii="Times New Roman" w:hAnsi="Times New Roman" w:cs="Times New Roman"/>
          <w:bCs/>
        </w:rPr>
        <w:t xml:space="preserve"> (Foliar application of chelated zinc @ 0.50%), T</w:t>
      </w:r>
      <w:r w:rsidRPr="00D1336B">
        <w:rPr>
          <w:rFonts w:ascii="Times New Roman" w:hAnsi="Times New Roman" w:cs="Times New Roman"/>
          <w:bCs/>
          <w:vertAlign w:val="subscript"/>
        </w:rPr>
        <w:t>11</w:t>
      </w:r>
      <w:r w:rsidRPr="00D1336B">
        <w:rPr>
          <w:rFonts w:ascii="Times New Roman" w:hAnsi="Times New Roman" w:cs="Times New Roman"/>
          <w:bCs/>
        </w:rPr>
        <w:t xml:space="preserve"> (Foliar application of ZnSO</w:t>
      </w:r>
      <w:r w:rsidRPr="00D1336B">
        <w:rPr>
          <w:rFonts w:ascii="Times New Roman" w:hAnsi="Times New Roman" w:cs="Times New Roman"/>
          <w:bCs/>
          <w:vertAlign w:val="subscript"/>
        </w:rPr>
        <w:t>4</w:t>
      </w:r>
      <w:r w:rsidRPr="00D1336B">
        <w:rPr>
          <w:rFonts w:ascii="Times New Roman" w:hAnsi="Times New Roman" w:cs="Times New Roman"/>
          <w:bCs/>
        </w:rPr>
        <w:t xml:space="preserve"> @ 0.25%), T</w:t>
      </w:r>
      <w:r w:rsidRPr="00D1336B">
        <w:rPr>
          <w:rFonts w:ascii="Times New Roman" w:hAnsi="Times New Roman" w:cs="Times New Roman"/>
          <w:bCs/>
          <w:vertAlign w:val="subscript"/>
        </w:rPr>
        <w:t>12</w:t>
      </w:r>
      <w:r w:rsidRPr="00D1336B">
        <w:rPr>
          <w:rFonts w:ascii="Times New Roman" w:hAnsi="Times New Roman" w:cs="Times New Roman"/>
          <w:bCs/>
        </w:rPr>
        <w:t xml:space="preserve"> (Foliar application of ZnSO</w:t>
      </w:r>
      <w:r w:rsidRPr="00D1336B">
        <w:rPr>
          <w:rFonts w:ascii="Times New Roman" w:hAnsi="Times New Roman" w:cs="Times New Roman"/>
          <w:bCs/>
          <w:vertAlign w:val="subscript"/>
        </w:rPr>
        <w:t>4</w:t>
      </w:r>
      <w:r w:rsidRPr="00D1336B">
        <w:rPr>
          <w:rFonts w:ascii="Times New Roman" w:hAnsi="Times New Roman" w:cs="Times New Roman"/>
          <w:bCs/>
        </w:rPr>
        <w:t xml:space="preserve"> @ 0.50%), T</w:t>
      </w:r>
      <w:r w:rsidRPr="00D1336B">
        <w:rPr>
          <w:rFonts w:ascii="Times New Roman" w:hAnsi="Times New Roman" w:cs="Times New Roman"/>
          <w:bCs/>
          <w:vertAlign w:val="subscript"/>
        </w:rPr>
        <w:t>13</w:t>
      </w:r>
      <w:r w:rsidRPr="00D1336B">
        <w:rPr>
          <w:rFonts w:ascii="Times New Roman" w:hAnsi="Times New Roman" w:cs="Times New Roman"/>
          <w:bCs/>
        </w:rPr>
        <w:t xml:space="preserve"> (Foliar application of ZnSO</w:t>
      </w:r>
      <w:r w:rsidRPr="00D1336B">
        <w:rPr>
          <w:rFonts w:ascii="Times New Roman" w:hAnsi="Times New Roman" w:cs="Times New Roman"/>
          <w:bCs/>
          <w:vertAlign w:val="subscript"/>
        </w:rPr>
        <w:t>4</w:t>
      </w:r>
      <w:r w:rsidRPr="00D1336B">
        <w:rPr>
          <w:rFonts w:ascii="Times New Roman" w:hAnsi="Times New Roman" w:cs="Times New Roman"/>
          <w:bCs/>
        </w:rPr>
        <w:t xml:space="preserve"> @ 0.75%), RDF @ 150:80:60 NPK kg ha</w:t>
      </w:r>
      <w:r w:rsidRPr="00D1336B">
        <w:rPr>
          <w:rFonts w:ascii="Times New Roman" w:hAnsi="Times New Roman" w:cs="Times New Roman"/>
          <w:bCs/>
          <w:vertAlign w:val="superscript"/>
        </w:rPr>
        <w:t>-1</w:t>
      </w:r>
      <w:r w:rsidRPr="00D1336B">
        <w:rPr>
          <w:rFonts w:ascii="Times New Roman" w:hAnsi="Times New Roman" w:cs="Times New Roman"/>
          <w:bCs/>
        </w:rPr>
        <w:t xml:space="preserve"> is applied in all the treatments and foliar application is done at knee height stage. Sweet corn variety Sugar 75 was transplanted with the spacing 60 cm X 20 cm. </w:t>
      </w:r>
      <w:r w:rsidRPr="00D1336B">
        <w:rPr>
          <w:rFonts w:ascii="Times New Roman" w:hAnsi="Times New Roman" w:cs="Times New Roman"/>
        </w:rPr>
        <w:t xml:space="preserve">Growth parameters were recorded at three intervals. The findings demonstrated that during the 30-60 DAT interval, foliar application of chelated zinc were found to be the best treatment </w:t>
      </w:r>
      <w:r w:rsidRPr="00D1336B">
        <w:rPr>
          <w:rFonts w:ascii="Times New Roman" w:hAnsi="Times New Roman" w:cs="Times New Roman"/>
          <w:i/>
          <w:iCs/>
        </w:rPr>
        <w:t xml:space="preserve">i.e., </w:t>
      </w:r>
      <w:r w:rsidRPr="00D1336B">
        <w:rPr>
          <w:rFonts w:ascii="Times New Roman" w:hAnsi="Times New Roman" w:cs="Times New Roman"/>
        </w:rPr>
        <w:t>T</w:t>
      </w:r>
      <w:r w:rsidRPr="00D1336B">
        <w:rPr>
          <w:rFonts w:ascii="Times New Roman" w:hAnsi="Times New Roman" w:cs="Times New Roman"/>
          <w:vertAlign w:val="subscript"/>
        </w:rPr>
        <w:t xml:space="preserve">9 </w:t>
      </w:r>
      <w:r w:rsidRPr="00D1336B">
        <w:rPr>
          <w:rFonts w:ascii="Times New Roman" w:hAnsi="Times New Roman" w:cs="Times New Roman"/>
        </w:rPr>
        <w:t>(chelated zinc @ 0.50%) and chelated zinc @ 0.75%(T</w:t>
      </w:r>
      <w:r w:rsidRPr="00D1336B">
        <w:rPr>
          <w:rFonts w:ascii="Times New Roman" w:hAnsi="Times New Roman" w:cs="Times New Roman"/>
          <w:vertAlign w:val="subscript"/>
        </w:rPr>
        <w:t>10</w:t>
      </w:r>
      <w:r w:rsidRPr="00D1336B">
        <w:rPr>
          <w:rFonts w:ascii="Times New Roman" w:hAnsi="Times New Roman" w:cs="Times New Roman"/>
        </w:rPr>
        <w:t>). T</w:t>
      </w:r>
      <w:r w:rsidRPr="00D1336B">
        <w:rPr>
          <w:rFonts w:ascii="Times New Roman" w:hAnsi="Times New Roman" w:cs="Times New Roman"/>
          <w:vertAlign w:val="subscript"/>
        </w:rPr>
        <w:t>10</w:t>
      </w:r>
      <w:r w:rsidRPr="00D1336B">
        <w:rPr>
          <w:rFonts w:ascii="Times New Roman" w:hAnsi="Times New Roman" w:cs="Times New Roman"/>
        </w:rPr>
        <w:t xml:space="preserve"> recorded the highest CGR (49.99 g m⁻² day⁻¹) and RGR (0.1084 g g⁻¹ day⁻¹) and the control had the lowest value. NAR followed a similar trend, peaking at 2.04 g m⁻² day⁻¹ under chelated zinc @ 0.50%. Iron treatments produced moderate but steady improvements over the control, though they consistently trailed behind the zinc-based treatments. All growth parameters declined naturally at 60–90 DAT period, though zinc treatments retained a relative advantage. The findings underscore the strong potential of chelated zinc in enhancing the early physiological growth efficiency of sweet corn.</w:t>
      </w:r>
    </w:p>
    <w:p w14:paraId="699BDCD4" w14:textId="77777777" w:rsidR="007E0A41" w:rsidRPr="00D1336B" w:rsidRDefault="007E0A41" w:rsidP="00D1336B">
      <w:pPr>
        <w:spacing w:after="0" w:line="276" w:lineRule="auto"/>
        <w:rPr>
          <w:rFonts w:ascii="Times New Roman" w:hAnsi="Times New Roman" w:cs="Times New Roman"/>
        </w:rPr>
      </w:pPr>
      <w:r w:rsidRPr="00D1336B">
        <w:rPr>
          <w:rFonts w:ascii="Times New Roman" w:hAnsi="Times New Roman" w:cs="Times New Roman"/>
        </w:rPr>
        <w:t>Keywords: Chelated, foliar, sweet corn, treatment and zinc</w:t>
      </w:r>
    </w:p>
    <w:p w14:paraId="1B739858" w14:textId="7A258ED2" w:rsidR="007E0A41" w:rsidRPr="00D1336B" w:rsidRDefault="00FB5AB7" w:rsidP="00D1336B">
      <w:pPr>
        <w:spacing w:after="0" w:line="276" w:lineRule="auto"/>
        <w:rPr>
          <w:rFonts w:ascii="Times New Roman" w:hAnsi="Times New Roman" w:cs="Times New Roman"/>
          <w:lang w:val="en-GB"/>
        </w:rPr>
      </w:pPr>
      <w:r w:rsidRPr="00D1336B">
        <w:rPr>
          <w:rFonts w:ascii="Times New Roman" w:hAnsi="Times New Roman" w:cs="Times New Roman"/>
          <w:b/>
          <w:bCs/>
          <w:lang w:val="en-GB"/>
        </w:rPr>
        <w:t xml:space="preserve">1. </w:t>
      </w:r>
      <w:r w:rsidR="007E0A41" w:rsidRPr="00D1336B">
        <w:rPr>
          <w:rFonts w:ascii="Times New Roman" w:hAnsi="Times New Roman" w:cs="Times New Roman"/>
          <w:b/>
          <w:bCs/>
          <w:lang w:val="en-GB"/>
        </w:rPr>
        <w:t>Introduction</w:t>
      </w:r>
    </w:p>
    <w:p w14:paraId="3CA82DF4" w14:textId="77777777" w:rsidR="007E0A41" w:rsidRPr="00D1336B" w:rsidRDefault="007E0A41" w:rsidP="00D1336B">
      <w:pPr>
        <w:spacing w:after="0" w:line="276" w:lineRule="auto"/>
        <w:ind w:firstLine="720"/>
        <w:jc w:val="both"/>
        <w:rPr>
          <w:rFonts w:ascii="Times New Roman" w:hAnsi="Times New Roman" w:cs="Times New Roman"/>
          <w:color w:val="EE0000"/>
          <w:lang w:val="en-GB"/>
        </w:rPr>
      </w:pPr>
      <w:r w:rsidRPr="00D1336B">
        <w:rPr>
          <w:rFonts w:ascii="Times New Roman" w:hAnsi="Times New Roman" w:cs="Times New Roman"/>
          <w:lang w:val="en-GB"/>
        </w:rPr>
        <w:t xml:space="preserve">Maize is considered one of the most important crops in the </w:t>
      </w:r>
      <w:proofErr w:type="spellStart"/>
      <w:r w:rsidRPr="00D1336B">
        <w:rPr>
          <w:rFonts w:ascii="Times New Roman" w:hAnsi="Times New Roman" w:cs="Times New Roman"/>
          <w:lang w:val="en-GB"/>
        </w:rPr>
        <w:t>gramineae</w:t>
      </w:r>
      <w:proofErr w:type="spellEnd"/>
      <w:r w:rsidRPr="00D1336B">
        <w:rPr>
          <w:rFonts w:ascii="Times New Roman" w:hAnsi="Times New Roman" w:cs="Times New Roman"/>
          <w:lang w:val="en-GB"/>
        </w:rPr>
        <w:t xml:space="preserve"> family, because of its massive yield (production) and short growing season. It can be grown in both cold and temperate climates because to its broad range of adaption. After rice and wheat, maize is the third most produced cereal in the world, yet its production volume is equivalent to that of each of the two grains. Intensive crop production, in conjunction with the cultivation of varieties with high yields has significantly depleted the fertility of the soil, not only in terms of macronutrients but also in terms of micronutrients. </w:t>
      </w:r>
      <w:r w:rsidRPr="00D1336B">
        <w:rPr>
          <w:rFonts w:ascii="Times New Roman" w:hAnsi="Times New Roman" w:cs="Times New Roman"/>
        </w:rPr>
        <w:t>Maize (</w:t>
      </w:r>
      <w:r w:rsidRPr="00D1336B">
        <w:rPr>
          <w:rFonts w:ascii="Times New Roman" w:hAnsi="Times New Roman" w:cs="Times New Roman"/>
          <w:i/>
          <w:iCs/>
        </w:rPr>
        <w:t>Zea mays</w:t>
      </w:r>
      <w:r w:rsidRPr="00D1336B">
        <w:rPr>
          <w:rFonts w:ascii="Times New Roman" w:hAnsi="Times New Roman" w:cs="Times New Roman"/>
        </w:rPr>
        <w:t xml:space="preserve"> L.) continues to occupy a position of remarkable importance among the world's cereal crops, ranking just behind wheat and rice in overall global significance (Jat </w:t>
      </w:r>
      <w:r w:rsidRPr="00D1336B">
        <w:rPr>
          <w:rFonts w:ascii="Times New Roman" w:hAnsi="Times New Roman" w:cs="Times New Roman"/>
          <w:i/>
          <w:iCs/>
        </w:rPr>
        <w:t>et al.</w:t>
      </w:r>
      <w:r w:rsidRPr="00D1336B">
        <w:rPr>
          <w:rFonts w:ascii="Times New Roman" w:hAnsi="Times New Roman" w:cs="Times New Roman"/>
        </w:rPr>
        <w:t>, 2022).</w:t>
      </w:r>
      <w:r w:rsidRPr="00D1336B">
        <w:rPr>
          <w:rFonts w:ascii="Times New Roman" w:hAnsi="Times New Roman" w:cs="Times New Roman"/>
          <w:lang w:val="en-GB"/>
        </w:rPr>
        <w:t xml:space="preserve"> It performs essential and various roles in the worldwide agri-food system </w:t>
      </w:r>
      <w:r w:rsidRPr="00D1336B">
        <w:rPr>
          <w:rFonts w:ascii="Times New Roman" w:hAnsi="Times New Roman" w:cs="Times New Roman"/>
          <w:b/>
          <w:bCs/>
          <w:lang w:val="en-GB"/>
        </w:rPr>
        <w:t>(</w:t>
      </w:r>
      <w:proofErr w:type="spellStart"/>
      <w:r w:rsidRPr="00D1336B">
        <w:rPr>
          <w:rFonts w:ascii="Times New Roman" w:hAnsi="Times New Roman" w:cs="Times New Roman"/>
        </w:rPr>
        <w:t>Erenstein</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xml:space="preserve"> 2022</w:t>
      </w:r>
      <w:r w:rsidRPr="00D1336B">
        <w:rPr>
          <w:rFonts w:ascii="Times New Roman" w:hAnsi="Times New Roman" w:cs="Times New Roman"/>
          <w:b/>
          <w:bCs/>
        </w:rPr>
        <w:t xml:space="preserve"> </w:t>
      </w:r>
      <w:r w:rsidRPr="00D1336B">
        <w:rPr>
          <w:rFonts w:ascii="Times New Roman" w:hAnsi="Times New Roman" w:cs="Times New Roman"/>
        </w:rPr>
        <w:t xml:space="preserve">and </w:t>
      </w:r>
      <w:proofErr w:type="spellStart"/>
      <w:r w:rsidRPr="00D1336B">
        <w:rPr>
          <w:rFonts w:ascii="Times New Roman" w:hAnsi="Times New Roman" w:cs="Times New Roman"/>
        </w:rPr>
        <w:t>Iseghohi</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xml:space="preserve"> 2024). Combined with its many uses in human food, animal feed, and industrial products, has earned it the popular title of "queen of cereals" (</w:t>
      </w:r>
      <w:proofErr w:type="spellStart"/>
      <w:r w:rsidRPr="00D1336B">
        <w:rPr>
          <w:rFonts w:ascii="Times New Roman" w:hAnsi="Times New Roman" w:cs="Times New Roman"/>
        </w:rPr>
        <w:t>Karrimi</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xml:space="preserve">, 2018). </w:t>
      </w:r>
      <w:r w:rsidRPr="00D1336B">
        <w:rPr>
          <w:rFonts w:ascii="Times New Roman" w:hAnsi="Times New Roman" w:cs="Times New Roman"/>
          <w:lang w:val="en-GB"/>
        </w:rPr>
        <w:t xml:space="preserve">The maize is C4 plant and is prevalent to the tropical region. The width of its spectrum of adaption and adaptability has made it possible to successfully grow in temperate and frigid climates. </w:t>
      </w:r>
      <w:r w:rsidRPr="00D1336B">
        <w:rPr>
          <w:rFonts w:ascii="Times New Roman" w:hAnsi="Times New Roman" w:cs="Times New Roman"/>
        </w:rPr>
        <w:t xml:space="preserve">Sweet corn, a specialized form of maize grown primarily for its immature, sugar-rich kernels, has carved out its own commercial niche because of its short duration and high market demand, both fresh and processed (Malode </w:t>
      </w:r>
      <w:r w:rsidRPr="00D1336B">
        <w:rPr>
          <w:rFonts w:ascii="Times New Roman" w:hAnsi="Times New Roman" w:cs="Times New Roman"/>
          <w:i/>
          <w:iCs/>
        </w:rPr>
        <w:t>et al.</w:t>
      </w:r>
      <w:r w:rsidRPr="00D1336B">
        <w:rPr>
          <w:rFonts w:ascii="Times New Roman" w:hAnsi="Times New Roman" w:cs="Times New Roman"/>
        </w:rPr>
        <w:t>, 2025). Despite this versatility, the crop remains highly responsive to nutritional status during its vegetative growth phase, a period during which the physiological groundwork for eventual yield is laid down.</w:t>
      </w:r>
    </w:p>
    <w:p w14:paraId="1AF7B625"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The long-term study of how a crop develops (grows), and not just how much it produces at the end of the growing season, has been one of the main concerns of Crop Physiologists. Techniques for </w:t>
      </w:r>
      <w:r w:rsidRPr="00D1336B">
        <w:rPr>
          <w:rFonts w:ascii="Times New Roman" w:hAnsi="Times New Roman" w:cs="Times New Roman"/>
        </w:rPr>
        <w:lastRenderedPageBreak/>
        <w:t xml:space="preserve">studying growth and development (growth analyses) have allowed us to look inside a developing crop and see how well it functions from start to finish throughout its life cycle. There are two commonly used methods of evaluating a crop's growth and developmental performance: Relative Growth Rate (RGR) and Net Assimilation Rate (NAR). RGR measures how fast a plant is creating new biomass by comparing the biomass produced to the existing biomass on the plant. This provides a measure of the plant's overall growth potential. NAR evaluates the amount of dry matter gained per unit of leaf area; since leaves are responsible for all of the photosynthesis taking place in plants, NAR is a direct reflection of a plant's ability to produce energy through photosynthesis (Thakur </w:t>
      </w:r>
      <w:r w:rsidRPr="00D1336B">
        <w:rPr>
          <w:rFonts w:ascii="Times New Roman" w:hAnsi="Times New Roman" w:cs="Times New Roman"/>
          <w:i/>
          <w:iCs/>
        </w:rPr>
        <w:t>et al.</w:t>
      </w:r>
      <w:r w:rsidRPr="00D1336B">
        <w:rPr>
          <w:rFonts w:ascii="Times New Roman" w:hAnsi="Times New Roman" w:cs="Times New Roman"/>
        </w:rPr>
        <w:t>, 2020). Both RGR and NAR reach their highest levels during the early to mid-vegetative stage of plant growth (when leaves are expanding rapidly) before they begin to decrease as plants enter late vegetative growth and eventually reproductive growth. By tracking the values obtained for each of these growth indices throughout several growth periods, we obtain a far more complete understanding of a crop's performance than can be determined using yield data alone.</w:t>
      </w:r>
    </w:p>
    <w:p w14:paraId="2C136E61"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One factor which significantly affects the values for these growth indices includes the nutrient status of the crop, especially micro-nutrient availability, such as Zn and Fe. As maize (corn) is considered to be a "marker crop" for Zn-deficiency, this implies that corn will exhibit increased sensitivity to Zn limitation compared to many other agricultural crops (Jat </w:t>
      </w:r>
      <w:r w:rsidRPr="00D1336B">
        <w:rPr>
          <w:rFonts w:ascii="Times New Roman" w:hAnsi="Times New Roman" w:cs="Times New Roman"/>
          <w:i/>
          <w:iCs/>
        </w:rPr>
        <w:t>et al.</w:t>
      </w:r>
      <w:r w:rsidRPr="00D1336B">
        <w:rPr>
          <w:rFonts w:ascii="Times New Roman" w:hAnsi="Times New Roman" w:cs="Times New Roman"/>
        </w:rPr>
        <w:t xml:space="preserve">, 2022).  Many enzymes involved in various aspects of plant metabolism require Zn. As an example, zinc is needed for the breakdown and use of auxin, making proteins, and for keeping the cell membranes strong and working properly. Furthermore, Zn is important in the process of making chlorophyll and helps improve how well plants do photosynthesis (Dhaliwal </w:t>
      </w:r>
      <w:r w:rsidRPr="00D1336B">
        <w:rPr>
          <w:rFonts w:ascii="Times New Roman" w:hAnsi="Times New Roman" w:cs="Times New Roman"/>
          <w:i/>
          <w:iCs/>
        </w:rPr>
        <w:t>et al.</w:t>
      </w:r>
      <w:r w:rsidRPr="00D1336B">
        <w:rPr>
          <w:rFonts w:ascii="Times New Roman" w:hAnsi="Times New Roman" w:cs="Times New Roman"/>
        </w:rPr>
        <w:t>, 2021).</w:t>
      </w:r>
      <w:r w:rsidRPr="00D1336B">
        <w:rPr>
          <w:rFonts w:ascii="Times New Roman" w:hAnsi="Times New Roman" w:cs="Times New Roman"/>
        </w:rPr>
        <w:br/>
        <w:t xml:space="preserve">Similarly, iron is also needed by plants in small amounts, but it is very important because it helps build cytochromes and ferredoxins, these are key parts of the processes that help plants make energy through photosynthesis and use energy during respiration (Thakur </w:t>
      </w:r>
      <w:r w:rsidRPr="00D1336B">
        <w:rPr>
          <w:rFonts w:ascii="Times New Roman" w:hAnsi="Times New Roman" w:cs="Times New Roman"/>
          <w:i/>
          <w:iCs/>
        </w:rPr>
        <w:t>et al.</w:t>
      </w:r>
      <w:r w:rsidRPr="00D1336B">
        <w:rPr>
          <w:rFonts w:ascii="Times New Roman" w:hAnsi="Times New Roman" w:cs="Times New Roman"/>
        </w:rPr>
        <w:t>, 2020). Deficiencies of either element can therefore be expected to slow down the very processes that RGR and NAR are designed to capture.</w:t>
      </w:r>
    </w:p>
    <w:p w14:paraId="007E36EA"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In recent years, the issue of zinc and iron being deficient from farmland soils has become more serious, this is mainly because of farming methods that focus on growing high-yield crops, along with lower amounts of organic material being added to the soil. Also, in many areas, the soil is too alkaline or has a lot of calcium, which makes it harder for plants to get the small amounts of nutrients they need from the soil (</w:t>
      </w:r>
      <w:proofErr w:type="spellStart"/>
      <w:r w:rsidRPr="00D1336B">
        <w:rPr>
          <w:rFonts w:ascii="Times New Roman" w:hAnsi="Times New Roman" w:cs="Times New Roman"/>
        </w:rPr>
        <w:t>Durgude</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xml:space="preserve">, 2014). In India, a big number of farmed soils have been found to lack one or both of these nutrients, which directly affects both the </w:t>
      </w:r>
      <w:proofErr w:type="gramStart"/>
      <w:r w:rsidRPr="00D1336B">
        <w:rPr>
          <w:rFonts w:ascii="Times New Roman" w:hAnsi="Times New Roman" w:cs="Times New Roman"/>
        </w:rPr>
        <w:t>amount</w:t>
      </w:r>
      <w:proofErr w:type="gramEnd"/>
      <w:r w:rsidRPr="00D1336B">
        <w:rPr>
          <w:rFonts w:ascii="Times New Roman" w:hAnsi="Times New Roman" w:cs="Times New Roman"/>
        </w:rPr>
        <w:t xml:space="preserve"> of crops grown and the nutrition of people, especially since grains like maize are a main part of the diet for many populations (Pandey </w:t>
      </w:r>
      <w:r w:rsidRPr="00D1336B">
        <w:rPr>
          <w:rFonts w:ascii="Times New Roman" w:hAnsi="Times New Roman" w:cs="Times New Roman"/>
          <w:i/>
          <w:iCs/>
        </w:rPr>
        <w:t>et al.</w:t>
      </w:r>
      <w:r w:rsidRPr="00D1336B">
        <w:rPr>
          <w:rFonts w:ascii="Times New Roman" w:hAnsi="Times New Roman" w:cs="Times New Roman"/>
        </w:rPr>
        <w:t xml:space="preserve">, 2021). This connection between growing crops and improving nutrition has led to more attention on agronomic biofortification. This method involves adding small amounts of important nutrients directly to crops as they grow, either through the soil, by spraying them on the leaves, or using both methods together. The goal is to increase the amount of food produced and also make the food healthier by adding more nutrients (Xue </w:t>
      </w:r>
      <w:r w:rsidRPr="00D1336B">
        <w:rPr>
          <w:rFonts w:ascii="Times New Roman" w:hAnsi="Times New Roman" w:cs="Times New Roman"/>
          <w:i/>
          <w:iCs/>
        </w:rPr>
        <w:t>et al.</w:t>
      </w:r>
      <w:r w:rsidRPr="00D1336B">
        <w:rPr>
          <w:rFonts w:ascii="Times New Roman" w:hAnsi="Times New Roman" w:cs="Times New Roman"/>
        </w:rPr>
        <w:t>, 2023).</w:t>
      </w:r>
    </w:p>
    <w:p w14:paraId="050D60EA"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Foliar application has become a popular preference because it lets plants take in nutrients directly through their leaves, avoiding many problems that happen in the soil, like nutrients fixing to other soil particles or not dissolving well, which can reduce how well soil-applied fertilizers work in real field situations (Thakur </w:t>
      </w:r>
      <w:r w:rsidRPr="00D1336B">
        <w:rPr>
          <w:rFonts w:ascii="Times New Roman" w:hAnsi="Times New Roman" w:cs="Times New Roman"/>
          <w:i/>
          <w:iCs/>
        </w:rPr>
        <w:t>et al.</w:t>
      </w:r>
      <w:r w:rsidRPr="00D1336B">
        <w:rPr>
          <w:rFonts w:ascii="Times New Roman" w:hAnsi="Times New Roman" w:cs="Times New Roman"/>
        </w:rPr>
        <w:t xml:space="preserve">, 2020). Many studies on maize and other grains have found that giving zinc and iron through different types of carriers, like sulphates, chelated forms such as EDTA, or newer options like lignosulphonate and nano-particle forms, can help increase chlorophyll levels, the amount of dry matter the plants grow, and finally the amount of grain they produce (Malode </w:t>
      </w:r>
      <w:r w:rsidRPr="00D1336B">
        <w:rPr>
          <w:rFonts w:ascii="Times New Roman" w:hAnsi="Times New Roman" w:cs="Times New Roman"/>
          <w:i/>
          <w:iCs/>
        </w:rPr>
        <w:t>et al.</w:t>
      </w:r>
      <w:r w:rsidRPr="00D1336B">
        <w:rPr>
          <w:rFonts w:ascii="Times New Roman" w:hAnsi="Times New Roman" w:cs="Times New Roman"/>
        </w:rPr>
        <w:t xml:space="preserve">, 2025 and </w:t>
      </w:r>
      <w:proofErr w:type="spellStart"/>
      <w:r w:rsidRPr="00D1336B">
        <w:rPr>
          <w:rFonts w:ascii="Times New Roman" w:hAnsi="Times New Roman" w:cs="Times New Roman"/>
        </w:rPr>
        <w:t>Karrimi</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2018).</w:t>
      </w:r>
    </w:p>
    <w:p w14:paraId="6D4BA36F"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In light of this, the current study was conducted to investigate how different amounts of chelated and inorganic sources of zinc and iron affected the growth rate of sweet corn. In order to improve agronomic recommendations and to reduce zinc and iron malnutrition through </w:t>
      </w:r>
      <w:proofErr w:type="gramStart"/>
      <w:r w:rsidRPr="00D1336B">
        <w:rPr>
          <w:rFonts w:ascii="Times New Roman" w:hAnsi="Times New Roman" w:cs="Times New Roman"/>
        </w:rPr>
        <w:t>crop based</w:t>
      </w:r>
      <w:proofErr w:type="gramEnd"/>
      <w:r w:rsidRPr="00D1336B">
        <w:rPr>
          <w:rFonts w:ascii="Times New Roman" w:hAnsi="Times New Roman" w:cs="Times New Roman"/>
        </w:rPr>
        <w:t xml:space="preserve"> interventions, </w:t>
      </w:r>
      <w:r w:rsidRPr="00D1336B">
        <w:rPr>
          <w:rFonts w:ascii="Times New Roman" w:hAnsi="Times New Roman" w:cs="Times New Roman"/>
        </w:rPr>
        <w:lastRenderedPageBreak/>
        <w:t xml:space="preserve">the study aims to develop a better understanding of micronutrient nutrition, when and how it exerts greatest influence on the physiological efficiency of sweet corn. </w:t>
      </w:r>
    </w:p>
    <w:p w14:paraId="09C9C808" w14:textId="08D25394" w:rsidR="007E0A41" w:rsidRPr="00D1336B" w:rsidRDefault="00FB5AB7" w:rsidP="00D1336B">
      <w:pPr>
        <w:spacing w:after="0" w:line="276" w:lineRule="auto"/>
        <w:jc w:val="both"/>
        <w:rPr>
          <w:rFonts w:ascii="Times New Roman" w:hAnsi="Times New Roman" w:cs="Times New Roman"/>
          <w:b/>
          <w:bCs/>
          <w:lang w:val="en-GB"/>
        </w:rPr>
      </w:pPr>
      <w:r w:rsidRPr="00D1336B">
        <w:rPr>
          <w:rFonts w:ascii="Times New Roman" w:hAnsi="Times New Roman" w:cs="Times New Roman"/>
          <w:b/>
          <w:bCs/>
          <w:lang w:val="en-GB"/>
        </w:rPr>
        <w:t>2.</w:t>
      </w:r>
      <w:r w:rsidR="007E0A41" w:rsidRPr="00D1336B">
        <w:rPr>
          <w:rFonts w:ascii="Times New Roman" w:hAnsi="Times New Roman" w:cs="Times New Roman"/>
          <w:b/>
          <w:bCs/>
          <w:lang w:val="en-GB"/>
        </w:rPr>
        <w:t>Materials and method</w:t>
      </w:r>
    </w:p>
    <w:p w14:paraId="1D0B81F2"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lang w:val="en-GB"/>
        </w:rPr>
        <w:t xml:space="preserve">The present field-based research trial was undertaken to investigate the effect of Zn and Fe on growth rate of sweet corn. The trial was carried out at </w:t>
      </w:r>
      <w:r w:rsidRPr="00D1336B">
        <w:rPr>
          <w:rFonts w:ascii="Times New Roman" w:hAnsi="Times New Roman" w:cs="Times New Roman"/>
        </w:rPr>
        <w:t xml:space="preserve">the agronomy research farm, Faculty of Agriculture, SKUAST-Kashmir during </w:t>
      </w:r>
      <w:r w:rsidRPr="00D1336B">
        <w:rPr>
          <w:rFonts w:ascii="Times New Roman" w:hAnsi="Times New Roman" w:cs="Times New Roman"/>
          <w:i/>
          <w:iCs/>
        </w:rPr>
        <w:t>kharif</w:t>
      </w:r>
      <w:r w:rsidRPr="00D1336B">
        <w:rPr>
          <w:rFonts w:ascii="Times New Roman" w:hAnsi="Times New Roman" w:cs="Times New Roman"/>
        </w:rPr>
        <w:t xml:space="preserve"> 2024 and 2025. Experimental site was located at 34°21′ N latitude and 74°23′ E longitude, at an altitude of 1,590 m above mean sea level. Sweet corn variety sugar 75 was sown on 4/05/2024 and 6/6/2025 and transplanted on 15/05/2024 and 17/06/2025 with the spacing of 60 cm X 20 cm using the seed rate of 20kg/ha.</w:t>
      </w:r>
    </w:p>
    <w:p w14:paraId="5D84ECBD" w14:textId="77777777" w:rsidR="007E0A41" w:rsidRPr="00D1336B" w:rsidRDefault="007E0A41" w:rsidP="00D1336B">
      <w:pPr>
        <w:spacing w:after="0" w:line="276" w:lineRule="auto"/>
        <w:ind w:left="-17" w:right="45" w:firstLine="851"/>
        <w:jc w:val="both"/>
        <w:rPr>
          <w:rFonts w:ascii="Times New Roman" w:hAnsi="Times New Roman" w:cs="Times New Roman"/>
        </w:rPr>
      </w:pPr>
      <w:r w:rsidRPr="00D1336B">
        <w:rPr>
          <w:rFonts w:ascii="Times New Roman" w:hAnsi="Times New Roman" w:cs="Times New Roman"/>
        </w:rPr>
        <w:t xml:space="preserve"> </w:t>
      </w:r>
      <w:r w:rsidRPr="00D1336B">
        <w:rPr>
          <w:rFonts w:ascii="Times New Roman" w:hAnsi="Times New Roman" w:cs="Times New Roman"/>
          <w:bCs/>
        </w:rPr>
        <w:t>The experiment was laid out in randomized complete block design (RCBD) with thirteen treatments and three replications. The treatments were: T</w:t>
      </w:r>
      <w:r w:rsidRPr="00D1336B">
        <w:rPr>
          <w:rFonts w:ascii="Times New Roman" w:hAnsi="Times New Roman" w:cs="Times New Roman"/>
          <w:bCs/>
          <w:vertAlign w:val="subscript"/>
        </w:rPr>
        <w:t xml:space="preserve">1 </w:t>
      </w:r>
      <w:r w:rsidRPr="00D1336B">
        <w:rPr>
          <w:rFonts w:ascii="Times New Roman" w:hAnsi="Times New Roman" w:cs="Times New Roman"/>
          <w:bCs/>
        </w:rPr>
        <w:t>(Control no Zn and Fe applied), T</w:t>
      </w:r>
      <w:r w:rsidRPr="00D1336B">
        <w:rPr>
          <w:rFonts w:ascii="Times New Roman" w:hAnsi="Times New Roman" w:cs="Times New Roman"/>
          <w:bCs/>
          <w:vertAlign w:val="subscript"/>
        </w:rPr>
        <w:t xml:space="preserve">2 </w:t>
      </w:r>
      <w:r w:rsidRPr="00D1336B">
        <w:rPr>
          <w:rFonts w:ascii="Times New Roman" w:hAnsi="Times New Roman" w:cs="Times New Roman"/>
          <w:bCs/>
        </w:rPr>
        <w:t>(Foliar application of chelated iron @ 0.25%), T</w:t>
      </w:r>
      <w:r w:rsidRPr="00D1336B">
        <w:rPr>
          <w:rFonts w:ascii="Times New Roman" w:hAnsi="Times New Roman" w:cs="Times New Roman"/>
          <w:bCs/>
          <w:vertAlign w:val="subscript"/>
        </w:rPr>
        <w:t>3</w:t>
      </w:r>
      <w:r w:rsidRPr="00D1336B">
        <w:rPr>
          <w:rFonts w:ascii="Times New Roman" w:hAnsi="Times New Roman" w:cs="Times New Roman"/>
          <w:bCs/>
        </w:rPr>
        <w:t>(Foliar application of chelated iron @ 0.50%), T</w:t>
      </w:r>
      <w:r w:rsidRPr="00D1336B">
        <w:rPr>
          <w:rFonts w:ascii="Times New Roman" w:hAnsi="Times New Roman" w:cs="Times New Roman"/>
          <w:bCs/>
          <w:vertAlign w:val="subscript"/>
        </w:rPr>
        <w:t xml:space="preserve">4 </w:t>
      </w:r>
      <w:r w:rsidRPr="00D1336B">
        <w:rPr>
          <w:rFonts w:ascii="Times New Roman" w:hAnsi="Times New Roman" w:cs="Times New Roman"/>
          <w:bCs/>
        </w:rPr>
        <w:t>(Foliar application of chelated iron @ 0.75%), T</w:t>
      </w:r>
      <w:r w:rsidRPr="00D1336B">
        <w:rPr>
          <w:rFonts w:ascii="Times New Roman" w:hAnsi="Times New Roman" w:cs="Times New Roman"/>
          <w:bCs/>
          <w:vertAlign w:val="subscript"/>
        </w:rPr>
        <w:t xml:space="preserve">5 </w:t>
      </w:r>
      <w:r w:rsidRPr="00D1336B">
        <w:rPr>
          <w:rFonts w:ascii="Times New Roman" w:hAnsi="Times New Roman" w:cs="Times New Roman"/>
          <w:bCs/>
        </w:rPr>
        <w:t>(Foliar application of FeSO</w:t>
      </w:r>
      <w:r w:rsidRPr="00D1336B">
        <w:rPr>
          <w:rFonts w:ascii="Times New Roman" w:hAnsi="Times New Roman" w:cs="Times New Roman"/>
          <w:bCs/>
          <w:vertAlign w:val="subscript"/>
        </w:rPr>
        <w:t>4</w:t>
      </w:r>
      <w:r w:rsidRPr="00D1336B">
        <w:rPr>
          <w:rFonts w:ascii="Times New Roman" w:hAnsi="Times New Roman" w:cs="Times New Roman"/>
          <w:bCs/>
        </w:rPr>
        <w:t xml:space="preserve"> @ 0.25%), T</w:t>
      </w:r>
      <w:r w:rsidRPr="00D1336B">
        <w:rPr>
          <w:rFonts w:ascii="Times New Roman" w:hAnsi="Times New Roman" w:cs="Times New Roman"/>
          <w:bCs/>
          <w:vertAlign w:val="subscript"/>
        </w:rPr>
        <w:t xml:space="preserve">6 </w:t>
      </w:r>
      <w:r w:rsidRPr="00D1336B">
        <w:rPr>
          <w:rFonts w:ascii="Times New Roman" w:hAnsi="Times New Roman" w:cs="Times New Roman"/>
          <w:bCs/>
        </w:rPr>
        <w:t>(Foliar application of FeSO</w:t>
      </w:r>
      <w:r w:rsidRPr="00D1336B">
        <w:rPr>
          <w:rFonts w:ascii="Times New Roman" w:hAnsi="Times New Roman" w:cs="Times New Roman"/>
          <w:bCs/>
          <w:vertAlign w:val="subscript"/>
        </w:rPr>
        <w:t>4</w:t>
      </w:r>
      <w:r w:rsidRPr="00D1336B">
        <w:rPr>
          <w:rFonts w:ascii="Times New Roman" w:hAnsi="Times New Roman" w:cs="Times New Roman"/>
          <w:bCs/>
        </w:rPr>
        <w:t xml:space="preserve"> @ 0.50%), T</w:t>
      </w:r>
      <w:r w:rsidRPr="00D1336B">
        <w:rPr>
          <w:rFonts w:ascii="Times New Roman" w:hAnsi="Times New Roman" w:cs="Times New Roman"/>
          <w:bCs/>
          <w:vertAlign w:val="subscript"/>
        </w:rPr>
        <w:t xml:space="preserve">7 </w:t>
      </w:r>
      <w:r w:rsidRPr="00D1336B">
        <w:rPr>
          <w:rFonts w:ascii="Times New Roman" w:hAnsi="Times New Roman" w:cs="Times New Roman"/>
          <w:bCs/>
        </w:rPr>
        <w:t>(Foliar application of FeSO</w:t>
      </w:r>
      <w:r w:rsidRPr="00D1336B">
        <w:rPr>
          <w:rFonts w:ascii="Times New Roman" w:hAnsi="Times New Roman" w:cs="Times New Roman"/>
          <w:bCs/>
          <w:vertAlign w:val="subscript"/>
        </w:rPr>
        <w:t>4</w:t>
      </w:r>
      <w:r w:rsidRPr="00D1336B">
        <w:rPr>
          <w:rFonts w:ascii="Times New Roman" w:hAnsi="Times New Roman" w:cs="Times New Roman"/>
          <w:bCs/>
        </w:rPr>
        <w:t xml:space="preserve"> @ 0.75%), T</w:t>
      </w:r>
      <w:r w:rsidRPr="00D1336B">
        <w:rPr>
          <w:rFonts w:ascii="Times New Roman" w:hAnsi="Times New Roman" w:cs="Times New Roman"/>
          <w:bCs/>
          <w:vertAlign w:val="subscript"/>
        </w:rPr>
        <w:t xml:space="preserve">8 </w:t>
      </w:r>
      <w:r w:rsidRPr="00D1336B">
        <w:rPr>
          <w:rFonts w:ascii="Times New Roman" w:hAnsi="Times New Roman" w:cs="Times New Roman"/>
          <w:bCs/>
        </w:rPr>
        <w:t>(Foliar application of chelated zinc @ 0.25%), T</w:t>
      </w:r>
      <w:r w:rsidRPr="00D1336B">
        <w:rPr>
          <w:rFonts w:ascii="Times New Roman" w:hAnsi="Times New Roman" w:cs="Times New Roman"/>
          <w:bCs/>
          <w:vertAlign w:val="subscript"/>
        </w:rPr>
        <w:t xml:space="preserve">9 </w:t>
      </w:r>
      <w:r w:rsidRPr="00D1336B">
        <w:rPr>
          <w:rFonts w:ascii="Times New Roman" w:hAnsi="Times New Roman" w:cs="Times New Roman"/>
          <w:bCs/>
        </w:rPr>
        <w:t>(Foliar application of chelated zinc @ 0.25%), T</w:t>
      </w:r>
      <w:r w:rsidRPr="00D1336B">
        <w:rPr>
          <w:rFonts w:ascii="Times New Roman" w:hAnsi="Times New Roman" w:cs="Times New Roman"/>
          <w:bCs/>
          <w:vertAlign w:val="subscript"/>
        </w:rPr>
        <w:t>10</w:t>
      </w:r>
      <w:r w:rsidRPr="00D1336B">
        <w:rPr>
          <w:rFonts w:ascii="Times New Roman" w:hAnsi="Times New Roman" w:cs="Times New Roman"/>
          <w:bCs/>
        </w:rPr>
        <w:t xml:space="preserve"> (Foliar application of chelated zinc @ 0.50%), T</w:t>
      </w:r>
      <w:r w:rsidRPr="00D1336B">
        <w:rPr>
          <w:rFonts w:ascii="Times New Roman" w:hAnsi="Times New Roman" w:cs="Times New Roman"/>
          <w:bCs/>
          <w:vertAlign w:val="subscript"/>
        </w:rPr>
        <w:t>11</w:t>
      </w:r>
      <w:r w:rsidRPr="00D1336B">
        <w:rPr>
          <w:rFonts w:ascii="Times New Roman" w:hAnsi="Times New Roman" w:cs="Times New Roman"/>
          <w:bCs/>
        </w:rPr>
        <w:t xml:space="preserve"> (Foliar application of ZnSO</w:t>
      </w:r>
      <w:r w:rsidRPr="00D1336B">
        <w:rPr>
          <w:rFonts w:ascii="Times New Roman" w:hAnsi="Times New Roman" w:cs="Times New Roman"/>
          <w:bCs/>
          <w:vertAlign w:val="subscript"/>
        </w:rPr>
        <w:t>4</w:t>
      </w:r>
      <w:r w:rsidRPr="00D1336B">
        <w:rPr>
          <w:rFonts w:ascii="Times New Roman" w:hAnsi="Times New Roman" w:cs="Times New Roman"/>
          <w:bCs/>
        </w:rPr>
        <w:t xml:space="preserve"> @ 0.25%), T</w:t>
      </w:r>
      <w:r w:rsidRPr="00D1336B">
        <w:rPr>
          <w:rFonts w:ascii="Times New Roman" w:hAnsi="Times New Roman" w:cs="Times New Roman"/>
          <w:bCs/>
          <w:vertAlign w:val="subscript"/>
        </w:rPr>
        <w:t>12</w:t>
      </w:r>
      <w:r w:rsidRPr="00D1336B">
        <w:rPr>
          <w:rFonts w:ascii="Times New Roman" w:hAnsi="Times New Roman" w:cs="Times New Roman"/>
          <w:bCs/>
        </w:rPr>
        <w:t xml:space="preserve"> (Foliar application of ZnSO</w:t>
      </w:r>
      <w:r w:rsidRPr="00D1336B">
        <w:rPr>
          <w:rFonts w:ascii="Times New Roman" w:hAnsi="Times New Roman" w:cs="Times New Roman"/>
          <w:bCs/>
          <w:vertAlign w:val="subscript"/>
        </w:rPr>
        <w:t>4</w:t>
      </w:r>
      <w:r w:rsidRPr="00D1336B">
        <w:rPr>
          <w:rFonts w:ascii="Times New Roman" w:hAnsi="Times New Roman" w:cs="Times New Roman"/>
          <w:bCs/>
        </w:rPr>
        <w:t xml:space="preserve"> @ 0.50%), T</w:t>
      </w:r>
      <w:r w:rsidRPr="00D1336B">
        <w:rPr>
          <w:rFonts w:ascii="Times New Roman" w:hAnsi="Times New Roman" w:cs="Times New Roman"/>
          <w:bCs/>
          <w:vertAlign w:val="subscript"/>
        </w:rPr>
        <w:t>13</w:t>
      </w:r>
      <w:r w:rsidRPr="00D1336B">
        <w:rPr>
          <w:rFonts w:ascii="Times New Roman" w:hAnsi="Times New Roman" w:cs="Times New Roman"/>
          <w:bCs/>
        </w:rPr>
        <w:t xml:space="preserve"> (Foliar application of ZnSO</w:t>
      </w:r>
      <w:r w:rsidRPr="00D1336B">
        <w:rPr>
          <w:rFonts w:ascii="Times New Roman" w:hAnsi="Times New Roman" w:cs="Times New Roman"/>
          <w:bCs/>
          <w:vertAlign w:val="subscript"/>
        </w:rPr>
        <w:t>4</w:t>
      </w:r>
      <w:r w:rsidRPr="00D1336B">
        <w:rPr>
          <w:rFonts w:ascii="Times New Roman" w:hAnsi="Times New Roman" w:cs="Times New Roman"/>
          <w:bCs/>
        </w:rPr>
        <w:t xml:space="preserve"> @ 0.75%), RDF @ 150:80:60 NPK kg ha</w:t>
      </w:r>
      <w:r w:rsidRPr="00D1336B">
        <w:rPr>
          <w:rFonts w:ascii="Times New Roman" w:hAnsi="Times New Roman" w:cs="Times New Roman"/>
          <w:bCs/>
          <w:vertAlign w:val="superscript"/>
        </w:rPr>
        <w:t>-1</w:t>
      </w:r>
      <w:r w:rsidRPr="00D1336B">
        <w:rPr>
          <w:rFonts w:ascii="Times New Roman" w:hAnsi="Times New Roman" w:cs="Times New Roman"/>
          <w:bCs/>
        </w:rPr>
        <w:t xml:space="preserve"> is applied in all the treatments and foliar application is done at knee height stage. </w:t>
      </w:r>
      <w:r w:rsidRPr="00D1336B">
        <w:rPr>
          <w:rFonts w:ascii="Times New Roman" w:hAnsi="Times New Roman" w:cs="Times New Roman"/>
        </w:rPr>
        <w:t xml:space="preserve">For recording the biometric observations, in the net plot area five plants were tagged which was selected randomly and growth parameters of the crop were recorded at 30 days interval from transplanting till harvest of the crop. The data recorded on various characters during the course of investigation were subjected to statistical analysis using standard statistical procedures. Analysis of variance (ANOVA) was performed as suggested by Gomez and Gomez (1984). to test the significance of treatment effects. The data for different parameters were also </w:t>
      </w:r>
      <w:proofErr w:type="spellStart"/>
      <w:r w:rsidRPr="00D1336B">
        <w:rPr>
          <w:rFonts w:ascii="Times New Roman" w:hAnsi="Times New Roman" w:cs="Times New Roman"/>
        </w:rPr>
        <w:t>analyzed</w:t>
      </w:r>
      <w:proofErr w:type="spellEnd"/>
      <w:r w:rsidRPr="00D1336B">
        <w:rPr>
          <w:rFonts w:ascii="Times New Roman" w:hAnsi="Times New Roman" w:cs="Times New Roman"/>
        </w:rPr>
        <w:t xml:space="preserve"> using standard correlation and regression analyses. Treatment effects were tested for significance at the 5 per cent probability level (P = 0.05). All statistical analyses were carried out using the R software package.</w:t>
      </w:r>
    </w:p>
    <w:p w14:paraId="4F7B07F8" w14:textId="488BC1EC" w:rsidR="007E0A41" w:rsidRPr="00D1336B" w:rsidRDefault="00FB5AB7" w:rsidP="00D1336B">
      <w:pPr>
        <w:spacing w:after="0" w:line="276" w:lineRule="auto"/>
        <w:rPr>
          <w:rFonts w:ascii="Times New Roman" w:hAnsi="Times New Roman" w:cs="Times New Roman"/>
          <w:b/>
          <w:bCs/>
        </w:rPr>
      </w:pPr>
      <w:r w:rsidRPr="00D1336B">
        <w:rPr>
          <w:rFonts w:ascii="Times New Roman" w:hAnsi="Times New Roman" w:cs="Times New Roman"/>
          <w:b/>
          <w:bCs/>
        </w:rPr>
        <w:t>3.</w:t>
      </w:r>
      <w:r w:rsidR="007E0A41" w:rsidRPr="00D1336B">
        <w:rPr>
          <w:rFonts w:ascii="Times New Roman" w:hAnsi="Times New Roman" w:cs="Times New Roman"/>
          <w:b/>
          <w:bCs/>
        </w:rPr>
        <w:t>Results</w:t>
      </w:r>
    </w:p>
    <w:p w14:paraId="3DED91DB" w14:textId="4907DA8B" w:rsidR="007E0A41" w:rsidRPr="00D1336B" w:rsidRDefault="00FB5AB7" w:rsidP="00D1336B">
      <w:pPr>
        <w:spacing w:after="0" w:line="276" w:lineRule="auto"/>
        <w:jc w:val="both"/>
        <w:rPr>
          <w:rFonts w:ascii="Times New Roman" w:hAnsi="Times New Roman" w:cs="Times New Roman"/>
          <w:b/>
          <w:bCs/>
        </w:rPr>
      </w:pPr>
      <w:r w:rsidRPr="00D1336B">
        <w:rPr>
          <w:rFonts w:ascii="Times New Roman" w:hAnsi="Times New Roman" w:cs="Times New Roman"/>
          <w:b/>
          <w:bCs/>
        </w:rPr>
        <w:t>3</w:t>
      </w:r>
      <w:r w:rsidR="007E0A41" w:rsidRPr="00D1336B">
        <w:rPr>
          <w:rFonts w:ascii="Times New Roman" w:hAnsi="Times New Roman" w:cs="Times New Roman"/>
          <w:b/>
          <w:bCs/>
        </w:rPr>
        <w:t>.1 Crop growth rate (CGR) (g m</w:t>
      </w:r>
      <w:r w:rsidR="007E0A41" w:rsidRPr="00D1336B">
        <w:rPr>
          <w:rFonts w:ascii="Times New Roman" w:hAnsi="Times New Roman" w:cs="Times New Roman"/>
          <w:b/>
          <w:bCs/>
          <w:vertAlign w:val="superscript"/>
        </w:rPr>
        <w:t>-2</w:t>
      </w:r>
      <w:r w:rsidR="007E0A41" w:rsidRPr="00D1336B">
        <w:rPr>
          <w:rFonts w:ascii="Times New Roman" w:hAnsi="Times New Roman" w:cs="Times New Roman"/>
          <w:b/>
          <w:bCs/>
        </w:rPr>
        <w:t xml:space="preserve"> day</w:t>
      </w:r>
      <w:r w:rsidR="007E0A41" w:rsidRPr="00D1336B">
        <w:rPr>
          <w:rFonts w:ascii="Times New Roman" w:hAnsi="Times New Roman" w:cs="Times New Roman"/>
          <w:b/>
          <w:bCs/>
          <w:vertAlign w:val="superscript"/>
        </w:rPr>
        <w:t>-1</w:t>
      </w:r>
      <w:r w:rsidR="007E0A41" w:rsidRPr="00D1336B">
        <w:rPr>
          <w:rFonts w:ascii="Times New Roman" w:hAnsi="Times New Roman" w:cs="Times New Roman"/>
          <w:b/>
          <w:bCs/>
        </w:rPr>
        <w:t>)</w:t>
      </w:r>
    </w:p>
    <w:p w14:paraId="5E015373" w14:textId="7F955C82" w:rsidR="007E0A41" w:rsidRPr="00D1336B" w:rsidRDefault="007E0A41"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The crop growth rate data illustrate in the Table </w:t>
      </w:r>
      <w:r w:rsidR="00BF0A9E">
        <w:rPr>
          <w:rFonts w:ascii="Times New Roman" w:hAnsi="Times New Roman" w:cs="Times New Roman"/>
        </w:rPr>
        <w:t>1</w:t>
      </w:r>
      <w:r w:rsidRPr="00D1336B">
        <w:rPr>
          <w:rFonts w:ascii="Times New Roman" w:hAnsi="Times New Roman" w:cs="Times New Roman"/>
        </w:rPr>
        <w:t xml:space="preserve"> and graphically depicted in the Fig </w:t>
      </w:r>
      <w:r w:rsidR="009D2880">
        <w:rPr>
          <w:rFonts w:ascii="Times New Roman" w:hAnsi="Times New Roman" w:cs="Times New Roman"/>
        </w:rPr>
        <w:t>1</w:t>
      </w:r>
      <w:r w:rsidRPr="00D1336B">
        <w:rPr>
          <w:rFonts w:ascii="Times New Roman" w:hAnsi="Times New Roman" w:cs="Times New Roman"/>
        </w:rPr>
        <w:t xml:space="preserve"> represents the rate of biomass accumulation per unit area per day throughout the course of the three observation periods. Which depicts that CGR is essentially a derived measure of biomass build-up over time. </w:t>
      </w:r>
    </w:p>
    <w:p w14:paraId="73EB5B42"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At the 0-30 DAT interval, the differences between treatments were relatively small, with values ranging substantially between 1.32 and 1.35 g m</w:t>
      </w:r>
      <w:r w:rsidRPr="00D1336B">
        <w:rPr>
          <w:rFonts w:ascii="Times New Roman" w:hAnsi="Times New Roman" w:cs="Times New Roman"/>
          <w:vertAlign w:val="superscript"/>
        </w:rPr>
        <w:t>-2</w:t>
      </w:r>
      <w:r w:rsidRPr="00D1336B">
        <w:rPr>
          <w:rFonts w:ascii="Times New Roman" w:hAnsi="Times New Roman" w:cs="Times New Roman"/>
        </w:rPr>
        <w:t>day</w:t>
      </w:r>
      <w:r w:rsidRPr="00D1336B">
        <w:rPr>
          <w:rFonts w:ascii="Times New Roman" w:hAnsi="Times New Roman" w:cs="Times New Roman"/>
          <w:vertAlign w:val="superscript"/>
        </w:rPr>
        <w:t>-1</w:t>
      </w:r>
      <w:r w:rsidRPr="00D1336B">
        <w:rPr>
          <w:rFonts w:ascii="Times New Roman" w:hAnsi="Times New Roman" w:cs="Times New Roman"/>
        </w:rPr>
        <w:t>, despite the CD value demonstrated statistical significance. This is expected as the crop canopy remains relatively narrow at this phase and the rate of dry matter production per unit ground surface has not yet reached its full potential.</w:t>
      </w:r>
    </w:p>
    <w:p w14:paraId="36C28315"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During the 30-60 DAT period the scenario changes profoundly, which represents the moment of most prolific vegetative growth. CGR levels spiked up across all treatments with notable differences between them. T</w:t>
      </w:r>
      <w:r w:rsidRPr="00D1336B">
        <w:rPr>
          <w:rFonts w:ascii="Times New Roman" w:hAnsi="Times New Roman" w:cs="Times New Roman"/>
          <w:vertAlign w:val="subscript"/>
        </w:rPr>
        <w:t>1</w:t>
      </w:r>
      <w:r w:rsidRPr="00D1336B">
        <w:rPr>
          <w:rFonts w:ascii="Times New Roman" w:hAnsi="Times New Roman" w:cs="Times New Roman"/>
        </w:rPr>
        <w:t xml:space="preserve"> (control) was found to have the lowest value of 14.64 g m</w:t>
      </w:r>
      <w:r w:rsidRPr="00D1336B">
        <w:rPr>
          <w:rFonts w:ascii="Times New Roman" w:hAnsi="Times New Roman" w:cs="Times New Roman"/>
          <w:vertAlign w:val="superscript"/>
        </w:rPr>
        <w:t>-2</w:t>
      </w:r>
      <w:r w:rsidRPr="00D1336B">
        <w:rPr>
          <w:rFonts w:ascii="Times New Roman" w:hAnsi="Times New Roman" w:cs="Times New Roman"/>
        </w:rPr>
        <w:t xml:space="preserve"> day</w:t>
      </w:r>
      <w:r w:rsidRPr="00D1336B">
        <w:rPr>
          <w:rFonts w:ascii="Times New Roman" w:hAnsi="Times New Roman" w:cs="Times New Roman"/>
          <w:vertAlign w:val="superscript"/>
        </w:rPr>
        <w:t>-1</w:t>
      </w:r>
      <w:r w:rsidRPr="00D1336B">
        <w:rPr>
          <w:rFonts w:ascii="Times New Roman" w:hAnsi="Times New Roman" w:cs="Times New Roman"/>
        </w:rPr>
        <w:t>, while T</w:t>
      </w:r>
      <w:r w:rsidRPr="00D1336B">
        <w:rPr>
          <w:rFonts w:ascii="Times New Roman" w:hAnsi="Times New Roman" w:cs="Times New Roman"/>
          <w:vertAlign w:val="subscript"/>
        </w:rPr>
        <w:t>10</w:t>
      </w:r>
      <w:r w:rsidRPr="00D1336B">
        <w:rPr>
          <w:rFonts w:ascii="Times New Roman" w:hAnsi="Times New Roman" w:cs="Times New Roman"/>
        </w:rPr>
        <w:t xml:space="preserve"> (chelated zinc @ 0.75%) valued with 33.07 g m</w:t>
      </w:r>
      <w:r w:rsidRPr="00D1336B">
        <w:rPr>
          <w:rFonts w:ascii="Times New Roman" w:hAnsi="Times New Roman" w:cs="Times New Roman"/>
          <w:vertAlign w:val="superscript"/>
        </w:rPr>
        <w:t>-2</w:t>
      </w:r>
      <w:r w:rsidRPr="00D1336B">
        <w:rPr>
          <w:rFonts w:ascii="Times New Roman" w:hAnsi="Times New Roman" w:cs="Times New Roman"/>
        </w:rPr>
        <w:t xml:space="preserve"> day</w:t>
      </w:r>
      <w:r w:rsidRPr="00D1336B">
        <w:rPr>
          <w:rFonts w:ascii="Times New Roman" w:hAnsi="Times New Roman" w:cs="Times New Roman"/>
          <w:vertAlign w:val="superscript"/>
        </w:rPr>
        <w:t>-1</w:t>
      </w:r>
      <w:r w:rsidRPr="00D1336B">
        <w:rPr>
          <w:rFonts w:ascii="Times New Roman" w:hAnsi="Times New Roman" w:cs="Times New Roman"/>
        </w:rPr>
        <w:t xml:space="preserve"> in which from the control it was found to have almost double the value, followed by T</w:t>
      </w:r>
      <w:r w:rsidRPr="00D1336B">
        <w:rPr>
          <w:rFonts w:ascii="Times New Roman" w:hAnsi="Times New Roman" w:cs="Times New Roman"/>
          <w:vertAlign w:val="subscript"/>
        </w:rPr>
        <w:t xml:space="preserve">9 </w:t>
      </w:r>
      <w:r w:rsidRPr="00D1336B">
        <w:rPr>
          <w:rFonts w:ascii="Times New Roman" w:hAnsi="Times New Roman" w:cs="Times New Roman"/>
        </w:rPr>
        <w:t>(chelated zinc @ 0.50 %) (29.34 g m</w:t>
      </w:r>
      <w:r w:rsidRPr="00D1336B">
        <w:rPr>
          <w:rFonts w:ascii="Times New Roman" w:hAnsi="Times New Roman" w:cs="Times New Roman"/>
          <w:vertAlign w:val="superscript"/>
        </w:rPr>
        <w:t>-2</w:t>
      </w:r>
      <w:r w:rsidRPr="00D1336B">
        <w:rPr>
          <w:rFonts w:ascii="Times New Roman" w:hAnsi="Times New Roman" w:cs="Times New Roman"/>
        </w:rPr>
        <w:t xml:space="preserve"> day</w:t>
      </w:r>
      <w:r w:rsidRPr="00D1336B">
        <w:rPr>
          <w:rFonts w:ascii="Times New Roman" w:hAnsi="Times New Roman" w:cs="Times New Roman"/>
          <w:vertAlign w:val="superscript"/>
        </w:rPr>
        <w:t>-1</w:t>
      </w:r>
      <w:r w:rsidRPr="00D1336B">
        <w:rPr>
          <w:rFonts w:ascii="Times New Roman" w:hAnsi="Times New Roman" w:cs="Times New Roman"/>
        </w:rPr>
        <w:t>). This substantial peak in growth rate during the active vegetative phase corresponds to the period when the crop's photosynthetic surface area and metabolic activity are at their maximum.</w:t>
      </w:r>
    </w:p>
    <w:p w14:paraId="5F2B8B3A" w14:textId="68E17F1D"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By 60-90 DAT interval, the crop growth rate naturally reduced across all treatments, a pattern characteristic of the reproductive and maturation period, when vegetative growth ceases   </w:t>
      </w:r>
    </w:p>
    <w:p w14:paraId="6DB7CA39" w14:textId="77777777" w:rsidR="007E0A41" w:rsidRPr="00D1336B" w:rsidRDefault="007E0A41" w:rsidP="00D1336B">
      <w:pPr>
        <w:tabs>
          <w:tab w:val="left" w:pos="7644"/>
        </w:tabs>
        <w:spacing w:after="0" w:line="276" w:lineRule="auto"/>
        <w:rPr>
          <w:rFonts w:ascii="Times New Roman" w:hAnsi="Times New Roman" w:cs="Times New Roman"/>
          <w:b/>
          <w:bCs/>
          <w:lang w:val="en-GB"/>
        </w:rPr>
        <w:sectPr w:rsidR="007E0A41" w:rsidRPr="00D1336B">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pPr>
    </w:p>
    <w:p w14:paraId="1C9531BD" w14:textId="667455FD" w:rsidR="007E0A41" w:rsidRPr="00D1336B" w:rsidRDefault="007E0A41" w:rsidP="00D1336B">
      <w:pPr>
        <w:tabs>
          <w:tab w:val="left" w:pos="7644"/>
        </w:tabs>
        <w:spacing w:after="0" w:line="276" w:lineRule="auto"/>
        <w:jc w:val="center"/>
        <w:rPr>
          <w:rFonts w:ascii="Times New Roman" w:hAnsi="Times New Roman" w:cs="Times New Roman"/>
          <w:b/>
          <w:bCs/>
          <w:lang w:val="en-GB"/>
        </w:rPr>
      </w:pPr>
      <w:r w:rsidRPr="00D1336B">
        <w:rPr>
          <w:rFonts w:ascii="Times New Roman" w:hAnsi="Times New Roman" w:cs="Times New Roman"/>
          <w:b/>
          <w:bCs/>
          <w:lang w:val="en-GB"/>
        </w:rPr>
        <w:lastRenderedPageBreak/>
        <w:t xml:space="preserve">Table 1: </w:t>
      </w:r>
      <w:r w:rsidRPr="00D1336B">
        <w:rPr>
          <w:rFonts w:ascii="Times New Roman" w:hAnsi="Times New Roman" w:cs="Times New Roman"/>
          <w:b/>
          <w:bCs/>
        </w:rPr>
        <w:t>Crop growth rate (CGR) (g m</w:t>
      </w:r>
      <w:r w:rsidRPr="00D1336B">
        <w:rPr>
          <w:rFonts w:ascii="Times New Roman" w:hAnsi="Times New Roman" w:cs="Times New Roman"/>
          <w:b/>
          <w:bCs/>
          <w:vertAlign w:val="superscript"/>
        </w:rPr>
        <w:t>-2</w:t>
      </w:r>
      <w:r w:rsidRPr="00D1336B">
        <w:rPr>
          <w:rFonts w:ascii="Times New Roman" w:hAnsi="Times New Roman" w:cs="Times New Roman"/>
          <w:b/>
          <w:bCs/>
        </w:rPr>
        <w:t xml:space="preserve"> day</w:t>
      </w:r>
      <w:r w:rsidRPr="00D1336B">
        <w:rPr>
          <w:rFonts w:ascii="Times New Roman" w:hAnsi="Times New Roman" w:cs="Times New Roman"/>
          <w:b/>
          <w:bCs/>
          <w:vertAlign w:val="superscript"/>
        </w:rPr>
        <w:t>-1</w:t>
      </w:r>
      <w:r w:rsidRPr="00D1336B">
        <w:rPr>
          <w:rFonts w:ascii="Times New Roman" w:hAnsi="Times New Roman" w:cs="Times New Roman"/>
          <w:b/>
          <w:bCs/>
        </w:rPr>
        <w:t xml:space="preserve">) </w:t>
      </w:r>
      <w:r w:rsidRPr="00D1336B">
        <w:rPr>
          <w:rFonts w:ascii="Times New Roman" w:hAnsi="Times New Roman" w:cs="Times New Roman"/>
          <w:b/>
          <w:bCs/>
          <w:lang w:val="en-GB"/>
        </w:rPr>
        <w:t>of sweet corn as influenced by Zn and Fe biofortification</w:t>
      </w:r>
    </w:p>
    <w:tbl>
      <w:tblPr>
        <w:tblW w:w="14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930"/>
        <w:gridCol w:w="1036"/>
        <w:gridCol w:w="1208"/>
        <w:gridCol w:w="1145"/>
        <w:gridCol w:w="1208"/>
        <w:gridCol w:w="1185"/>
        <w:gridCol w:w="1135"/>
        <w:gridCol w:w="1036"/>
        <w:gridCol w:w="1208"/>
        <w:gridCol w:w="1135"/>
      </w:tblGrid>
      <w:tr w:rsidR="007E0A41" w:rsidRPr="00D1336B" w14:paraId="54F50412" w14:textId="77777777" w:rsidTr="007E0A41">
        <w:trPr>
          <w:trHeight w:val="303"/>
        </w:trPr>
        <w:tc>
          <w:tcPr>
            <w:tcW w:w="928" w:type="dxa"/>
            <w:vMerge w:val="restart"/>
            <w:tcBorders>
              <w:left w:val="nil"/>
            </w:tcBorders>
            <w:noWrap/>
            <w:vAlign w:val="bottom"/>
            <w:hideMark/>
          </w:tcPr>
          <w:p w14:paraId="22A1F3CF"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p w14:paraId="3A12FF00"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S. No.</w:t>
            </w:r>
          </w:p>
        </w:tc>
        <w:tc>
          <w:tcPr>
            <w:tcW w:w="2930" w:type="dxa"/>
            <w:vMerge w:val="restart"/>
            <w:noWrap/>
            <w:vAlign w:val="bottom"/>
            <w:hideMark/>
          </w:tcPr>
          <w:p w14:paraId="05CD82B0"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p w14:paraId="381B4BB1"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Treatment details</w:t>
            </w:r>
          </w:p>
        </w:tc>
        <w:tc>
          <w:tcPr>
            <w:tcW w:w="3389" w:type="dxa"/>
            <w:gridSpan w:val="3"/>
            <w:noWrap/>
            <w:vAlign w:val="bottom"/>
            <w:hideMark/>
          </w:tcPr>
          <w:p w14:paraId="0A339028"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0-30 DAT</w:t>
            </w:r>
          </w:p>
          <w:p w14:paraId="772E139D"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3528" w:type="dxa"/>
            <w:gridSpan w:val="3"/>
            <w:noWrap/>
            <w:vAlign w:val="bottom"/>
            <w:hideMark/>
          </w:tcPr>
          <w:p w14:paraId="3DB35A02"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30-60 DAT</w:t>
            </w:r>
          </w:p>
          <w:p w14:paraId="2490CED4"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3379" w:type="dxa"/>
            <w:gridSpan w:val="3"/>
            <w:tcBorders>
              <w:right w:val="nil"/>
            </w:tcBorders>
            <w:noWrap/>
            <w:vAlign w:val="bottom"/>
            <w:hideMark/>
          </w:tcPr>
          <w:p w14:paraId="625B5529"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60-90 DAT</w:t>
            </w:r>
          </w:p>
          <w:p w14:paraId="64DEDDEF"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r>
      <w:tr w:rsidR="007E0A41" w:rsidRPr="00D1336B" w14:paraId="31B2BC61" w14:textId="77777777" w:rsidTr="007E0A41">
        <w:trPr>
          <w:trHeight w:val="303"/>
        </w:trPr>
        <w:tc>
          <w:tcPr>
            <w:tcW w:w="928" w:type="dxa"/>
            <w:vMerge/>
            <w:tcBorders>
              <w:left w:val="nil"/>
              <w:bottom w:val="single" w:sz="4" w:space="0" w:color="auto"/>
            </w:tcBorders>
            <w:noWrap/>
            <w:vAlign w:val="bottom"/>
            <w:hideMark/>
          </w:tcPr>
          <w:p w14:paraId="56AA161B"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2930" w:type="dxa"/>
            <w:vMerge/>
            <w:tcBorders>
              <w:bottom w:val="single" w:sz="4" w:space="0" w:color="auto"/>
            </w:tcBorders>
            <w:noWrap/>
            <w:vAlign w:val="bottom"/>
            <w:hideMark/>
          </w:tcPr>
          <w:p w14:paraId="561EF568"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1036" w:type="dxa"/>
            <w:tcBorders>
              <w:bottom w:val="single" w:sz="4" w:space="0" w:color="auto"/>
            </w:tcBorders>
            <w:noWrap/>
            <w:vAlign w:val="bottom"/>
            <w:hideMark/>
          </w:tcPr>
          <w:p w14:paraId="7CB96A53"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2024</w:t>
            </w:r>
          </w:p>
        </w:tc>
        <w:tc>
          <w:tcPr>
            <w:tcW w:w="1208" w:type="dxa"/>
            <w:tcBorders>
              <w:bottom w:val="single" w:sz="4" w:space="0" w:color="auto"/>
            </w:tcBorders>
            <w:noWrap/>
            <w:vAlign w:val="bottom"/>
            <w:hideMark/>
          </w:tcPr>
          <w:p w14:paraId="7030E04B"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2025</w:t>
            </w:r>
          </w:p>
        </w:tc>
        <w:tc>
          <w:tcPr>
            <w:tcW w:w="1145" w:type="dxa"/>
            <w:tcBorders>
              <w:bottom w:val="single" w:sz="4" w:space="0" w:color="auto"/>
            </w:tcBorders>
          </w:tcPr>
          <w:p w14:paraId="1E199E0D"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Pooled</w:t>
            </w:r>
          </w:p>
        </w:tc>
        <w:tc>
          <w:tcPr>
            <w:tcW w:w="1208" w:type="dxa"/>
            <w:tcBorders>
              <w:bottom w:val="single" w:sz="4" w:space="0" w:color="auto"/>
            </w:tcBorders>
            <w:noWrap/>
            <w:vAlign w:val="bottom"/>
            <w:hideMark/>
          </w:tcPr>
          <w:p w14:paraId="57D1157D"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2024</w:t>
            </w:r>
          </w:p>
        </w:tc>
        <w:tc>
          <w:tcPr>
            <w:tcW w:w="1185" w:type="dxa"/>
            <w:tcBorders>
              <w:bottom w:val="single" w:sz="4" w:space="0" w:color="auto"/>
            </w:tcBorders>
            <w:noWrap/>
            <w:vAlign w:val="bottom"/>
            <w:hideMark/>
          </w:tcPr>
          <w:p w14:paraId="0B32422B"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2025</w:t>
            </w:r>
          </w:p>
        </w:tc>
        <w:tc>
          <w:tcPr>
            <w:tcW w:w="1135" w:type="dxa"/>
            <w:tcBorders>
              <w:bottom w:val="single" w:sz="4" w:space="0" w:color="auto"/>
            </w:tcBorders>
          </w:tcPr>
          <w:p w14:paraId="2221125C"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Pooled</w:t>
            </w:r>
          </w:p>
        </w:tc>
        <w:tc>
          <w:tcPr>
            <w:tcW w:w="1036" w:type="dxa"/>
            <w:tcBorders>
              <w:bottom w:val="single" w:sz="4" w:space="0" w:color="auto"/>
            </w:tcBorders>
            <w:noWrap/>
            <w:vAlign w:val="bottom"/>
            <w:hideMark/>
          </w:tcPr>
          <w:p w14:paraId="69CA29BD"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2024</w:t>
            </w:r>
          </w:p>
        </w:tc>
        <w:tc>
          <w:tcPr>
            <w:tcW w:w="1208" w:type="dxa"/>
            <w:tcBorders>
              <w:bottom w:val="single" w:sz="4" w:space="0" w:color="auto"/>
            </w:tcBorders>
            <w:noWrap/>
            <w:vAlign w:val="bottom"/>
            <w:hideMark/>
          </w:tcPr>
          <w:p w14:paraId="0BB01B18"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2025</w:t>
            </w:r>
          </w:p>
        </w:tc>
        <w:tc>
          <w:tcPr>
            <w:tcW w:w="1135" w:type="dxa"/>
            <w:tcBorders>
              <w:bottom w:val="single" w:sz="4" w:space="0" w:color="auto"/>
              <w:right w:val="nil"/>
            </w:tcBorders>
          </w:tcPr>
          <w:p w14:paraId="7E0C1C9D"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Pooled</w:t>
            </w:r>
          </w:p>
        </w:tc>
      </w:tr>
      <w:tr w:rsidR="007E0A41" w:rsidRPr="00D1336B" w14:paraId="449D5C35" w14:textId="77777777" w:rsidTr="007E0A41">
        <w:trPr>
          <w:trHeight w:val="303"/>
        </w:trPr>
        <w:tc>
          <w:tcPr>
            <w:tcW w:w="928" w:type="dxa"/>
            <w:tcBorders>
              <w:top w:val="single" w:sz="4" w:space="0" w:color="auto"/>
              <w:left w:val="nil"/>
              <w:bottom w:val="nil"/>
              <w:right w:val="nil"/>
            </w:tcBorders>
            <w:noWrap/>
            <w:hideMark/>
          </w:tcPr>
          <w:p w14:paraId="30F1AD2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w:t>
            </w:r>
          </w:p>
        </w:tc>
        <w:tc>
          <w:tcPr>
            <w:tcW w:w="2930" w:type="dxa"/>
            <w:tcBorders>
              <w:top w:val="single" w:sz="4" w:space="0" w:color="auto"/>
              <w:left w:val="nil"/>
              <w:bottom w:val="nil"/>
              <w:right w:val="nil"/>
            </w:tcBorders>
            <w:vAlign w:val="center"/>
            <w:hideMark/>
          </w:tcPr>
          <w:p w14:paraId="428BA74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Control (RDF)</w:t>
            </w:r>
          </w:p>
        </w:tc>
        <w:tc>
          <w:tcPr>
            <w:tcW w:w="1036" w:type="dxa"/>
            <w:tcBorders>
              <w:top w:val="single" w:sz="4" w:space="0" w:color="auto"/>
              <w:left w:val="nil"/>
              <w:bottom w:val="nil"/>
              <w:right w:val="nil"/>
            </w:tcBorders>
            <w:noWrap/>
            <w:vAlign w:val="bottom"/>
            <w:hideMark/>
          </w:tcPr>
          <w:p w14:paraId="029E066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1.99</w:t>
            </w:r>
          </w:p>
        </w:tc>
        <w:tc>
          <w:tcPr>
            <w:tcW w:w="1208" w:type="dxa"/>
            <w:tcBorders>
              <w:top w:val="single" w:sz="4" w:space="0" w:color="auto"/>
              <w:left w:val="nil"/>
              <w:bottom w:val="nil"/>
              <w:right w:val="nil"/>
            </w:tcBorders>
            <w:noWrap/>
            <w:vAlign w:val="bottom"/>
            <w:hideMark/>
          </w:tcPr>
          <w:p w14:paraId="036921B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w:t>
            </w:r>
          </w:p>
        </w:tc>
        <w:tc>
          <w:tcPr>
            <w:tcW w:w="1145" w:type="dxa"/>
            <w:tcBorders>
              <w:top w:val="single" w:sz="4" w:space="0" w:color="auto"/>
              <w:left w:val="nil"/>
              <w:bottom w:val="nil"/>
              <w:right w:val="nil"/>
            </w:tcBorders>
            <w:vAlign w:val="bottom"/>
          </w:tcPr>
          <w:p w14:paraId="733F6A6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1.99</w:t>
            </w:r>
          </w:p>
        </w:tc>
        <w:tc>
          <w:tcPr>
            <w:tcW w:w="1208" w:type="dxa"/>
            <w:tcBorders>
              <w:top w:val="single" w:sz="4" w:space="0" w:color="auto"/>
              <w:left w:val="nil"/>
              <w:bottom w:val="nil"/>
              <w:right w:val="nil"/>
            </w:tcBorders>
            <w:noWrap/>
            <w:vAlign w:val="bottom"/>
            <w:hideMark/>
          </w:tcPr>
          <w:p w14:paraId="62E305F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22.08</w:t>
            </w:r>
          </w:p>
        </w:tc>
        <w:tc>
          <w:tcPr>
            <w:tcW w:w="1185" w:type="dxa"/>
            <w:tcBorders>
              <w:top w:val="single" w:sz="4" w:space="0" w:color="auto"/>
              <w:left w:val="nil"/>
              <w:bottom w:val="nil"/>
              <w:right w:val="nil"/>
            </w:tcBorders>
            <w:noWrap/>
            <w:vAlign w:val="bottom"/>
            <w:hideMark/>
          </w:tcPr>
          <w:p w14:paraId="3A67F98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22.19</w:t>
            </w:r>
          </w:p>
        </w:tc>
        <w:tc>
          <w:tcPr>
            <w:tcW w:w="1135" w:type="dxa"/>
            <w:tcBorders>
              <w:top w:val="single" w:sz="4" w:space="0" w:color="auto"/>
              <w:left w:val="nil"/>
              <w:bottom w:val="nil"/>
              <w:right w:val="nil"/>
            </w:tcBorders>
            <w:vAlign w:val="bottom"/>
          </w:tcPr>
          <w:p w14:paraId="41DD212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22.14</w:t>
            </w:r>
          </w:p>
        </w:tc>
        <w:tc>
          <w:tcPr>
            <w:tcW w:w="1036" w:type="dxa"/>
            <w:tcBorders>
              <w:top w:val="single" w:sz="4" w:space="0" w:color="auto"/>
              <w:left w:val="nil"/>
              <w:bottom w:val="nil"/>
              <w:right w:val="nil"/>
            </w:tcBorders>
            <w:noWrap/>
            <w:vAlign w:val="bottom"/>
            <w:hideMark/>
          </w:tcPr>
          <w:p w14:paraId="5B4E0FA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15.34</w:t>
            </w:r>
          </w:p>
        </w:tc>
        <w:tc>
          <w:tcPr>
            <w:tcW w:w="1208" w:type="dxa"/>
            <w:tcBorders>
              <w:top w:val="single" w:sz="4" w:space="0" w:color="auto"/>
              <w:left w:val="nil"/>
              <w:bottom w:val="nil"/>
              <w:right w:val="nil"/>
            </w:tcBorders>
            <w:noWrap/>
            <w:vAlign w:val="bottom"/>
            <w:hideMark/>
          </w:tcPr>
          <w:p w14:paraId="5CBBCA9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16.83</w:t>
            </w:r>
          </w:p>
        </w:tc>
        <w:tc>
          <w:tcPr>
            <w:tcW w:w="1135" w:type="dxa"/>
            <w:tcBorders>
              <w:top w:val="single" w:sz="4" w:space="0" w:color="auto"/>
              <w:left w:val="nil"/>
              <w:bottom w:val="nil"/>
              <w:right w:val="nil"/>
            </w:tcBorders>
            <w:vAlign w:val="bottom"/>
          </w:tcPr>
          <w:p w14:paraId="2B57066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16.08</w:t>
            </w:r>
          </w:p>
        </w:tc>
      </w:tr>
      <w:tr w:rsidR="007E0A41" w:rsidRPr="00D1336B" w14:paraId="01949C50" w14:textId="77777777" w:rsidTr="007E0A41">
        <w:trPr>
          <w:trHeight w:val="303"/>
        </w:trPr>
        <w:tc>
          <w:tcPr>
            <w:tcW w:w="928" w:type="dxa"/>
            <w:tcBorders>
              <w:top w:val="nil"/>
              <w:left w:val="nil"/>
              <w:bottom w:val="nil"/>
              <w:right w:val="nil"/>
            </w:tcBorders>
            <w:noWrap/>
            <w:hideMark/>
          </w:tcPr>
          <w:p w14:paraId="63E73F5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2</w:t>
            </w:r>
          </w:p>
        </w:tc>
        <w:tc>
          <w:tcPr>
            <w:tcW w:w="2930" w:type="dxa"/>
            <w:tcBorders>
              <w:top w:val="nil"/>
              <w:left w:val="nil"/>
              <w:bottom w:val="nil"/>
              <w:right w:val="nil"/>
            </w:tcBorders>
            <w:vAlign w:val="center"/>
            <w:hideMark/>
          </w:tcPr>
          <w:p w14:paraId="3975972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iron @0.25%</w:t>
            </w:r>
          </w:p>
        </w:tc>
        <w:tc>
          <w:tcPr>
            <w:tcW w:w="1036" w:type="dxa"/>
            <w:tcBorders>
              <w:top w:val="nil"/>
              <w:left w:val="nil"/>
              <w:bottom w:val="nil"/>
              <w:right w:val="nil"/>
            </w:tcBorders>
            <w:noWrap/>
            <w:vAlign w:val="bottom"/>
            <w:hideMark/>
          </w:tcPr>
          <w:p w14:paraId="6F3506B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w:t>
            </w:r>
          </w:p>
        </w:tc>
        <w:tc>
          <w:tcPr>
            <w:tcW w:w="1208" w:type="dxa"/>
            <w:tcBorders>
              <w:top w:val="nil"/>
              <w:left w:val="nil"/>
              <w:bottom w:val="nil"/>
              <w:right w:val="nil"/>
            </w:tcBorders>
            <w:noWrap/>
            <w:vAlign w:val="bottom"/>
            <w:hideMark/>
          </w:tcPr>
          <w:p w14:paraId="604E855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145" w:type="dxa"/>
            <w:tcBorders>
              <w:top w:val="nil"/>
              <w:left w:val="nil"/>
              <w:bottom w:val="nil"/>
              <w:right w:val="nil"/>
            </w:tcBorders>
            <w:vAlign w:val="bottom"/>
          </w:tcPr>
          <w:p w14:paraId="3F5F7C0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4D2615A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25.72</w:t>
            </w:r>
          </w:p>
        </w:tc>
        <w:tc>
          <w:tcPr>
            <w:tcW w:w="1185" w:type="dxa"/>
            <w:tcBorders>
              <w:top w:val="nil"/>
              <w:left w:val="nil"/>
              <w:bottom w:val="nil"/>
              <w:right w:val="nil"/>
            </w:tcBorders>
            <w:noWrap/>
            <w:vAlign w:val="bottom"/>
            <w:hideMark/>
          </w:tcPr>
          <w:p w14:paraId="491A4E5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25.43</w:t>
            </w:r>
          </w:p>
        </w:tc>
        <w:tc>
          <w:tcPr>
            <w:tcW w:w="1135" w:type="dxa"/>
            <w:tcBorders>
              <w:top w:val="nil"/>
              <w:left w:val="nil"/>
              <w:bottom w:val="nil"/>
              <w:right w:val="nil"/>
            </w:tcBorders>
            <w:vAlign w:val="bottom"/>
          </w:tcPr>
          <w:p w14:paraId="113D085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25.57</w:t>
            </w:r>
          </w:p>
        </w:tc>
        <w:tc>
          <w:tcPr>
            <w:tcW w:w="1036" w:type="dxa"/>
            <w:tcBorders>
              <w:top w:val="nil"/>
              <w:left w:val="nil"/>
              <w:bottom w:val="nil"/>
              <w:right w:val="nil"/>
            </w:tcBorders>
            <w:noWrap/>
            <w:vAlign w:val="bottom"/>
            <w:hideMark/>
          </w:tcPr>
          <w:p w14:paraId="6D75170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19.82</w:t>
            </w:r>
          </w:p>
        </w:tc>
        <w:tc>
          <w:tcPr>
            <w:tcW w:w="1208" w:type="dxa"/>
            <w:tcBorders>
              <w:top w:val="nil"/>
              <w:left w:val="nil"/>
              <w:bottom w:val="nil"/>
              <w:right w:val="nil"/>
            </w:tcBorders>
            <w:noWrap/>
            <w:vAlign w:val="bottom"/>
            <w:hideMark/>
          </w:tcPr>
          <w:p w14:paraId="4000DD8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20.19</w:t>
            </w:r>
          </w:p>
        </w:tc>
        <w:tc>
          <w:tcPr>
            <w:tcW w:w="1135" w:type="dxa"/>
            <w:tcBorders>
              <w:top w:val="nil"/>
              <w:left w:val="nil"/>
              <w:bottom w:val="nil"/>
              <w:right w:val="nil"/>
            </w:tcBorders>
            <w:vAlign w:val="bottom"/>
          </w:tcPr>
          <w:p w14:paraId="7C3E6AD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20.01</w:t>
            </w:r>
          </w:p>
        </w:tc>
      </w:tr>
      <w:tr w:rsidR="007E0A41" w:rsidRPr="00D1336B" w14:paraId="2816859C" w14:textId="77777777" w:rsidTr="007E0A41">
        <w:trPr>
          <w:trHeight w:val="303"/>
        </w:trPr>
        <w:tc>
          <w:tcPr>
            <w:tcW w:w="928" w:type="dxa"/>
            <w:tcBorders>
              <w:top w:val="nil"/>
              <w:left w:val="nil"/>
              <w:bottom w:val="nil"/>
              <w:right w:val="nil"/>
            </w:tcBorders>
            <w:noWrap/>
            <w:hideMark/>
          </w:tcPr>
          <w:p w14:paraId="3D3D482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3</w:t>
            </w:r>
          </w:p>
        </w:tc>
        <w:tc>
          <w:tcPr>
            <w:tcW w:w="2930" w:type="dxa"/>
            <w:tcBorders>
              <w:top w:val="nil"/>
              <w:left w:val="nil"/>
              <w:bottom w:val="nil"/>
              <w:right w:val="nil"/>
            </w:tcBorders>
            <w:vAlign w:val="center"/>
            <w:hideMark/>
          </w:tcPr>
          <w:p w14:paraId="73060EF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iron @0.50%</w:t>
            </w:r>
          </w:p>
        </w:tc>
        <w:tc>
          <w:tcPr>
            <w:tcW w:w="1036" w:type="dxa"/>
            <w:tcBorders>
              <w:top w:val="nil"/>
              <w:left w:val="nil"/>
              <w:bottom w:val="nil"/>
              <w:right w:val="nil"/>
            </w:tcBorders>
            <w:noWrap/>
            <w:vAlign w:val="bottom"/>
            <w:hideMark/>
          </w:tcPr>
          <w:p w14:paraId="4A79A06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w:t>
            </w:r>
          </w:p>
        </w:tc>
        <w:tc>
          <w:tcPr>
            <w:tcW w:w="1208" w:type="dxa"/>
            <w:tcBorders>
              <w:top w:val="nil"/>
              <w:left w:val="nil"/>
              <w:bottom w:val="nil"/>
              <w:right w:val="nil"/>
            </w:tcBorders>
            <w:noWrap/>
            <w:vAlign w:val="bottom"/>
            <w:hideMark/>
          </w:tcPr>
          <w:p w14:paraId="370C6F8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145" w:type="dxa"/>
            <w:tcBorders>
              <w:top w:val="nil"/>
              <w:left w:val="nil"/>
              <w:bottom w:val="nil"/>
              <w:right w:val="nil"/>
            </w:tcBorders>
            <w:vAlign w:val="bottom"/>
          </w:tcPr>
          <w:p w14:paraId="731E960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776DA50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27.88</w:t>
            </w:r>
          </w:p>
        </w:tc>
        <w:tc>
          <w:tcPr>
            <w:tcW w:w="1185" w:type="dxa"/>
            <w:tcBorders>
              <w:top w:val="nil"/>
              <w:left w:val="nil"/>
              <w:bottom w:val="nil"/>
              <w:right w:val="nil"/>
            </w:tcBorders>
            <w:noWrap/>
            <w:vAlign w:val="bottom"/>
            <w:hideMark/>
          </w:tcPr>
          <w:p w14:paraId="44605FA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27.90</w:t>
            </w:r>
          </w:p>
        </w:tc>
        <w:tc>
          <w:tcPr>
            <w:tcW w:w="1135" w:type="dxa"/>
            <w:tcBorders>
              <w:top w:val="nil"/>
              <w:left w:val="nil"/>
              <w:bottom w:val="nil"/>
              <w:right w:val="nil"/>
            </w:tcBorders>
            <w:vAlign w:val="bottom"/>
          </w:tcPr>
          <w:p w14:paraId="40422B0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27.89</w:t>
            </w:r>
          </w:p>
        </w:tc>
        <w:tc>
          <w:tcPr>
            <w:tcW w:w="1036" w:type="dxa"/>
            <w:tcBorders>
              <w:top w:val="nil"/>
              <w:left w:val="nil"/>
              <w:bottom w:val="nil"/>
              <w:right w:val="nil"/>
            </w:tcBorders>
            <w:noWrap/>
            <w:vAlign w:val="bottom"/>
            <w:hideMark/>
          </w:tcPr>
          <w:p w14:paraId="4578E56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18.34</w:t>
            </w:r>
          </w:p>
        </w:tc>
        <w:tc>
          <w:tcPr>
            <w:tcW w:w="1208" w:type="dxa"/>
            <w:tcBorders>
              <w:top w:val="nil"/>
              <w:left w:val="nil"/>
              <w:bottom w:val="nil"/>
              <w:right w:val="nil"/>
            </w:tcBorders>
            <w:noWrap/>
            <w:vAlign w:val="bottom"/>
            <w:hideMark/>
          </w:tcPr>
          <w:p w14:paraId="4A05C66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18.40</w:t>
            </w:r>
          </w:p>
        </w:tc>
        <w:tc>
          <w:tcPr>
            <w:tcW w:w="1135" w:type="dxa"/>
            <w:tcBorders>
              <w:top w:val="nil"/>
              <w:left w:val="nil"/>
              <w:bottom w:val="nil"/>
              <w:right w:val="nil"/>
            </w:tcBorders>
            <w:vAlign w:val="bottom"/>
          </w:tcPr>
          <w:p w14:paraId="5A98844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18.37</w:t>
            </w:r>
          </w:p>
        </w:tc>
      </w:tr>
      <w:tr w:rsidR="007E0A41" w:rsidRPr="00D1336B" w14:paraId="4E9A79B5" w14:textId="77777777" w:rsidTr="007E0A41">
        <w:trPr>
          <w:trHeight w:val="303"/>
        </w:trPr>
        <w:tc>
          <w:tcPr>
            <w:tcW w:w="928" w:type="dxa"/>
            <w:tcBorders>
              <w:top w:val="nil"/>
              <w:left w:val="nil"/>
              <w:bottom w:val="nil"/>
              <w:right w:val="nil"/>
            </w:tcBorders>
            <w:noWrap/>
            <w:hideMark/>
          </w:tcPr>
          <w:p w14:paraId="03107CE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4</w:t>
            </w:r>
          </w:p>
        </w:tc>
        <w:tc>
          <w:tcPr>
            <w:tcW w:w="2930" w:type="dxa"/>
            <w:tcBorders>
              <w:top w:val="nil"/>
              <w:left w:val="nil"/>
              <w:bottom w:val="nil"/>
              <w:right w:val="nil"/>
            </w:tcBorders>
            <w:vAlign w:val="center"/>
            <w:hideMark/>
          </w:tcPr>
          <w:p w14:paraId="2A946B7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iron @0.75%</w:t>
            </w:r>
          </w:p>
        </w:tc>
        <w:tc>
          <w:tcPr>
            <w:tcW w:w="1036" w:type="dxa"/>
            <w:tcBorders>
              <w:top w:val="nil"/>
              <w:left w:val="nil"/>
              <w:bottom w:val="nil"/>
              <w:right w:val="nil"/>
            </w:tcBorders>
            <w:noWrap/>
            <w:vAlign w:val="bottom"/>
            <w:hideMark/>
          </w:tcPr>
          <w:p w14:paraId="1AEC250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70564C9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145" w:type="dxa"/>
            <w:tcBorders>
              <w:top w:val="nil"/>
              <w:left w:val="nil"/>
              <w:bottom w:val="nil"/>
              <w:right w:val="nil"/>
            </w:tcBorders>
            <w:vAlign w:val="bottom"/>
          </w:tcPr>
          <w:p w14:paraId="39C654F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08B7570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29.66</w:t>
            </w:r>
          </w:p>
        </w:tc>
        <w:tc>
          <w:tcPr>
            <w:tcW w:w="1185" w:type="dxa"/>
            <w:tcBorders>
              <w:top w:val="nil"/>
              <w:left w:val="nil"/>
              <w:bottom w:val="nil"/>
              <w:right w:val="nil"/>
            </w:tcBorders>
            <w:noWrap/>
            <w:vAlign w:val="bottom"/>
            <w:hideMark/>
          </w:tcPr>
          <w:p w14:paraId="7C92C80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29.80</w:t>
            </w:r>
          </w:p>
        </w:tc>
        <w:tc>
          <w:tcPr>
            <w:tcW w:w="1135" w:type="dxa"/>
            <w:tcBorders>
              <w:top w:val="nil"/>
              <w:left w:val="nil"/>
              <w:bottom w:val="nil"/>
              <w:right w:val="nil"/>
            </w:tcBorders>
            <w:vAlign w:val="bottom"/>
          </w:tcPr>
          <w:p w14:paraId="2611045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29.73</w:t>
            </w:r>
          </w:p>
        </w:tc>
        <w:tc>
          <w:tcPr>
            <w:tcW w:w="1036" w:type="dxa"/>
            <w:tcBorders>
              <w:top w:val="nil"/>
              <w:left w:val="nil"/>
              <w:bottom w:val="nil"/>
              <w:right w:val="nil"/>
            </w:tcBorders>
            <w:noWrap/>
            <w:vAlign w:val="bottom"/>
            <w:hideMark/>
          </w:tcPr>
          <w:p w14:paraId="75DF8BC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17.84</w:t>
            </w:r>
          </w:p>
        </w:tc>
        <w:tc>
          <w:tcPr>
            <w:tcW w:w="1208" w:type="dxa"/>
            <w:tcBorders>
              <w:top w:val="nil"/>
              <w:left w:val="nil"/>
              <w:bottom w:val="nil"/>
              <w:right w:val="nil"/>
            </w:tcBorders>
            <w:noWrap/>
            <w:vAlign w:val="bottom"/>
            <w:hideMark/>
          </w:tcPr>
          <w:p w14:paraId="1C02A19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17.79</w:t>
            </w:r>
          </w:p>
        </w:tc>
        <w:tc>
          <w:tcPr>
            <w:tcW w:w="1135" w:type="dxa"/>
            <w:tcBorders>
              <w:top w:val="nil"/>
              <w:left w:val="nil"/>
              <w:bottom w:val="nil"/>
              <w:right w:val="nil"/>
            </w:tcBorders>
            <w:vAlign w:val="bottom"/>
          </w:tcPr>
          <w:p w14:paraId="2BFE1C9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17.82</w:t>
            </w:r>
          </w:p>
        </w:tc>
      </w:tr>
      <w:tr w:rsidR="007E0A41" w:rsidRPr="00D1336B" w14:paraId="3AEBB003" w14:textId="77777777" w:rsidTr="007E0A41">
        <w:trPr>
          <w:trHeight w:val="327"/>
        </w:trPr>
        <w:tc>
          <w:tcPr>
            <w:tcW w:w="928" w:type="dxa"/>
            <w:tcBorders>
              <w:top w:val="nil"/>
              <w:left w:val="nil"/>
              <w:bottom w:val="nil"/>
              <w:right w:val="nil"/>
            </w:tcBorders>
            <w:noWrap/>
            <w:hideMark/>
          </w:tcPr>
          <w:p w14:paraId="173BF3D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5</w:t>
            </w:r>
          </w:p>
        </w:tc>
        <w:tc>
          <w:tcPr>
            <w:tcW w:w="2930" w:type="dxa"/>
            <w:tcBorders>
              <w:top w:val="nil"/>
              <w:left w:val="nil"/>
              <w:bottom w:val="nil"/>
              <w:right w:val="nil"/>
            </w:tcBorders>
            <w:vAlign w:val="center"/>
            <w:hideMark/>
          </w:tcPr>
          <w:p w14:paraId="720645D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FeSO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@0.25%</w:t>
            </w:r>
          </w:p>
        </w:tc>
        <w:tc>
          <w:tcPr>
            <w:tcW w:w="1036" w:type="dxa"/>
            <w:tcBorders>
              <w:top w:val="nil"/>
              <w:left w:val="nil"/>
              <w:bottom w:val="nil"/>
              <w:right w:val="nil"/>
            </w:tcBorders>
            <w:noWrap/>
            <w:vAlign w:val="bottom"/>
            <w:hideMark/>
          </w:tcPr>
          <w:p w14:paraId="75B20E9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w:t>
            </w:r>
          </w:p>
        </w:tc>
        <w:tc>
          <w:tcPr>
            <w:tcW w:w="1208" w:type="dxa"/>
            <w:tcBorders>
              <w:top w:val="nil"/>
              <w:left w:val="nil"/>
              <w:bottom w:val="nil"/>
              <w:right w:val="nil"/>
            </w:tcBorders>
            <w:noWrap/>
            <w:vAlign w:val="bottom"/>
            <w:hideMark/>
          </w:tcPr>
          <w:p w14:paraId="4AE592D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w:t>
            </w:r>
          </w:p>
        </w:tc>
        <w:tc>
          <w:tcPr>
            <w:tcW w:w="1145" w:type="dxa"/>
            <w:tcBorders>
              <w:top w:val="nil"/>
              <w:left w:val="nil"/>
              <w:bottom w:val="nil"/>
              <w:right w:val="nil"/>
            </w:tcBorders>
            <w:vAlign w:val="bottom"/>
          </w:tcPr>
          <w:p w14:paraId="643F049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2.00</w:t>
            </w:r>
          </w:p>
        </w:tc>
        <w:tc>
          <w:tcPr>
            <w:tcW w:w="1208" w:type="dxa"/>
            <w:tcBorders>
              <w:top w:val="nil"/>
              <w:left w:val="nil"/>
              <w:bottom w:val="nil"/>
              <w:right w:val="nil"/>
            </w:tcBorders>
            <w:noWrap/>
            <w:vAlign w:val="bottom"/>
            <w:hideMark/>
          </w:tcPr>
          <w:p w14:paraId="609F0CE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26.21</w:t>
            </w:r>
          </w:p>
        </w:tc>
        <w:tc>
          <w:tcPr>
            <w:tcW w:w="1185" w:type="dxa"/>
            <w:tcBorders>
              <w:top w:val="nil"/>
              <w:left w:val="nil"/>
              <w:bottom w:val="nil"/>
              <w:right w:val="nil"/>
            </w:tcBorders>
            <w:noWrap/>
            <w:vAlign w:val="bottom"/>
            <w:hideMark/>
          </w:tcPr>
          <w:p w14:paraId="50C019F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26.03</w:t>
            </w:r>
          </w:p>
        </w:tc>
        <w:tc>
          <w:tcPr>
            <w:tcW w:w="1135" w:type="dxa"/>
            <w:tcBorders>
              <w:top w:val="nil"/>
              <w:left w:val="nil"/>
              <w:bottom w:val="nil"/>
              <w:right w:val="nil"/>
            </w:tcBorders>
            <w:vAlign w:val="bottom"/>
          </w:tcPr>
          <w:p w14:paraId="74B2181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26.12</w:t>
            </w:r>
          </w:p>
        </w:tc>
        <w:tc>
          <w:tcPr>
            <w:tcW w:w="1036" w:type="dxa"/>
            <w:tcBorders>
              <w:top w:val="nil"/>
              <w:left w:val="nil"/>
              <w:bottom w:val="nil"/>
              <w:right w:val="nil"/>
            </w:tcBorders>
            <w:noWrap/>
            <w:vAlign w:val="bottom"/>
            <w:hideMark/>
          </w:tcPr>
          <w:p w14:paraId="6F52022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17.95</w:t>
            </w:r>
          </w:p>
        </w:tc>
        <w:tc>
          <w:tcPr>
            <w:tcW w:w="1208" w:type="dxa"/>
            <w:tcBorders>
              <w:top w:val="nil"/>
              <w:left w:val="nil"/>
              <w:bottom w:val="nil"/>
              <w:right w:val="nil"/>
            </w:tcBorders>
            <w:noWrap/>
            <w:vAlign w:val="bottom"/>
            <w:hideMark/>
          </w:tcPr>
          <w:p w14:paraId="3829014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18.14</w:t>
            </w:r>
          </w:p>
        </w:tc>
        <w:tc>
          <w:tcPr>
            <w:tcW w:w="1135" w:type="dxa"/>
            <w:tcBorders>
              <w:top w:val="nil"/>
              <w:left w:val="nil"/>
              <w:bottom w:val="nil"/>
              <w:right w:val="nil"/>
            </w:tcBorders>
            <w:vAlign w:val="bottom"/>
          </w:tcPr>
          <w:p w14:paraId="182412A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18.04</w:t>
            </w:r>
          </w:p>
        </w:tc>
      </w:tr>
      <w:tr w:rsidR="007E0A41" w:rsidRPr="00D1336B" w14:paraId="1035CA16" w14:textId="77777777" w:rsidTr="007E0A41">
        <w:trPr>
          <w:trHeight w:val="327"/>
        </w:trPr>
        <w:tc>
          <w:tcPr>
            <w:tcW w:w="928" w:type="dxa"/>
            <w:tcBorders>
              <w:top w:val="nil"/>
              <w:left w:val="nil"/>
              <w:bottom w:val="nil"/>
              <w:right w:val="nil"/>
            </w:tcBorders>
            <w:noWrap/>
            <w:hideMark/>
          </w:tcPr>
          <w:p w14:paraId="7ECC30C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6</w:t>
            </w:r>
          </w:p>
        </w:tc>
        <w:tc>
          <w:tcPr>
            <w:tcW w:w="2930" w:type="dxa"/>
            <w:tcBorders>
              <w:top w:val="nil"/>
              <w:left w:val="nil"/>
              <w:bottom w:val="nil"/>
              <w:right w:val="nil"/>
            </w:tcBorders>
            <w:vAlign w:val="center"/>
            <w:hideMark/>
          </w:tcPr>
          <w:p w14:paraId="7A789D1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FeSO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@0.50%</w:t>
            </w:r>
          </w:p>
        </w:tc>
        <w:tc>
          <w:tcPr>
            <w:tcW w:w="1036" w:type="dxa"/>
            <w:tcBorders>
              <w:top w:val="nil"/>
              <w:left w:val="nil"/>
              <w:bottom w:val="nil"/>
              <w:right w:val="nil"/>
            </w:tcBorders>
            <w:noWrap/>
            <w:vAlign w:val="bottom"/>
            <w:hideMark/>
          </w:tcPr>
          <w:p w14:paraId="002F177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29A39B7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2.02</w:t>
            </w:r>
          </w:p>
        </w:tc>
        <w:tc>
          <w:tcPr>
            <w:tcW w:w="1145" w:type="dxa"/>
            <w:tcBorders>
              <w:top w:val="nil"/>
              <w:left w:val="nil"/>
              <w:bottom w:val="nil"/>
              <w:right w:val="nil"/>
            </w:tcBorders>
            <w:vAlign w:val="bottom"/>
          </w:tcPr>
          <w:p w14:paraId="0490651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2.02</w:t>
            </w:r>
          </w:p>
        </w:tc>
        <w:tc>
          <w:tcPr>
            <w:tcW w:w="1208" w:type="dxa"/>
            <w:tcBorders>
              <w:top w:val="nil"/>
              <w:left w:val="nil"/>
              <w:bottom w:val="nil"/>
              <w:right w:val="nil"/>
            </w:tcBorders>
            <w:noWrap/>
            <w:vAlign w:val="bottom"/>
            <w:hideMark/>
          </w:tcPr>
          <w:p w14:paraId="328346C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27.49</w:t>
            </w:r>
          </w:p>
        </w:tc>
        <w:tc>
          <w:tcPr>
            <w:tcW w:w="1185" w:type="dxa"/>
            <w:tcBorders>
              <w:top w:val="nil"/>
              <w:left w:val="nil"/>
              <w:bottom w:val="nil"/>
              <w:right w:val="nil"/>
            </w:tcBorders>
            <w:noWrap/>
            <w:vAlign w:val="bottom"/>
            <w:hideMark/>
          </w:tcPr>
          <w:p w14:paraId="713EF9D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27.49</w:t>
            </w:r>
          </w:p>
        </w:tc>
        <w:tc>
          <w:tcPr>
            <w:tcW w:w="1135" w:type="dxa"/>
            <w:tcBorders>
              <w:top w:val="nil"/>
              <w:left w:val="nil"/>
              <w:bottom w:val="nil"/>
              <w:right w:val="nil"/>
            </w:tcBorders>
            <w:vAlign w:val="bottom"/>
          </w:tcPr>
          <w:p w14:paraId="180373C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27.49</w:t>
            </w:r>
          </w:p>
        </w:tc>
        <w:tc>
          <w:tcPr>
            <w:tcW w:w="1036" w:type="dxa"/>
            <w:tcBorders>
              <w:top w:val="nil"/>
              <w:left w:val="nil"/>
              <w:bottom w:val="nil"/>
              <w:right w:val="nil"/>
            </w:tcBorders>
            <w:noWrap/>
            <w:vAlign w:val="bottom"/>
            <w:hideMark/>
          </w:tcPr>
          <w:p w14:paraId="577CE4C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17.36</w:t>
            </w:r>
          </w:p>
        </w:tc>
        <w:tc>
          <w:tcPr>
            <w:tcW w:w="1208" w:type="dxa"/>
            <w:tcBorders>
              <w:top w:val="nil"/>
              <w:left w:val="nil"/>
              <w:bottom w:val="nil"/>
              <w:right w:val="nil"/>
            </w:tcBorders>
            <w:noWrap/>
            <w:vAlign w:val="bottom"/>
            <w:hideMark/>
          </w:tcPr>
          <w:p w14:paraId="6D6126B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18.18</w:t>
            </w:r>
          </w:p>
        </w:tc>
        <w:tc>
          <w:tcPr>
            <w:tcW w:w="1135" w:type="dxa"/>
            <w:tcBorders>
              <w:top w:val="nil"/>
              <w:left w:val="nil"/>
              <w:bottom w:val="nil"/>
              <w:right w:val="nil"/>
            </w:tcBorders>
            <w:vAlign w:val="bottom"/>
          </w:tcPr>
          <w:p w14:paraId="4318244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17.77</w:t>
            </w:r>
          </w:p>
        </w:tc>
      </w:tr>
      <w:tr w:rsidR="007E0A41" w:rsidRPr="00D1336B" w14:paraId="3D476E17" w14:textId="77777777" w:rsidTr="007E0A41">
        <w:trPr>
          <w:trHeight w:val="327"/>
        </w:trPr>
        <w:tc>
          <w:tcPr>
            <w:tcW w:w="928" w:type="dxa"/>
            <w:tcBorders>
              <w:top w:val="nil"/>
              <w:left w:val="nil"/>
              <w:bottom w:val="nil"/>
              <w:right w:val="nil"/>
            </w:tcBorders>
            <w:noWrap/>
            <w:hideMark/>
          </w:tcPr>
          <w:p w14:paraId="7A966A3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7</w:t>
            </w:r>
          </w:p>
        </w:tc>
        <w:tc>
          <w:tcPr>
            <w:tcW w:w="2930" w:type="dxa"/>
            <w:tcBorders>
              <w:top w:val="nil"/>
              <w:left w:val="nil"/>
              <w:bottom w:val="nil"/>
              <w:right w:val="nil"/>
            </w:tcBorders>
            <w:vAlign w:val="center"/>
            <w:hideMark/>
          </w:tcPr>
          <w:p w14:paraId="77765B2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FeSO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@0.75%</w:t>
            </w:r>
          </w:p>
        </w:tc>
        <w:tc>
          <w:tcPr>
            <w:tcW w:w="1036" w:type="dxa"/>
            <w:tcBorders>
              <w:top w:val="nil"/>
              <w:left w:val="nil"/>
              <w:bottom w:val="nil"/>
              <w:right w:val="nil"/>
            </w:tcBorders>
            <w:noWrap/>
            <w:vAlign w:val="bottom"/>
            <w:hideMark/>
          </w:tcPr>
          <w:p w14:paraId="1293116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2F0E6A9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145" w:type="dxa"/>
            <w:tcBorders>
              <w:top w:val="nil"/>
              <w:left w:val="nil"/>
              <w:bottom w:val="nil"/>
              <w:right w:val="nil"/>
            </w:tcBorders>
            <w:vAlign w:val="bottom"/>
          </w:tcPr>
          <w:p w14:paraId="571CE19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0A079F4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28.24</w:t>
            </w:r>
          </w:p>
        </w:tc>
        <w:tc>
          <w:tcPr>
            <w:tcW w:w="1185" w:type="dxa"/>
            <w:tcBorders>
              <w:top w:val="nil"/>
              <w:left w:val="nil"/>
              <w:bottom w:val="nil"/>
              <w:right w:val="nil"/>
            </w:tcBorders>
            <w:noWrap/>
            <w:vAlign w:val="bottom"/>
            <w:hideMark/>
          </w:tcPr>
          <w:p w14:paraId="6175069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28.06</w:t>
            </w:r>
          </w:p>
        </w:tc>
        <w:tc>
          <w:tcPr>
            <w:tcW w:w="1135" w:type="dxa"/>
            <w:tcBorders>
              <w:top w:val="nil"/>
              <w:left w:val="nil"/>
              <w:bottom w:val="nil"/>
              <w:right w:val="nil"/>
            </w:tcBorders>
            <w:vAlign w:val="bottom"/>
          </w:tcPr>
          <w:p w14:paraId="618B568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28.15</w:t>
            </w:r>
          </w:p>
        </w:tc>
        <w:tc>
          <w:tcPr>
            <w:tcW w:w="1036" w:type="dxa"/>
            <w:tcBorders>
              <w:top w:val="nil"/>
              <w:left w:val="nil"/>
              <w:bottom w:val="nil"/>
              <w:right w:val="nil"/>
            </w:tcBorders>
            <w:noWrap/>
            <w:vAlign w:val="bottom"/>
            <w:hideMark/>
          </w:tcPr>
          <w:p w14:paraId="39835A4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18.85</w:t>
            </w:r>
          </w:p>
        </w:tc>
        <w:tc>
          <w:tcPr>
            <w:tcW w:w="1208" w:type="dxa"/>
            <w:tcBorders>
              <w:top w:val="nil"/>
              <w:left w:val="nil"/>
              <w:bottom w:val="nil"/>
              <w:right w:val="nil"/>
            </w:tcBorders>
            <w:noWrap/>
            <w:vAlign w:val="bottom"/>
            <w:hideMark/>
          </w:tcPr>
          <w:p w14:paraId="7F2C0CF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18.93</w:t>
            </w:r>
          </w:p>
        </w:tc>
        <w:tc>
          <w:tcPr>
            <w:tcW w:w="1135" w:type="dxa"/>
            <w:tcBorders>
              <w:top w:val="nil"/>
              <w:left w:val="nil"/>
              <w:bottom w:val="nil"/>
              <w:right w:val="nil"/>
            </w:tcBorders>
            <w:vAlign w:val="bottom"/>
          </w:tcPr>
          <w:p w14:paraId="57FA6D7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18.89</w:t>
            </w:r>
          </w:p>
        </w:tc>
      </w:tr>
      <w:tr w:rsidR="007E0A41" w:rsidRPr="00D1336B" w14:paraId="0BA109F2" w14:textId="77777777" w:rsidTr="007E0A41">
        <w:trPr>
          <w:trHeight w:val="303"/>
        </w:trPr>
        <w:tc>
          <w:tcPr>
            <w:tcW w:w="928" w:type="dxa"/>
            <w:tcBorders>
              <w:top w:val="nil"/>
              <w:left w:val="nil"/>
              <w:bottom w:val="nil"/>
              <w:right w:val="nil"/>
            </w:tcBorders>
            <w:noWrap/>
            <w:hideMark/>
          </w:tcPr>
          <w:p w14:paraId="785730B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8</w:t>
            </w:r>
          </w:p>
        </w:tc>
        <w:tc>
          <w:tcPr>
            <w:tcW w:w="2930" w:type="dxa"/>
            <w:tcBorders>
              <w:top w:val="nil"/>
              <w:left w:val="nil"/>
              <w:bottom w:val="nil"/>
              <w:right w:val="nil"/>
            </w:tcBorders>
            <w:vAlign w:val="center"/>
            <w:hideMark/>
          </w:tcPr>
          <w:p w14:paraId="43F587F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zinc @0.25%</w:t>
            </w:r>
          </w:p>
        </w:tc>
        <w:tc>
          <w:tcPr>
            <w:tcW w:w="1036" w:type="dxa"/>
            <w:tcBorders>
              <w:top w:val="nil"/>
              <w:left w:val="nil"/>
              <w:bottom w:val="nil"/>
              <w:right w:val="nil"/>
            </w:tcBorders>
            <w:noWrap/>
            <w:vAlign w:val="bottom"/>
            <w:hideMark/>
          </w:tcPr>
          <w:p w14:paraId="3D6E0FA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2.02</w:t>
            </w:r>
          </w:p>
        </w:tc>
        <w:tc>
          <w:tcPr>
            <w:tcW w:w="1208" w:type="dxa"/>
            <w:tcBorders>
              <w:top w:val="nil"/>
              <w:left w:val="nil"/>
              <w:bottom w:val="nil"/>
              <w:right w:val="nil"/>
            </w:tcBorders>
            <w:noWrap/>
            <w:vAlign w:val="bottom"/>
            <w:hideMark/>
          </w:tcPr>
          <w:p w14:paraId="425C773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2.02</w:t>
            </w:r>
          </w:p>
        </w:tc>
        <w:tc>
          <w:tcPr>
            <w:tcW w:w="1145" w:type="dxa"/>
            <w:tcBorders>
              <w:top w:val="nil"/>
              <w:left w:val="nil"/>
              <w:bottom w:val="nil"/>
              <w:right w:val="nil"/>
            </w:tcBorders>
            <w:vAlign w:val="bottom"/>
          </w:tcPr>
          <w:p w14:paraId="7055DC6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2.02</w:t>
            </w:r>
          </w:p>
        </w:tc>
        <w:tc>
          <w:tcPr>
            <w:tcW w:w="1208" w:type="dxa"/>
            <w:tcBorders>
              <w:top w:val="nil"/>
              <w:left w:val="nil"/>
              <w:bottom w:val="nil"/>
              <w:right w:val="nil"/>
            </w:tcBorders>
            <w:noWrap/>
            <w:vAlign w:val="bottom"/>
            <w:hideMark/>
          </w:tcPr>
          <w:p w14:paraId="28F6604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30.14</w:t>
            </w:r>
          </w:p>
        </w:tc>
        <w:tc>
          <w:tcPr>
            <w:tcW w:w="1185" w:type="dxa"/>
            <w:tcBorders>
              <w:top w:val="nil"/>
              <w:left w:val="nil"/>
              <w:bottom w:val="nil"/>
              <w:right w:val="nil"/>
            </w:tcBorders>
            <w:noWrap/>
            <w:vAlign w:val="bottom"/>
            <w:hideMark/>
          </w:tcPr>
          <w:p w14:paraId="0ED912A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30.05</w:t>
            </w:r>
          </w:p>
        </w:tc>
        <w:tc>
          <w:tcPr>
            <w:tcW w:w="1135" w:type="dxa"/>
            <w:tcBorders>
              <w:top w:val="nil"/>
              <w:left w:val="nil"/>
              <w:bottom w:val="nil"/>
              <w:right w:val="nil"/>
            </w:tcBorders>
            <w:vAlign w:val="bottom"/>
          </w:tcPr>
          <w:p w14:paraId="38ADA91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30.09</w:t>
            </w:r>
          </w:p>
        </w:tc>
        <w:tc>
          <w:tcPr>
            <w:tcW w:w="1036" w:type="dxa"/>
            <w:tcBorders>
              <w:top w:val="nil"/>
              <w:left w:val="nil"/>
              <w:bottom w:val="nil"/>
              <w:right w:val="nil"/>
            </w:tcBorders>
            <w:noWrap/>
            <w:vAlign w:val="bottom"/>
            <w:hideMark/>
          </w:tcPr>
          <w:p w14:paraId="793C02E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19.42</w:t>
            </w:r>
          </w:p>
        </w:tc>
        <w:tc>
          <w:tcPr>
            <w:tcW w:w="1208" w:type="dxa"/>
            <w:tcBorders>
              <w:top w:val="nil"/>
              <w:left w:val="nil"/>
              <w:bottom w:val="nil"/>
              <w:right w:val="nil"/>
            </w:tcBorders>
            <w:noWrap/>
            <w:vAlign w:val="bottom"/>
            <w:hideMark/>
          </w:tcPr>
          <w:p w14:paraId="0E4889A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19.17</w:t>
            </w:r>
          </w:p>
        </w:tc>
        <w:tc>
          <w:tcPr>
            <w:tcW w:w="1135" w:type="dxa"/>
            <w:tcBorders>
              <w:top w:val="nil"/>
              <w:left w:val="nil"/>
              <w:bottom w:val="nil"/>
              <w:right w:val="nil"/>
            </w:tcBorders>
            <w:vAlign w:val="bottom"/>
          </w:tcPr>
          <w:p w14:paraId="0FD5797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19.29</w:t>
            </w:r>
          </w:p>
        </w:tc>
      </w:tr>
      <w:tr w:rsidR="007E0A41" w:rsidRPr="00D1336B" w14:paraId="46B29346" w14:textId="77777777" w:rsidTr="007E0A41">
        <w:trPr>
          <w:trHeight w:val="303"/>
        </w:trPr>
        <w:tc>
          <w:tcPr>
            <w:tcW w:w="928" w:type="dxa"/>
            <w:tcBorders>
              <w:top w:val="nil"/>
              <w:left w:val="nil"/>
              <w:bottom w:val="nil"/>
              <w:right w:val="nil"/>
            </w:tcBorders>
            <w:noWrap/>
            <w:hideMark/>
          </w:tcPr>
          <w:p w14:paraId="3C07423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9</w:t>
            </w:r>
          </w:p>
        </w:tc>
        <w:tc>
          <w:tcPr>
            <w:tcW w:w="2930" w:type="dxa"/>
            <w:tcBorders>
              <w:top w:val="nil"/>
              <w:left w:val="nil"/>
              <w:bottom w:val="nil"/>
              <w:right w:val="nil"/>
            </w:tcBorders>
            <w:vAlign w:val="center"/>
            <w:hideMark/>
          </w:tcPr>
          <w:p w14:paraId="7D84CFE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zinc @0.50%</w:t>
            </w:r>
          </w:p>
        </w:tc>
        <w:tc>
          <w:tcPr>
            <w:tcW w:w="1036" w:type="dxa"/>
            <w:tcBorders>
              <w:top w:val="nil"/>
              <w:left w:val="nil"/>
              <w:bottom w:val="nil"/>
              <w:right w:val="nil"/>
            </w:tcBorders>
            <w:noWrap/>
            <w:vAlign w:val="bottom"/>
            <w:hideMark/>
          </w:tcPr>
          <w:p w14:paraId="6B290ED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2.03</w:t>
            </w:r>
          </w:p>
        </w:tc>
        <w:tc>
          <w:tcPr>
            <w:tcW w:w="1208" w:type="dxa"/>
            <w:tcBorders>
              <w:top w:val="nil"/>
              <w:left w:val="nil"/>
              <w:bottom w:val="nil"/>
              <w:right w:val="nil"/>
            </w:tcBorders>
            <w:noWrap/>
            <w:vAlign w:val="bottom"/>
            <w:hideMark/>
          </w:tcPr>
          <w:p w14:paraId="212BF97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2.04</w:t>
            </w:r>
          </w:p>
        </w:tc>
        <w:tc>
          <w:tcPr>
            <w:tcW w:w="1145" w:type="dxa"/>
            <w:tcBorders>
              <w:top w:val="nil"/>
              <w:left w:val="nil"/>
              <w:bottom w:val="nil"/>
              <w:right w:val="nil"/>
            </w:tcBorders>
            <w:vAlign w:val="bottom"/>
          </w:tcPr>
          <w:p w14:paraId="2F0D571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2.04</w:t>
            </w:r>
          </w:p>
        </w:tc>
        <w:tc>
          <w:tcPr>
            <w:tcW w:w="1208" w:type="dxa"/>
            <w:tcBorders>
              <w:top w:val="nil"/>
              <w:left w:val="nil"/>
              <w:bottom w:val="nil"/>
              <w:right w:val="nil"/>
            </w:tcBorders>
            <w:noWrap/>
            <w:vAlign w:val="bottom"/>
            <w:hideMark/>
          </w:tcPr>
          <w:p w14:paraId="2DD1FA0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44.27</w:t>
            </w:r>
          </w:p>
        </w:tc>
        <w:tc>
          <w:tcPr>
            <w:tcW w:w="1185" w:type="dxa"/>
            <w:tcBorders>
              <w:top w:val="nil"/>
              <w:left w:val="nil"/>
              <w:bottom w:val="nil"/>
              <w:right w:val="nil"/>
            </w:tcBorders>
            <w:noWrap/>
            <w:vAlign w:val="bottom"/>
            <w:hideMark/>
          </w:tcPr>
          <w:p w14:paraId="6B72742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44.46</w:t>
            </w:r>
          </w:p>
        </w:tc>
        <w:tc>
          <w:tcPr>
            <w:tcW w:w="1135" w:type="dxa"/>
            <w:tcBorders>
              <w:top w:val="nil"/>
              <w:left w:val="nil"/>
              <w:bottom w:val="nil"/>
              <w:right w:val="nil"/>
            </w:tcBorders>
            <w:vAlign w:val="bottom"/>
          </w:tcPr>
          <w:p w14:paraId="20DED52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44.36</w:t>
            </w:r>
          </w:p>
        </w:tc>
        <w:tc>
          <w:tcPr>
            <w:tcW w:w="1036" w:type="dxa"/>
            <w:tcBorders>
              <w:top w:val="nil"/>
              <w:left w:val="nil"/>
              <w:bottom w:val="nil"/>
              <w:right w:val="nil"/>
            </w:tcBorders>
            <w:noWrap/>
            <w:vAlign w:val="bottom"/>
            <w:hideMark/>
          </w:tcPr>
          <w:p w14:paraId="1FA53DD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21.11</w:t>
            </w:r>
          </w:p>
        </w:tc>
        <w:tc>
          <w:tcPr>
            <w:tcW w:w="1208" w:type="dxa"/>
            <w:tcBorders>
              <w:top w:val="nil"/>
              <w:left w:val="nil"/>
              <w:bottom w:val="nil"/>
              <w:right w:val="nil"/>
            </w:tcBorders>
            <w:noWrap/>
            <w:vAlign w:val="bottom"/>
            <w:hideMark/>
          </w:tcPr>
          <w:p w14:paraId="214181A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21.53</w:t>
            </w:r>
          </w:p>
        </w:tc>
        <w:tc>
          <w:tcPr>
            <w:tcW w:w="1135" w:type="dxa"/>
            <w:tcBorders>
              <w:top w:val="nil"/>
              <w:left w:val="nil"/>
              <w:bottom w:val="nil"/>
              <w:right w:val="nil"/>
            </w:tcBorders>
            <w:vAlign w:val="bottom"/>
          </w:tcPr>
          <w:p w14:paraId="6917876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21.32</w:t>
            </w:r>
          </w:p>
        </w:tc>
      </w:tr>
      <w:tr w:rsidR="007E0A41" w:rsidRPr="00D1336B" w14:paraId="0A90A6B9" w14:textId="77777777" w:rsidTr="007E0A41">
        <w:trPr>
          <w:trHeight w:val="303"/>
        </w:trPr>
        <w:tc>
          <w:tcPr>
            <w:tcW w:w="928" w:type="dxa"/>
            <w:tcBorders>
              <w:top w:val="nil"/>
              <w:left w:val="nil"/>
              <w:bottom w:val="nil"/>
              <w:right w:val="nil"/>
            </w:tcBorders>
            <w:noWrap/>
            <w:hideMark/>
          </w:tcPr>
          <w:p w14:paraId="4BC8ACE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10</w:t>
            </w:r>
          </w:p>
        </w:tc>
        <w:tc>
          <w:tcPr>
            <w:tcW w:w="2930" w:type="dxa"/>
            <w:tcBorders>
              <w:top w:val="nil"/>
              <w:left w:val="nil"/>
              <w:bottom w:val="nil"/>
              <w:right w:val="nil"/>
            </w:tcBorders>
            <w:vAlign w:val="center"/>
            <w:hideMark/>
          </w:tcPr>
          <w:p w14:paraId="6C9D4CB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zinc @0.75%</w:t>
            </w:r>
          </w:p>
        </w:tc>
        <w:tc>
          <w:tcPr>
            <w:tcW w:w="1036" w:type="dxa"/>
            <w:tcBorders>
              <w:top w:val="nil"/>
              <w:left w:val="nil"/>
              <w:bottom w:val="nil"/>
              <w:right w:val="nil"/>
            </w:tcBorders>
            <w:noWrap/>
            <w:vAlign w:val="bottom"/>
            <w:hideMark/>
          </w:tcPr>
          <w:p w14:paraId="6995EB6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w:t>
            </w:r>
          </w:p>
        </w:tc>
        <w:tc>
          <w:tcPr>
            <w:tcW w:w="1208" w:type="dxa"/>
            <w:tcBorders>
              <w:top w:val="nil"/>
              <w:left w:val="nil"/>
              <w:bottom w:val="nil"/>
              <w:right w:val="nil"/>
            </w:tcBorders>
            <w:noWrap/>
            <w:vAlign w:val="bottom"/>
            <w:hideMark/>
          </w:tcPr>
          <w:p w14:paraId="37752BF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145" w:type="dxa"/>
            <w:tcBorders>
              <w:top w:val="nil"/>
              <w:left w:val="nil"/>
              <w:bottom w:val="nil"/>
              <w:right w:val="nil"/>
            </w:tcBorders>
            <w:vAlign w:val="bottom"/>
          </w:tcPr>
          <w:p w14:paraId="25251A4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1B6E8E7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49.93</w:t>
            </w:r>
          </w:p>
        </w:tc>
        <w:tc>
          <w:tcPr>
            <w:tcW w:w="1185" w:type="dxa"/>
            <w:tcBorders>
              <w:top w:val="nil"/>
              <w:left w:val="nil"/>
              <w:bottom w:val="nil"/>
              <w:right w:val="nil"/>
            </w:tcBorders>
            <w:noWrap/>
            <w:vAlign w:val="bottom"/>
            <w:hideMark/>
          </w:tcPr>
          <w:p w14:paraId="7B5CD95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50.06</w:t>
            </w:r>
          </w:p>
        </w:tc>
        <w:tc>
          <w:tcPr>
            <w:tcW w:w="1135" w:type="dxa"/>
            <w:tcBorders>
              <w:top w:val="nil"/>
              <w:left w:val="nil"/>
              <w:bottom w:val="nil"/>
              <w:right w:val="nil"/>
            </w:tcBorders>
            <w:vAlign w:val="bottom"/>
          </w:tcPr>
          <w:p w14:paraId="340B354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49.99</w:t>
            </w:r>
          </w:p>
        </w:tc>
        <w:tc>
          <w:tcPr>
            <w:tcW w:w="1036" w:type="dxa"/>
            <w:tcBorders>
              <w:top w:val="nil"/>
              <w:left w:val="nil"/>
              <w:bottom w:val="nil"/>
              <w:right w:val="nil"/>
            </w:tcBorders>
            <w:noWrap/>
            <w:vAlign w:val="bottom"/>
            <w:hideMark/>
          </w:tcPr>
          <w:p w14:paraId="2D07A7B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21.68</w:t>
            </w:r>
          </w:p>
        </w:tc>
        <w:tc>
          <w:tcPr>
            <w:tcW w:w="1208" w:type="dxa"/>
            <w:tcBorders>
              <w:top w:val="nil"/>
              <w:left w:val="nil"/>
              <w:bottom w:val="nil"/>
              <w:right w:val="nil"/>
            </w:tcBorders>
            <w:noWrap/>
            <w:vAlign w:val="bottom"/>
            <w:hideMark/>
          </w:tcPr>
          <w:p w14:paraId="19B9861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22.28</w:t>
            </w:r>
          </w:p>
        </w:tc>
        <w:tc>
          <w:tcPr>
            <w:tcW w:w="1135" w:type="dxa"/>
            <w:tcBorders>
              <w:top w:val="nil"/>
              <w:left w:val="nil"/>
              <w:bottom w:val="nil"/>
              <w:right w:val="nil"/>
            </w:tcBorders>
            <w:vAlign w:val="bottom"/>
          </w:tcPr>
          <w:p w14:paraId="7D5A418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21.98</w:t>
            </w:r>
          </w:p>
        </w:tc>
      </w:tr>
      <w:tr w:rsidR="007E0A41" w:rsidRPr="00D1336B" w14:paraId="73B29143" w14:textId="77777777" w:rsidTr="007E0A41">
        <w:trPr>
          <w:trHeight w:val="327"/>
        </w:trPr>
        <w:tc>
          <w:tcPr>
            <w:tcW w:w="928" w:type="dxa"/>
            <w:tcBorders>
              <w:top w:val="nil"/>
              <w:left w:val="nil"/>
              <w:bottom w:val="nil"/>
              <w:right w:val="nil"/>
            </w:tcBorders>
            <w:noWrap/>
            <w:hideMark/>
          </w:tcPr>
          <w:p w14:paraId="6A58B03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11</w:t>
            </w:r>
          </w:p>
        </w:tc>
        <w:tc>
          <w:tcPr>
            <w:tcW w:w="2930" w:type="dxa"/>
            <w:tcBorders>
              <w:top w:val="nil"/>
              <w:left w:val="nil"/>
              <w:bottom w:val="nil"/>
              <w:right w:val="nil"/>
            </w:tcBorders>
            <w:vAlign w:val="center"/>
            <w:hideMark/>
          </w:tcPr>
          <w:p w14:paraId="676C2F5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ZnSO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@0.25%</w:t>
            </w:r>
          </w:p>
        </w:tc>
        <w:tc>
          <w:tcPr>
            <w:tcW w:w="1036" w:type="dxa"/>
            <w:tcBorders>
              <w:top w:val="nil"/>
              <w:left w:val="nil"/>
              <w:bottom w:val="nil"/>
              <w:right w:val="nil"/>
            </w:tcBorders>
            <w:noWrap/>
            <w:vAlign w:val="bottom"/>
            <w:hideMark/>
          </w:tcPr>
          <w:p w14:paraId="3C616A9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w:t>
            </w:r>
          </w:p>
        </w:tc>
        <w:tc>
          <w:tcPr>
            <w:tcW w:w="1208" w:type="dxa"/>
            <w:tcBorders>
              <w:top w:val="nil"/>
              <w:left w:val="nil"/>
              <w:bottom w:val="nil"/>
              <w:right w:val="nil"/>
            </w:tcBorders>
            <w:noWrap/>
            <w:vAlign w:val="bottom"/>
            <w:hideMark/>
          </w:tcPr>
          <w:p w14:paraId="0042BCA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145" w:type="dxa"/>
            <w:tcBorders>
              <w:top w:val="nil"/>
              <w:left w:val="nil"/>
              <w:bottom w:val="nil"/>
              <w:right w:val="nil"/>
            </w:tcBorders>
            <w:vAlign w:val="bottom"/>
          </w:tcPr>
          <w:p w14:paraId="1B4B58E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349EB61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29.90</w:t>
            </w:r>
          </w:p>
        </w:tc>
        <w:tc>
          <w:tcPr>
            <w:tcW w:w="1185" w:type="dxa"/>
            <w:tcBorders>
              <w:top w:val="nil"/>
              <w:left w:val="nil"/>
              <w:bottom w:val="nil"/>
              <w:right w:val="nil"/>
            </w:tcBorders>
            <w:noWrap/>
            <w:vAlign w:val="bottom"/>
            <w:hideMark/>
          </w:tcPr>
          <w:p w14:paraId="47BD6C1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29.85</w:t>
            </w:r>
          </w:p>
        </w:tc>
        <w:tc>
          <w:tcPr>
            <w:tcW w:w="1135" w:type="dxa"/>
            <w:tcBorders>
              <w:top w:val="nil"/>
              <w:left w:val="nil"/>
              <w:bottom w:val="nil"/>
              <w:right w:val="nil"/>
            </w:tcBorders>
            <w:vAlign w:val="bottom"/>
          </w:tcPr>
          <w:p w14:paraId="48E8D4B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29.88</w:t>
            </w:r>
          </w:p>
        </w:tc>
        <w:tc>
          <w:tcPr>
            <w:tcW w:w="1036" w:type="dxa"/>
            <w:tcBorders>
              <w:top w:val="nil"/>
              <w:left w:val="nil"/>
              <w:bottom w:val="nil"/>
              <w:right w:val="nil"/>
            </w:tcBorders>
            <w:noWrap/>
            <w:vAlign w:val="bottom"/>
            <w:hideMark/>
          </w:tcPr>
          <w:p w14:paraId="273493C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18.02</w:t>
            </w:r>
          </w:p>
        </w:tc>
        <w:tc>
          <w:tcPr>
            <w:tcW w:w="1208" w:type="dxa"/>
            <w:tcBorders>
              <w:top w:val="nil"/>
              <w:left w:val="nil"/>
              <w:bottom w:val="nil"/>
              <w:right w:val="nil"/>
            </w:tcBorders>
            <w:noWrap/>
            <w:vAlign w:val="bottom"/>
            <w:hideMark/>
          </w:tcPr>
          <w:p w14:paraId="2716B88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17.88</w:t>
            </w:r>
          </w:p>
        </w:tc>
        <w:tc>
          <w:tcPr>
            <w:tcW w:w="1135" w:type="dxa"/>
            <w:tcBorders>
              <w:top w:val="nil"/>
              <w:left w:val="nil"/>
              <w:bottom w:val="nil"/>
              <w:right w:val="nil"/>
            </w:tcBorders>
            <w:vAlign w:val="bottom"/>
          </w:tcPr>
          <w:p w14:paraId="2DB0D39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17.95</w:t>
            </w:r>
          </w:p>
        </w:tc>
      </w:tr>
      <w:tr w:rsidR="007E0A41" w:rsidRPr="00D1336B" w14:paraId="6D50BD38" w14:textId="77777777" w:rsidTr="007E0A41">
        <w:trPr>
          <w:trHeight w:val="327"/>
        </w:trPr>
        <w:tc>
          <w:tcPr>
            <w:tcW w:w="928" w:type="dxa"/>
            <w:tcBorders>
              <w:top w:val="nil"/>
              <w:left w:val="nil"/>
              <w:bottom w:val="nil"/>
              <w:right w:val="nil"/>
            </w:tcBorders>
            <w:noWrap/>
            <w:hideMark/>
          </w:tcPr>
          <w:p w14:paraId="247B9AC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12</w:t>
            </w:r>
          </w:p>
        </w:tc>
        <w:tc>
          <w:tcPr>
            <w:tcW w:w="2930" w:type="dxa"/>
            <w:tcBorders>
              <w:top w:val="nil"/>
              <w:left w:val="nil"/>
              <w:bottom w:val="nil"/>
              <w:right w:val="nil"/>
            </w:tcBorders>
            <w:vAlign w:val="center"/>
            <w:hideMark/>
          </w:tcPr>
          <w:p w14:paraId="34ED52E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ZnSO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@0.50%</w:t>
            </w:r>
          </w:p>
        </w:tc>
        <w:tc>
          <w:tcPr>
            <w:tcW w:w="1036" w:type="dxa"/>
            <w:tcBorders>
              <w:top w:val="nil"/>
              <w:left w:val="nil"/>
              <w:bottom w:val="nil"/>
              <w:right w:val="nil"/>
            </w:tcBorders>
            <w:noWrap/>
            <w:vAlign w:val="bottom"/>
            <w:hideMark/>
          </w:tcPr>
          <w:p w14:paraId="0F9251D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2.04</w:t>
            </w:r>
          </w:p>
        </w:tc>
        <w:tc>
          <w:tcPr>
            <w:tcW w:w="1208" w:type="dxa"/>
            <w:tcBorders>
              <w:top w:val="nil"/>
              <w:left w:val="nil"/>
              <w:bottom w:val="nil"/>
              <w:right w:val="nil"/>
            </w:tcBorders>
            <w:noWrap/>
            <w:vAlign w:val="bottom"/>
            <w:hideMark/>
          </w:tcPr>
          <w:p w14:paraId="7B5B855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2.04</w:t>
            </w:r>
          </w:p>
        </w:tc>
        <w:tc>
          <w:tcPr>
            <w:tcW w:w="1145" w:type="dxa"/>
            <w:tcBorders>
              <w:top w:val="nil"/>
              <w:left w:val="nil"/>
              <w:bottom w:val="nil"/>
              <w:right w:val="nil"/>
            </w:tcBorders>
            <w:vAlign w:val="bottom"/>
          </w:tcPr>
          <w:p w14:paraId="011756B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2.04</w:t>
            </w:r>
          </w:p>
        </w:tc>
        <w:tc>
          <w:tcPr>
            <w:tcW w:w="1208" w:type="dxa"/>
            <w:tcBorders>
              <w:top w:val="nil"/>
              <w:left w:val="nil"/>
              <w:bottom w:val="nil"/>
              <w:right w:val="nil"/>
            </w:tcBorders>
            <w:noWrap/>
            <w:vAlign w:val="bottom"/>
            <w:hideMark/>
          </w:tcPr>
          <w:p w14:paraId="77656FF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30.33</w:t>
            </w:r>
          </w:p>
        </w:tc>
        <w:tc>
          <w:tcPr>
            <w:tcW w:w="1185" w:type="dxa"/>
            <w:tcBorders>
              <w:top w:val="nil"/>
              <w:left w:val="nil"/>
              <w:bottom w:val="nil"/>
              <w:right w:val="nil"/>
            </w:tcBorders>
            <w:noWrap/>
            <w:vAlign w:val="bottom"/>
            <w:hideMark/>
          </w:tcPr>
          <w:p w14:paraId="0985EC6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29.98</w:t>
            </w:r>
          </w:p>
        </w:tc>
        <w:tc>
          <w:tcPr>
            <w:tcW w:w="1135" w:type="dxa"/>
            <w:tcBorders>
              <w:top w:val="nil"/>
              <w:left w:val="nil"/>
              <w:bottom w:val="nil"/>
              <w:right w:val="nil"/>
            </w:tcBorders>
            <w:vAlign w:val="bottom"/>
          </w:tcPr>
          <w:p w14:paraId="71CB8A0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30.16</w:t>
            </w:r>
          </w:p>
        </w:tc>
        <w:tc>
          <w:tcPr>
            <w:tcW w:w="1036" w:type="dxa"/>
            <w:tcBorders>
              <w:top w:val="nil"/>
              <w:left w:val="nil"/>
              <w:bottom w:val="nil"/>
              <w:right w:val="nil"/>
            </w:tcBorders>
            <w:noWrap/>
            <w:vAlign w:val="bottom"/>
            <w:hideMark/>
          </w:tcPr>
          <w:p w14:paraId="287B217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19.25</w:t>
            </w:r>
          </w:p>
        </w:tc>
        <w:tc>
          <w:tcPr>
            <w:tcW w:w="1208" w:type="dxa"/>
            <w:tcBorders>
              <w:top w:val="nil"/>
              <w:left w:val="nil"/>
              <w:bottom w:val="nil"/>
              <w:right w:val="nil"/>
            </w:tcBorders>
            <w:noWrap/>
            <w:vAlign w:val="bottom"/>
            <w:hideMark/>
          </w:tcPr>
          <w:p w14:paraId="16C05E1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19.98</w:t>
            </w:r>
          </w:p>
        </w:tc>
        <w:tc>
          <w:tcPr>
            <w:tcW w:w="1135" w:type="dxa"/>
            <w:tcBorders>
              <w:top w:val="nil"/>
              <w:left w:val="nil"/>
              <w:bottom w:val="nil"/>
              <w:right w:val="nil"/>
            </w:tcBorders>
            <w:vAlign w:val="bottom"/>
          </w:tcPr>
          <w:p w14:paraId="6CE6CCE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19.61</w:t>
            </w:r>
          </w:p>
        </w:tc>
      </w:tr>
      <w:tr w:rsidR="007E0A41" w:rsidRPr="00D1336B" w14:paraId="19A8A6A3" w14:textId="77777777" w:rsidTr="007E0A41">
        <w:trPr>
          <w:trHeight w:val="327"/>
        </w:trPr>
        <w:tc>
          <w:tcPr>
            <w:tcW w:w="928" w:type="dxa"/>
            <w:tcBorders>
              <w:top w:val="nil"/>
              <w:left w:val="nil"/>
              <w:bottom w:val="single" w:sz="4" w:space="0" w:color="auto"/>
              <w:right w:val="nil"/>
            </w:tcBorders>
            <w:noWrap/>
            <w:hideMark/>
          </w:tcPr>
          <w:p w14:paraId="4D7809C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13</w:t>
            </w:r>
          </w:p>
        </w:tc>
        <w:tc>
          <w:tcPr>
            <w:tcW w:w="2930" w:type="dxa"/>
            <w:tcBorders>
              <w:top w:val="nil"/>
              <w:left w:val="nil"/>
              <w:bottom w:val="single" w:sz="4" w:space="0" w:color="auto"/>
              <w:right w:val="nil"/>
            </w:tcBorders>
            <w:vAlign w:val="center"/>
            <w:hideMark/>
          </w:tcPr>
          <w:p w14:paraId="111CCC1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ZnSO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@0.75%</w:t>
            </w:r>
          </w:p>
        </w:tc>
        <w:tc>
          <w:tcPr>
            <w:tcW w:w="1036" w:type="dxa"/>
            <w:tcBorders>
              <w:top w:val="nil"/>
              <w:left w:val="nil"/>
              <w:bottom w:val="single" w:sz="4" w:space="0" w:color="auto"/>
              <w:right w:val="nil"/>
            </w:tcBorders>
            <w:noWrap/>
            <w:vAlign w:val="bottom"/>
            <w:hideMark/>
          </w:tcPr>
          <w:p w14:paraId="18CDBD2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2.03</w:t>
            </w:r>
          </w:p>
        </w:tc>
        <w:tc>
          <w:tcPr>
            <w:tcW w:w="1208" w:type="dxa"/>
            <w:tcBorders>
              <w:top w:val="nil"/>
              <w:left w:val="nil"/>
              <w:bottom w:val="single" w:sz="4" w:space="0" w:color="auto"/>
              <w:right w:val="nil"/>
            </w:tcBorders>
            <w:noWrap/>
            <w:vAlign w:val="bottom"/>
            <w:hideMark/>
          </w:tcPr>
          <w:p w14:paraId="27DD9F1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2.05</w:t>
            </w:r>
          </w:p>
        </w:tc>
        <w:tc>
          <w:tcPr>
            <w:tcW w:w="1145" w:type="dxa"/>
            <w:tcBorders>
              <w:top w:val="nil"/>
              <w:left w:val="nil"/>
              <w:bottom w:val="single" w:sz="4" w:space="0" w:color="auto"/>
              <w:right w:val="nil"/>
            </w:tcBorders>
            <w:vAlign w:val="bottom"/>
          </w:tcPr>
          <w:p w14:paraId="7C2CF1B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2.04</w:t>
            </w:r>
          </w:p>
        </w:tc>
        <w:tc>
          <w:tcPr>
            <w:tcW w:w="1208" w:type="dxa"/>
            <w:tcBorders>
              <w:top w:val="nil"/>
              <w:left w:val="nil"/>
              <w:bottom w:val="single" w:sz="4" w:space="0" w:color="auto"/>
              <w:right w:val="nil"/>
            </w:tcBorders>
            <w:noWrap/>
            <w:vAlign w:val="bottom"/>
            <w:hideMark/>
          </w:tcPr>
          <w:p w14:paraId="634315A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31.46</w:t>
            </w:r>
          </w:p>
        </w:tc>
        <w:tc>
          <w:tcPr>
            <w:tcW w:w="1185" w:type="dxa"/>
            <w:tcBorders>
              <w:top w:val="nil"/>
              <w:left w:val="nil"/>
              <w:bottom w:val="single" w:sz="4" w:space="0" w:color="auto"/>
              <w:right w:val="nil"/>
            </w:tcBorders>
            <w:noWrap/>
            <w:vAlign w:val="bottom"/>
            <w:hideMark/>
          </w:tcPr>
          <w:p w14:paraId="1FA2D62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31.45</w:t>
            </w:r>
          </w:p>
        </w:tc>
        <w:tc>
          <w:tcPr>
            <w:tcW w:w="1135" w:type="dxa"/>
            <w:tcBorders>
              <w:top w:val="nil"/>
              <w:left w:val="nil"/>
              <w:bottom w:val="single" w:sz="4" w:space="0" w:color="auto"/>
              <w:right w:val="nil"/>
            </w:tcBorders>
            <w:vAlign w:val="bottom"/>
          </w:tcPr>
          <w:p w14:paraId="44FF57C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31.45</w:t>
            </w:r>
          </w:p>
        </w:tc>
        <w:tc>
          <w:tcPr>
            <w:tcW w:w="1036" w:type="dxa"/>
            <w:tcBorders>
              <w:top w:val="nil"/>
              <w:left w:val="nil"/>
              <w:bottom w:val="single" w:sz="4" w:space="0" w:color="auto"/>
              <w:right w:val="nil"/>
            </w:tcBorders>
            <w:noWrap/>
            <w:vAlign w:val="bottom"/>
            <w:hideMark/>
          </w:tcPr>
          <w:p w14:paraId="12D69E6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18.78</w:t>
            </w:r>
          </w:p>
        </w:tc>
        <w:tc>
          <w:tcPr>
            <w:tcW w:w="1208" w:type="dxa"/>
            <w:tcBorders>
              <w:top w:val="nil"/>
              <w:left w:val="nil"/>
              <w:bottom w:val="single" w:sz="4" w:space="0" w:color="auto"/>
              <w:right w:val="nil"/>
            </w:tcBorders>
            <w:noWrap/>
            <w:vAlign w:val="bottom"/>
            <w:hideMark/>
          </w:tcPr>
          <w:p w14:paraId="4E87584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19.08</w:t>
            </w:r>
          </w:p>
        </w:tc>
        <w:tc>
          <w:tcPr>
            <w:tcW w:w="1135" w:type="dxa"/>
            <w:tcBorders>
              <w:top w:val="nil"/>
              <w:left w:val="nil"/>
              <w:bottom w:val="single" w:sz="4" w:space="0" w:color="auto"/>
              <w:right w:val="nil"/>
            </w:tcBorders>
            <w:vAlign w:val="bottom"/>
          </w:tcPr>
          <w:p w14:paraId="3951FEC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18.93</w:t>
            </w:r>
          </w:p>
        </w:tc>
      </w:tr>
      <w:tr w:rsidR="007E0A41" w:rsidRPr="00D1336B" w14:paraId="541ED70F" w14:textId="77777777" w:rsidTr="007E0A41">
        <w:trPr>
          <w:trHeight w:val="303"/>
        </w:trPr>
        <w:tc>
          <w:tcPr>
            <w:tcW w:w="928" w:type="dxa"/>
            <w:tcBorders>
              <w:top w:val="single" w:sz="4" w:space="0" w:color="auto"/>
              <w:left w:val="nil"/>
              <w:bottom w:val="nil"/>
              <w:right w:val="nil"/>
            </w:tcBorders>
            <w:noWrap/>
            <w:vAlign w:val="bottom"/>
            <w:hideMark/>
          </w:tcPr>
          <w:p w14:paraId="760D7C7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p>
        </w:tc>
        <w:tc>
          <w:tcPr>
            <w:tcW w:w="2930" w:type="dxa"/>
            <w:tcBorders>
              <w:top w:val="single" w:sz="4" w:space="0" w:color="auto"/>
              <w:left w:val="nil"/>
              <w:bottom w:val="nil"/>
              <w:right w:val="nil"/>
            </w:tcBorders>
            <w:vAlign w:val="center"/>
            <w:hideMark/>
          </w:tcPr>
          <w:p w14:paraId="7E6D362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proofErr w:type="spellStart"/>
            <w:r w:rsidRPr="00D1336B">
              <w:rPr>
                <w:rFonts w:ascii="Times New Roman" w:eastAsia="Times New Roman" w:hAnsi="Times New Roman" w:cs="Times New Roman"/>
                <w:color w:val="000000"/>
                <w:kern w:val="0"/>
                <w:lang w:eastAsia="en-IN"/>
                <w14:ligatures w14:val="none"/>
              </w:rPr>
              <w:t>SEm</w:t>
            </w:r>
            <w:proofErr w:type="spellEnd"/>
            <w:r w:rsidRPr="00D1336B">
              <w:rPr>
                <w:rFonts w:ascii="Times New Roman" w:eastAsia="Times New Roman" w:hAnsi="Times New Roman" w:cs="Times New Roman"/>
                <w:color w:val="000000"/>
                <w:kern w:val="0"/>
                <w:lang w:eastAsia="en-IN"/>
                <w14:ligatures w14:val="none"/>
              </w:rPr>
              <w:t xml:space="preserve"> (±)</w:t>
            </w:r>
          </w:p>
        </w:tc>
        <w:tc>
          <w:tcPr>
            <w:tcW w:w="1036" w:type="dxa"/>
            <w:tcBorders>
              <w:top w:val="single" w:sz="4" w:space="0" w:color="auto"/>
              <w:left w:val="nil"/>
              <w:bottom w:val="nil"/>
              <w:right w:val="nil"/>
            </w:tcBorders>
            <w:noWrap/>
            <w:vAlign w:val="center"/>
            <w:hideMark/>
          </w:tcPr>
          <w:p w14:paraId="3EC43EE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0.012</w:t>
            </w:r>
          </w:p>
        </w:tc>
        <w:tc>
          <w:tcPr>
            <w:tcW w:w="1208" w:type="dxa"/>
            <w:tcBorders>
              <w:top w:val="single" w:sz="4" w:space="0" w:color="auto"/>
              <w:left w:val="nil"/>
              <w:bottom w:val="nil"/>
              <w:right w:val="nil"/>
            </w:tcBorders>
            <w:noWrap/>
            <w:vAlign w:val="center"/>
            <w:hideMark/>
          </w:tcPr>
          <w:p w14:paraId="09AD123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0.012</w:t>
            </w:r>
          </w:p>
        </w:tc>
        <w:tc>
          <w:tcPr>
            <w:tcW w:w="1145" w:type="dxa"/>
            <w:tcBorders>
              <w:top w:val="single" w:sz="4" w:space="0" w:color="auto"/>
              <w:left w:val="nil"/>
              <w:bottom w:val="nil"/>
              <w:right w:val="nil"/>
            </w:tcBorders>
            <w:vAlign w:val="bottom"/>
          </w:tcPr>
          <w:p w14:paraId="4F9F63C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0.013</w:t>
            </w:r>
          </w:p>
        </w:tc>
        <w:tc>
          <w:tcPr>
            <w:tcW w:w="1208" w:type="dxa"/>
            <w:tcBorders>
              <w:top w:val="single" w:sz="4" w:space="0" w:color="auto"/>
              <w:left w:val="nil"/>
              <w:bottom w:val="nil"/>
              <w:right w:val="nil"/>
            </w:tcBorders>
            <w:noWrap/>
            <w:vAlign w:val="center"/>
            <w:hideMark/>
          </w:tcPr>
          <w:p w14:paraId="30C28BF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1.02</w:t>
            </w:r>
          </w:p>
        </w:tc>
        <w:tc>
          <w:tcPr>
            <w:tcW w:w="1185" w:type="dxa"/>
            <w:tcBorders>
              <w:top w:val="single" w:sz="4" w:space="0" w:color="auto"/>
              <w:left w:val="nil"/>
              <w:bottom w:val="nil"/>
              <w:right w:val="nil"/>
            </w:tcBorders>
            <w:noWrap/>
            <w:vAlign w:val="center"/>
            <w:hideMark/>
          </w:tcPr>
          <w:p w14:paraId="327FC2E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1.03</w:t>
            </w:r>
          </w:p>
        </w:tc>
        <w:tc>
          <w:tcPr>
            <w:tcW w:w="1135" w:type="dxa"/>
            <w:tcBorders>
              <w:top w:val="single" w:sz="4" w:space="0" w:color="auto"/>
              <w:left w:val="nil"/>
              <w:bottom w:val="nil"/>
              <w:right w:val="nil"/>
            </w:tcBorders>
            <w:vAlign w:val="bottom"/>
          </w:tcPr>
          <w:p w14:paraId="6A6487F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1.03</w:t>
            </w:r>
          </w:p>
        </w:tc>
        <w:tc>
          <w:tcPr>
            <w:tcW w:w="1036" w:type="dxa"/>
            <w:tcBorders>
              <w:top w:val="single" w:sz="4" w:space="0" w:color="auto"/>
              <w:left w:val="nil"/>
              <w:bottom w:val="nil"/>
              <w:right w:val="nil"/>
            </w:tcBorders>
            <w:noWrap/>
            <w:vAlign w:val="center"/>
            <w:hideMark/>
          </w:tcPr>
          <w:p w14:paraId="2DC0A7C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1.03</w:t>
            </w:r>
          </w:p>
        </w:tc>
        <w:tc>
          <w:tcPr>
            <w:tcW w:w="1208" w:type="dxa"/>
            <w:tcBorders>
              <w:top w:val="single" w:sz="4" w:space="0" w:color="auto"/>
              <w:left w:val="nil"/>
              <w:bottom w:val="nil"/>
              <w:right w:val="nil"/>
            </w:tcBorders>
            <w:noWrap/>
            <w:vAlign w:val="center"/>
            <w:hideMark/>
          </w:tcPr>
          <w:p w14:paraId="52F08A9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0.93</w:t>
            </w:r>
          </w:p>
        </w:tc>
        <w:tc>
          <w:tcPr>
            <w:tcW w:w="1135" w:type="dxa"/>
            <w:tcBorders>
              <w:top w:val="single" w:sz="4" w:space="0" w:color="auto"/>
              <w:left w:val="nil"/>
              <w:bottom w:val="nil"/>
              <w:right w:val="nil"/>
            </w:tcBorders>
            <w:vAlign w:val="bottom"/>
          </w:tcPr>
          <w:p w14:paraId="7101261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0.98</w:t>
            </w:r>
          </w:p>
        </w:tc>
      </w:tr>
      <w:tr w:rsidR="007E0A41" w:rsidRPr="00D1336B" w14:paraId="1C639A65" w14:textId="77777777" w:rsidTr="007E0A41">
        <w:trPr>
          <w:trHeight w:val="303"/>
        </w:trPr>
        <w:tc>
          <w:tcPr>
            <w:tcW w:w="928" w:type="dxa"/>
            <w:tcBorders>
              <w:top w:val="nil"/>
              <w:left w:val="nil"/>
              <w:bottom w:val="single" w:sz="4" w:space="0" w:color="auto"/>
              <w:right w:val="nil"/>
            </w:tcBorders>
            <w:noWrap/>
            <w:vAlign w:val="bottom"/>
            <w:hideMark/>
          </w:tcPr>
          <w:p w14:paraId="3E2D35C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p>
        </w:tc>
        <w:tc>
          <w:tcPr>
            <w:tcW w:w="2930" w:type="dxa"/>
            <w:tcBorders>
              <w:top w:val="nil"/>
              <w:left w:val="nil"/>
              <w:bottom w:val="single" w:sz="4" w:space="0" w:color="auto"/>
              <w:right w:val="nil"/>
            </w:tcBorders>
            <w:vAlign w:val="center"/>
            <w:hideMark/>
          </w:tcPr>
          <w:p w14:paraId="677549F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CD (p≤0.05)</w:t>
            </w:r>
          </w:p>
        </w:tc>
        <w:tc>
          <w:tcPr>
            <w:tcW w:w="1036" w:type="dxa"/>
            <w:tcBorders>
              <w:top w:val="nil"/>
              <w:left w:val="nil"/>
              <w:bottom w:val="single" w:sz="4" w:space="0" w:color="auto"/>
              <w:right w:val="nil"/>
            </w:tcBorders>
            <w:noWrap/>
            <w:vAlign w:val="center"/>
            <w:hideMark/>
          </w:tcPr>
          <w:p w14:paraId="19A382C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0.036</w:t>
            </w:r>
          </w:p>
        </w:tc>
        <w:tc>
          <w:tcPr>
            <w:tcW w:w="1208" w:type="dxa"/>
            <w:tcBorders>
              <w:top w:val="nil"/>
              <w:left w:val="nil"/>
              <w:bottom w:val="single" w:sz="4" w:space="0" w:color="auto"/>
              <w:right w:val="nil"/>
            </w:tcBorders>
            <w:noWrap/>
            <w:vAlign w:val="center"/>
            <w:hideMark/>
          </w:tcPr>
          <w:p w14:paraId="30DD551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0.035</w:t>
            </w:r>
          </w:p>
        </w:tc>
        <w:tc>
          <w:tcPr>
            <w:tcW w:w="1145" w:type="dxa"/>
            <w:tcBorders>
              <w:top w:val="nil"/>
              <w:left w:val="nil"/>
              <w:bottom w:val="single" w:sz="4" w:space="0" w:color="auto"/>
              <w:right w:val="nil"/>
            </w:tcBorders>
            <w:vAlign w:val="bottom"/>
          </w:tcPr>
          <w:p w14:paraId="3616987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0.025</w:t>
            </w:r>
          </w:p>
        </w:tc>
        <w:tc>
          <w:tcPr>
            <w:tcW w:w="1208" w:type="dxa"/>
            <w:tcBorders>
              <w:top w:val="nil"/>
              <w:left w:val="nil"/>
              <w:bottom w:val="single" w:sz="4" w:space="0" w:color="auto"/>
              <w:right w:val="nil"/>
            </w:tcBorders>
            <w:noWrap/>
            <w:vAlign w:val="center"/>
            <w:hideMark/>
          </w:tcPr>
          <w:p w14:paraId="1BE4EFA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2.97</w:t>
            </w:r>
          </w:p>
        </w:tc>
        <w:tc>
          <w:tcPr>
            <w:tcW w:w="1185" w:type="dxa"/>
            <w:tcBorders>
              <w:top w:val="nil"/>
              <w:left w:val="nil"/>
              <w:bottom w:val="single" w:sz="4" w:space="0" w:color="auto"/>
              <w:right w:val="nil"/>
            </w:tcBorders>
            <w:noWrap/>
            <w:vAlign w:val="center"/>
            <w:hideMark/>
          </w:tcPr>
          <w:p w14:paraId="38CA469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3.02</w:t>
            </w:r>
          </w:p>
        </w:tc>
        <w:tc>
          <w:tcPr>
            <w:tcW w:w="1135" w:type="dxa"/>
            <w:tcBorders>
              <w:top w:val="nil"/>
              <w:left w:val="nil"/>
              <w:bottom w:val="single" w:sz="4" w:space="0" w:color="auto"/>
              <w:right w:val="nil"/>
            </w:tcBorders>
            <w:vAlign w:val="bottom"/>
          </w:tcPr>
          <w:p w14:paraId="4301CFF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2.06</w:t>
            </w:r>
          </w:p>
        </w:tc>
        <w:tc>
          <w:tcPr>
            <w:tcW w:w="1036" w:type="dxa"/>
            <w:tcBorders>
              <w:top w:val="nil"/>
              <w:left w:val="nil"/>
              <w:bottom w:val="single" w:sz="4" w:space="0" w:color="auto"/>
              <w:right w:val="nil"/>
            </w:tcBorders>
            <w:noWrap/>
            <w:vAlign w:val="center"/>
            <w:hideMark/>
          </w:tcPr>
          <w:p w14:paraId="37930AE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3.02</w:t>
            </w:r>
          </w:p>
        </w:tc>
        <w:tc>
          <w:tcPr>
            <w:tcW w:w="1208" w:type="dxa"/>
            <w:tcBorders>
              <w:top w:val="nil"/>
              <w:left w:val="nil"/>
              <w:bottom w:val="single" w:sz="4" w:space="0" w:color="auto"/>
              <w:right w:val="nil"/>
            </w:tcBorders>
            <w:noWrap/>
            <w:vAlign w:val="center"/>
            <w:hideMark/>
          </w:tcPr>
          <w:p w14:paraId="1F16C65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2.70</w:t>
            </w:r>
          </w:p>
        </w:tc>
        <w:tc>
          <w:tcPr>
            <w:tcW w:w="1135" w:type="dxa"/>
            <w:tcBorders>
              <w:top w:val="nil"/>
              <w:left w:val="nil"/>
              <w:bottom w:val="single" w:sz="4" w:space="0" w:color="auto"/>
              <w:right w:val="nil"/>
            </w:tcBorders>
            <w:vAlign w:val="bottom"/>
          </w:tcPr>
          <w:p w14:paraId="47C2EF5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1.97</w:t>
            </w:r>
          </w:p>
        </w:tc>
      </w:tr>
    </w:tbl>
    <w:p w14:paraId="3ED5EFD5" w14:textId="77777777" w:rsidR="007E0A41" w:rsidRPr="00D1336B" w:rsidRDefault="007E0A41" w:rsidP="00D1336B">
      <w:pPr>
        <w:spacing w:after="0" w:line="276" w:lineRule="auto"/>
        <w:sectPr w:rsidR="007E0A41" w:rsidRPr="00D1336B" w:rsidSect="007E0A41">
          <w:pgSz w:w="16838" w:h="11906" w:orient="landscape"/>
          <w:pgMar w:top="1440" w:right="1440" w:bottom="1440" w:left="1440" w:header="709" w:footer="709" w:gutter="0"/>
          <w:cols w:space="708"/>
          <w:docGrid w:linePitch="360"/>
        </w:sectPr>
      </w:pPr>
    </w:p>
    <w:p w14:paraId="2A90A66E" w14:textId="3C2B73C7" w:rsidR="0048609B" w:rsidRPr="00D1336B" w:rsidRDefault="0048609B" w:rsidP="00D1336B">
      <w:pPr>
        <w:spacing w:after="0" w:line="276" w:lineRule="auto"/>
        <w:jc w:val="both"/>
        <w:rPr>
          <w:rFonts w:ascii="Times New Roman" w:hAnsi="Times New Roman" w:cs="Times New Roman"/>
        </w:rPr>
      </w:pPr>
      <w:r w:rsidRPr="00D1336B">
        <w:rPr>
          <w:noProof/>
          <w:lang w:eastAsia="en-IN" w:bidi="hi-IN"/>
        </w:rPr>
        <w:lastRenderedPageBreak/>
        <w:drawing>
          <wp:inline distT="0" distB="0" distL="0" distR="0" wp14:anchorId="6A057B4C" wp14:editId="6F5802ED">
            <wp:extent cx="4572000" cy="2849880"/>
            <wp:effectExtent l="0" t="0" r="0" b="7620"/>
            <wp:docPr id="1928961342" name="Chart 1">
              <a:extLst xmlns:a="http://schemas.openxmlformats.org/drawingml/2006/main">
                <a:ext uri="{FF2B5EF4-FFF2-40B4-BE49-F238E27FC236}">
                  <a16:creationId xmlns:a16="http://schemas.microsoft.com/office/drawing/2014/main" id="{4675D2AA-870B-5E2F-9CC5-2563D5CFA6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AE5F6F1" w14:textId="5A582122" w:rsidR="0048609B" w:rsidRPr="00D1336B" w:rsidRDefault="0048609B"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Fig.1. </w:t>
      </w:r>
      <w:r w:rsidR="00FB5AB7" w:rsidRPr="00D1336B">
        <w:rPr>
          <w:rFonts w:ascii="Times New Roman" w:hAnsi="Times New Roman" w:cs="Times New Roman"/>
        </w:rPr>
        <w:t xml:space="preserve">Effect of Zn and Fe </w:t>
      </w:r>
      <w:proofErr w:type="spellStart"/>
      <w:r w:rsidR="00FB5AB7" w:rsidRPr="00D1336B">
        <w:rPr>
          <w:rFonts w:ascii="Times New Roman" w:hAnsi="Times New Roman" w:cs="Times New Roman"/>
        </w:rPr>
        <w:t>biofortication</w:t>
      </w:r>
      <w:proofErr w:type="spellEnd"/>
      <w:r w:rsidR="00FB5AB7" w:rsidRPr="00D1336B">
        <w:rPr>
          <w:rFonts w:ascii="Times New Roman" w:hAnsi="Times New Roman" w:cs="Times New Roman"/>
        </w:rPr>
        <w:t xml:space="preserve"> on crop growth rate of sweet corn during the year 2024.</w:t>
      </w:r>
    </w:p>
    <w:p w14:paraId="78A80A60" w14:textId="4CC9F1A4" w:rsidR="0048609B" w:rsidRPr="00D1336B" w:rsidRDefault="0048609B" w:rsidP="00D1336B">
      <w:pPr>
        <w:spacing w:after="0" w:line="276" w:lineRule="auto"/>
        <w:jc w:val="both"/>
        <w:rPr>
          <w:rFonts w:ascii="Times New Roman" w:hAnsi="Times New Roman" w:cs="Times New Roman"/>
        </w:rPr>
      </w:pPr>
      <w:r w:rsidRPr="00D1336B">
        <w:rPr>
          <w:noProof/>
          <w:lang w:eastAsia="en-IN" w:bidi="hi-IN"/>
        </w:rPr>
        <w:drawing>
          <wp:inline distT="0" distB="0" distL="0" distR="0" wp14:anchorId="7A47F94A" wp14:editId="36338E7C">
            <wp:extent cx="4572000" cy="2849880"/>
            <wp:effectExtent l="0" t="0" r="0" b="7620"/>
            <wp:docPr id="680940417" name="Chart 1">
              <a:extLst xmlns:a="http://schemas.openxmlformats.org/drawingml/2006/main">
                <a:ext uri="{FF2B5EF4-FFF2-40B4-BE49-F238E27FC236}">
                  <a16:creationId xmlns:a16="http://schemas.microsoft.com/office/drawing/2014/main" id="{ABCBE8CE-03EC-5078-EA27-D54C9C2296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39E4240" w14:textId="19A9E562" w:rsidR="0048609B" w:rsidRPr="00D1336B" w:rsidRDefault="0048609B"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Fig.2. </w:t>
      </w:r>
      <w:r w:rsidR="00FB5AB7" w:rsidRPr="00D1336B">
        <w:rPr>
          <w:rFonts w:ascii="Times New Roman" w:hAnsi="Times New Roman" w:cs="Times New Roman"/>
        </w:rPr>
        <w:t xml:space="preserve">Effect of Zn and Fe </w:t>
      </w:r>
      <w:proofErr w:type="spellStart"/>
      <w:r w:rsidR="00FB5AB7" w:rsidRPr="00D1336B">
        <w:rPr>
          <w:rFonts w:ascii="Times New Roman" w:hAnsi="Times New Roman" w:cs="Times New Roman"/>
        </w:rPr>
        <w:t>biofortication</w:t>
      </w:r>
      <w:proofErr w:type="spellEnd"/>
      <w:r w:rsidR="00FB5AB7" w:rsidRPr="00D1336B">
        <w:rPr>
          <w:rFonts w:ascii="Times New Roman" w:hAnsi="Times New Roman" w:cs="Times New Roman"/>
        </w:rPr>
        <w:t xml:space="preserve"> on crop growth rate of sweet corn during the year 2025.</w:t>
      </w:r>
    </w:p>
    <w:p w14:paraId="27B06CCA" w14:textId="77777777" w:rsidR="0048609B" w:rsidRPr="00D1336B" w:rsidRDefault="0048609B" w:rsidP="00D1336B">
      <w:pPr>
        <w:spacing w:after="0" w:line="276" w:lineRule="auto"/>
        <w:jc w:val="both"/>
        <w:rPr>
          <w:rFonts w:ascii="Times New Roman" w:hAnsi="Times New Roman" w:cs="Times New Roman"/>
        </w:rPr>
      </w:pPr>
    </w:p>
    <w:p w14:paraId="58284A1A" w14:textId="77777777" w:rsidR="0048609B" w:rsidRPr="00D1336B" w:rsidRDefault="0048609B" w:rsidP="00D1336B">
      <w:pPr>
        <w:spacing w:after="0" w:line="276" w:lineRule="auto"/>
        <w:jc w:val="both"/>
        <w:rPr>
          <w:rFonts w:ascii="Times New Roman" w:hAnsi="Times New Roman" w:cs="Times New Roman"/>
        </w:rPr>
      </w:pPr>
    </w:p>
    <w:p w14:paraId="194C9960" w14:textId="77777777" w:rsidR="0048609B" w:rsidRPr="00D1336B" w:rsidRDefault="0048609B" w:rsidP="00D1336B">
      <w:pPr>
        <w:spacing w:after="0" w:line="276" w:lineRule="auto"/>
        <w:jc w:val="both"/>
        <w:rPr>
          <w:rFonts w:ascii="Times New Roman" w:hAnsi="Times New Roman" w:cs="Times New Roman"/>
        </w:rPr>
      </w:pPr>
    </w:p>
    <w:p w14:paraId="0137208B" w14:textId="75FB8D4F" w:rsidR="007E0A41" w:rsidRPr="00D1336B" w:rsidRDefault="007E0A41" w:rsidP="00D1336B">
      <w:pPr>
        <w:spacing w:after="0" w:line="276" w:lineRule="auto"/>
        <w:jc w:val="both"/>
        <w:rPr>
          <w:rFonts w:ascii="Times New Roman" w:hAnsi="Times New Roman" w:cs="Times New Roman"/>
        </w:rPr>
      </w:pPr>
      <w:r w:rsidRPr="00D1336B">
        <w:rPr>
          <w:rFonts w:ascii="Times New Roman" w:hAnsi="Times New Roman" w:cs="Times New Roman"/>
        </w:rPr>
        <w:t>in favour of grain or production of fruit. T</w:t>
      </w:r>
      <w:r w:rsidRPr="00D1336B">
        <w:rPr>
          <w:rFonts w:ascii="Times New Roman" w:hAnsi="Times New Roman" w:cs="Times New Roman"/>
          <w:vertAlign w:val="subscript"/>
        </w:rPr>
        <w:t>10</w:t>
      </w:r>
      <w:r w:rsidRPr="00D1336B">
        <w:rPr>
          <w:rFonts w:ascii="Times New Roman" w:hAnsi="Times New Roman" w:cs="Times New Roman"/>
        </w:rPr>
        <w:t xml:space="preserve"> continued to retain its lead, with a pooled of 6.23 g m</w:t>
      </w:r>
      <w:r w:rsidRPr="00D1336B">
        <w:rPr>
          <w:rFonts w:ascii="Times New Roman" w:hAnsi="Times New Roman" w:cs="Times New Roman"/>
          <w:vertAlign w:val="superscript"/>
        </w:rPr>
        <w:t>-2</w:t>
      </w:r>
      <w:r w:rsidRPr="00D1336B">
        <w:rPr>
          <w:rFonts w:ascii="Times New Roman" w:hAnsi="Times New Roman" w:cs="Times New Roman"/>
        </w:rPr>
        <w:t xml:space="preserve"> day</w:t>
      </w:r>
      <w:r w:rsidRPr="00D1336B">
        <w:rPr>
          <w:rFonts w:ascii="Times New Roman" w:hAnsi="Times New Roman" w:cs="Times New Roman"/>
          <w:vertAlign w:val="superscript"/>
        </w:rPr>
        <w:t>-1</w:t>
      </w:r>
      <w:r w:rsidRPr="00D1336B">
        <w:rPr>
          <w:rFonts w:ascii="Times New Roman" w:hAnsi="Times New Roman" w:cs="Times New Roman"/>
        </w:rPr>
        <w:t xml:space="preserve"> followed by T</w:t>
      </w:r>
      <w:r w:rsidRPr="00D1336B">
        <w:rPr>
          <w:rFonts w:ascii="Times New Roman" w:hAnsi="Times New Roman" w:cs="Times New Roman"/>
          <w:vertAlign w:val="subscript"/>
        </w:rPr>
        <w:t>9</w:t>
      </w:r>
      <w:r w:rsidRPr="00D1336B">
        <w:rPr>
          <w:rFonts w:ascii="Times New Roman" w:hAnsi="Times New Roman" w:cs="Times New Roman"/>
        </w:rPr>
        <w:t xml:space="preserve"> (5.86 g m</w:t>
      </w:r>
      <w:r w:rsidRPr="00D1336B">
        <w:rPr>
          <w:rFonts w:ascii="Times New Roman" w:hAnsi="Times New Roman" w:cs="Times New Roman"/>
          <w:vertAlign w:val="superscript"/>
        </w:rPr>
        <w:t>-2</w:t>
      </w:r>
      <w:r w:rsidRPr="00D1336B">
        <w:rPr>
          <w:rFonts w:ascii="Times New Roman" w:hAnsi="Times New Roman" w:cs="Times New Roman"/>
        </w:rPr>
        <w:t xml:space="preserve"> day</w:t>
      </w:r>
      <w:r w:rsidRPr="00D1336B">
        <w:rPr>
          <w:rFonts w:ascii="Times New Roman" w:hAnsi="Times New Roman" w:cs="Times New Roman"/>
          <w:vertAlign w:val="superscript"/>
        </w:rPr>
        <w:t>-1</w:t>
      </w:r>
      <w:r w:rsidRPr="00D1336B">
        <w:rPr>
          <w:rFonts w:ascii="Times New Roman" w:hAnsi="Times New Roman" w:cs="Times New Roman"/>
        </w:rPr>
        <w:t>) and control with the lowest of 2.72 g m</w:t>
      </w:r>
      <w:r w:rsidRPr="00D1336B">
        <w:rPr>
          <w:rFonts w:ascii="Times New Roman" w:hAnsi="Times New Roman" w:cs="Times New Roman"/>
          <w:vertAlign w:val="superscript"/>
        </w:rPr>
        <w:t>-2</w:t>
      </w:r>
      <w:r w:rsidRPr="00D1336B">
        <w:rPr>
          <w:rFonts w:ascii="Times New Roman" w:hAnsi="Times New Roman" w:cs="Times New Roman"/>
        </w:rPr>
        <w:t xml:space="preserve"> day</w:t>
      </w:r>
      <w:r w:rsidRPr="00D1336B">
        <w:rPr>
          <w:rFonts w:ascii="Times New Roman" w:hAnsi="Times New Roman" w:cs="Times New Roman"/>
          <w:vertAlign w:val="superscript"/>
        </w:rPr>
        <w:t>-1</w:t>
      </w:r>
      <w:r w:rsidRPr="00D1336B">
        <w:rPr>
          <w:rFonts w:ascii="Times New Roman" w:hAnsi="Times New Roman" w:cs="Times New Roman"/>
        </w:rPr>
        <w:t>.</w:t>
      </w:r>
    </w:p>
    <w:p w14:paraId="3AE833D0" w14:textId="77777777" w:rsidR="007E0A41" w:rsidRPr="00D1336B" w:rsidRDefault="007E0A41" w:rsidP="00D1336B">
      <w:pPr>
        <w:spacing w:after="0" w:line="276" w:lineRule="auto"/>
        <w:jc w:val="both"/>
        <w:rPr>
          <w:rFonts w:ascii="Times New Roman" w:hAnsi="Times New Roman" w:cs="Times New Roman"/>
        </w:rPr>
      </w:pPr>
      <w:r w:rsidRPr="00D1336B">
        <w:rPr>
          <w:rFonts w:ascii="Times New Roman" w:hAnsi="Times New Roman" w:cs="Times New Roman"/>
        </w:rPr>
        <w:t>1.2 Relative growth rate (g g</w:t>
      </w:r>
      <w:r w:rsidRPr="00D1336B">
        <w:rPr>
          <w:rFonts w:ascii="Times New Roman" w:hAnsi="Times New Roman" w:cs="Times New Roman"/>
          <w:vertAlign w:val="superscript"/>
        </w:rPr>
        <w:t>-1</w:t>
      </w:r>
      <w:r w:rsidRPr="00D1336B">
        <w:rPr>
          <w:rFonts w:ascii="Times New Roman" w:hAnsi="Times New Roman" w:cs="Times New Roman"/>
        </w:rPr>
        <w:t xml:space="preserve"> day</w:t>
      </w:r>
      <w:r w:rsidRPr="00D1336B">
        <w:rPr>
          <w:rFonts w:ascii="Times New Roman" w:hAnsi="Times New Roman" w:cs="Times New Roman"/>
          <w:vertAlign w:val="superscript"/>
        </w:rPr>
        <w:t>-1</w:t>
      </w:r>
      <w:r w:rsidRPr="00D1336B">
        <w:rPr>
          <w:rFonts w:ascii="Times New Roman" w:hAnsi="Times New Roman" w:cs="Times New Roman"/>
        </w:rPr>
        <w:t>)</w:t>
      </w:r>
    </w:p>
    <w:p w14:paraId="791878B2" w14:textId="2347ECFA"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lastRenderedPageBreak/>
        <w:t xml:space="preserve">Relative growth rate (RGR) presented in the Table 2 revealed that differences among treatments were statistically significant at both growth stages. RGR values (Table 2) recorded during the 30-60 DAT interval ranged from 0.0830 g g⁻¹day⁻¹ in the control (T₁) to 0.1084 g g⁻¹day⁻¹ in chelated zinc @ 0.75% (T₁₀), with the pooled data of both years. Among the micronutrient treatments, chelated zinc at higher concentrations (T₉ and T₁₀) recorded the highest in RGR over the control, followed by </w:t>
      </w:r>
      <w:proofErr w:type="spellStart"/>
      <w:r w:rsidRPr="00D1336B">
        <w:rPr>
          <w:rFonts w:ascii="Times New Roman" w:hAnsi="Times New Roman" w:cs="Times New Roman"/>
        </w:rPr>
        <w:t>ZnSO</w:t>
      </w:r>
      <w:proofErr w:type="spellEnd"/>
      <w:r w:rsidRPr="00D1336B">
        <w:rPr>
          <w:rFonts w:ascii="Times New Roman" w:hAnsi="Times New Roman" w:cs="Times New Roman"/>
        </w:rPr>
        <w:t xml:space="preserve">₄ @ 0.25% and @ 0.50% (T₁₁ and T₁₂). Chelated iron and </w:t>
      </w:r>
      <w:proofErr w:type="spellStart"/>
      <w:r w:rsidRPr="00D1336B">
        <w:rPr>
          <w:rFonts w:ascii="Times New Roman" w:hAnsi="Times New Roman" w:cs="Times New Roman"/>
        </w:rPr>
        <w:t>FeSO</w:t>
      </w:r>
      <w:proofErr w:type="spellEnd"/>
      <w:r w:rsidRPr="00D1336B">
        <w:rPr>
          <w:rFonts w:ascii="Times New Roman" w:hAnsi="Times New Roman" w:cs="Times New Roman"/>
        </w:rPr>
        <w:t>₄ treatments also improved RGR relative to the control, though the gains were comparatively modest, generally staying between 0.0873 and 0.0919 g g⁻¹day⁻¹.</w:t>
      </w:r>
    </w:p>
    <w:p w14:paraId="3ADB2A91"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During the 60-90 DAT period, a different pattern showed up, the growth rates of all the treated plots went down, which is expected as the crops got older. It is pertinent to note that the zinc-treated plots, which had previously performed best, showed the sharpest decline, with T</w:t>
      </w:r>
      <w:r w:rsidRPr="00D1336B">
        <w:rPr>
          <w:rFonts w:ascii="Times New Roman" w:hAnsi="Times New Roman" w:cs="Times New Roman"/>
          <w:vertAlign w:val="subscript"/>
        </w:rPr>
        <w:t>9</w:t>
      </w:r>
      <w:r w:rsidRPr="00D1336B">
        <w:rPr>
          <w:rFonts w:ascii="Times New Roman" w:hAnsi="Times New Roman" w:cs="Times New Roman"/>
        </w:rPr>
        <w:t xml:space="preserve"> and T₁₀ falling to 0.0126 and 0.0118 g g⁻¹day⁻¹, respectively, while the control (T₁) and chelated iron @ 0.25% (T₂) recorded the highest RGR values during this stage (0.0170 and 0.0183 g g⁻¹day⁻¹, respectively). This implies that early vegetative growth was enhanced by zinc application, but this benefit declined as the plants became mature.</w:t>
      </w:r>
    </w:p>
    <w:p w14:paraId="04FCD7B8" w14:textId="77777777" w:rsidR="007E0A41" w:rsidRPr="00D1336B" w:rsidRDefault="007E0A41" w:rsidP="00D1336B">
      <w:pPr>
        <w:spacing w:after="0" w:line="276" w:lineRule="auto"/>
        <w:jc w:val="both"/>
        <w:rPr>
          <w:rFonts w:ascii="Times New Roman" w:hAnsi="Times New Roman" w:cs="Times New Roman"/>
        </w:rPr>
      </w:pPr>
      <w:r w:rsidRPr="00D1336B">
        <w:rPr>
          <w:rFonts w:ascii="Times New Roman" w:hAnsi="Times New Roman" w:cs="Times New Roman"/>
        </w:rPr>
        <w:t>1.3 Net assimilation rate (g m</w:t>
      </w:r>
      <w:r w:rsidRPr="00D1336B">
        <w:rPr>
          <w:rFonts w:ascii="Times New Roman" w:hAnsi="Times New Roman" w:cs="Times New Roman"/>
          <w:vertAlign w:val="superscript"/>
        </w:rPr>
        <w:t>-2</w:t>
      </w:r>
      <w:r w:rsidRPr="00D1336B">
        <w:rPr>
          <w:rFonts w:ascii="Times New Roman" w:hAnsi="Times New Roman" w:cs="Times New Roman"/>
        </w:rPr>
        <w:t xml:space="preserve"> day</w:t>
      </w:r>
      <w:r w:rsidRPr="00D1336B">
        <w:rPr>
          <w:rFonts w:ascii="Times New Roman" w:hAnsi="Times New Roman" w:cs="Times New Roman"/>
          <w:vertAlign w:val="superscript"/>
        </w:rPr>
        <w:t>-1</w:t>
      </w:r>
      <w:r w:rsidRPr="00D1336B">
        <w:rPr>
          <w:rFonts w:ascii="Times New Roman" w:hAnsi="Times New Roman" w:cs="Times New Roman"/>
        </w:rPr>
        <w:t>)</w:t>
      </w:r>
    </w:p>
    <w:p w14:paraId="2A458F80" w14:textId="35660F49"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Net assimilation rate (NAR) was found to follow a similar pattern to RGR, with values rising sharply above the control across most micronutrient treatments during the 30-60 DAT period. The control (T₁) recorded the lowest NAR at 0.3796 </w:t>
      </w:r>
    </w:p>
    <w:p w14:paraId="6B93A361" w14:textId="77777777" w:rsidR="007E0A41" w:rsidRPr="00D1336B" w:rsidRDefault="007E0A41" w:rsidP="00D1336B">
      <w:pPr>
        <w:tabs>
          <w:tab w:val="left" w:pos="7644"/>
        </w:tabs>
        <w:spacing w:after="0" w:line="276" w:lineRule="auto"/>
        <w:rPr>
          <w:rFonts w:ascii="Times New Roman" w:hAnsi="Times New Roman" w:cs="Times New Roman"/>
          <w:b/>
          <w:bCs/>
          <w:lang w:val="en-GB"/>
        </w:rPr>
        <w:sectPr w:rsidR="007E0A41" w:rsidRPr="00D1336B" w:rsidSect="007E0A41">
          <w:pgSz w:w="11906" w:h="16838"/>
          <w:pgMar w:top="2268" w:right="1701" w:bottom="2268" w:left="2268" w:header="709" w:footer="709" w:gutter="0"/>
          <w:cols w:space="708"/>
          <w:docGrid w:linePitch="360"/>
        </w:sectPr>
      </w:pPr>
    </w:p>
    <w:p w14:paraId="2598D29D" w14:textId="4F97FF67" w:rsidR="007E0A41" w:rsidRPr="00D1336B" w:rsidRDefault="007E0A41" w:rsidP="00D1336B">
      <w:pPr>
        <w:tabs>
          <w:tab w:val="left" w:pos="7644"/>
        </w:tabs>
        <w:spacing w:after="0" w:line="276" w:lineRule="auto"/>
        <w:rPr>
          <w:rFonts w:ascii="Times New Roman" w:hAnsi="Times New Roman" w:cs="Times New Roman"/>
          <w:b/>
          <w:bCs/>
          <w:lang w:val="en-GB"/>
        </w:rPr>
      </w:pPr>
      <w:r w:rsidRPr="00D1336B">
        <w:rPr>
          <w:rFonts w:ascii="Times New Roman" w:hAnsi="Times New Roman" w:cs="Times New Roman"/>
          <w:b/>
          <w:bCs/>
          <w:lang w:val="en-GB"/>
        </w:rPr>
        <w:lastRenderedPageBreak/>
        <w:t xml:space="preserve">Table 2: </w:t>
      </w:r>
      <w:r w:rsidRPr="00D1336B">
        <w:rPr>
          <w:rFonts w:ascii="Times New Roman" w:hAnsi="Times New Roman" w:cs="Times New Roman"/>
          <w:b/>
          <w:bCs/>
        </w:rPr>
        <w:t>Relative growth rate (g g</w:t>
      </w:r>
      <w:r w:rsidRPr="00D1336B">
        <w:rPr>
          <w:rFonts w:ascii="Times New Roman" w:hAnsi="Times New Roman" w:cs="Times New Roman"/>
          <w:b/>
          <w:bCs/>
          <w:vertAlign w:val="superscript"/>
        </w:rPr>
        <w:t>-1</w:t>
      </w:r>
      <w:r w:rsidRPr="00D1336B">
        <w:rPr>
          <w:rFonts w:ascii="Times New Roman" w:hAnsi="Times New Roman" w:cs="Times New Roman"/>
          <w:b/>
          <w:bCs/>
        </w:rPr>
        <w:t xml:space="preserve"> day</w:t>
      </w:r>
      <w:r w:rsidRPr="00D1336B">
        <w:rPr>
          <w:rFonts w:ascii="Times New Roman" w:hAnsi="Times New Roman" w:cs="Times New Roman"/>
          <w:b/>
          <w:bCs/>
          <w:vertAlign w:val="superscript"/>
        </w:rPr>
        <w:t>-1</w:t>
      </w:r>
      <w:r w:rsidRPr="00D1336B">
        <w:rPr>
          <w:rFonts w:ascii="Times New Roman" w:hAnsi="Times New Roman" w:cs="Times New Roman"/>
          <w:b/>
          <w:bCs/>
        </w:rPr>
        <w:t>) and Net assimilation rate (g m</w:t>
      </w:r>
      <w:r w:rsidRPr="00D1336B">
        <w:rPr>
          <w:rFonts w:ascii="Times New Roman" w:hAnsi="Times New Roman" w:cs="Times New Roman"/>
          <w:b/>
          <w:bCs/>
          <w:vertAlign w:val="superscript"/>
        </w:rPr>
        <w:t>-2</w:t>
      </w:r>
      <w:r w:rsidRPr="00D1336B">
        <w:rPr>
          <w:rFonts w:ascii="Times New Roman" w:hAnsi="Times New Roman" w:cs="Times New Roman"/>
          <w:b/>
          <w:bCs/>
        </w:rPr>
        <w:t xml:space="preserve"> day</w:t>
      </w:r>
      <w:r w:rsidRPr="00D1336B">
        <w:rPr>
          <w:rFonts w:ascii="Times New Roman" w:hAnsi="Times New Roman" w:cs="Times New Roman"/>
          <w:b/>
          <w:bCs/>
          <w:vertAlign w:val="superscript"/>
        </w:rPr>
        <w:t>-1</w:t>
      </w:r>
      <w:r w:rsidRPr="00D1336B">
        <w:rPr>
          <w:rFonts w:ascii="Times New Roman" w:hAnsi="Times New Roman" w:cs="Times New Roman"/>
          <w:b/>
          <w:bCs/>
        </w:rPr>
        <w:t xml:space="preserve">) </w:t>
      </w:r>
      <w:r w:rsidRPr="00D1336B">
        <w:rPr>
          <w:rFonts w:ascii="Times New Roman" w:hAnsi="Times New Roman" w:cs="Times New Roman"/>
          <w:b/>
          <w:bCs/>
          <w:lang w:val="en-GB"/>
        </w:rPr>
        <w:t>of sweet corn as influenced by Zn and Fe biofortification</w:t>
      </w:r>
    </w:p>
    <w:tbl>
      <w:tblPr>
        <w:tblW w:w="14811" w:type="dxa"/>
        <w:tblInd w:w="-1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2021"/>
        <w:gridCol w:w="1006"/>
        <w:gridCol w:w="876"/>
        <w:gridCol w:w="1108"/>
        <w:gridCol w:w="961"/>
        <w:gridCol w:w="876"/>
        <w:gridCol w:w="1081"/>
        <w:gridCol w:w="1022"/>
        <w:gridCol w:w="941"/>
        <w:gridCol w:w="998"/>
        <w:gridCol w:w="1039"/>
        <w:gridCol w:w="1021"/>
        <w:gridCol w:w="1223"/>
      </w:tblGrid>
      <w:tr w:rsidR="007E0A41" w:rsidRPr="00D1336B" w14:paraId="4563509E" w14:textId="77777777" w:rsidTr="007E0A41">
        <w:trPr>
          <w:trHeight w:val="217"/>
        </w:trPr>
        <w:tc>
          <w:tcPr>
            <w:tcW w:w="638" w:type="dxa"/>
            <w:vMerge w:val="restart"/>
            <w:tcBorders>
              <w:left w:val="nil"/>
            </w:tcBorders>
            <w:noWrap/>
            <w:vAlign w:val="bottom"/>
          </w:tcPr>
          <w:p w14:paraId="72D4A015"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p w14:paraId="620E37AB"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S. No.</w:t>
            </w:r>
          </w:p>
        </w:tc>
        <w:tc>
          <w:tcPr>
            <w:tcW w:w="2021" w:type="dxa"/>
            <w:vMerge w:val="restart"/>
            <w:noWrap/>
            <w:vAlign w:val="bottom"/>
          </w:tcPr>
          <w:p w14:paraId="567A86A4"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p w14:paraId="358C3485"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Treatment details</w:t>
            </w:r>
          </w:p>
        </w:tc>
        <w:tc>
          <w:tcPr>
            <w:tcW w:w="5908" w:type="dxa"/>
            <w:gridSpan w:val="6"/>
            <w:noWrap/>
            <w:vAlign w:val="bottom"/>
          </w:tcPr>
          <w:p w14:paraId="5EC79E38"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RGR (g g</w:t>
            </w:r>
            <w:r w:rsidRPr="00D1336B">
              <w:rPr>
                <w:rFonts w:ascii="Times New Roman" w:eastAsia="Times New Roman" w:hAnsi="Times New Roman" w:cs="Times New Roman"/>
                <w:b/>
                <w:bCs/>
                <w:color w:val="000000"/>
                <w:kern w:val="0"/>
                <w:vertAlign w:val="superscript"/>
                <w:lang w:eastAsia="en-IN"/>
                <w14:ligatures w14:val="none"/>
              </w:rPr>
              <w:t>-1</w:t>
            </w:r>
            <w:r w:rsidRPr="00D1336B">
              <w:rPr>
                <w:rFonts w:ascii="Times New Roman" w:eastAsia="Times New Roman" w:hAnsi="Times New Roman" w:cs="Times New Roman"/>
                <w:b/>
                <w:bCs/>
                <w:color w:val="000000"/>
                <w:kern w:val="0"/>
                <w:lang w:eastAsia="en-IN"/>
                <w14:ligatures w14:val="none"/>
              </w:rPr>
              <w:t>day</w:t>
            </w:r>
            <w:r w:rsidRPr="00D1336B">
              <w:rPr>
                <w:rFonts w:ascii="Times New Roman" w:eastAsia="Times New Roman" w:hAnsi="Times New Roman" w:cs="Times New Roman"/>
                <w:b/>
                <w:bCs/>
                <w:color w:val="000000"/>
                <w:kern w:val="0"/>
                <w:vertAlign w:val="superscript"/>
                <w:lang w:eastAsia="en-IN"/>
                <w14:ligatures w14:val="none"/>
              </w:rPr>
              <w:t>-1</w:t>
            </w:r>
            <w:r w:rsidRPr="00D1336B">
              <w:rPr>
                <w:rFonts w:ascii="Times New Roman" w:eastAsia="Times New Roman" w:hAnsi="Times New Roman" w:cs="Times New Roman"/>
                <w:b/>
                <w:bCs/>
                <w:color w:val="000000"/>
                <w:kern w:val="0"/>
                <w:lang w:eastAsia="en-IN"/>
                <w14:ligatures w14:val="none"/>
              </w:rPr>
              <w:t>)</w:t>
            </w:r>
          </w:p>
        </w:tc>
        <w:tc>
          <w:tcPr>
            <w:tcW w:w="6244" w:type="dxa"/>
            <w:gridSpan w:val="6"/>
            <w:tcBorders>
              <w:right w:val="nil"/>
            </w:tcBorders>
            <w:noWrap/>
            <w:vAlign w:val="bottom"/>
          </w:tcPr>
          <w:p w14:paraId="2B0DA442"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NAR (g m</w:t>
            </w:r>
            <w:r w:rsidRPr="00D1336B">
              <w:rPr>
                <w:rFonts w:ascii="Times New Roman" w:eastAsia="Times New Roman" w:hAnsi="Times New Roman" w:cs="Times New Roman"/>
                <w:b/>
                <w:bCs/>
                <w:color w:val="000000"/>
                <w:kern w:val="0"/>
                <w:vertAlign w:val="superscript"/>
                <w:lang w:eastAsia="en-IN"/>
                <w14:ligatures w14:val="none"/>
              </w:rPr>
              <w:t>-2</w:t>
            </w:r>
            <w:r w:rsidRPr="00D1336B">
              <w:rPr>
                <w:rFonts w:ascii="Times New Roman" w:eastAsia="Times New Roman" w:hAnsi="Times New Roman" w:cs="Times New Roman"/>
                <w:b/>
                <w:bCs/>
                <w:color w:val="000000"/>
                <w:kern w:val="0"/>
                <w:lang w:eastAsia="en-IN"/>
                <w14:ligatures w14:val="none"/>
              </w:rPr>
              <w:t>day</w:t>
            </w:r>
            <w:r w:rsidRPr="00D1336B">
              <w:rPr>
                <w:rFonts w:ascii="Times New Roman" w:eastAsia="Times New Roman" w:hAnsi="Times New Roman" w:cs="Times New Roman"/>
                <w:b/>
                <w:bCs/>
                <w:color w:val="000000"/>
                <w:kern w:val="0"/>
                <w:vertAlign w:val="superscript"/>
                <w:lang w:eastAsia="en-IN"/>
                <w14:ligatures w14:val="none"/>
              </w:rPr>
              <w:t>-1</w:t>
            </w:r>
            <w:r w:rsidRPr="00D1336B">
              <w:rPr>
                <w:rFonts w:ascii="Times New Roman" w:eastAsia="Times New Roman" w:hAnsi="Times New Roman" w:cs="Times New Roman"/>
                <w:b/>
                <w:bCs/>
                <w:color w:val="000000"/>
                <w:kern w:val="0"/>
                <w:lang w:eastAsia="en-IN"/>
                <w14:ligatures w14:val="none"/>
              </w:rPr>
              <w:t>)</w:t>
            </w:r>
          </w:p>
        </w:tc>
      </w:tr>
      <w:tr w:rsidR="007E0A41" w:rsidRPr="00D1336B" w14:paraId="61DA93C7" w14:textId="77777777" w:rsidTr="007E0A41">
        <w:trPr>
          <w:trHeight w:val="217"/>
        </w:trPr>
        <w:tc>
          <w:tcPr>
            <w:tcW w:w="638" w:type="dxa"/>
            <w:vMerge/>
            <w:tcBorders>
              <w:left w:val="nil"/>
            </w:tcBorders>
            <w:noWrap/>
            <w:vAlign w:val="bottom"/>
            <w:hideMark/>
          </w:tcPr>
          <w:p w14:paraId="0E1892AC"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2021" w:type="dxa"/>
            <w:vMerge/>
            <w:noWrap/>
            <w:vAlign w:val="bottom"/>
            <w:hideMark/>
          </w:tcPr>
          <w:p w14:paraId="5FBF78B8"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2990" w:type="dxa"/>
            <w:gridSpan w:val="3"/>
            <w:noWrap/>
            <w:vAlign w:val="bottom"/>
            <w:hideMark/>
          </w:tcPr>
          <w:p w14:paraId="4F871970"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30-60 DAT</w:t>
            </w:r>
          </w:p>
        </w:tc>
        <w:tc>
          <w:tcPr>
            <w:tcW w:w="2918" w:type="dxa"/>
            <w:gridSpan w:val="3"/>
            <w:noWrap/>
            <w:vAlign w:val="bottom"/>
            <w:hideMark/>
          </w:tcPr>
          <w:p w14:paraId="0CE7BB6D"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60-90 DAT</w:t>
            </w:r>
          </w:p>
        </w:tc>
        <w:tc>
          <w:tcPr>
            <w:tcW w:w="2961" w:type="dxa"/>
            <w:gridSpan w:val="3"/>
            <w:tcBorders>
              <w:right w:val="nil"/>
            </w:tcBorders>
            <w:noWrap/>
            <w:vAlign w:val="bottom"/>
            <w:hideMark/>
          </w:tcPr>
          <w:p w14:paraId="310E00FE"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30-60 DAT</w:t>
            </w:r>
          </w:p>
        </w:tc>
        <w:tc>
          <w:tcPr>
            <w:tcW w:w="3283" w:type="dxa"/>
            <w:gridSpan w:val="3"/>
            <w:tcBorders>
              <w:right w:val="nil"/>
            </w:tcBorders>
            <w:vAlign w:val="bottom"/>
          </w:tcPr>
          <w:p w14:paraId="0148D330"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60-90 DAT</w:t>
            </w:r>
          </w:p>
        </w:tc>
      </w:tr>
      <w:tr w:rsidR="007E0A41" w:rsidRPr="00D1336B" w14:paraId="5DDFE97D" w14:textId="77777777" w:rsidTr="007E0A41">
        <w:trPr>
          <w:trHeight w:val="217"/>
        </w:trPr>
        <w:tc>
          <w:tcPr>
            <w:tcW w:w="638" w:type="dxa"/>
            <w:vMerge/>
            <w:tcBorders>
              <w:left w:val="nil"/>
              <w:bottom w:val="single" w:sz="4" w:space="0" w:color="auto"/>
            </w:tcBorders>
            <w:noWrap/>
            <w:vAlign w:val="bottom"/>
            <w:hideMark/>
          </w:tcPr>
          <w:p w14:paraId="1964341B"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2021" w:type="dxa"/>
            <w:vMerge/>
            <w:tcBorders>
              <w:bottom w:val="single" w:sz="4" w:space="0" w:color="auto"/>
            </w:tcBorders>
            <w:noWrap/>
            <w:vAlign w:val="bottom"/>
            <w:hideMark/>
          </w:tcPr>
          <w:p w14:paraId="342FA396"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1006" w:type="dxa"/>
            <w:tcBorders>
              <w:bottom w:val="single" w:sz="4" w:space="0" w:color="auto"/>
            </w:tcBorders>
            <w:noWrap/>
            <w:vAlign w:val="bottom"/>
            <w:hideMark/>
          </w:tcPr>
          <w:p w14:paraId="22A378AD"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2024</w:t>
            </w:r>
          </w:p>
        </w:tc>
        <w:tc>
          <w:tcPr>
            <w:tcW w:w="876" w:type="dxa"/>
            <w:tcBorders>
              <w:bottom w:val="single" w:sz="4" w:space="0" w:color="auto"/>
            </w:tcBorders>
            <w:noWrap/>
            <w:vAlign w:val="bottom"/>
            <w:hideMark/>
          </w:tcPr>
          <w:p w14:paraId="74594DC0"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2025</w:t>
            </w:r>
          </w:p>
        </w:tc>
        <w:tc>
          <w:tcPr>
            <w:tcW w:w="1108" w:type="dxa"/>
            <w:tcBorders>
              <w:bottom w:val="single" w:sz="4" w:space="0" w:color="auto"/>
            </w:tcBorders>
          </w:tcPr>
          <w:p w14:paraId="2108B4D7"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Pooled</w:t>
            </w:r>
          </w:p>
        </w:tc>
        <w:tc>
          <w:tcPr>
            <w:tcW w:w="961" w:type="dxa"/>
            <w:tcBorders>
              <w:bottom w:val="single" w:sz="4" w:space="0" w:color="auto"/>
            </w:tcBorders>
            <w:noWrap/>
            <w:vAlign w:val="bottom"/>
            <w:hideMark/>
          </w:tcPr>
          <w:p w14:paraId="660E59C5"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2024</w:t>
            </w:r>
          </w:p>
        </w:tc>
        <w:tc>
          <w:tcPr>
            <w:tcW w:w="876" w:type="dxa"/>
            <w:tcBorders>
              <w:bottom w:val="single" w:sz="4" w:space="0" w:color="auto"/>
            </w:tcBorders>
            <w:noWrap/>
            <w:vAlign w:val="bottom"/>
            <w:hideMark/>
          </w:tcPr>
          <w:p w14:paraId="4F96C736"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2025</w:t>
            </w:r>
          </w:p>
        </w:tc>
        <w:tc>
          <w:tcPr>
            <w:tcW w:w="1081" w:type="dxa"/>
            <w:tcBorders>
              <w:bottom w:val="single" w:sz="4" w:space="0" w:color="auto"/>
            </w:tcBorders>
          </w:tcPr>
          <w:p w14:paraId="66654AFE"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Pooled</w:t>
            </w:r>
          </w:p>
        </w:tc>
        <w:tc>
          <w:tcPr>
            <w:tcW w:w="1022" w:type="dxa"/>
            <w:tcBorders>
              <w:bottom w:val="single" w:sz="4" w:space="0" w:color="auto"/>
            </w:tcBorders>
            <w:noWrap/>
            <w:vAlign w:val="bottom"/>
            <w:hideMark/>
          </w:tcPr>
          <w:p w14:paraId="56FACD16"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2024</w:t>
            </w:r>
          </w:p>
        </w:tc>
        <w:tc>
          <w:tcPr>
            <w:tcW w:w="941" w:type="dxa"/>
            <w:tcBorders>
              <w:bottom w:val="single" w:sz="4" w:space="0" w:color="auto"/>
            </w:tcBorders>
            <w:noWrap/>
            <w:vAlign w:val="bottom"/>
            <w:hideMark/>
          </w:tcPr>
          <w:p w14:paraId="6E9AA486"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2025</w:t>
            </w:r>
          </w:p>
        </w:tc>
        <w:tc>
          <w:tcPr>
            <w:tcW w:w="998" w:type="dxa"/>
            <w:tcBorders>
              <w:bottom w:val="single" w:sz="4" w:space="0" w:color="auto"/>
              <w:right w:val="nil"/>
            </w:tcBorders>
          </w:tcPr>
          <w:p w14:paraId="3DA69939"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Pooled</w:t>
            </w:r>
          </w:p>
        </w:tc>
        <w:tc>
          <w:tcPr>
            <w:tcW w:w="1039" w:type="dxa"/>
            <w:tcBorders>
              <w:bottom w:val="single" w:sz="4" w:space="0" w:color="auto"/>
              <w:right w:val="nil"/>
            </w:tcBorders>
            <w:vAlign w:val="bottom"/>
          </w:tcPr>
          <w:p w14:paraId="3B50F2F4"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2024</w:t>
            </w:r>
          </w:p>
        </w:tc>
        <w:tc>
          <w:tcPr>
            <w:tcW w:w="1021" w:type="dxa"/>
            <w:tcBorders>
              <w:bottom w:val="single" w:sz="4" w:space="0" w:color="auto"/>
              <w:right w:val="nil"/>
            </w:tcBorders>
            <w:vAlign w:val="bottom"/>
          </w:tcPr>
          <w:p w14:paraId="2B854CEA"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2025</w:t>
            </w:r>
          </w:p>
        </w:tc>
        <w:tc>
          <w:tcPr>
            <w:tcW w:w="1223" w:type="dxa"/>
            <w:tcBorders>
              <w:bottom w:val="single" w:sz="4" w:space="0" w:color="auto"/>
              <w:right w:val="nil"/>
            </w:tcBorders>
          </w:tcPr>
          <w:p w14:paraId="33E4716B"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Pooled</w:t>
            </w:r>
          </w:p>
        </w:tc>
      </w:tr>
      <w:tr w:rsidR="007E0A41" w:rsidRPr="00D1336B" w14:paraId="497051CF" w14:textId="77777777" w:rsidTr="007E0A41">
        <w:trPr>
          <w:trHeight w:val="217"/>
        </w:trPr>
        <w:tc>
          <w:tcPr>
            <w:tcW w:w="638" w:type="dxa"/>
            <w:tcBorders>
              <w:top w:val="single" w:sz="4" w:space="0" w:color="auto"/>
              <w:left w:val="nil"/>
              <w:bottom w:val="nil"/>
              <w:right w:val="nil"/>
            </w:tcBorders>
            <w:noWrap/>
            <w:hideMark/>
          </w:tcPr>
          <w:p w14:paraId="720D558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w:t>
            </w:r>
          </w:p>
        </w:tc>
        <w:tc>
          <w:tcPr>
            <w:tcW w:w="2021" w:type="dxa"/>
            <w:tcBorders>
              <w:top w:val="single" w:sz="4" w:space="0" w:color="auto"/>
              <w:left w:val="nil"/>
              <w:bottom w:val="nil"/>
              <w:right w:val="nil"/>
            </w:tcBorders>
            <w:vAlign w:val="center"/>
            <w:hideMark/>
          </w:tcPr>
          <w:p w14:paraId="0496CBD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Control (RDF)</w:t>
            </w:r>
          </w:p>
        </w:tc>
        <w:tc>
          <w:tcPr>
            <w:tcW w:w="1006" w:type="dxa"/>
            <w:tcBorders>
              <w:top w:val="single" w:sz="4" w:space="0" w:color="auto"/>
              <w:left w:val="nil"/>
              <w:bottom w:val="nil"/>
              <w:right w:val="nil"/>
            </w:tcBorders>
            <w:noWrap/>
            <w:vAlign w:val="bottom"/>
            <w:hideMark/>
          </w:tcPr>
          <w:p w14:paraId="2817197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0.0831</w:t>
            </w:r>
          </w:p>
        </w:tc>
        <w:tc>
          <w:tcPr>
            <w:tcW w:w="876" w:type="dxa"/>
            <w:tcBorders>
              <w:top w:val="single" w:sz="4" w:space="0" w:color="auto"/>
              <w:left w:val="nil"/>
              <w:bottom w:val="nil"/>
              <w:right w:val="nil"/>
            </w:tcBorders>
            <w:noWrap/>
            <w:vAlign w:val="bottom"/>
            <w:hideMark/>
          </w:tcPr>
          <w:p w14:paraId="1939286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0.0831</w:t>
            </w:r>
          </w:p>
        </w:tc>
        <w:tc>
          <w:tcPr>
            <w:tcW w:w="1108" w:type="dxa"/>
            <w:tcBorders>
              <w:top w:val="single" w:sz="4" w:space="0" w:color="auto"/>
              <w:left w:val="nil"/>
              <w:bottom w:val="nil"/>
              <w:right w:val="nil"/>
            </w:tcBorders>
            <w:vAlign w:val="bottom"/>
          </w:tcPr>
          <w:p w14:paraId="40CFAB0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0.0830</w:t>
            </w:r>
          </w:p>
        </w:tc>
        <w:tc>
          <w:tcPr>
            <w:tcW w:w="961" w:type="dxa"/>
            <w:tcBorders>
              <w:top w:val="single" w:sz="4" w:space="0" w:color="auto"/>
              <w:left w:val="nil"/>
              <w:bottom w:val="nil"/>
              <w:right w:val="nil"/>
            </w:tcBorders>
            <w:noWrap/>
            <w:vAlign w:val="bottom"/>
            <w:hideMark/>
          </w:tcPr>
          <w:p w14:paraId="79E1A49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0.0164</w:t>
            </w:r>
          </w:p>
        </w:tc>
        <w:tc>
          <w:tcPr>
            <w:tcW w:w="876" w:type="dxa"/>
            <w:tcBorders>
              <w:top w:val="single" w:sz="4" w:space="0" w:color="auto"/>
              <w:left w:val="nil"/>
              <w:bottom w:val="nil"/>
              <w:right w:val="nil"/>
            </w:tcBorders>
            <w:noWrap/>
            <w:vAlign w:val="bottom"/>
            <w:hideMark/>
          </w:tcPr>
          <w:p w14:paraId="60749F7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0.0177</w:t>
            </w:r>
          </w:p>
        </w:tc>
        <w:tc>
          <w:tcPr>
            <w:tcW w:w="1081" w:type="dxa"/>
            <w:tcBorders>
              <w:top w:val="single" w:sz="4" w:space="0" w:color="auto"/>
              <w:left w:val="nil"/>
              <w:bottom w:val="nil"/>
              <w:right w:val="nil"/>
            </w:tcBorders>
            <w:vAlign w:val="bottom"/>
          </w:tcPr>
          <w:p w14:paraId="75161A8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0.0170</w:t>
            </w:r>
          </w:p>
        </w:tc>
        <w:tc>
          <w:tcPr>
            <w:tcW w:w="1022" w:type="dxa"/>
            <w:tcBorders>
              <w:top w:val="single" w:sz="4" w:space="0" w:color="auto"/>
              <w:left w:val="nil"/>
              <w:bottom w:val="nil"/>
              <w:right w:val="nil"/>
            </w:tcBorders>
            <w:noWrap/>
            <w:vAlign w:val="bottom"/>
            <w:hideMark/>
          </w:tcPr>
          <w:p w14:paraId="6C05854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0.3666</w:t>
            </w:r>
          </w:p>
        </w:tc>
        <w:tc>
          <w:tcPr>
            <w:tcW w:w="941" w:type="dxa"/>
            <w:tcBorders>
              <w:top w:val="single" w:sz="4" w:space="0" w:color="auto"/>
              <w:left w:val="nil"/>
              <w:bottom w:val="nil"/>
              <w:right w:val="nil"/>
            </w:tcBorders>
            <w:noWrap/>
            <w:vAlign w:val="bottom"/>
            <w:hideMark/>
          </w:tcPr>
          <w:p w14:paraId="2AD646D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0.3926</w:t>
            </w:r>
          </w:p>
        </w:tc>
        <w:tc>
          <w:tcPr>
            <w:tcW w:w="998" w:type="dxa"/>
            <w:tcBorders>
              <w:top w:val="single" w:sz="4" w:space="0" w:color="auto"/>
              <w:left w:val="nil"/>
              <w:bottom w:val="nil"/>
              <w:right w:val="nil"/>
            </w:tcBorders>
            <w:vAlign w:val="bottom"/>
          </w:tcPr>
          <w:p w14:paraId="796958E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0.3796</w:t>
            </w:r>
          </w:p>
        </w:tc>
        <w:tc>
          <w:tcPr>
            <w:tcW w:w="1039" w:type="dxa"/>
            <w:tcBorders>
              <w:top w:val="single" w:sz="4" w:space="0" w:color="auto"/>
              <w:left w:val="nil"/>
              <w:bottom w:val="nil"/>
              <w:right w:val="nil"/>
            </w:tcBorders>
            <w:vAlign w:val="bottom"/>
          </w:tcPr>
          <w:p w14:paraId="5985C20F"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0.0036</w:t>
            </w:r>
          </w:p>
        </w:tc>
        <w:tc>
          <w:tcPr>
            <w:tcW w:w="1021" w:type="dxa"/>
            <w:tcBorders>
              <w:top w:val="single" w:sz="4" w:space="0" w:color="auto"/>
              <w:left w:val="nil"/>
              <w:bottom w:val="nil"/>
              <w:right w:val="nil"/>
            </w:tcBorders>
            <w:vAlign w:val="bottom"/>
          </w:tcPr>
          <w:p w14:paraId="7B728F63"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0.0044</w:t>
            </w:r>
          </w:p>
        </w:tc>
        <w:tc>
          <w:tcPr>
            <w:tcW w:w="1223" w:type="dxa"/>
            <w:tcBorders>
              <w:top w:val="single" w:sz="4" w:space="0" w:color="auto"/>
              <w:left w:val="nil"/>
              <w:bottom w:val="nil"/>
              <w:right w:val="nil"/>
            </w:tcBorders>
            <w:vAlign w:val="bottom"/>
          </w:tcPr>
          <w:p w14:paraId="74F3D647"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0.0040</w:t>
            </w:r>
          </w:p>
        </w:tc>
      </w:tr>
      <w:tr w:rsidR="007E0A41" w:rsidRPr="00D1336B" w14:paraId="2A03149C" w14:textId="77777777" w:rsidTr="007E0A41">
        <w:trPr>
          <w:trHeight w:val="217"/>
        </w:trPr>
        <w:tc>
          <w:tcPr>
            <w:tcW w:w="638" w:type="dxa"/>
            <w:tcBorders>
              <w:top w:val="nil"/>
              <w:left w:val="nil"/>
              <w:bottom w:val="nil"/>
              <w:right w:val="nil"/>
            </w:tcBorders>
            <w:noWrap/>
            <w:hideMark/>
          </w:tcPr>
          <w:p w14:paraId="74FF615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2</w:t>
            </w:r>
          </w:p>
        </w:tc>
        <w:tc>
          <w:tcPr>
            <w:tcW w:w="2021" w:type="dxa"/>
            <w:tcBorders>
              <w:top w:val="nil"/>
              <w:left w:val="nil"/>
              <w:bottom w:val="nil"/>
              <w:right w:val="nil"/>
            </w:tcBorders>
            <w:vAlign w:val="center"/>
            <w:hideMark/>
          </w:tcPr>
          <w:p w14:paraId="0445489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iron @0.25%</w:t>
            </w:r>
          </w:p>
        </w:tc>
        <w:tc>
          <w:tcPr>
            <w:tcW w:w="1006" w:type="dxa"/>
            <w:tcBorders>
              <w:top w:val="nil"/>
              <w:left w:val="nil"/>
              <w:bottom w:val="nil"/>
              <w:right w:val="nil"/>
            </w:tcBorders>
            <w:noWrap/>
            <w:vAlign w:val="bottom"/>
            <w:hideMark/>
          </w:tcPr>
          <w:p w14:paraId="70FE1BD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0.0875</w:t>
            </w:r>
          </w:p>
        </w:tc>
        <w:tc>
          <w:tcPr>
            <w:tcW w:w="876" w:type="dxa"/>
            <w:tcBorders>
              <w:top w:val="nil"/>
              <w:left w:val="nil"/>
              <w:bottom w:val="nil"/>
              <w:right w:val="nil"/>
            </w:tcBorders>
            <w:noWrap/>
            <w:vAlign w:val="bottom"/>
            <w:hideMark/>
          </w:tcPr>
          <w:p w14:paraId="5F7E411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0.0871</w:t>
            </w:r>
          </w:p>
        </w:tc>
        <w:tc>
          <w:tcPr>
            <w:tcW w:w="1108" w:type="dxa"/>
            <w:tcBorders>
              <w:top w:val="nil"/>
              <w:left w:val="nil"/>
              <w:bottom w:val="nil"/>
              <w:right w:val="nil"/>
            </w:tcBorders>
            <w:vAlign w:val="bottom"/>
          </w:tcPr>
          <w:p w14:paraId="0995299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0.0873</w:t>
            </w:r>
          </w:p>
        </w:tc>
        <w:tc>
          <w:tcPr>
            <w:tcW w:w="961" w:type="dxa"/>
            <w:tcBorders>
              <w:top w:val="nil"/>
              <w:left w:val="nil"/>
              <w:bottom w:val="nil"/>
              <w:right w:val="nil"/>
            </w:tcBorders>
            <w:noWrap/>
            <w:vAlign w:val="bottom"/>
            <w:hideMark/>
          </w:tcPr>
          <w:p w14:paraId="3A694BD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0.0180</w:t>
            </w:r>
          </w:p>
        </w:tc>
        <w:tc>
          <w:tcPr>
            <w:tcW w:w="876" w:type="dxa"/>
            <w:tcBorders>
              <w:top w:val="nil"/>
              <w:left w:val="nil"/>
              <w:bottom w:val="nil"/>
              <w:right w:val="nil"/>
            </w:tcBorders>
            <w:noWrap/>
            <w:vAlign w:val="bottom"/>
            <w:hideMark/>
          </w:tcPr>
          <w:p w14:paraId="748F439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0.0184</w:t>
            </w:r>
          </w:p>
        </w:tc>
        <w:tc>
          <w:tcPr>
            <w:tcW w:w="1081" w:type="dxa"/>
            <w:tcBorders>
              <w:top w:val="nil"/>
              <w:left w:val="nil"/>
              <w:bottom w:val="nil"/>
              <w:right w:val="nil"/>
            </w:tcBorders>
            <w:vAlign w:val="bottom"/>
          </w:tcPr>
          <w:p w14:paraId="37217C9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0.0183</w:t>
            </w:r>
          </w:p>
        </w:tc>
        <w:tc>
          <w:tcPr>
            <w:tcW w:w="1022" w:type="dxa"/>
            <w:tcBorders>
              <w:top w:val="nil"/>
              <w:left w:val="nil"/>
              <w:bottom w:val="nil"/>
              <w:right w:val="nil"/>
            </w:tcBorders>
            <w:noWrap/>
            <w:vAlign w:val="bottom"/>
            <w:hideMark/>
          </w:tcPr>
          <w:p w14:paraId="1AB6245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0.7861</w:t>
            </w:r>
          </w:p>
        </w:tc>
        <w:tc>
          <w:tcPr>
            <w:tcW w:w="941" w:type="dxa"/>
            <w:tcBorders>
              <w:top w:val="nil"/>
              <w:left w:val="nil"/>
              <w:bottom w:val="nil"/>
              <w:right w:val="nil"/>
            </w:tcBorders>
            <w:noWrap/>
            <w:vAlign w:val="bottom"/>
            <w:hideMark/>
          </w:tcPr>
          <w:p w14:paraId="589D1C3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0.7426</w:t>
            </w:r>
          </w:p>
        </w:tc>
        <w:tc>
          <w:tcPr>
            <w:tcW w:w="998" w:type="dxa"/>
            <w:tcBorders>
              <w:top w:val="nil"/>
              <w:left w:val="nil"/>
              <w:bottom w:val="nil"/>
              <w:right w:val="nil"/>
            </w:tcBorders>
            <w:vAlign w:val="bottom"/>
          </w:tcPr>
          <w:p w14:paraId="1E51029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0.7643</w:t>
            </w:r>
          </w:p>
        </w:tc>
        <w:tc>
          <w:tcPr>
            <w:tcW w:w="1039" w:type="dxa"/>
            <w:tcBorders>
              <w:top w:val="nil"/>
              <w:left w:val="nil"/>
              <w:bottom w:val="nil"/>
              <w:right w:val="nil"/>
            </w:tcBorders>
            <w:vAlign w:val="bottom"/>
          </w:tcPr>
          <w:p w14:paraId="24DD17B3"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0.0099</w:t>
            </w:r>
          </w:p>
        </w:tc>
        <w:tc>
          <w:tcPr>
            <w:tcW w:w="1021" w:type="dxa"/>
            <w:tcBorders>
              <w:top w:val="nil"/>
              <w:left w:val="nil"/>
              <w:bottom w:val="nil"/>
              <w:right w:val="nil"/>
            </w:tcBorders>
            <w:vAlign w:val="bottom"/>
          </w:tcPr>
          <w:p w14:paraId="50E2F462"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0.0095</w:t>
            </w:r>
          </w:p>
        </w:tc>
        <w:tc>
          <w:tcPr>
            <w:tcW w:w="1223" w:type="dxa"/>
            <w:tcBorders>
              <w:top w:val="nil"/>
              <w:left w:val="nil"/>
              <w:bottom w:val="nil"/>
              <w:right w:val="nil"/>
            </w:tcBorders>
            <w:vAlign w:val="bottom"/>
          </w:tcPr>
          <w:p w14:paraId="2DC642F2"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0.0097</w:t>
            </w:r>
          </w:p>
        </w:tc>
      </w:tr>
      <w:tr w:rsidR="007E0A41" w:rsidRPr="00D1336B" w14:paraId="606CE40D" w14:textId="77777777" w:rsidTr="007E0A41">
        <w:trPr>
          <w:trHeight w:val="217"/>
        </w:trPr>
        <w:tc>
          <w:tcPr>
            <w:tcW w:w="638" w:type="dxa"/>
            <w:tcBorders>
              <w:top w:val="nil"/>
              <w:left w:val="nil"/>
              <w:bottom w:val="nil"/>
              <w:right w:val="nil"/>
            </w:tcBorders>
            <w:noWrap/>
            <w:hideMark/>
          </w:tcPr>
          <w:p w14:paraId="533A5E3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3</w:t>
            </w:r>
          </w:p>
        </w:tc>
        <w:tc>
          <w:tcPr>
            <w:tcW w:w="2021" w:type="dxa"/>
            <w:tcBorders>
              <w:top w:val="nil"/>
              <w:left w:val="nil"/>
              <w:bottom w:val="nil"/>
              <w:right w:val="nil"/>
            </w:tcBorders>
            <w:vAlign w:val="center"/>
            <w:hideMark/>
          </w:tcPr>
          <w:p w14:paraId="013D510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iron @0.50%</w:t>
            </w:r>
          </w:p>
        </w:tc>
        <w:tc>
          <w:tcPr>
            <w:tcW w:w="1006" w:type="dxa"/>
            <w:tcBorders>
              <w:top w:val="nil"/>
              <w:left w:val="nil"/>
              <w:bottom w:val="nil"/>
              <w:right w:val="nil"/>
            </w:tcBorders>
            <w:noWrap/>
            <w:vAlign w:val="bottom"/>
            <w:hideMark/>
          </w:tcPr>
          <w:p w14:paraId="285951D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0.0901</w:t>
            </w:r>
          </w:p>
        </w:tc>
        <w:tc>
          <w:tcPr>
            <w:tcW w:w="876" w:type="dxa"/>
            <w:tcBorders>
              <w:top w:val="nil"/>
              <w:left w:val="nil"/>
              <w:bottom w:val="nil"/>
              <w:right w:val="nil"/>
            </w:tcBorders>
            <w:noWrap/>
            <w:vAlign w:val="bottom"/>
            <w:hideMark/>
          </w:tcPr>
          <w:p w14:paraId="05A604C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0.0900</w:t>
            </w:r>
          </w:p>
        </w:tc>
        <w:tc>
          <w:tcPr>
            <w:tcW w:w="1108" w:type="dxa"/>
            <w:tcBorders>
              <w:top w:val="nil"/>
              <w:left w:val="nil"/>
              <w:bottom w:val="nil"/>
              <w:right w:val="nil"/>
            </w:tcBorders>
            <w:vAlign w:val="bottom"/>
          </w:tcPr>
          <w:p w14:paraId="4D11C01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0.0900</w:t>
            </w:r>
          </w:p>
        </w:tc>
        <w:tc>
          <w:tcPr>
            <w:tcW w:w="961" w:type="dxa"/>
            <w:tcBorders>
              <w:top w:val="nil"/>
              <w:left w:val="nil"/>
              <w:bottom w:val="nil"/>
              <w:right w:val="nil"/>
            </w:tcBorders>
            <w:noWrap/>
            <w:vAlign w:val="bottom"/>
            <w:hideMark/>
          </w:tcPr>
          <w:p w14:paraId="3D03DFC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0.0160</w:t>
            </w:r>
          </w:p>
        </w:tc>
        <w:tc>
          <w:tcPr>
            <w:tcW w:w="876" w:type="dxa"/>
            <w:tcBorders>
              <w:top w:val="nil"/>
              <w:left w:val="nil"/>
              <w:bottom w:val="nil"/>
              <w:right w:val="nil"/>
            </w:tcBorders>
            <w:noWrap/>
            <w:vAlign w:val="bottom"/>
            <w:hideMark/>
          </w:tcPr>
          <w:p w14:paraId="58ABCEB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0.0160</w:t>
            </w:r>
          </w:p>
        </w:tc>
        <w:tc>
          <w:tcPr>
            <w:tcW w:w="1081" w:type="dxa"/>
            <w:tcBorders>
              <w:top w:val="nil"/>
              <w:left w:val="nil"/>
              <w:bottom w:val="nil"/>
              <w:right w:val="nil"/>
            </w:tcBorders>
            <w:vAlign w:val="bottom"/>
          </w:tcPr>
          <w:p w14:paraId="5226605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0.0160</w:t>
            </w:r>
          </w:p>
        </w:tc>
        <w:tc>
          <w:tcPr>
            <w:tcW w:w="1022" w:type="dxa"/>
            <w:tcBorders>
              <w:top w:val="nil"/>
              <w:left w:val="nil"/>
              <w:bottom w:val="nil"/>
              <w:right w:val="nil"/>
            </w:tcBorders>
            <w:noWrap/>
            <w:vAlign w:val="bottom"/>
            <w:hideMark/>
          </w:tcPr>
          <w:p w14:paraId="254B520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0.8641</w:t>
            </w:r>
          </w:p>
        </w:tc>
        <w:tc>
          <w:tcPr>
            <w:tcW w:w="941" w:type="dxa"/>
            <w:tcBorders>
              <w:top w:val="nil"/>
              <w:left w:val="nil"/>
              <w:bottom w:val="nil"/>
              <w:right w:val="nil"/>
            </w:tcBorders>
            <w:noWrap/>
            <w:vAlign w:val="bottom"/>
            <w:hideMark/>
          </w:tcPr>
          <w:p w14:paraId="5596E7F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0.8954</w:t>
            </w:r>
          </w:p>
        </w:tc>
        <w:tc>
          <w:tcPr>
            <w:tcW w:w="998" w:type="dxa"/>
            <w:tcBorders>
              <w:top w:val="nil"/>
              <w:left w:val="nil"/>
              <w:bottom w:val="nil"/>
              <w:right w:val="nil"/>
            </w:tcBorders>
            <w:vAlign w:val="bottom"/>
          </w:tcPr>
          <w:p w14:paraId="194E515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0.8797</w:t>
            </w:r>
          </w:p>
        </w:tc>
        <w:tc>
          <w:tcPr>
            <w:tcW w:w="1039" w:type="dxa"/>
            <w:tcBorders>
              <w:top w:val="nil"/>
              <w:left w:val="nil"/>
              <w:bottom w:val="nil"/>
              <w:right w:val="nil"/>
            </w:tcBorders>
            <w:vAlign w:val="bottom"/>
          </w:tcPr>
          <w:p w14:paraId="6C924EB0"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0.0135</w:t>
            </w:r>
          </w:p>
        </w:tc>
        <w:tc>
          <w:tcPr>
            <w:tcW w:w="1021" w:type="dxa"/>
            <w:tcBorders>
              <w:top w:val="nil"/>
              <w:left w:val="nil"/>
              <w:bottom w:val="nil"/>
              <w:right w:val="nil"/>
            </w:tcBorders>
            <w:vAlign w:val="bottom"/>
          </w:tcPr>
          <w:p w14:paraId="43E1B3F8"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0.0171</w:t>
            </w:r>
          </w:p>
        </w:tc>
        <w:tc>
          <w:tcPr>
            <w:tcW w:w="1223" w:type="dxa"/>
            <w:tcBorders>
              <w:top w:val="nil"/>
              <w:left w:val="nil"/>
              <w:bottom w:val="nil"/>
              <w:right w:val="nil"/>
            </w:tcBorders>
            <w:vAlign w:val="bottom"/>
          </w:tcPr>
          <w:p w14:paraId="44C1F8A6"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0.0153</w:t>
            </w:r>
          </w:p>
        </w:tc>
      </w:tr>
      <w:tr w:rsidR="007E0A41" w:rsidRPr="00D1336B" w14:paraId="699EDE84" w14:textId="77777777" w:rsidTr="007E0A41">
        <w:trPr>
          <w:trHeight w:val="217"/>
        </w:trPr>
        <w:tc>
          <w:tcPr>
            <w:tcW w:w="638" w:type="dxa"/>
            <w:tcBorders>
              <w:top w:val="nil"/>
              <w:left w:val="nil"/>
              <w:bottom w:val="nil"/>
              <w:right w:val="nil"/>
            </w:tcBorders>
            <w:noWrap/>
            <w:hideMark/>
          </w:tcPr>
          <w:p w14:paraId="4C75A83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4</w:t>
            </w:r>
          </w:p>
        </w:tc>
        <w:tc>
          <w:tcPr>
            <w:tcW w:w="2021" w:type="dxa"/>
            <w:tcBorders>
              <w:top w:val="nil"/>
              <w:left w:val="nil"/>
              <w:bottom w:val="nil"/>
              <w:right w:val="nil"/>
            </w:tcBorders>
            <w:vAlign w:val="center"/>
            <w:hideMark/>
          </w:tcPr>
          <w:p w14:paraId="58C2B8C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iron @0.75%</w:t>
            </w:r>
          </w:p>
        </w:tc>
        <w:tc>
          <w:tcPr>
            <w:tcW w:w="1006" w:type="dxa"/>
            <w:tcBorders>
              <w:top w:val="nil"/>
              <w:left w:val="nil"/>
              <w:bottom w:val="nil"/>
              <w:right w:val="nil"/>
            </w:tcBorders>
            <w:noWrap/>
            <w:vAlign w:val="bottom"/>
            <w:hideMark/>
          </w:tcPr>
          <w:p w14:paraId="41381EC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0.0919</w:t>
            </w:r>
          </w:p>
        </w:tc>
        <w:tc>
          <w:tcPr>
            <w:tcW w:w="876" w:type="dxa"/>
            <w:tcBorders>
              <w:top w:val="nil"/>
              <w:left w:val="nil"/>
              <w:bottom w:val="nil"/>
              <w:right w:val="nil"/>
            </w:tcBorders>
            <w:noWrap/>
            <w:vAlign w:val="bottom"/>
            <w:hideMark/>
          </w:tcPr>
          <w:p w14:paraId="2101D31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0.0920</w:t>
            </w:r>
          </w:p>
        </w:tc>
        <w:tc>
          <w:tcPr>
            <w:tcW w:w="1108" w:type="dxa"/>
            <w:tcBorders>
              <w:top w:val="nil"/>
              <w:left w:val="nil"/>
              <w:bottom w:val="nil"/>
              <w:right w:val="nil"/>
            </w:tcBorders>
            <w:vAlign w:val="bottom"/>
          </w:tcPr>
          <w:p w14:paraId="5E0C23E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0.0919</w:t>
            </w:r>
          </w:p>
        </w:tc>
        <w:tc>
          <w:tcPr>
            <w:tcW w:w="961" w:type="dxa"/>
            <w:tcBorders>
              <w:top w:val="nil"/>
              <w:left w:val="nil"/>
              <w:bottom w:val="nil"/>
              <w:right w:val="nil"/>
            </w:tcBorders>
            <w:noWrap/>
            <w:vAlign w:val="bottom"/>
            <w:hideMark/>
          </w:tcPr>
          <w:p w14:paraId="12CA02C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0.0149</w:t>
            </w:r>
          </w:p>
        </w:tc>
        <w:tc>
          <w:tcPr>
            <w:tcW w:w="876" w:type="dxa"/>
            <w:tcBorders>
              <w:top w:val="nil"/>
              <w:left w:val="nil"/>
              <w:bottom w:val="nil"/>
              <w:right w:val="nil"/>
            </w:tcBorders>
            <w:noWrap/>
            <w:vAlign w:val="bottom"/>
            <w:hideMark/>
          </w:tcPr>
          <w:p w14:paraId="6AD9460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0.0148</w:t>
            </w:r>
          </w:p>
        </w:tc>
        <w:tc>
          <w:tcPr>
            <w:tcW w:w="1081" w:type="dxa"/>
            <w:tcBorders>
              <w:top w:val="nil"/>
              <w:left w:val="nil"/>
              <w:bottom w:val="nil"/>
              <w:right w:val="nil"/>
            </w:tcBorders>
            <w:vAlign w:val="bottom"/>
          </w:tcPr>
          <w:p w14:paraId="2C61AF6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0.0148</w:t>
            </w:r>
          </w:p>
        </w:tc>
        <w:tc>
          <w:tcPr>
            <w:tcW w:w="1022" w:type="dxa"/>
            <w:tcBorders>
              <w:top w:val="nil"/>
              <w:left w:val="nil"/>
              <w:bottom w:val="nil"/>
              <w:right w:val="nil"/>
            </w:tcBorders>
            <w:noWrap/>
            <w:vAlign w:val="bottom"/>
            <w:hideMark/>
          </w:tcPr>
          <w:p w14:paraId="3A91CE8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1.0634</w:t>
            </w:r>
          </w:p>
        </w:tc>
        <w:tc>
          <w:tcPr>
            <w:tcW w:w="941" w:type="dxa"/>
            <w:tcBorders>
              <w:top w:val="nil"/>
              <w:left w:val="nil"/>
              <w:bottom w:val="nil"/>
              <w:right w:val="nil"/>
            </w:tcBorders>
            <w:noWrap/>
            <w:vAlign w:val="bottom"/>
            <w:hideMark/>
          </w:tcPr>
          <w:p w14:paraId="06AC733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1.1603</w:t>
            </w:r>
          </w:p>
        </w:tc>
        <w:tc>
          <w:tcPr>
            <w:tcW w:w="998" w:type="dxa"/>
            <w:tcBorders>
              <w:top w:val="nil"/>
              <w:left w:val="nil"/>
              <w:bottom w:val="nil"/>
              <w:right w:val="nil"/>
            </w:tcBorders>
            <w:vAlign w:val="bottom"/>
          </w:tcPr>
          <w:p w14:paraId="20CD204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0.1119</w:t>
            </w:r>
          </w:p>
        </w:tc>
        <w:tc>
          <w:tcPr>
            <w:tcW w:w="1039" w:type="dxa"/>
            <w:tcBorders>
              <w:top w:val="nil"/>
              <w:left w:val="nil"/>
              <w:bottom w:val="nil"/>
              <w:right w:val="nil"/>
            </w:tcBorders>
            <w:vAlign w:val="bottom"/>
          </w:tcPr>
          <w:p w14:paraId="785D3EED"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0.0298</w:t>
            </w:r>
          </w:p>
        </w:tc>
        <w:tc>
          <w:tcPr>
            <w:tcW w:w="1021" w:type="dxa"/>
            <w:tcBorders>
              <w:top w:val="nil"/>
              <w:left w:val="nil"/>
              <w:bottom w:val="nil"/>
              <w:right w:val="nil"/>
            </w:tcBorders>
            <w:vAlign w:val="bottom"/>
          </w:tcPr>
          <w:p w14:paraId="2C440E33"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0.0241</w:t>
            </w:r>
          </w:p>
        </w:tc>
        <w:tc>
          <w:tcPr>
            <w:tcW w:w="1223" w:type="dxa"/>
            <w:tcBorders>
              <w:top w:val="nil"/>
              <w:left w:val="nil"/>
              <w:bottom w:val="nil"/>
              <w:right w:val="nil"/>
            </w:tcBorders>
            <w:vAlign w:val="bottom"/>
          </w:tcPr>
          <w:p w14:paraId="49E176FF"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0.0269</w:t>
            </w:r>
          </w:p>
        </w:tc>
      </w:tr>
      <w:tr w:rsidR="007E0A41" w:rsidRPr="00D1336B" w14:paraId="347F690B" w14:textId="77777777" w:rsidTr="007E0A41">
        <w:trPr>
          <w:trHeight w:val="236"/>
        </w:trPr>
        <w:tc>
          <w:tcPr>
            <w:tcW w:w="638" w:type="dxa"/>
            <w:tcBorders>
              <w:top w:val="nil"/>
              <w:left w:val="nil"/>
              <w:bottom w:val="nil"/>
              <w:right w:val="nil"/>
            </w:tcBorders>
            <w:noWrap/>
            <w:hideMark/>
          </w:tcPr>
          <w:p w14:paraId="0ECB4B8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5</w:t>
            </w:r>
          </w:p>
        </w:tc>
        <w:tc>
          <w:tcPr>
            <w:tcW w:w="2021" w:type="dxa"/>
            <w:tcBorders>
              <w:top w:val="nil"/>
              <w:left w:val="nil"/>
              <w:bottom w:val="nil"/>
              <w:right w:val="nil"/>
            </w:tcBorders>
            <w:vAlign w:val="center"/>
            <w:hideMark/>
          </w:tcPr>
          <w:p w14:paraId="281DC1F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FeSO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@0.25%</w:t>
            </w:r>
          </w:p>
        </w:tc>
        <w:tc>
          <w:tcPr>
            <w:tcW w:w="1006" w:type="dxa"/>
            <w:tcBorders>
              <w:top w:val="nil"/>
              <w:left w:val="nil"/>
              <w:bottom w:val="nil"/>
              <w:right w:val="nil"/>
            </w:tcBorders>
            <w:noWrap/>
            <w:vAlign w:val="bottom"/>
            <w:hideMark/>
          </w:tcPr>
          <w:p w14:paraId="18A678C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0.0882</w:t>
            </w:r>
          </w:p>
        </w:tc>
        <w:tc>
          <w:tcPr>
            <w:tcW w:w="876" w:type="dxa"/>
            <w:tcBorders>
              <w:top w:val="nil"/>
              <w:left w:val="nil"/>
              <w:bottom w:val="nil"/>
              <w:right w:val="nil"/>
            </w:tcBorders>
            <w:noWrap/>
            <w:vAlign w:val="bottom"/>
            <w:hideMark/>
          </w:tcPr>
          <w:p w14:paraId="4574E4B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0.0879</w:t>
            </w:r>
          </w:p>
        </w:tc>
        <w:tc>
          <w:tcPr>
            <w:tcW w:w="1108" w:type="dxa"/>
            <w:tcBorders>
              <w:top w:val="nil"/>
              <w:left w:val="nil"/>
              <w:bottom w:val="nil"/>
              <w:right w:val="nil"/>
            </w:tcBorders>
            <w:vAlign w:val="bottom"/>
          </w:tcPr>
          <w:p w14:paraId="3076A8E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0.0881</w:t>
            </w:r>
          </w:p>
        </w:tc>
        <w:tc>
          <w:tcPr>
            <w:tcW w:w="961" w:type="dxa"/>
            <w:tcBorders>
              <w:top w:val="nil"/>
              <w:left w:val="nil"/>
              <w:bottom w:val="nil"/>
              <w:right w:val="nil"/>
            </w:tcBorders>
            <w:noWrap/>
            <w:vAlign w:val="bottom"/>
            <w:hideMark/>
          </w:tcPr>
          <w:p w14:paraId="5339914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0.0165</w:t>
            </w:r>
          </w:p>
        </w:tc>
        <w:tc>
          <w:tcPr>
            <w:tcW w:w="876" w:type="dxa"/>
            <w:tcBorders>
              <w:top w:val="nil"/>
              <w:left w:val="nil"/>
              <w:bottom w:val="nil"/>
              <w:right w:val="nil"/>
            </w:tcBorders>
            <w:noWrap/>
            <w:vAlign w:val="bottom"/>
            <w:hideMark/>
          </w:tcPr>
          <w:p w14:paraId="628682C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0.0167</w:t>
            </w:r>
          </w:p>
        </w:tc>
        <w:tc>
          <w:tcPr>
            <w:tcW w:w="1081" w:type="dxa"/>
            <w:tcBorders>
              <w:top w:val="nil"/>
              <w:left w:val="nil"/>
              <w:bottom w:val="nil"/>
              <w:right w:val="nil"/>
            </w:tcBorders>
            <w:vAlign w:val="bottom"/>
          </w:tcPr>
          <w:p w14:paraId="5D547C3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0.0166</w:t>
            </w:r>
          </w:p>
        </w:tc>
        <w:tc>
          <w:tcPr>
            <w:tcW w:w="1022" w:type="dxa"/>
            <w:tcBorders>
              <w:top w:val="nil"/>
              <w:left w:val="nil"/>
              <w:bottom w:val="nil"/>
              <w:right w:val="nil"/>
            </w:tcBorders>
            <w:noWrap/>
            <w:vAlign w:val="bottom"/>
            <w:hideMark/>
          </w:tcPr>
          <w:p w14:paraId="0D2E14F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0.6558</w:t>
            </w:r>
          </w:p>
        </w:tc>
        <w:tc>
          <w:tcPr>
            <w:tcW w:w="941" w:type="dxa"/>
            <w:tcBorders>
              <w:top w:val="nil"/>
              <w:left w:val="nil"/>
              <w:bottom w:val="nil"/>
              <w:right w:val="nil"/>
            </w:tcBorders>
            <w:noWrap/>
            <w:vAlign w:val="bottom"/>
            <w:hideMark/>
          </w:tcPr>
          <w:p w14:paraId="3BE7DA9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0.6100</w:t>
            </w:r>
          </w:p>
        </w:tc>
        <w:tc>
          <w:tcPr>
            <w:tcW w:w="998" w:type="dxa"/>
            <w:tcBorders>
              <w:top w:val="nil"/>
              <w:left w:val="nil"/>
              <w:bottom w:val="nil"/>
              <w:right w:val="nil"/>
            </w:tcBorders>
            <w:vAlign w:val="bottom"/>
          </w:tcPr>
          <w:p w14:paraId="48B8D06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0.6329</w:t>
            </w:r>
          </w:p>
        </w:tc>
        <w:tc>
          <w:tcPr>
            <w:tcW w:w="1039" w:type="dxa"/>
            <w:tcBorders>
              <w:top w:val="nil"/>
              <w:left w:val="nil"/>
              <w:bottom w:val="nil"/>
              <w:right w:val="nil"/>
            </w:tcBorders>
            <w:vAlign w:val="bottom"/>
          </w:tcPr>
          <w:p w14:paraId="751FF68D"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0.0038</w:t>
            </w:r>
          </w:p>
        </w:tc>
        <w:tc>
          <w:tcPr>
            <w:tcW w:w="1021" w:type="dxa"/>
            <w:tcBorders>
              <w:top w:val="nil"/>
              <w:left w:val="nil"/>
              <w:bottom w:val="nil"/>
              <w:right w:val="nil"/>
            </w:tcBorders>
            <w:vAlign w:val="bottom"/>
          </w:tcPr>
          <w:p w14:paraId="66427814"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0.0057</w:t>
            </w:r>
          </w:p>
        </w:tc>
        <w:tc>
          <w:tcPr>
            <w:tcW w:w="1223" w:type="dxa"/>
            <w:tcBorders>
              <w:top w:val="nil"/>
              <w:left w:val="nil"/>
              <w:bottom w:val="nil"/>
              <w:right w:val="nil"/>
            </w:tcBorders>
            <w:vAlign w:val="bottom"/>
          </w:tcPr>
          <w:p w14:paraId="1F059705"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0.0047</w:t>
            </w:r>
          </w:p>
        </w:tc>
      </w:tr>
      <w:tr w:rsidR="007E0A41" w:rsidRPr="00D1336B" w14:paraId="264D101C" w14:textId="77777777" w:rsidTr="007E0A41">
        <w:trPr>
          <w:trHeight w:val="236"/>
        </w:trPr>
        <w:tc>
          <w:tcPr>
            <w:tcW w:w="638" w:type="dxa"/>
            <w:tcBorders>
              <w:top w:val="nil"/>
              <w:left w:val="nil"/>
              <w:bottom w:val="nil"/>
              <w:right w:val="nil"/>
            </w:tcBorders>
            <w:noWrap/>
            <w:hideMark/>
          </w:tcPr>
          <w:p w14:paraId="16ED96C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6</w:t>
            </w:r>
          </w:p>
        </w:tc>
        <w:tc>
          <w:tcPr>
            <w:tcW w:w="2021" w:type="dxa"/>
            <w:tcBorders>
              <w:top w:val="nil"/>
              <w:left w:val="nil"/>
              <w:bottom w:val="nil"/>
              <w:right w:val="nil"/>
            </w:tcBorders>
            <w:vAlign w:val="center"/>
            <w:hideMark/>
          </w:tcPr>
          <w:p w14:paraId="33BD0FB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FeSO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@0.50%</w:t>
            </w:r>
          </w:p>
        </w:tc>
        <w:tc>
          <w:tcPr>
            <w:tcW w:w="1006" w:type="dxa"/>
            <w:tcBorders>
              <w:top w:val="nil"/>
              <w:left w:val="nil"/>
              <w:bottom w:val="nil"/>
              <w:right w:val="nil"/>
            </w:tcBorders>
            <w:noWrap/>
            <w:vAlign w:val="bottom"/>
            <w:hideMark/>
          </w:tcPr>
          <w:p w14:paraId="7711337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0.0895</w:t>
            </w:r>
          </w:p>
        </w:tc>
        <w:tc>
          <w:tcPr>
            <w:tcW w:w="876" w:type="dxa"/>
            <w:tcBorders>
              <w:top w:val="nil"/>
              <w:left w:val="nil"/>
              <w:bottom w:val="nil"/>
              <w:right w:val="nil"/>
            </w:tcBorders>
            <w:noWrap/>
            <w:vAlign w:val="bottom"/>
            <w:hideMark/>
          </w:tcPr>
          <w:p w14:paraId="69EFBDA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0.0894</w:t>
            </w:r>
          </w:p>
        </w:tc>
        <w:tc>
          <w:tcPr>
            <w:tcW w:w="1108" w:type="dxa"/>
            <w:tcBorders>
              <w:top w:val="nil"/>
              <w:left w:val="nil"/>
              <w:bottom w:val="nil"/>
              <w:right w:val="nil"/>
            </w:tcBorders>
            <w:vAlign w:val="bottom"/>
          </w:tcPr>
          <w:p w14:paraId="2D4BD20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0.0894</w:t>
            </w:r>
          </w:p>
        </w:tc>
        <w:tc>
          <w:tcPr>
            <w:tcW w:w="961" w:type="dxa"/>
            <w:tcBorders>
              <w:top w:val="nil"/>
              <w:left w:val="nil"/>
              <w:bottom w:val="nil"/>
              <w:right w:val="nil"/>
            </w:tcBorders>
            <w:noWrap/>
            <w:vAlign w:val="bottom"/>
            <w:hideMark/>
          </w:tcPr>
          <w:p w14:paraId="50C594B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0.0154</w:t>
            </w:r>
          </w:p>
        </w:tc>
        <w:tc>
          <w:tcPr>
            <w:tcW w:w="876" w:type="dxa"/>
            <w:tcBorders>
              <w:top w:val="nil"/>
              <w:left w:val="nil"/>
              <w:bottom w:val="nil"/>
              <w:right w:val="nil"/>
            </w:tcBorders>
            <w:noWrap/>
            <w:vAlign w:val="bottom"/>
            <w:hideMark/>
          </w:tcPr>
          <w:p w14:paraId="46E6E41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0.0159</w:t>
            </w:r>
          </w:p>
        </w:tc>
        <w:tc>
          <w:tcPr>
            <w:tcW w:w="1081" w:type="dxa"/>
            <w:tcBorders>
              <w:top w:val="nil"/>
              <w:left w:val="nil"/>
              <w:bottom w:val="nil"/>
              <w:right w:val="nil"/>
            </w:tcBorders>
            <w:vAlign w:val="bottom"/>
          </w:tcPr>
          <w:p w14:paraId="22C9BF6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0.0157</w:t>
            </w:r>
          </w:p>
        </w:tc>
        <w:tc>
          <w:tcPr>
            <w:tcW w:w="1022" w:type="dxa"/>
            <w:tcBorders>
              <w:top w:val="nil"/>
              <w:left w:val="nil"/>
              <w:bottom w:val="nil"/>
              <w:right w:val="nil"/>
            </w:tcBorders>
            <w:noWrap/>
            <w:vAlign w:val="bottom"/>
            <w:hideMark/>
          </w:tcPr>
          <w:p w14:paraId="30C13D0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0.6810</w:t>
            </w:r>
          </w:p>
        </w:tc>
        <w:tc>
          <w:tcPr>
            <w:tcW w:w="941" w:type="dxa"/>
            <w:tcBorders>
              <w:top w:val="nil"/>
              <w:left w:val="nil"/>
              <w:bottom w:val="nil"/>
              <w:right w:val="nil"/>
            </w:tcBorders>
            <w:noWrap/>
            <w:vAlign w:val="bottom"/>
            <w:hideMark/>
          </w:tcPr>
          <w:p w14:paraId="004EB7C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0.5762</w:t>
            </w:r>
          </w:p>
        </w:tc>
        <w:tc>
          <w:tcPr>
            <w:tcW w:w="998" w:type="dxa"/>
            <w:tcBorders>
              <w:top w:val="nil"/>
              <w:left w:val="nil"/>
              <w:bottom w:val="nil"/>
              <w:right w:val="nil"/>
            </w:tcBorders>
            <w:vAlign w:val="bottom"/>
          </w:tcPr>
          <w:p w14:paraId="66EDAB7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0.6286</w:t>
            </w:r>
          </w:p>
        </w:tc>
        <w:tc>
          <w:tcPr>
            <w:tcW w:w="1039" w:type="dxa"/>
            <w:tcBorders>
              <w:top w:val="nil"/>
              <w:left w:val="nil"/>
              <w:bottom w:val="nil"/>
              <w:right w:val="nil"/>
            </w:tcBorders>
            <w:vAlign w:val="bottom"/>
          </w:tcPr>
          <w:p w14:paraId="46D770A3"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0.0050</w:t>
            </w:r>
          </w:p>
        </w:tc>
        <w:tc>
          <w:tcPr>
            <w:tcW w:w="1021" w:type="dxa"/>
            <w:tcBorders>
              <w:top w:val="nil"/>
              <w:left w:val="nil"/>
              <w:bottom w:val="nil"/>
              <w:right w:val="nil"/>
            </w:tcBorders>
            <w:vAlign w:val="bottom"/>
          </w:tcPr>
          <w:p w14:paraId="5208E9DE"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0.0050</w:t>
            </w:r>
          </w:p>
        </w:tc>
        <w:tc>
          <w:tcPr>
            <w:tcW w:w="1223" w:type="dxa"/>
            <w:tcBorders>
              <w:top w:val="nil"/>
              <w:left w:val="nil"/>
              <w:bottom w:val="nil"/>
              <w:right w:val="nil"/>
            </w:tcBorders>
            <w:vAlign w:val="bottom"/>
          </w:tcPr>
          <w:p w14:paraId="3B00BC85"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0.0050</w:t>
            </w:r>
          </w:p>
        </w:tc>
      </w:tr>
      <w:tr w:rsidR="007E0A41" w:rsidRPr="00D1336B" w14:paraId="111D2882" w14:textId="77777777" w:rsidTr="007E0A41">
        <w:trPr>
          <w:trHeight w:val="236"/>
        </w:trPr>
        <w:tc>
          <w:tcPr>
            <w:tcW w:w="638" w:type="dxa"/>
            <w:tcBorders>
              <w:top w:val="nil"/>
              <w:left w:val="nil"/>
              <w:bottom w:val="nil"/>
              <w:right w:val="nil"/>
            </w:tcBorders>
            <w:noWrap/>
            <w:hideMark/>
          </w:tcPr>
          <w:p w14:paraId="756FDB2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7</w:t>
            </w:r>
          </w:p>
        </w:tc>
        <w:tc>
          <w:tcPr>
            <w:tcW w:w="2021" w:type="dxa"/>
            <w:tcBorders>
              <w:top w:val="nil"/>
              <w:left w:val="nil"/>
              <w:bottom w:val="nil"/>
              <w:right w:val="nil"/>
            </w:tcBorders>
            <w:vAlign w:val="center"/>
            <w:hideMark/>
          </w:tcPr>
          <w:p w14:paraId="5F38922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FeSO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@0.75%</w:t>
            </w:r>
          </w:p>
        </w:tc>
        <w:tc>
          <w:tcPr>
            <w:tcW w:w="1006" w:type="dxa"/>
            <w:tcBorders>
              <w:top w:val="nil"/>
              <w:left w:val="nil"/>
              <w:bottom w:val="nil"/>
              <w:right w:val="nil"/>
            </w:tcBorders>
            <w:noWrap/>
            <w:vAlign w:val="bottom"/>
            <w:hideMark/>
          </w:tcPr>
          <w:p w14:paraId="184CF58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0.0903</w:t>
            </w:r>
          </w:p>
        </w:tc>
        <w:tc>
          <w:tcPr>
            <w:tcW w:w="876" w:type="dxa"/>
            <w:tcBorders>
              <w:top w:val="nil"/>
              <w:left w:val="nil"/>
              <w:bottom w:val="nil"/>
              <w:right w:val="nil"/>
            </w:tcBorders>
            <w:noWrap/>
            <w:vAlign w:val="bottom"/>
            <w:hideMark/>
          </w:tcPr>
          <w:p w14:paraId="5B734D4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0.0900</w:t>
            </w:r>
          </w:p>
        </w:tc>
        <w:tc>
          <w:tcPr>
            <w:tcW w:w="1108" w:type="dxa"/>
            <w:tcBorders>
              <w:top w:val="nil"/>
              <w:left w:val="nil"/>
              <w:bottom w:val="nil"/>
              <w:right w:val="nil"/>
            </w:tcBorders>
            <w:vAlign w:val="bottom"/>
          </w:tcPr>
          <w:p w14:paraId="71694AF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0.0901</w:t>
            </w:r>
          </w:p>
        </w:tc>
        <w:tc>
          <w:tcPr>
            <w:tcW w:w="961" w:type="dxa"/>
            <w:tcBorders>
              <w:top w:val="nil"/>
              <w:left w:val="nil"/>
              <w:bottom w:val="nil"/>
              <w:right w:val="nil"/>
            </w:tcBorders>
            <w:noWrap/>
            <w:vAlign w:val="bottom"/>
            <w:hideMark/>
          </w:tcPr>
          <w:p w14:paraId="6F6E480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0.0162</w:t>
            </w:r>
          </w:p>
        </w:tc>
        <w:tc>
          <w:tcPr>
            <w:tcW w:w="876" w:type="dxa"/>
            <w:tcBorders>
              <w:top w:val="nil"/>
              <w:left w:val="nil"/>
              <w:bottom w:val="nil"/>
              <w:right w:val="nil"/>
            </w:tcBorders>
            <w:noWrap/>
            <w:vAlign w:val="bottom"/>
            <w:hideMark/>
          </w:tcPr>
          <w:p w14:paraId="74CD8A3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0.0164</w:t>
            </w:r>
          </w:p>
        </w:tc>
        <w:tc>
          <w:tcPr>
            <w:tcW w:w="1081" w:type="dxa"/>
            <w:tcBorders>
              <w:top w:val="nil"/>
              <w:left w:val="nil"/>
              <w:bottom w:val="nil"/>
              <w:right w:val="nil"/>
            </w:tcBorders>
            <w:vAlign w:val="bottom"/>
          </w:tcPr>
          <w:p w14:paraId="0C3BFB7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0.0163</w:t>
            </w:r>
          </w:p>
        </w:tc>
        <w:tc>
          <w:tcPr>
            <w:tcW w:w="1022" w:type="dxa"/>
            <w:tcBorders>
              <w:top w:val="nil"/>
              <w:left w:val="nil"/>
              <w:bottom w:val="nil"/>
              <w:right w:val="nil"/>
            </w:tcBorders>
            <w:noWrap/>
            <w:vAlign w:val="bottom"/>
            <w:hideMark/>
          </w:tcPr>
          <w:p w14:paraId="742B6AA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0.7699</w:t>
            </w:r>
          </w:p>
        </w:tc>
        <w:tc>
          <w:tcPr>
            <w:tcW w:w="941" w:type="dxa"/>
            <w:tcBorders>
              <w:top w:val="nil"/>
              <w:left w:val="nil"/>
              <w:bottom w:val="nil"/>
              <w:right w:val="nil"/>
            </w:tcBorders>
            <w:noWrap/>
            <w:vAlign w:val="bottom"/>
            <w:hideMark/>
          </w:tcPr>
          <w:p w14:paraId="40A6B79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0.8620</w:t>
            </w:r>
          </w:p>
        </w:tc>
        <w:tc>
          <w:tcPr>
            <w:tcW w:w="998" w:type="dxa"/>
            <w:tcBorders>
              <w:top w:val="nil"/>
              <w:left w:val="nil"/>
              <w:bottom w:val="nil"/>
              <w:right w:val="nil"/>
            </w:tcBorders>
            <w:vAlign w:val="bottom"/>
          </w:tcPr>
          <w:p w14:paraId="56DE2E0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0.8159</w:t>
            </w:r>
          </w:p>
        </w:tc>
        <w:tc>
          <w:tcPr>
            <w:tcW w:w="1039" w:type="dxa"/>
            <w:tcBorders>
              <w:top w:val="nil"/>
              <w:left w:val="nil"/>
              <w:bottom w:val="nil"/>
              <w:right w:val="nil"/>
            </w:tcBorders>
            <w:vAlign w:val="bottom"/>
          </w:tcPr>
          <w:p w14:paraId="24991E16"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0.0085</w:t>
            </w:r>
          </w:p>
        </w:tc>
        <w:tc>
          <w:tcPr>
            <w:tcW w:w="1021" w:type="dxa"/>
            <w:tcBorders>
              <w:top w:val="nil"/>
              <w:left w:val="nil"/>
              <w:bottom w:val="nil"/>
              <w:right w:val="nil"/>
            </w:tcBorders>
            <w:vAlign w:val="bottom"/>
          </w:tcPr>
          <w:p w14:paraId="2123ED6A"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0.0068</w:t>
            </w:r>
          </w:p>
        </w:tc>
        <w:tc>
          <w:tcPr>
            <w:tcW w:w="1223" w:type="dxa"/>
            <w:tcBorders>
              <w:top w:val="nil"/>
              <w:left w:val="nil"/>
              <w:bottom w:val="nil"/>
              <w:right w:val="nil"/>
            </w:tcBorders>
            <w:vAlign w:val="bottom"/>
          </w:tcPr>
          <w:p w14:paraId="7A57B08E"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0.0077</w:t>
            </w:r>
          </w:p>
        </w:tc>
      </w:tr>
      <w:tr w:rsidR="007E0A41" w:rsidRPr="00D1336B" w14:paraId="080F5C35" w14:textId="77777777" w:rsidTr="007E0A41">
        <w:trPr>
          <w:trHeight w:val="217"/>
        </w:trPr>
        <w:tc>
          <w:tcPr>
            <w:tcW w:w="638" w:type="dxa"/>
            <w:tcBorders>
              <w:top w:val="nil"/>
              <w:left w:val="nil"/>
              <w:bottom w:val="nil"/>
              <w:right w:val="nil"/>
            </w:tcBorders>
            <w:noWrap/>
            <w:hideMark/>
          </w:tcPr>
          <w:p w14:paraId="26A7AC8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8</w:t>
            </w:r>
          </w:p>
        </w:tc>
        <w:tc>
          <w:tcPr>
            <w:tcW w:w="2021" w:type="dxa"/>
            <w:tcBorders>
              <w:top w:val="nil"/>
              <w:left w:val="nil"/>
              <w:bottom w:val="nil"/>
              <w:right w:val="nil"/>
            </w:tcBorders>
            <w:vAlign w:val="center"/>
            <w:hideMark/>
          </w:tcPr>
          <w:p w14:paraId="0991FAA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zinc @0.25%</w:t>
            </w:r>
          </w:p>
        </w:tc>
        <w:tc>
          <w:tcPr>
            <w:tcW w:w="1006" w:type="dxa"/>
            <w:tcBorders>
              <w:top w:val="nil"/>
              <w:left w:val="nil"/>
              <w:bottom w:val="nil"/>
              <w:right w:val="nil"/>
            </w:tcBorders>
            <w:noWrap/>
            <w:vAlign w:val="bottom"/>
            <w:hideMark/>
          </w:tcPr>
          <w:p w14:paraId="4049A31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0.0923</w:t>
            </w:r>
          </w:p>
        </w:tc>
        <w:tc>
          <w:tcPr>
            <w:tcW w:w="876" w:type="dxa"/>
            <w:tcBorders>
              <w:top w:val="nil"/>
              <w:left w:val="nil"/>
              <w:bottom w:val="nil"/>
              <w:right w:val="nil"/>
            </w:tcBorders>
            <w:noWrap/>
            <w:vAlign w:val="bottom"/>
            <w:hideMark/>
          </w:tcPr>
          <w:p w14:paraId="6401D18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0.0922</w:t>
            </w:r>
          </w:p>
        </w:tc>
        <w:tc>
          <w:tcPr>
            <w:tcW w:w="1108" w:type="dxa"/>
            <w:tcBorders>
              <w:top w:val="nil"/>
              <w:left w:val="nil"/>
              <w:bottom w:val="nil"/>
              <w:right w:val="nil"/>
            </w:tcBorders>
            <w:vAlign w:val="bottom"/>
          </w:tcPr>
          <w:p w14:paraId="34D0797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0.0923</w:t>
            </w:r>
          </w:p>
        </w:tc>
        <w:tc>
          <w:tcPr>
            <w:tcW w:w="961" w:type="dxa"/>
            <w:tcBorders>
              <w:top w:val="nil"/>
              <w:left w:val="nil"/>
              <w:bottom w:val="nil"/>
              <w:right w:val="nil"/>
            </w:tcBorders>
            <w:noWrap/>
            <w:vAlign w:val="bottom"/>
            <w:hideMark/>
          </w:tcPr>
          <w:p w14:paraId="3CD0BE5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0.0157</w:t>
            </w:r>
          </w:p>
        </w:tc>
        <w:tc>
          <w:tcPr>
            <w:tcW w:w="876" w:type="dxa"/>
            <w:tcBorders>
              <w:top w:val="nil"/>
              <w:left w:val="nil"/>
              <w:bottom w:val="nil"/>
              <w:right w:val="nil"/>
            </w:tcBorders>
            <w:noWrap/>
            <w:vAlign w:val="bottom"/>
            <w:hideMark/>
          </w:tcPr>
          <w:p w14:paraId="2F240AD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0.0156</w:t>
            </w:r>
          </w:p>
        </w:tc>
        <w:tc>
          <w:tcPr>
            <w:tcW w:w="1081" w:type="dxa"/>
            <w:tcBorders>
              <w:top w:val="nil"/>
              <w:left w:val="nil"/>
              <w:bottom w:val="nil"/>
              <w:right w:val="nil"/>
            </w:tcBorders>
            <w:vAlign w:val="bottom"/>
          </w:tcPr>
          <w:p w14:paraId="14BFD8A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0.0157</w:t>
            </w:r>
          </w:p>
        </w:tc>
        <w:tc>
          <w:tcPr>
            <w:tcW w:w="1022" w:type="dxa"/>
            <w:tcBorders>
              <w:top w:val="nil"/>
              <w:left w:val="nil"/>
              <w:bottom w:val="nil"/>
              <w:right w:val="nil"/>
            </w:tcBorders>
            <w:noWrap/>
            <w:vAlign w:val="bottom"/>
            <w:hideMark/>
          </w:tcPr>
          <w:p w14:paraId="1EE6772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0.9240</w:t>
            </w:r>
          </w:p>
        </w:tc>
        <w:tc>
          <w:tcPr>
            <w:tcW w:w="941" w:type="dxa"/>
            <w:tcBorders>
              <w:top w:val="nil"/>
              <w:left w:val="nil"/>
              <w:bottom w:val="nil"/>
              <w:right w:val="nil"/>
            </w:tcBorders>
            <w:noWrap/>
            <w:vAlign w:val="bottom"/>
            <w:hideMark/>
          </w:tcPr>
          <w:p w14:paraId="0A74C9E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0.8738</w:t>
            </w:r>
          </w:p>
        </w:tc>
        <w:tc>
          <w:tcPr>
            <w:tcW w:w="998" w:type="dxa"/>
            <w:tcBorders>
              <w:top w:val="nil"/>
              <w:left w:val="nil"/>
              <w:bottom w:val="nil"/>
              <w:right w:val="nil"/>
            </w:tcBorders>
            <w:vAlign w:val="bottom"/>
          </w:tcPr>
          <w:p w14:paraId="3D72CDD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0.8989</w:t>
            </w:r>
          </w:p>
        </w:tc>
        <w:tc>
          <w:tcPr>
            <w:tcW w:w="1039" w:type="dxa"/>
            <w:tcBorders>
              <w:top w:val="nil"/>
              <w:left w:val="nil"/>
              <w:bottom w:val="nil"/>
              <w:right w:val="nil"/>
            </w:tcBorders>
            <w:vAlign w:val="bottom"/>
          </w:tcPr>
          <w:p w14:paraId="784F2437"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0.0163</w:t>
            </w:r>
          </w:p>
        </w:tc>
        <w:tc>
          <w:tcPr>
            <w:tcW w:w="1021" w:type="dxa"/>
            <w:tcBorders>
              <w:top w:val="nil"/>
              <w:left w:val="nil"/>
              <w:bottom w:val="nil"/>
              <w:right w:val="nil"/>
            </w:tcBorders>
            <w:vAlign w:val="bottom"/>
          </w:tcPr>
          <w:p w14:paraId="0F2D48E5"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0.0161</w:t>
            </w:r>
          </w:p>
        </w:tc>
        <w:tc>
          <w:tcPr>
            <w:tcW w:w="1223" w:type="dxa"/>
            <w:tcBorders>
              <w:top w:val="nil"/>
              <w:left w:val="nil"/>
              <w:bottom w:val="nil"/>
              <w:right w:val="nil"/>
            </w:tcBorders>
            <w:vAlign w:val="bottom"/>
          </w:tcPr>
          <w:p w14:paraId="575236DB"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0.0162</w:t>
            </w:r>
          </w:p>
        </w:tc>
      </w:tr>
      <w:tr w:rsidR="007E0A41" w:rsidRPr="00D1336B" w14:paraId="3F4C8E4D" w14:textId="77777777" w:rsidTr="007E0A41">
        <w:trPr>
          <w:trHeight w:val="217"/>
        </w:trPr>
        <w:tc>
          <w:tcPr>
            <w:tcW w:w="638" w:type="dxa"/>
            <w:tcBorders>
              <w:top w:val="nil"/>
              <w:left w:val="nil"/>
              <w:bottom w:val="nil"/>
              <w:right w:val="nil"/>
            </w:tcBorders>
            <w:noWrap/>
            <w:hideMark/>
          </w:tcPr>
          <w:p w14:paraId="50511F4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9</w:t>
            </w:r>
          </w:p>
        </w:tc>
        <w:tc>
          <w:tcPr>
            <w:tcW w:w="2021" w:type="dxa"/>
            <w:tcBorders>
              <w:top w:val="nil"/>
              <w:left w:val="nil"/>
              <w:bottom w:val="nil"/>
              <w:right w:val="nil"/>
            </w:tcBorders>
            <w:vAlign w:val="center"/>
            <w:hideMark/>
          </w:tcPr>
          <w:p w14:paraId="53294E8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zinc @0.50%</w:t>
            </w:r>
          </w:p>
        </w:tc>
        <w:tc>
          <w:tcPr>
            <w:tcW w:w="1006" w:type="dxa"/>
            <w:tcBorders>
              <w:top w:val="nil"/>
              <w:left w:val="nil"/>
              <w:bottom w:val="nil"/>
              <w:right w:val="nil"/>
            </w:tcBorders>
            <w:noWrap/>
            <w:vAlign w:val="bottom"/>
            <w:hideMark/>
          </w:tcPr>
          <w:p w14:paraId="72B5FD7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0.1042</w:t>
            </w:r>
          </w:p>
        </w:tc>
        <w:tc>
          <w:tcPr>
            <w:tcW w:w="876" w:type="dxa"/>
            <w:tcBorders>
              <w:top w:val="nil"/>
              <w:left w:val="nil"/>
              <w:bottom w:val="nil"/>
              <w:right w:val="nil"/>
            </w:tcBorders>
            <w:noWrap/>
            <w:vAlign w:val="bottom"/>
            <w:hideMark/>
          </w:tcPr>
          <w:p w14:paraId="4ACA6E9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0.1042</w:t>
            </w:r>
          </w:p>
        </w:tc>
        <w:tc>
          <w:tcPr>
            <w:tcW w:w="1108" w:type="dxa"/>
            <w:tcBorders>
              <w:top w:val="nil"/>
              <w:left w:val="nil"/>
              <w:bottom w:val="nil"/>
              <w:right w:val="nil"/>
            </w:tcBorders>
            <w:vAlign w:val="bottom"/>
          </w:tcPr>
          <w:p w14:paraId="53016A1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0.1042</w:t>
            </w:r>
          </w:p>
        </w:tc>
        <w:tc>
          <w:tcPr>
            <w:tcW w:w="961" w:type="dxa"/>
            <w:tcBorders>
              <w:top w:val="nil"/>
              <w:left w:val="nil"/>
              <w:bottom w:val="nil"/>
              <w:right w:val="nil"/>
            </w:tcBorders>
            <w:noWrap/>
            <w:vAlign w:val="bottom"/>
            <w:hideMark/>
          </w:tcPr>
          <w:p w14:paraId="785039B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0.0125</w:t>
            </w:r>
          </w:p>
        </w:tc>
        <w:tc>
          <w:tcPr>
            <w:tcW w:w="876" w:type="dxa"/>
            <w:tcBorders>
              <w:top w:val="nil"/>
              <w:left w:val="nil"/>
              <w:bottom w:val="nil"/>
              <w:right w:val="nil"/>
            </w:tcBorders>
            <w:noWrap/>
            <w:vAlign w:val="bottom"/>
            <w:hideMark/>
          </w:tcPr>
          <w:p w14:paraId="38C30C4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0.0127</w:t>
            </w:r>
          </w:p>
        </w:tc>
        <w:tc>
          <w:tcPr>
            <w:tcW w:w="1081" w:type="dxa"/>
            <w:tcBorders>
              <w:top w:val="nil"/>
              <w:left w:val="nil"/>
              <w:bottom w:val="nil"/>
              <w:right w:val="nil"/>
            </w:tcBorders>
            <w:vAlign w:val="bottom"/>
          </w:tcPr>
          <w:p w14:paraId="2DB9ED4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0.0126</w:t>
            </w:r>
          </w:p>
        </w:tc>
        <w:tc>
          <w:tcPr>
            <w:tcW w:w="1022" w:type="dxa"/>
            <w:tcBorders>
              <w:top w:val="nil"/>
              <w:left w:val="nil"/>
              <w:bottom w:val="nil"/>
              <w:right w:val="nil"/>
            </w:tcBorders>
            <w:noWrap/>
            <w:vAlign w:val="bottom"/>
            <w:hideMark/>
          </w:tcPr>
          <w:p w14:paraId="50D1C56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2.0024</w:t>
            </w:r>
          </w:p>
        </w:tc>
        <w:tc>
          <w:tcPr>
            <w:tcW w:w="941" w:type="dxa"/>
            <w:tcBorders>
              <w:top w:val="nil"/>
              <w:left w:val="nil"/>
              <w:bottom w:val="nil"/>
              <w:right w:val="nil"/>
            </w:tcBorders>
            <w:noWrap/>
            <w:vAlign w:val="bottom"/>
            <w:hideMark/>
          </w:tcPr>
          <w:p w14:paraId="1A8F6BE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2.0831</w:t>
            </w:r>
          </w:p>
        </w:tc>
        <w:tc>
          <w:tcPr>
            <w:tcW w:w="998" w:type="dxa"/>
            <w:tcBorders>
              <w:top w:val="nil"/>
              <w:left w:val="nil"/>
              <w:bottom w:val="nil"/>
              <w:right w:val="nil"/>
            </w:tcBorders>
            <w:vAlign w:val="bottom"/>
          </w:tcPr>
          <w:p w14:paraId="0B2BEC3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2.0428</w:t>
            </w:r>
          </w:p>
        </w:tc>
        <w:tc>
          <w:tcPr>
            <w:tcW w:w="1039" w:type="dxa"/>
            <w:tcBorders>
              <w:top w:val="nil"/>
              <w:left w:val="nil"/>
              <w:bottom w:val="nil"/>
              <w:right w:val="nil"/>
            </w:tcBorders>
            <w:vAlign w:val="bottom"/>
          </w:tcPr>
          <w:p w14:paraId="2F12C025"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0.0443</w:t>
            </w:r>
          </w:p>
        </w:tc>
        <w:tc>
          <w:tcPr>
            <w:tcW w:w="1021" w:type="dxa"/>
            <w:tcBorders>
              <w:top w:val="nil"/>
              <w:left w:val="nil"/>
              <w:bottom w:val="nil"/>
              <w:right w:val="nil"/>
            </w:tcBorders>
            <w:vAlign w:val="bottom"/>
          </w:tcPr>
          <w:p w14:paraId="7D621910"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0.0418</w:t>
            </w:r>
          </w:p>
        </w:tc>
        <w:tc>
          <w:tcPr>
            <w:tcW w:w="1223" w:type="dxa"/>
            <w:tcBorders>
              <w:top w:val="nil"/>
              <w:left w:val="nil"/>
              <w:bottom w:val="nil"/>
              <w:right w:val="nil"/>
            </w:tcBorders>
            <w:vAlign w:val="bottom"/>
          </w:tcPr>
          <w:p w14:paraId="376881E9"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0.0431</w:t>
            </w:r>
          </w:p>
        </w:tc>
      </w:tr>
      <w:tr w:rsidR="007E0A41" w:rsidRPr="00D1336B" w14:paraId="0D12F97E" w14:textId="77777777" w:rsidTr="007E0A41">
        <w:trPr>
          <w:trHeight w:val="217"/>
        </w:trPr>
        <w:tc>
          <w:tcPr>
            <w:tcW w:w="638" w:type="dxa"/>
            <w:tcBorders>
              <w:top w:val="nil"/>
              <w:left w:val="nil"/>
              <w:bottom w:val="nil"/>
              <w:right w:val="nil"/>
            </w:tcBorders>
            <w:noWrap/>
            <w:hideMark/>
          </w:tcPr>
          <w:p w14:paraId="76FC04D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10</w:t>
            </w:r>
          </w:p>
        </w:tc>
        <w:tc>
          <w:tcPr>
            <w:tcW w:w="2021" w:type="dxa"/>
            <w:tcBorders>
              <w:top w:val="nil"/>
              <w:left w:val="nil"/>
              <w:bottom w:val="nil"/>
              <w:right w:val="nil"/>
            </w:tcBorders>
            <w:vAlign w:val="center"/>
            <w:hideMark/>
          </w:tcPr>
          <w:p w14:paraId="3D51FF3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zinc @0.75%</w:t>
            </w:r>
          </w:p>
        </w:tc>
        <w:tc>
          <w:tcPr>
            <w:tcW w:w="1006" w:type="dxa"/>
            <w:tcBorders>
              <w:top w:val="nil"/>
              <w:left w:val="nil"/>
              <w:bottom w:val="nil"/>
              <w:right w:val="nil"/>
            </w:tcBorders>
            <w:noWrap/>
            <w:vAlign w:val="bottom"/>
            <w:hideMark/>
          </w:tcPr>
          <w:p w14:paraId="0DB90F3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0.1084</w:t>
            </w:r>
          </w:p>
        </w:tc>
        <w:tc>
          <w:tcPr>
            <w:tcW w:w="876" w:type="dxa"/>
            <w:tcBorders>
              <w:top w:val="nil"/>
              <w:left w:val="nil"/>
              <w:bottom w:val="nil"/>
              <w:right w:val="nil"/>
            </w:tcBorders>
            <w:noWrap/>
            <w:vAlign w:val="bottom"/>
            <w:hideMark/>
          </w:tcPr>
          <w:p w14:paraId="0F888A5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0.1084</w:t>
            </w:r>
          </w:p>
        </w:tc>
        <w:tc>
          <w:tcPr>
            <w:tcW w:w="1108" w:type="dxa"/>
            <w:tcBorders>
              <w:top w:val="nil"/>
              <w:left w:val="nil"/>
              <w:bottom w:val="nil"/>
              <w:right w:val="nil"/>
            </w:tcBorders>
            <w:vAlign w:val="bottom"/>
          </w:tcPr>
          <w:p w14:paraId="043006A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0.1084</w:t>
            </w:r>
          </w:p>
        </w:tc>
        <w:tc>
          <w:tcPr>
            <w:tcW w:w="961" w:type="dxa"/>
            <w:tcBorders>
              <w:top w:val="nil"/>
              <w:left w:val="nil"/>
              <w:bottom w:val="nil"/>
              <w:right w:val="nil"/>
            </w:tcBorders>
            <w:noWrap/>
            <w:vAlign w:val="bottom"/>
            <w:hideMark/>
          </w:tcPr>
          <w:p w14:paraId="417BB60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0.0117</w:t>
            </w:r>
          </w:p>
        </w:tc>
        <w:tc>
          <w:tcPr>
            <w:tcW w:w="876" w:type="dxa"/>
            <w:tcBorders>
              <w:top w:val="nil"/>
              <w:left w:val="nil"/>
              <w:bottom w:val="nil"/>
              <w:right w:val="nil"/>
            </w:tcBorders>
            <w:noWrap/>
            <w:vAlign w:val="bottom"/>
            <w:hideMark/>
          </w:tcPr>
          <w:p w14:paraId="42029BA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0.0119</w:t>
            </w:r>
          </w:p>
        </w:tc>
        <w:tc>
          <w:tcPr>
            <w:tcW w:w="1081" w:type="dxa"/>
            <w:tcBorders>
              <w:top w:val="nil"/>
              <w:left w:val="nil"/>
              <w:bottom w:val="nil"/>
              <w:right w:val="nil"/>
            </w:tcBorders>
            <w:vAlign w:val="bottom"/>
          </w:tcPr>
          <w:p w14:paraId="79196A1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0.0118</w:t>
            </w:r>
          </w:p>
        </w:tc>
        <w:tc>
          <w:tcPr>
            <w:tcW w:w="1022" w:type="dxa"/>
            <w:tcBorders>
              <w:top w:val="nil"/>
              <w:left w:val="nil"/>
              <w:bottom w:val="nil"/>
              <w:right w:val="nil"/>
            </w:tcBorders>
            <w:noWrap/>
            <w:vAlign w:val="bottom"/>
            <w:hideMark/>
          </w:tcPr>
          <w:p w14:paraId="5F0714A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1.9848</w:t>
            </w:r>
          </w:p>
        </w:tc>
        <w:tc>
          <w:tcPr>
            <w:tcW w:w="941" w:type="dxa"/>
            <w:tcBorders>
              <w:top w:val="nil"/>
              <w:left w:val="nil"/>
              <w:bottom w:val="nil"/>
              <w:right w:val="nil"/>
            </w:tcBorders>
            <w:noWrap/>
            <w:vAlign w:val="bottom"/>
            <w:hideMark/>
          </w:tcPr>
          <w:p w14:paraId="2DB0E62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1.9528</w:t>
            </w:r>
          </w:p>
        </w:tc>
        <w:tc>
          <w:tcPr>
            <w:tcW w:w="998" w:type="dxa"/>
            <w:tcBorders>
              <w:top w:val="nil"/>
              <w:left w:val="nil"/>
              <w:bottom w:val="nil"/>
              <w:right w:val="nil"/>
            </w:tcBorders>
            <w:vAlign w:val="bottom"/>
          </w:tcPr>
          <w:p w14:paraId="767912B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1.9688</w:t>
            </w:r>
          </w:p>
        </w:tc>
        <w:tc>
          <w:tcPr>
            <w:tcW w:w="1039" w:type="dxa"/>
            <w:tcBorders>
              <w:top w:val="nil"/>
              <w:left w:val="nil"/>
              <w:bottom w:val="nil"/>
              <w:right w:val="nil"/>
            </w:tcBorders>
            <w:vAlign w:val="bottom"/>
          </w:tcPr>
          <w:p w14:paraId="1DD0066C"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0.0327</w:t>
            </w:r>
          </w:p>
        </w:tc>
        <w:tc>
          <w:tcPr>
            <w:tcW w:w="1021" w:type="dxa"/>
            <w:tcBorders>
              <w:top w:val="nil"/>
              <w:left w:val="nil"/>
              <w:bottom w:val="nil"/>
              <w:right w:val="nil"/>
            </w:tcBorders>
            <w:vAlign w:val="bottom"/>
          </w:tcPr>
          <w:p w14:paraId="50930E29"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0.0332</w:t>
            </w:r>
          </w:p>
        </w:tc>
        <w:tc>
          <w:tcPr>
            <w:tcW w:w="1223" w:type="dxa"/>
            <w:tcBorders>
              <w:top w:val="nil"/>
              <w:left w:val="nil"/>
              <w:bottom w:val="nil"/>
              <w:right w:val="nil"/>
            </w:tcBorders>
            <w:vAlign w:val="bottom"/>
          </w:tcPr>
          <w:p w14:paraId="34932C30"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0.0329</w:t>
            </w:r>
          </w:p>
        </w:tc>
      </w:tr>
      <w:tr w:rsidR="007E0A41" w:rsidRPr="00D1336B" w14:paraId="0F6ECDD2" w14:textId="77777777" w:rsidTr="007E0A41">
        <w:trPr>
          <w:trHeight w:val="236"/>
        </w:trPr>
        <w:tc>
          <w:tcPr>
            <w:tcW w:w="638" w:type="dxa"/>
            <w:tcBorders>
              <w:top w:val="nil"/>
              <w:left w:val="nil"/>
              <w:bottom w:val="nil"/>
              <w:right w:val="nil"/>
            </w:tcBorders>
            <w:noWrap/>
            <w:hideMark/>
          </w:tcPr>
          <w:p w14:paraId="2BFA184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11</w:t>
            </w:r>
          </w:p>
        </w:tc>
        <w:tc>
          <w:tcPr>
            <w:tcW w:w="2021" w:type="dxa"/>
            <w:tcBorders>
              <w:top w:val="nil"/>
              <w:left w:val="nil"/>
              <w:bottom w:val="nil"/>
              <w:right w:val="nil"/>
            </w:tcBorders>
            <w:vAlign w:val="center"/>
            <w:hideMark/>
          </w:tcPr>
          <w:p w14:paraId="348192B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ZnSO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@0.25%</w:t>
            </w:r>
          </w:p>
        </w:tc>
        <w:tc>
          <w:tcPr>
            <w:tcW w:w="1006" w:type="dxa"/>
            <w:tcBorders>
              <w:top w:val="nil"/>
              <w:left w:val="nil"/>
              <w:bottom w:val="nil"/>
              <w:right w:val="nil"/>
            </w:tcBorders>
            <w:noWrap/>
            <w:vAlign w:val="bottom"/>
            <w:hideMark/>
          </w:tcPr>
          <w:p w14:paraId="69E732A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0.0922</w:t>
            </w:r>
          </w:p>
        </w:tc>
        <w:tc>
          <w:tcPr>
            <w:tcW w:w="876" w:type="dxa"/>
            <w:tcBorders>
              <w:top w:val="nil"/>
              <w:left w:val="nil"/>
              <w:bottom w:val="nil"/>
              <w:right w:val="nil"/>
            </w:tcBorders>
            <w:noWrap/>
            <w:vAlign w:val="bottom"/>
            <w:hideMark/>
          </w:tcPr>
          <w:p w14:paraId="659004C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0.0921</w:t>
            </w:r>
          </w:p>
        </w:tc>
        <w:tc>
          <w:tcPr>
            <w:tcW w:w="1108" w:type="dxa"/>
            <w:tcBorders>
              <w:top w:val="nil"/>
              <w:left w:val="nil"/>
              <w:bottom w:val="nil"/>
              <w:right w:val="nil"/>
            </w:tcBorders>
            <w:vAlign w:val="bottom"/>
          </w:tcPr>
          <w:p w14:paraId="6113BEF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0.0922</w:t>
            </w:r>
          </w:p>
        </w:tc>
        <w:tc>
          <w:tcPr>
            <w:tcW w:w="961" w:type="dxa"/>
            <w:tcBorders>
              <w:top w:val="nil"/>
              <w:left w:val="nil"/>
              <w:bottom w:val="nil"/>
              <w:right w:val="nil"/>
            </w:tcBorders>
            <w:noWrap/>
            <w:vAlign w:val="bottom"/>
            <w:hideMark/>
          </w:tcPr>
          <w:p w14:paraId="4D9151C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0.0149</w:t>
            </w:r>
          </w:p>
        </w:tc>
        <w:tc>
          <w:tcPr>
            <w:tcW w:w="876" w:type="dxa"/>
            <w:tcBorders>
              <w:top w:val="nil"/>
              <w:left w:val="nil"/>
              <w:bottom w:val="nil"/>
              <w:right w:val="nil"/>
            </w:tcBorders>
            <w:noWrap/>
            <w:vAlign w:val="bottom"/>
            <w:hideMark/>
          </w:tcPr>
          <w:p w14:paraId="5AFA656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0.0149</w:t>
            </w:r>
          </w:p>
        </w:tc>
        <w:tc>
          <w:tcPr>
            <w:tcW w:w="1081" w:type="dxa"/>
            <w:tcBorders>
              <w:top w:val="nil"/>
              <w:left w:val="nil"/>
              <w:bottom w:val="nil"/>
              <w:right w:val="nil"/>
            </w:tcBorders>
            <w:vAlign w:val="bottom"/>
          </w:tcPr>
          <w:p w14:paraId="5310154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0.0149</w:t>
            </w:r>
          </w:p>
        </w:tc>
        <w:tc>
          <w:tcPr>
            <w:tcW w:w="1022" w:type="dxa"/>
            <w:tcBorders>
              <w:top w:val="nil"/>
              <w:left w:val="nil"/>
              <w:bottom w:val="nil"/>
              <w:right w:val="nil"/>
            </w:tcBorders>
            <w:noWrap/>
            <w:vAlign w:val="bottom"/>
            <w:hideMark/>
          </w:tcPr>
          <w:p w14:paraId="2B0D12D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0.8643</w:t>
            </w:r>
          </w:p>
        </w:tc>
        <w:tc>
          <w:tcPr>
            <w:tcW w:w="941" w:type="dxa"/>
            <w:tcBorders>
              <w:top w:val="nil"/>
              <w:left w:val="nil"/>
              <w:bottom w:val="nil"/>
              <w:right w:val="nil"/>
            </w:tcBorders>
            <w:noWrap/>
            <w:vAlign w:val="bottom"/>
            <w:hideMark/>
          </w:tcPr>
          <w:p w14:paraId="2F99B2D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0.9519</w:t>
            </w:r>
          </w:p>
        </w:tc>
        <w:tc>
          <w:tcPr>
            <w:tcW w:w="998" w:type="dxa"/>
            <w:tcBorders>
              <w:top w:val="nil"/>
              <w:left w:val="nil"/>
              <w:bottom w:val="nil"/>
              <w:right w:val="nil"/>
            </w:tcBorders>
            <w:vAlign w:val="bottom"/>
          </w:tcPr>
          <w:p w14:paraId="366E433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0.9081</w:t>
            </w:r>
          </w:p>
        </w:tc>
        <w:tc>
          <w:tcPr>
            <w:tcW w:w="1039" w:type="dxa"/>
            <w:tcBorders>
              <w:top w:val="nil"/>
              <w:left w:val="nil"/>
              <w:bottom w:val="nil"/>
              <w:right w:val="nil"/>
            </w:tcBorders>
            <w:vAlign w:val="bottom"/>
          </w:tcPr>
          <w:p w14:paraId="3F1634EE"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0.0149</w:t>
            </w:r>
          </w:p>
        </w:tc>
        <w:tc>
          <w:tcPr>
            <w:tcW w:w="1021" w:type="dxa"/>
            <w:tcBorders>
              <w:top w:val="nil"/>
              <w:left w:val="nil"/>
              <w:bottom w:val="nil"/>
              <w:right w:val="nil"/>
            </w:tcBorders>
            <w:vAlign w:val="bottom"/>
          </w:tcPr>
          <w:p w14:paraId="51F96A06"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0.0149</w:t>
            </w:r>
          </w:p>
        </w:tc>
        <w:tc>
          <w:tcPr>
            <w:tcW w:w="1223" w:type="dxa"/>
            <w:tcBorders>
              <w:top w:val="nil"/>
              <w:left w:val="nil"/>
              <w:bottom w:val="nil"/>
              <w:right w:val="nil"/>
            </w:tcBorders>
            <w:vAlign w:val="bottom"/>
          </w:tcPr>
          <w:p w14:paraId="686540AB"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0.0149</w:t>
            </w:r>
          </w:p>
        </w:tc>
      </w:tr>
      <w:tr w:rsidR="007E0A41" w:rsidRPr="00D1336B" w14:paraId="764A5828" w14:textId="77777777" w:rsidTr="007E0A41">
        <w:trPr>
          <w:trHeight w:val="236"/>
        </w:trPr>
        <w:tc>
          <w:tcPr>
            <w:tcW w:w="638" w:type="dxa"/>
            <w:tcBorders>
              <w:top w:val="nil"/>
              <w:left w:val="nil"/>
              <w:bottom w:val="nil"/>
              <w:right w:val="nil"/>
            </w:tcBorders>
            <w:noWrap/>
            <w:hideMark/>
          </w:tcPr>
          <w:p w14:paraId="28DAA1C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12</w:t>
            </w:r>
          </w:p>
        </w:tc>
        <w:tc>
          <w:tcPr>
            <w:tcW w:w="2021" w:type="dxa"/>
            <w:tcBorders>
              <w:top w:val="nil"/>
              <w:left w:val="nil"/>
              <w:bottom w:val="nil"/>
              <w:right w:val="nil"/>
            </w:tcBorders>
            <w:vAlign w:val="center"/>
            <w:hideMark/>
          </w:tcPr>
          <w:p w14:paraId="667CCA0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ZnSO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@0.50%</w:t>
            </w:r>
          </w:p>
        </w:tc>
        <w:tc>
          <w:tcPr>
            <w:tcW w:w="1006" w:type="dxa"/>
            <w:tcBorders>
              <w:top w:val="nil"/>
              <w:left w:val="nil"/>
              <w:bottom w:val="nil"/>
              <w:right w:val="nil"/>
            </w:tcBorders>
            <w:noWrap/>
            <w:vAlign w:val="bottom"/>
            <w:hideMark/>
          </w:tcPr>
          <w:p w14:paraId="5C60132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0.0922</w:t>
            </w:r>
          </w:p>
        </w:tc>
        <w:tc>
          <w:tcPr>
            <w:tcW w:w="876" w:type="dxa"/>
            <w:tcBorders>
              <w:top w:val="nil"/>
              <w:left w:val="nil"/>
              <w:bottom w:val="nil"/>
              <w:right w:val="nil"/>
            </w:tcBorders>
            <w:noWrap/>
            <w:vAlign w:val="bottom"/>
            <w:hideMark/>
          </w:tcPr>
          <w:p w14:paraId="6CCB0B5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0.0918</w:t>
            </w:r>
          </w:p>
        </w:tc>
        <w:tc>
          <w:tcPr>
            <w:tcW w:w="1108" w:type="dxa"/>
            <w:tcBorders>
              <w:top w:val="nil"/>
              <w:left w:val="nil"/>
              <w:bottom w:val="nil"/>
              <w:right w:val="nil"/>
            </w:tcBorders>
            <w:vAlign w:val="bottom"/>
          </w:tcPr>
          <w:p w14:paraId="447E07F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0.0919</w:t>
            </w:r>
          </w:p>
        </w:tc>
        <w:tc>
          <w:tcPr>
            <w:tcW w:w="961" w:type="dxa"/>
            <w:tcBorders>
              <w:top w:val="nil"/>
              <w:left w:val="nil"/>
              <w:bottom w:val="nil"/>
              <w:right w:val="nil"/>
            </w:tcBorders>
            <w:noWrap/>
            <w:vAlign w:val="bottom"/>
            <w:hideMark/>
          </w:tcPr>
          <w:p w14:paraId="3203FA4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0.0156</w:t>
            </w:r>
          </w:p>
        </w:tc>
        <w:tc>
          <w:tcPr>
            <w:tcW w:w="876" w:type="dxa"/>
            <w:tcBorders>
              <w:top w:val="nil"/>
              <w:left w:val="nil"/>
              <w:bottom w:val="nil"/>
              <w:right w:val="nil"/>
            </w:tcBorders>
            <w:noWrap/>
            <w:vAlign w:val="bottom"/>
            <w:hideMark/>
          </w:tcPr>
          <w:p w14:paraId="5DA5391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0.0162</w:t>
            </w:r>
          </w:p>
        </w:tc>
        <w:tc>
          <w:tcPr>
            <w:tcW w:w="1081" w:type="dxa"/>
            <w:tcBorders>
              <w:top w:val="nil"/>
              <w:left w:val="nil"/>
              <w:bottom w:val="nil"/>
              <w:right w:val="nil"/>
            </w:tcBorders>
            <w:vAlign w:val="bottom"/>
          </w:tcPr>
          <w:p w14:paraId="268B927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0.0159</w:t>
            </w:r>
          </w:p>
        </w:tc>
        <w:tc>
          <w:tcPr>
            <w:tcW w:w="1022" w:type="dxa"/>
            <w:tcBorders>
              <w:top w:val="nil"/>
              <w:left w:val="nil"/>
              <w:bottom w:val="nil"/>
              <w:right w:val="nil"/>
            </w:tcBorders>
            <w:noWrap/>
            <w:vAlign w:val="bottom"/>
            <w:hideMark/>
          </w:tcPr>
          <w:p w14:paraId="537E2BF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0.9204</w:t>
            </w:r>
          </w:p>
        </w:tc>
        <w:tc>
          <w:tcPr>
            <w:tcW w:w="941" w:type="dxa"/>
            <w:tcBorders>
              <w:top w:val="nil"/>
              <w:left w:val="nil"/>
              <w:bottom w:val="nil"/>
              <w:right w:val="nil"/>
            </w:tcBorders>
            <w:noWrap/>
            <w:vAlign w:val="bottom"/>
            <w:hideMark/>
          </w:tcPr>
          <w:p w14:paraId="2A6A0CB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0.9470</w:t>
            </w:r>
          </w:p>
        </w:tc>
        <w:tc>
          <w:tcPr>
            <w:tcW w:w="998" w:type="dxa"/>
            <w:tcBorders>
              <w:top w:val="nil"/>
              <w:left w:val="nil"/>
              <w:bottom w:val="nil"/>
              <w:right w:val="nil"/>
            </w:tcBorders>
            <w:vAlign w:val="bottom"/>
          </w:tcPr>
          <w:p w14:paraId="417745E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0.9337</w:t>
            </w:r>
          </w:p>
        </w:tc>
        <w:tc>
          <w:tcPr>
            <w:tcW w:w="1039" w:type="dxa"/>
            <w:tcBorders>
              <w:top w:val="nil"/>
              <w:left w:val="nil"/>
              <w:bottom w:val="nil"/>
              <w:right w:val="nil"/>
            </w:tcBorders>
            <w:vAlign w:val="bottom"/>
          </w:tcPr>
          <w:p w14:paraId="17C0FB25"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0.0249</w:t>
            </w:r>
          </w:p>
        </w:tc>
        <w:tc>
          <w:tcPr>
            <w:tcW w:w="1021" w:type="dxa"/>
            <w:tcBorders>
              <w:top w:val="nil"/>
              <w:left w:val="nil"/>
              <w:bottom w:val="nil"/>
              <w:right w:val="nil"/>
            </w:tcBorders>
            <w:vAlign w:val="bottom"/>
          </w:tcPr>
          <w:p w14:paraId="616F8093"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0.0219</w:t>
            </w:r>
          </w:p>
        </w:tc>
        <w:tc>
          <w:tcPr>
            <w:tcW w:w="1223" w:type="dxa"/>
            <w:tcBorders>
              <w:top w:val="nil"/>
              <w:left w:val="nil"/>
              <w:bottom w:val="nil"/>
              <w:right w:val="nil"/>
            </w:tcBorders>
            <w:vAlign w:val="bottom"/>
          </w:tcPr>
          <w:p w14:paraId="0DA461D8"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0.0234</w:t>
            </w:r>
          </w:p>
        </w:tc>
      </w:tr>
      <w:tr w:rsidR="007E0A41" w:rsidRPr="00D1336B" w14:paraId="2AA17CC3" w14:textId="77777777" w:rsidTr="007E0A41">
        <w:trPr>
          <w:trHeight w:val="236"/>
        </w:trPr>
        <w:tc>
          <w:tcPr>
            <w:tcW w:w="638" w:type="dxa"/>
            <w:tcBorders>
              <w:top w:val="nil"/>
              <w:left w:val="nil"/>
              <w:bottom w:val="single" w:sz="4" w:space="0" w:color="auto"/>
              <w:right w:val="nil"/>
            </w:tcBorders>
            <w:noWrap/>
            <w:hideMark/>
          </w:tcPr>
          <w:p w14:paraId="1D24FBA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13</w:t>
            </w:r>
          </w:p>
        </w:tc>
        <w:tc>
          <w:tcPr>
            <w:tcW w:w="2021" w:type="dxa"/>
            <w:tcBorders>
              <w:top w:val="nil"/>
              <w:left w:val="nil"/>
              <w:bottom w:val="single" w:sz="4" w:space="0" w:color="auto"/>
              <w:right w:val="nil"/>
            </w:tcBorders>
            <w:vAlign w:val="center"/>
            <w:hideMark/>
          </w:tcPr>
          <w:p w14:paraId="2ED8138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ZnSO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@0.75%</w:t>
            </w:r>
          </w:p>
        </w:tc>
        <w:tc>
          <w:tcPr>
            <w:tcW w:w="1006" w:type="dxa"/>
            <w:tcBorders>
              <w:top w:val="nil"/>
              <w:left w:val="nil"/>
              <w:bottom w:val="single" w:sz="4" w:space="0" w:color="auto"/>
              <w:right w:val="nil"/>
            </w:tcBorders>
            <w:noWrap/>
            <w:vAlign w:val="bottom"/>
            <w:hideMark/>
          </w:tcPr>
          <w:p w14:paraId="32713F2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0.0935</w:t>
            </w:r>
          </w:p>
        </w:tc>
        <w:tc>
          <w:tcPr>
            <w:tcW w:w="876" w:type="dxa"/>
            <w:tcBorders>
              <w:top w:val="nil"/>
              <w:left w:val="nil"/>
              <w:bottom w:val="single" w:sz="4" w:space="0" w:color="auto"/>
              <w:right w:val="nil"/>
            </w:tcBorders>
            <w:noWrap/>
            <w:vAlign w:val="bottom"/>
            <w:hideMark/>
          </w:tcPr>
          <w:p w14:paraId="3D90048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0.0931</w:t>
            </w:r>
          </w:p>
        </w:tc>
        <w:tc>
          <w:tcPr>
            <w:tcW w:w="1108" w:type="dxa"/>
            <w:tcBorders>
              <w:top w:val="nil"/>
              <w:left w:val="nil"/>
              <w:bottom w:val="single" w:sz="4" w:space="0" w:color="auto"/>
              <w:right w:val="nil"/>
            </w:tcBorders>
            <w:vAlign w:val="bottom"/>
          </w:tcPr>
          <w:p w14:paraId="590B38B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0.0933</w:t>
            </w:r>
          </w:p>
        </w:tc>
        <w:tc>
          <w:tcPr>
            <w:tcW w:w="961" w:type="dxa"/>
            <w:tcBorders>
              <w:top w:val="nil"/>
              <w:left w:val="nil"/>
              <w:bottom w:val="single" w:sz="4" w:space="0" w:color="auto"/>
              <w:right w:val="nil"/>
            </w:tcBorders>
            <w:noWrap/>
            <w:vAlign w:val="bottom"/>
            <w:hideMark/>
          </w:tcPr>
          <w:p w14:paraId="1E8C883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0.0148</w:t>
            </w:r>
          </w:p>
        </w:tc>
        <w:tc>
          <w:tcPr>
            <w:tcW w:w="876" w:type="dxa"/>
            <w:tcBorders>
              <w:top w:val="nil"/>
              <w:left w:val="nil"/>
              <w:bottom w:val="single" w:sz="4" w:space="0" w:color="auto"/>
              <w:right w:val="nil"/>
            </w:tcBorders>
            <w:noWrap/>
            <w:vAlign w:val="bottom"/>
            <w:hideMark/>
          </w:tcPr>
          <w:p w14:paraId="1053ADB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0.0150</w:t>
            </w:r>
          </w:p>
        </w:tc>
        <w:tc>
          <w:tcPr>
            <w:tcW w:w="1081" w:type="dxa"/>
            <w:tcBorders>
              <w:top w:val="nil"/>
              <w:left w:val="nil"/>
              <w:bottom w:val="single" w:sz="4" w:space="0" w:color="auto"/>
              <w:right w:val="nil"/>
            </w:tcBorders>
            <w:vAlign w:val="bottom"/>
          </w:tcPr>
          <w:p w14:paraId="753BC3E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0.0149</w:t>
            </w:r>
          </w:p>
        </w:tc>
        <w:tc>
          <w:tcPr>
            <w:tcW w:w="1022" w:type="dxa"/>
            <w:tcBorders>
              <w:top w:val="nil"/>
              <w:left w:val="nil"/>
              <w:bottom w:val="single" w:sz="4" w:space="0" w:color="auto"/>
              <w:right w:val="nil"/>
            </w:tcBorders>
            <w:noWrap/>
            <w:vAlign w:val="bottom"/>
            <w:hideMark/>
          </w:tcPr>
          <w:p w14:paraId="10D77C3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0.9209</w:t>
            </w:r>
          </w:p>
        </w:tc>
        <w:tc>
          <w:tcPr>
            <w:tcW w:w="941" w:type="dxa"/>
            <w:tcBorders>
              <w:top w:val="nil"/>
              <w:left w:val="nil"/>
              <w:bottom w:val="single" w:sz="4" w:space="0" w:color="auto"/>
              <w:right w:val="nil"/>
            </w:tcBorders>
            <w:noWrap/>
            <w:vAlign w:val="bottom"/>
            <w:hideMark/>
          </w:tcPr>
          <w:p w14:paraId="35C60BC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1.1325</w:t>
            </w:r>
          </w:p>
        </w:tc>
        <w:tc>
          <w:tcPr>
            <w:tcW w:w="998" w:type="dxa"/>
            <w:tcBorders>
              <w:top w:val="nil"/>
              <w:left w:val="nil"/>
              <w:bottom w:val="single" w:sz="4" w:space="0" w:color="auto"/>
              <w:right w:val="nil"/>
            </w:tcBorders>
            <w:vAlign w:val="bottom"/>
          </w:tcPr>
          <w:p w14:paraId="09BF709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1.0267</w:t>
            </w:r>
          </w:p>
        </w:tc>
        <w:tc>
          <w:tcPr>
            <w:tcW w:w="1039" w:type="dxa"/>
            <w:tcBorders>
              <w:top w:val="nil"/>
              <w:left w:val="nil"/>
              <w:bottom w:val="single" w:sz="4" w:space="0" w:color="auto"/>
              <w:right w:val="nil"/>
            </w:tcBorders>
            <w:vAlign w:val="bottom"/>
          </w:tcPr>
          <w:p w14:paraId="104E5441"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0.0190</w:t>
            </w:r>
          </w:p>
        </w:tc>
        <w:tc>
          <w:tcPr>
            <w:tcW w:w="1021" w:type="dxa"/>
            <w:tcBorders>
              <w:top w:val="nil"/>
              <w:left w:val="nil"/>
              <w:bottom w:val="single" w:sz="4" w:space="0" w:color="auto"/>
              <w:right w:val="nil"/>
            </w:tcBorders>
            <w:vAlign w:val="bottom"/>
          </w:tcPr>
          <w:p w14:paraId="2802F278"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0.0183</w:t>
            </w:r>
          </w:p>
        </w:tc>
        <w:tc>
          <w:tcPr>
            <w:tcW w:w="1223" w:type="dxa"/>
            <w:tcBorders>
              <w:top w:val="nil"/>
              <w:left w:val="nil"/>
              <w:bottom w:val="single" w:sz="4" w:space="0" w:color="auto"/>
              <w:right w:val="nil"/>
            </w:tcBorders>
            <w:vAlign w:val="bottom"/>
          </w:tcPr>
          <w:p w14:paraId="141CA98F"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0.0186</w:t>
            </w:r>
          </w:p>
        </w:tc>
      </w:tr>
      <w:tr w:rsidR="007E0A41" w:rsidRPr="00D1336B" w14:paraId="0C51515D" w14:textId="77777777" w:rsidTr="007E0A41">
        <w:trPr>
          <w:trHeight w:val="217"/>
        </w:trPr>
        <w:tc>
          <w:tcPr>
            <w:tcW w:w="638" w:type="dxa"/>
            <w:tcBorders>
              <w:top w:val="single" w:sz="4" w:space="0" w:color="auto"/>
              <w:left w:val="nil"/>
              <w:bottom w:val="nil"/>
              <w:right w:val="nil"/>
            </w:tcBorders>
            <w:noWrap/>
            <w:vAlign w:val="bottom"/>
            <w:hideMark/>
          </w:tcPr>
          <w:p w14:paraId="103C05F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p>
        </w:tc>
        <w:tc>
          <w:tcPr>
            <w:tcW w:w="2021" w:type="dxa"/>
            <w:tcBorders>
              <w:top w:val="single" w:sz="4" w:space="0" w:color="auto"/>
              <w:left w:val="nil"/>
              <w:bottom w:val="nil"/>
              <w:right w:val="nil"/>
            </w:tcBorders>
            <w:vAlign w:val="center"/>
            <w:hideMark/>
          </w:tcPr>
          <w:p w14:paraId="69BD358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proofErr w:type="spellStart"/>
            <w:r w:rsidRPr="00D1336B">
              <w:rPr>
                <w:rFonts w:ascii="Times New Roman" w:eastAsia="Times New Roman" w:hAnsi="Times New Roman" w:cs="Times New Roman"/>
                <w:color w:val="000000"/>
                <w:kern w:val="0"/>
                <w:lang w:eastAsia="en-IN"/>
                <w14:ligatures w14:val="none"/>
              </w:rPr>
              <w:t>SEm</w:t>
            </w:r>
            <w:proofErr w:type="spellEnd"/>
            <w:r w:rsidRPr="00D1336B">
              <w:rPr>
                <w:rFonts w:ascii="Times New Roman" w:eastAsia="Times New Roman" w:hAnsi="Times New Roman" w:cs="Times New Roman"/>
                <w:color w:val="000000"/>
                <w:kern w:val="0"/>
                <w:lang w:eastAsia="en-IN"/>
                <w14:ligatures w14:val="none"/>
              </w:rPr>
              <w:t xml:space="preserve"> (±)</w:t>
            </w:r>
          </w:p>
        </w:tc>
        <w:tc>
          <w:tcPr>
            <w:tcW w:w="1006" w:type="dxa"/>
            <w:tcBorders>
              <w:top w:val="single" w:sz="4" w:space="0" w:color="auto"/>
              <w:left w:val="nil"/>
              <w:bottom w:val="nil"/>
              <w:right w:val="nil"/>
            </w:tcBorders>
            <w:noWrap/>
            <w:vAlign w:val="center"/>
            <w:hideMark/>
          </w:tcPr>
          <w:p w14:paraId="1ABC999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0.0010</w:t>
            </w:r>
          </w:p>
        </w:tc>
        <w:tc>
          <w:tcPr>
            <w:tcW w:w="876" w:type="dxa"/>
            <w:tcBorders>
              <w:top w:val="single" w:sz="4" w:space="0" w:color="auto"/>
              <w:left w:val="nil"/>
              <w:bottom w:val="nil"/>
              <w:right w:val="nil"/>
            </w:tcBorders>
            <w:noWrap/>
            <w:vAlign w:val="center"/>
            <w:hideMark/>
          </w:tcPr>
          <w:p w14:paraId="505C621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0.0011</w:t>
            </w:r>
          </w:p>
        </w:tc>
        <w:tc>
          <w:tcPr>
            <w:tcW w:w="1108" w:type="dxa"/>
            <w:tcBorders>
              <w:top w:val="single" w:sz="4" w:space="0" w:color="auto"/>
              <w:left w:val="nil"/>
              <w:bottom w:val="nil"/>
              <w:right w:val="nil"/>
            </w:tcBorders>
            <w:vAlign w:val="bottom"/>
          </w:tcPr>
          <w:p w14:paraId="032BBCF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0.0011</w:t>
            </w:r>
          </w:p>
        </w:tc>
        <w:tc>
          <w:tcPr>
            <w:tcW w:w="961" w:type="dxa"/>
            <w:tcBorders>
              <w:top w:val="single" w:sz="4" w:space="0" w:color="auto"/>
              <w:left w:val="nil"/>
              <w:bottom w:val="nil"/>
              <w:right w:val="nil"/>
            </w:tcBorders>
            <w:noWrap/>
            <w:vAlign w:val="center"/>
            <w:hideMark/>
          </w:tcPr>
          <w:p w14:paraId="3FFDE4F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0.0010</w:t>
            </w:r>
          </w:p>
        </w:tc>
        <w:tc>
          <w:tcPr>
            <w:tcW w:w="876" w:type="dxa"/>
            <w:tcBorders>
              <w:top w:val="single" w:sz="4" w:space="0" w:color="auto"/>
              <w:left w:val="nil"/>
              <w:bottom w:val="nil"/>
              <w:right w:val="nil"/>
            </w:tcBorders>
            <w:noWrap/>
            <w:vAlign w:val="center"/>
            <w:hideMark/>
          </w:tcPr>
          <w:p w14:paraId="0A45B44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0.0009</w:t>
            </w:r>
          </w:p>
        </w:tc>
        <w:tc>
          <w:tcPr>
            <w:tcW w:w="1081" w:type="dxa"/>
            <w:tcBorders>
              <w:top w:val="single" w:sz="4" w:space="0" w:color="auto"/>
              <w:left w:val="nil"/>
              <w:bottom w:val="nil"/>
              <w:right w:val="nil"/>
            </w:tcBorders>
            <w:vAlign w:val="bottom"/>
          </w:tcPr>
          <w:p w14:paraId="2F21920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0.0009</w:t>
            </w:r>
          </w:p>
        </w:tc>
        <w:tc>
          <w:tcPr>
            <w:tcW w:w="1022" w:type="dxa"/>
            <w:tcBorders>
              <w:top w:val="single" w:sz="4" w:space="0" w:color="auto"/>
              <w:left w:val="nil"/>
              <w:bottom w:val="nil"/>
              <w:right w:val="nil"/>
            </w:tcBorders>
            <w:noWrap/>
            <w:vAlign w:val="center"/>
            <w:hideMark/>
          </w:tcPr>
          <w:p w14:paraId="35ED1ED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0.1959</w:t>
            </w:r>
          </w:p>
        </w:tc>
        <w:tc>
          <w:tcPr>
            <w:tcW w:w="941" w:type="dxa"/>
            <w:tcBorders>
              <w:top w:val="single" w:sz="4" w:space="0" w:color="auto"/>
              <w:left w:val="nil"/>
              <w:bottom w:val="nil"/>
              <w:right w:val="nil"/>
            </w:tcBorders>
            <w:noWrap/>
            <w:vAlign w:val="center"/>
            <w:hideMark/>
          </w:tcPr>
          <w:p w14:paraId="64C6072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0.2451</w:t>
            </w:r>
          </w:p>
        </w:tc>
        <w:tc>
          <w:tcPr>
            <w:tcW w:w="998" w:type="dxa"/>
            <w:tcBorders>
              <w:top w:val="single" w:sz="4" w:space="0" w:color="auto"/>
              <w:left w:val="nil"/>
              <w:bottom w:val="nil"/>
              <w:right w:val="nil"/>
            </w:tcBorders>
            <w:vAlign w:val="bottom"/>
          </w:tcPr>
          <w:p w14:paraId="1C0E7C6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0.2219</w:t>
            </w:r>
          </w:p>
        </w:tc>
        <w:tc>
          <w:tcPr>
            <w:tcW w:w="1039" w:type="dxa"/>
            <w:tcBorders>
              <w:top w:val="single" w:sz="4" w:space="0" w:color="auto"/>
              <w:left w:val="nil"/>
              <w:bottom w:val="nil"/>
              <w:right w:val="nil"/>
            </w:tcBorders>
          </w:tcPr>
          <w:p w14:paraId="72C8401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0.0082</w:t>
            </w:r>
          </w:p>
        </w:tc>
        <w:tc>
          <w:tcPr>
            <w:tcW w:w="1021" w:type="dxa"/>
            <w:tcBorders>
              <w:top w:val="single" w:sz="4" w:space="0" w:color="auto"/>
              <w:left w:val="nil"/>
              <w:bottom w:val="nil"/>
              <w:right w:val="nil"/>
            </w:tcBorders>
          </w:tcPr>
          <w:p w14:paraId="074F415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0.0046</w:t>
            </w:r>
          </w:p>
        </w:tc>
        <w:tc>
          <w:tcPr>
            <w:tcW w:w="1223" w:type="dxa"/>
            <w:tcBorders>
              <w:top w:val="single" w:sz="4" w:space="0" w:color="auto"/>
              <w:left w:val="nil"/>
              <w:bottom w:val="nil"/>
              <w:right w:val="nil"/>
            </w:tcBorders>
          </w:tcPr>
          <w:p w14:paraId="068A8D0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0.0066</w:t>
            </w:r>
          </w:p>
        </w:tc>
      </w:tr>
      <w:tr w:rsidR="007E0A41" w:rsidRPr="00D1336B" w14:paraId="520A6B0D" w14:textId="77777777" w:rsidTr="007E0A41">
        <w:trPr>
          <w:trHeight w:val="217"/>
        </w:trPr>
        <w:tc>
          <w:tcPr>
            <w:tcW w:w="638" w:type="dxa"/>
            <w:tcBorders>
              <w:top w:val="nil"/>
              <w:left w:val="nil"/>
              <w:bottom w:val="single" w:sz="4" w:space="0" w:color="auto"/>
              <w:right w:val="nil"/>
            </w:tcBorders>
            <w:noWrap/>
            <w:vAlign w:val="bottom"/>
            <w:hideMark/>
          </w:tcPr>
          <w:p w14:paraId="26AB0E0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p>
        </w:tc>
        <w:tc>
          <w:tcPr>
            <w:tcW w:w="2021" w:type="dxa"/>
            <w:tcBorders>
              <w:top w:val="nil"/>
              <w:left w:val="nil"/>
              <w:bottom w:val="single" w:sz="4" w:space="0" w:color="auto"/>
              <w:right w:val="nil"/>
            </w:tcBorders>
            <w:vAlign w:val="center"/>
            <w:hideMark/>
          </w:tcPr>
          <w:p w14:paraId="0B456FE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CD (p≤0.05)</w:t>
            </w:r>
          </w:p>
        </w:tc>
        <w:tc>
          <w:tcPr>
            <w:tcW w:w="1006" w:type="dxa"/>
            <w:tcBorders>
              <w:top w:val="nil"/>
              <w:left w:val="nil"/>
              <w:bottom w:val="single" w:sz="4" w:space="0" w:color="auto"/>
              <w:right w:val="nil"/>
            </w:tcBorders>
            <w:noWrap/>
            <w:vAlign w:val="center"/>
            <w:hideMark/>
          </w:tcPr>
          <w:p w14:paraId="01E25FC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0.0032</w:t>
            </w:r>
          </w:p>
        </w:tc>
        <w:tc>
          <w:tcPr>
            <w:tcW w:w="876" w:type="dxa"/>
            <w:tcBorders>
              <w:top w:val="nil"/>
              <w:left w:val="nil"/>
              <w:bottom w:val="single" w:sz="4" w:space="0" w:color="auto"/>
              <w:right w:val="nil"/>
            </w:tcBorders>
            <w:noWrap/>
            <w:vAlign w:val="center"/>
            <w:hideMark/>
          </w:tcPr>
          <w:p w14:paraId="64807ED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0.0032</w:t>
            </w:r>
          </w:p>
        </w:tc>
        <w:tc>
          <w:tcPr>
            <w:tcW w:w="1108" w:type="dxa"/>
            <w:tcBorders>
              <w:top w:val="nil"/>
              <w:left w:val="nil"/>
              <w:bottom w:val="single" w:sz="4" w:space="0" w:color="auto"/>
              <w:right w:val="nil"/>
            </w:tcBorders>
            <w:vAlign w:val="bottom"/>
          </w:tcPr>
          <w:p w14:paraId="308E4D5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0.0022</w:t>
            </w:r>
          </w:p>
        </w:tc>
        <w:tc>
          <w:tcPr>
            <w:tcW w:w="961" w:type="dxa"/>
            <w:tcBorders>
              <w:top w:val="nil"/>
              <w:left w:val="nil"/>
              <w:bottom w:val="single" w:sz="4" w:space="0" w:color="auto"/>
              <w:right w:val="nil"/>
            </w:tcBorders>
            <w:noWrap/>
            <w:vAlign w:val="center"/>
            <w:hideMark/>
          </w:tcPr>
          <w:p w14:paraId="5E3976D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0.0029</w:t>
            </w:r>
          </w:p>
        </w:tc>
        <w:tc>
          <w:tcPr>
            <w:tcW w:w="876" w:type="dxa"/>
            <w:tcBorders>
              <w:top w:val="nil"/>
              <w:left w:val="nil"/>
              <w:bottom w:val="single" w:sz="4" w:space="0" w:color="auto"/>
              <w:right w:val="nil"/>
            </w:tcBorders>
            <w:noWrap/>
            <w:vAlign w:val="center"/>
            <w:hideMark/>
          </w:tcPr>
          <w:p w14:paraId="5D91027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0.0026</w:t>
            </w:r>
          </w:p>
        </w:tc>
        <w:tc>
          <w:tcPr>
            <w:tcW w:w="1081" w:type="dxa"/>
            <w:tcBorders>
              <w:top w:val="nil"/>
              <w:left w:val="nil"/>
              <w:bottom w:val="single" w:sz="4" w:space="0" w:color="auto"/>
              <w:right w:val="nil"/>
            </w:tcBorders>
            <w:vAlign w:val="bottom"/>
          </w:tcPr>
          <w:p w14:paraId="1F17E8A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0.0019</w:t>
            </w:r>
          </w:p>
        </w:tc>
        <w:tc>
          <w:tcPr>
            <w:tcW w:w="1022" w:type="dxa"/>
            <w:tcBorders>
              <w:top w:val="nil"/>
              <w:left w:val="nil"/>
              <w:bottom w:val="single" w:sz="4" w:space="0" w:color="auto"/>
              <w:right w:val="nil"/>
            </w:tcBorders>
            <w:noWrap/>
            <w:vAlign w:val="center"/>
            <w:hideMark/>
          </w:tcPr>
          <w:p w14:paraId="7344C6D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0.5718</w:t>
            </w:r>
          </w:p>
        </w:tc>
        <w:tc>
          <w:tcPr>
            <w:tcW w:w="941" w:type="dxa"/>
            <w:tcBorders>
              <w:top w:val="nil"/>
              <w:left w:val="nil"/>
              <w:bottom w:val="single" w:sz="4" w:space="0" w:color="auto"/>
              <w:right w:val="nil"/>
            </w:tcBorders>
            <w:noWrap/>
            <w:vAlign w:val="center"/>
            <w:hideMark/>
          </w:tcPr>
          <w:p w14:paraId="308E5D6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0.7155</w:t>
            </w:r>
          </w:p>
        </w:tc>
        <w:tc>
          <w:tcPr>
            <w:tcW w:w="998" w:type="dxa"/>
            <w:tcBorders>
              <w:top w:val="nil"/>
              <w:left w:val="nil"/>
              <w:bottom w:val="single" w:sz="4" w:space="0" w:color="auto"/>
              <w:right w:val="nil"/>
            </w:tcBorders>
            <w:vAlign w:val="bottom"/>
          </w:tcPr>
          <w:p w14:paraId="60A25D7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0.4461</w:t>
            </w:r>
          </w:p>
        </w:tc>
        <w:tc>
          <w:tcPr>
            <w:tcW w:w="1039" w:type="dxa"/>
            <w:tcBorders>
              <w:top w:val="nil"/>
              <w:left w:val="nil"/>
              <w:bottom w:val="single" w:sz="4" w:space="0" w:color="auto"/>
              <w:right w:val="nil"/>
            </w:tcBorders>
          </w:tcPr>
          <w:p w14:paraId="4FE93DC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0.0239</w:t>
            </w:r>
          </w:p>
        </w:tc>
        <w:tc>
          <w:tcPr>
            <w:tcW w:w="1021" w:type="dxa"/>
            <w:tcBorders>
              <w:top w:val="nil"/>
              <w:left w:val="nil"/>
              <w:bottom w:val="single" w:sz="4" w:space="0" w:color="auto"/>
              <w:right w:val="nil"/>
            </w:tcBorders>
          </w:tcPr>
          <w:p w14:paraId="41F4E6E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0.0134</w:t>
            </w:r>
          </w:p>
        </w:tc>
        <w:tc>
          <w:tcPr>
            <w:tcW w:w="1223" w:type="dxa"/>
            <w:tcBorders>
              <w:top w:val="nil"/>
              <w:left w:val="nil"/>
              <w:bottom w:val="single" w:sz="4" w:space="0" w:color="auto"/>
              <w:right w:val="nil"/>
            </w:tcBorders>
          </w:tcPr>
          <w:p w14:paraId="6B4BB27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0.0134</w:t>
            </w:r>
          </w:p>
        </w:tc>
      </w:tr>
    </w:tbl>
    <w:p w14:paraId="74B9BA3F" w14:textId="77777777" w:rsidR="007E0A41" w:rsidRPr="00D1336B" w:rsidRDefault="007E0A41" w:rsidP="00D1336B">
      <w:pPr>
        <w:spacing w:after="0" w:line="276" w:lineRule="auto"/>
        <w:rPr>
          <w:rFonts w:ascii="Times New Roman" w:hAnsi="Times New Roman" w:cs="Times New Roman"/>
          <w:lang w:val="en-GB"/>
        </w:rPr>
        <w:sectPr w:rsidR="007E0A41" w:rsidRPr="00D1336B" w:rsidSect="007E0A41">
          <w:pgSz w:w="16838" w:h="11906" w:orient="landscape"/>
          <w:pgMar w:top="2268" w:right="2268" w:bottom="1701" w:left="2268" w:header="709" w:footer="709" w:gutter="0"/>
          <w:cols w:space="708"/>
          <w:docGrid w:linePitch="360"/>
        </w:sectPr>
      </w:pPr>
    </w:p>
    <w:p w14:paraId="159F52F4" w14:textId="20CD190C" w:rsidR="0048609B" w:rsidRPr="00D1336B" w:rsidRDefault="0048609B" w:rsidP="00D1336B">
      <w:pPr>
        <w:spacing w:after="0" w:line="276" w:lineRule="auto"/>
        <w:rPr>
          <w:rFonts w:ascii="Times New Roman" w:hAnsi="Times New Roman" w:cs="Times New Roman"/>
        </w:rPr>
      </w:pPr>
      <w:r w:rsidRPr="00D1336B">
        <w:rPr>
          <w:noProof/>
          <w:lang w:eastAsia="en-IN" w:bidi="hi-IN"/>
        </w:rPr>
        <w:lastRenderedPageBreak/>
        <w:drawing>
          <wp:inline distT="0" distB="0" distL="0" distR="0" wp14:anchorId="7746B799" wp14:editId="6EFE6B68">
            <wp:extent cx="4572000" cy="2743200"/>
            <wp:effectExtent l="0" t="0" r="0" b="0"/>
            <wp:docPr id="795753496" name="Chart 1">
              <a:extLst xmlns:a="http://schemas.openxmlformats.org/drawingml/2006/main">
                <a:ext uri="{FF2B5EF4-FFF2-40B4-BE49-F238E27FC236}">
                  <a16:creationId xmlns:a16="http://schemas.microsoft.com/office/drawing/2014/main" id="{A5170431-3405-12AE-39EB-533DF04A61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42B560B" w14:textId="7CA302A4" w:rsidR="0048609B" w:rsidRPr="00D1336B" w:rsidRDefault="0048609B" w:rsidP="00D1336B">
      <w:pPr>
        <w:spacing w:after="0" w:line="276" w:lineRule="auto"/>
        <w:rPr>
          <w:rFonts w:ascii="Times New Roman" w:hAnsi="Times New Roman" w:cs="Times New Roman"/>
        </w:rPr>
      </w:pPr>
      <w:r w:rsidRPr="00D1336B">
        <w:rPr>
          <w:rFonts w:ascii="Times New Roman" w:hAnsi="Times New Roman" w:cs="Times New Roman"/>
        </w:rPr>
        <w:t xml:space="preserve">Fig. 3. </w:t>
      </w:r>
      <w:r w:rsidR="00FB5AB7" w:rsidRPr="00D1336B">
        <w:rPr>
          <w:rFonts w:ascii="Times New Roman" w:hAnsi="Times New Roman" w:cs="Times New Roman"/>
        </w:rPr>
        <w:t xml:space="preserve">Effect of Zn and Fe </w:t>
      </w:r>
      <w:proofErr w:type="spellStart"/>
      <w:r w:rsidR="00FB5AB7" w:rsidRPr="00D1336B">
        <w:rPr>
          <w:rFonts w:ascii="Times New Roman" w:hAnsi="Times New Roman" w:cs="Times New Roman"/>
        </w:rPr>
        <w:t>biofortication</w:t>
      </w:r>
      <w:proofErr w:type="spellEnd"/>
      <w:r w:rsidR="00FB5AB7" w:rsidRPr="00D1336B">
        <w:rPr>
          <w:rFonts w:ascii="Times New Roman" w:hAnsi="Times New Roman" w:cs="Times New Roman"/>
        </w:rPr>
        <w:t xml:space="preserve"> on relative growth rate of sweet corn during the year 2024.</w:t>
      </w:r>
    </w:p>
    <w:p w14:paraId="5A7B2CC2" w14:textId="654E5D0A" w:rsidR="0048609B" w:rsidRPr="00D1336B" w:rsidRDefault="0048609B" w:rsidP="00D1336B">
      <w:pPr>
        <w:spacing w:after="0" w:line="276" w:lineRule="auto"/>
        <w:rPr>
          <w:rFonts w:ascii="Times New Roman" w:hAnsi="Times New Roman" w:cs="Times New Roman"/>
        </w:rPr>
      </w:pPr>
      <w:r w:rsidRPr="00D1336B">
        <w:rPr>
          <w:noProof/>
          <w:lang w:eastAsia="en-IN" w:bidi="hi-IN"/>
        </w:rPr>
        <w:drawing>
          <wp:inline distT="0" distB="0" distL="0" distR="0" wp14:anchorId="0A54368E" wp14:editId="5BBDAAF8">
            <wp:extent cx="4572000" cy="2743200"/>
            <wp:effectExtent l="0" t="0" r="0" b="0"/>
            <wp:docPr id="1750327011" name="Chart 1">
              <a:extLst xmlns:a="http://schemas.openxmlformats.org/drawingml/2006/main">
                <a:ext uri="{FF2B5EF4-FFF2-40B4-BE49-F238E27FC236}">
                  <a16:creationId xmlns:a16="http://schemas.microsoft.com/office/drawing/2014/main" id="{10D38F48-A6F3-0FCF-7B14-C68806D93F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4FDD792" w14:textId="338E8E8A" w:rsidR="0048609B" w:rsidRPr="00D1336B" w:rsidRDefault="0048609B"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Fig.4. </w:t>
      </w:r>
      <w:r w:rsidR="00FB5AB7" w:rsidRPr="00D1336B">
        <w:rPr>
          <w:rFonts w:ascii="Times New Roman" w:hAnsi="Times New Roman" w:cs="Times New Roman"/>
        </w:rPr>
        <w:t xml:space="preserve">Effect of Zn and Fe </w:t>
      </w:r>
      <w:proofErr w:type="spellStart"/>
      <w:r w:rsidR="00FB5AB7" w:rsidRPr="00D1336B">
        <w:rPr>
          <w:rFonts w:ascii="Times New Roman" w:hAnsi="Times New Roman" w:cs="Times New Roman"/>
        </w:rPr>
        <w:t>biofortication</w:t>
      </w:r>
      <w:proofErr w:type="spellEnd"/>
      <w:r w:rsidR="00FB5AB7" w:rsidRPr="00D1336B">
        <w:rPr>
          <w:rFonts w:ascii="Times New Roman" w:hAnsi="Times New Roman" w:cs="Times New Roman"/>
        </w:rPr>
        <w:t xml:space="preserve"> on relative growth rate of sweet corn during the year 2025.</w:t>
      </w:r>
    </w:p>
    <w:p w14:paraId="67B949B4" w14:textId="77777777" w:rsidR="0048609B" w:rsidRPr="00D1336B" w:rsidRDefault="0048609B" w:rsidP="00D1336B">
      <w:pPr>
        <w:spacing w:after="0" w:line="276" w:lineRule="auto"/>
        <w:jc w:val="both"/>
        <w:rPr>
          <w:rFonts w:ascii="Times New Roman" w:hAnsi="Times New Roman" w:cs="Times New Roman"/>
        </w:rPr>
      </w:pPr>
    </w:p>
    <w:p w14:paraId="19E75FEE" w14:textId="77777777" w:rsidR="0048609B" w:rsidRPr="00D1336B" w:rsidRDefault="0048609B" w:rsidP="00D1336B">
      <w:pPr>
        <w:spacing w:after="0" w:line="276" w:lineRule="auto"/>
        <w:jc w:val="both"/>
        <w:rPr>
          <w:rFonts w:ascii="Times New Roman" w:hAnsi="Times New Roman" w:cs="Times New Roman"/>
        </w:rPr>
      </w:pPr>
    </w:p>
    <w:p w14:paraId="317CF2F3" w14:textId="77777777" w:rsidR="0048609B" w:rsidRPr="00D1336B" w:rsidRDefault="0048609B" w:rsidP="00D1336B">
      <w:pPr>
        <w:spacing w:after="0" w:line="276" w:lineRule="auto"/>
        <w:jc w:val="both"/>
        <w:rPr>
          <w:rFonts w:ascii="Times New Roman" w:hAnsi="Times New Roman" w:cs="Times New Roman"/>
        </w:rPr>
      </w:pPr>
    </w:p>
    <w:p w14:paraId="702FB078" w14:textId="77777777" w:rsidR="0048609B" w:rsidRPr="00D1336B" w:rsidRDefault="0048609B" w:rsidP="00D1336B">
      <w:pPr>
        <w:spacing w:after="0" w:line="276" w:lineRule="auto"/>
        <w:jc w:val="both"/>
        <w:rPr>
          <w:rFonts w:ascii="Times New Roman" w:hAnsi="Times New Roman" w:cs="Times New Roman"/>
        </w:rPr>
      </w:pPr>
    </w:p>
    <w:p w14:paraId="27DF1091" w14:textId="77777777" w:rsidR="0048609B" w:rsidRPr="00D1336B" w:rsidRDefault="0048609B" w:rsidP="00D1336B">
      <w:pPr>
        <w:spacing w:after="0" w:line="276" w:lineRule="auto"/>
        <w:jc w:val="both"/>
        <w:rPr>
          <w:rFonts w:ascii="Times New Roman" w:hAnsi="Times New Roman" w:cs="Times New Roman"/>
        </w:rPr>
      </w:pPr>
    </w:p>
    <w:p w14:paraId="03124ADB" w14:textId="77777777" w:rsidR="0048609B" w:rsidRPr="00D1336B" w:rsidRDefault="0048609B" w:rsidP="00D1336B">
      <w:pPr>
        <w:spacing w:after="0" w:line="276" w:lineRule="auto"/>
        <w:jc w:val="both"/>
        <w:rPr>
          <w:rFonts w:ascii="Times New Roman" w:hAnsi="Times New Roman" w:cs="Times New Roman"/>
        </w:rPr>
      </w:pPr>
    </w:p>
    <w:p w14:paraId="5DDA845B" w14:textId="0F22F7D7" w:rsidR="0048609B" w:rsidRPr="00D1336B" w:rsidRDefault="0048609B" w:rsidP="00D1336B">
      <w:pPr>
        <w:spacing w:after="0" w:line="276" w:lineRule="auto"/>
        <w:jc w:val="both"/>
        <w:rPr>
          <w:rFonts w:ascii="Times New Roman" w:hAnsi="Times New Roman" w:cs="Times New Roman"/>
        </w:rPr>
      </w:pPr>
      <w:r w:rsidRPr="00D1336B">
        <w:rPr>
          <w:noProof/>
          <w:lang w:eastAsia="en-IN" w:bidi="hi-IN"/>
        </w:rPr>
        <w:lastRenderedPageBreak/>
        <w:drawing>
          <wp:inline distT="0" distB="0" distL="0" distR="0" wp14:anchorId="4B8AAC80" wp14:editId="22088996">
            <wp:extent cx="4572000" cy="2743200"/>
            <wp:effectExtent l="0" t="0" r="0" b="0"/>
            <wp:docPr id="92345005" name="Chart 1">
              <a:extLst xmlns:a="http://schemas.openxmlformats.org/drawingml/2006/main">
                <a:ext uri="{FF2B5EF4-FFF2-40B4-BE49-F238E27FC236}">
                  <a16:creationId xmlns:a16="http://schemas.microsoft.com/office/drawing/2014/main" id="{9EC21A00-2A85-4DED-F53C-9C741ADE90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D9589F9" w14:textId="665CEEA4" w:rsidR="0048609B" w:rsidRPr="00D1336B" w:rsidRDefault="0048609B"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Fig.5. </w:t>
      </w:r>
      <w:r w:rsidR="00FB5AB7" w:rsidRPr="00D1336B">
        <w:rPr>
          <w:rFonts w:ascii="Times New Roman" w:hAnsi="Times New Roman" w:cs="Times New Roman"/>
        </w:rPr>
        <w:t xml:space="preserve">Effect of Zn and Fe </w:t>
      </w:r>
      <w:proofErr w:type="spellStart"/>
      <w:r w:rsidR="00FB5AB7" w:rsidRPr="00D1336B">
        <w:rPr>
          <w:rFonts w:ascii="Times New Roman" w:hAnsi="Times New Roman" w:cs="Times New Roman"/>
        </w:rPr>
        <w:t>biofortication</w:t>
      </w:r>
      <w:proofErr w:type="spellEnd"/>
      <w:r w:rsidR="00FB5AB7" w:rsidRPr="00D1336B">
        <w:rPr>
          <w:rFonts w:ascii="Times New Roman" w:hAnsi="Times New Roman" w:cs="Times New Roman"/>
        </w:rPr>
        <w:t xml:space="preserve"> on net assimilation rate of sweet corn during the year 2024.</w:t>
      </w:r>
    </w:p>
    <w:p w14:paraId="15DA2E5A" w14:textId="47037521" w:rsidR="0048609B" w:rsidRPr="00D1336B" w:rsidRDefault="0048609B" w:rsidP="00D1336B">
      <w:pPr>
        <w:spacing w:after="0" w:line="276" w:lineRule="auto"/>
        <w:jc w:val="both"/>
        <w:rPr>
          <w:rFonts w:ascii="Times New Roman" w:hAnsi="Times New Roman" w:cs="Times New Roman"/>
        </w:rPr>
      </w:pPr>
      <w:r w:rsidRPr="00D1336B">
        <w:rPr>
          <w:noProof/>
          <w:lang w:eastAsia="en-IN" w:bidi="hi-IN"/>
        </w:rPr>
        <w:drawing>
          <wp:inline distT="0" distB="0" distL="0" distR="0" wp14:anchorId="6AB146AE" wp14:editId="2DF17D4B">
            <wp:extent cx="4572000" cy="2743200"/>
            <wp:effectExtent l="0" t="0" r="0" b="0"/>
            <wp:docPr id="468316538" name="Chart 1">
              <a:extLst xmlns:a="http://schemas.openxmlformats.org/drawingml/2006/main">
                <a:ext uri="{FF2B5EF4-FFF2-40B4-BE49-F238E27FC236}">
                  <a16:creationId xmlns:a16="http://schemas.microsoft.com/office/drawing/2014/main" id="{99D61168-FB87-D871-2B03-F3178F96DD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C368F88" w14:textId="60FD960F" w:rsidR="0048609B" w:rsidRPr="00D1336B" w:rsidRDefault="0048609B"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Fig.6. </w:t>
      </w:r>
      <w:r w:rsidR="00FB5AB7" w:rsidRPr="00D1336B">
        <w:rPr>
          <w:rFonts w:ascii="Times New Roman" w:hAnsi="Times New Roman" w:cs="Times New Roman"/>
        </w:rPr>
        <w:t xml:space="preserve">Effect of Zn and Fe </w:t>
      </w:r>
      <w:proofErr w:type="spellStart"/>
      <w:r w:rsidR="00FB5AB7" w:rsidRPr="00D1336B">
        <w:rPr>
          <w:rFonts w:ascii="Times New Roman" w:hAnsi="Times New Roman" w:cs="Times New Roman"/>
        </w:rPr>
        <w:t>biofortication</w:t>
      </w:r>
      <w:proofErr w:type="spellEnd"/>
      <w:r w:rsidR="00FB5AB7" w:rsidRPr="00D1336B">
        <w:rPr>
          <w:rFonts w:ascii="Times New Roman" w:hAnsi="Times New Roman" w:cs="Times New Roman"/>
        </w:rPr>
        <w:t xml:space="preserve"> on net assimilation rate of sweet corn during the year 202</w:t>
      </w:r>
      <w:r w:rsidR="00262367" w:rsidRPr="00D1336B">
        <w:rPr>
          <w:rFonts w:ascii="Times New Roman" w:hAnsi="Times New Roman" w:cs="Times New Roman"/>
        </w:rPr>
        <w:t>5</w:t>
      </w:r>
      <w:r w:rsidR="00FB5AB7" w:rsidRPr="00D1336B">
        <w:rPr>
          <w:rFonts w:ascii="Times New Roman" w:hAnsi="Times New Roman" w:cs="Times New Roman"/>
        </w:rPr>
        <w:t>.</w:t>
      </w:r>
    </w:p>
    <w:p w14:paraId="621F3A85" w14:textId="77777777" w:rsidR="0048609B" w:rsidRPr="00D1336B" w:rsidRDefault="0048609B" w:rsidP="00D1336B">
      <w:pPr>
        <w:spacing w:after="0" w:line="276" w:lineRule="auto"/>
        <w:jc w:val="both"/>
        <w:rPr>
          <w:rFonts w:ascii="Times New Roman" w:hAnsi="Times New Roman" w:cs="Times New Roman"/>
        </w:rPr>
      </w:pPr>
    </w:p>
    <w:p w14:paraId="325DFE11" w14:textId="77777777" w:rsidR="0048609B" w:rsidRPr="00D1336B" w:rsidRDefault="0048609B" w:rsidP="00D1336B">
      <w:pPr>
        <w:spacing w:after="0" w:line="276" w:lineRule="auto"/>
        <w:jc w:val="both"/>
        <w:rPr>
          <w:rFonts w:ascii="Times New Roman" w:hAnsi="Times New Roman" w:cs="Times New Roman"/>
        </w:rPr>
      </w:pPr>
    </w:p>
    <w:p w14:paraId="2886C4DF" w14:textId="77777777" w:rsidR="0048609B" w:rsidRPr="00D1336B" w:rsidRDefault="0048609B" w:rsidP="00D1336B">
      <w:pPr>
        <w:spacing w:after="0" w:line="276" w:lineRule="auto"/>
        <w:jc w:val="both"/>
        <w:rPr>
          <w:rFonts w:ascii="Times New Roman" w:hAnsi="Times New Roman" w:cs="Times New Roman"/>
        </w:rPr>
      </w:pPr>
    </w:p>
    <w:p w14:paraId="63D7A90A" w14:textId="77777777" w:rsidR="0048609B" w:rsidRPr="00D1336B" w:rsidRDefault="0048609B" w:rsidP="00D1336B">
      <w:pPr>
        <w:spacing w:after="0" w:line="276" w:lineRule="auto"/>
        <w:jc w:val="both"/>
        <w:rPr>
          <w:rFonts w:ascii="Times New Roman" w:hAnsi="Times New Roman" w:cs="Times New Roman"/>
        </w:rPr>
      </w:pPr>
    </w:p>
    <w:p w14:paraId="47EE083A" w14:textId="77777777" w:rsidR="0048609B" w:rsidRPr="00D1336B" w:rsidRDefault="0048609B" w:rsidP="00D1336B">
      <w:pPr>
        <w:spacing w:after="0" w:line="276" w:lineRule="auto"/>
        <w:jc w:val="both"/>
        <w:rPr>
          <w:rFonts w:ascii="Times New Roman" w:hAnsi="Times New Roman" w:cs="Times New Roman"/>
        </w:rPr>
      </w:pPr>
    </w:p>
    <w:p w14:paraId="5206296B" w14:textId="77777777" w:rsidR="0048609B" w:rsidRPr="00D1336B" w:rsidRDefault="0048609B" w:rsidP="00D1336B">
      <w:pPr>
        <w:spacing w:after="0" w:line="276" w:lineRule="auto"/>
        <w:jc w:val="both"/>
        <w:rPr>
          <w:rFonts w:ascii="Times New Roman" w:hAnsi="Times New Roman" w:cs="Times New Roman"/>
        </w:rPr>
      </w:pPr>
    </w:p>
    <w:p w14:paraId="31B45CD9" w14:textId="6DB9D497" w:rsidR="007E0A41" w:rsidRPr="00D1336B" w:rsidRDefault="00FB5AB7"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g m⁻²day⁻¹, while chelated zinc @ 0.50% (T₉) gave the highest value by 2.0428 g m⁻²day⁻¹, followed closely by chelated zinc @ 0.75% (T₁₀) at 1.9688 g m⁻²day⁻¹. </w:t>
      </w:r>
      <w:proofErr w:type="spellStart"/>
      <w:r w:rsidRPr="00D1336B">
        <w:rPr>
          <w:rFonts w:ascii="Times New Roman" w:hAnsi="Times New Roman" w:cs="Times New Roman"/>
        </w:rPr>
        <w:t>ZnSO</w:t>
      </w:r>
      <w:proofErr w:type="spellEnd"/>
      <w:r w:rsidRPr="00D1336B">
        <w:rPr>
          <w:rFonts w:ascii="Times New Roman" w:hAnsi="Times New Roman" w:cs="Times New Roman"/>
        </w:rPr>
        <w:t xml:space="preserve">₄ @ 0.75% (T₁₃) and @ 0.50% (T₁₂), whereas the iron treatments (chelated </w:t>
      </w:r>
      <w:r w:rsidR="007E0A41" w:rsidRPr="00D1336B">
        <w:rPr>
          <w:rFonts w:ascii="Times New Roman" w:hAnsi="Times New Roman" w:cs="Times New Roman"/>
        </w:rPr>
        <w:t xml:space="preserve">iron and </w:t>
      </w:r>
      <w:proofErr w:type="spellStart"/>
      <w:r w:rsidR="007E0A41" w:rsidRPr="00D1336B">
        <w:rPr>
          <w:rFonts w:ascii="Times New Roman" w:hAnsi="Times New Roman" w:cs="Times New Roman"/>
        </w:rPr>
        <w:t>FeSO</w:t>
      </w:r>
      <w:proofErr w:type="spellEnd"/>
      <w:r w:rsidR="007E0A41" w:rsidRPr="00D1336B">
        <w:rPr>
          <w:rFonts w:ascii="Times New Roman" w:hAnsi="Times New Roman" w:cs="Times New Roman"/>
        </w:rPr>
        <w:t>₄) stayed in a lower range, mostly between 0.63 and 0.88 g m⁻²day⁻¹, still well above the control.</w:t>
      </w:r>
    </w:p>
    <w:p w14:paraId="7FA02EC8" w14:textId="44B54628"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During the 60–90 DAT period, NAR dropped steeply across every treatment, which is typical as the crop moves past its peak assimilation phase. T₉ (chelated zinc @ 0.50%) was recorded the highest with the value 0.0431 g m⁻²day⁻¹, followed by T₁₀ (0.0329 g m⁻²day⁻¹), while the control with 0.0040 g m⁻²day⁻¹. Zinc-based treatments, whether chelated or in sulphate form, were found performing better than iron treatments at this later stage (60-90 DAT).</w:t>
      </w:r>
    </w:p>
    <w:p w14:paraId="3F2FAC03"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lastRenderedPageBreak/>
        <w:t xml:space="preserve">Taken together, these results indicate that zinc application, particularly chelated zinc at the 0.50% level, had the strongest and most lasting effect on the plant's assimilation efficiency. </w:t>
      </w:r>
    </w:p>
    <w:p w14:paraId="104A4038" w14:textId="77777777" w:rsidR="007E0A41" w:rsidRPr="00BF0A9E" w:rsidRDefault="007E0A41" w:rsidP="00D1336B">
      <w:pPr>
        <w:spacing w:after="0" w:line="276" w:lineRule="auto"/>
        <w:jc w:val="both"/>
        <w:rPr>
          <w:rFonts w:ascii="Times New Roman" w:hAnsi="Times New Roman" w:cs="Times New Roman"/>
          <w:b/>
          <w:bCs/>
        </w:rPr>
      </w:pPr>
      <w:r w:rsidRPr="00BF0A9E">
        <w:rPr>
          <w:rFonts w:ascii="Times New Roman" w:hAnsi="Times New Roman" w:cs="Times New Roman"/>
          <w:b/>
          <w:bCs/>
        </w:rPr>
        <w:t>Discussion</w:t>
      </w:r>
    </w:p>
    <w:p w14:paraId="0B8E4EC2" w14:textId="77777777" w:rsidR="007E0A41" w:rsidRPr="00D1336B" w:rsidRDefault="007E0A41" w:rsidP="00D1336B">
      <w:pPr>
        <w:spacing w:after="0" w:line="276" w:lineRule="auto"/>
        <w:jc w:val="both"/>
        <w:rPr>
          <w:rFonts w:ascii="Times New Roman" w:hAnsi="Times New Roman" w:cs="Times New Roman"/>
        </w:rPr>
      </w:pPr>
      <w:r w:rsidRPr="00D1336B">
        <w:rPr>
          <w:rFonts w:ascii="Times New Roman" w:hAnsi="Times New Roman" w:cs="Times New Roman"/>
        </w:rPr>
        <w:t>CGR</w:t>
      </w:r>
    </w:p>
    <w:p w14:paraId="6D70149B" w14:textId="1C74812C"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Table 1 shows the CGR data for sweet corn over three different time periods. The CGR values were recorded low and almost the same across all treatments during the first interval (0-30 DAT), around 2.0 g m⁻² day⁻¹, then increased to a high between second interval (30-60 DAT), and after that, decreased again at 60-90 DAT. Chelated zinc @ 0.75% gave the best growth rate at every stage, it reached 49.99 g m⁻² day⁻¹  during the 30-60 DAT and remained the same with 21.98 g m⁻² day⁻¹  in the final period (60-90 DAT).The control had the lowest growth throughout, with a value of 22.14 g m⁻² day⁻¹ during the middle interval.</w:t>
      </w:r>
    </w:p>
    <w:p w14:paraId="7FD37DFC"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This bell-shaped pattern is exactly what would be expected from the underlying physiology of a C4 crop like maize. In the first stage, the young plant is setting up its roots and making the first few leaves, so the amount of dry matter it gains per square foot doesn't change much no matter how much nutrients it gets, according to Lindquist </w:t>
      </w:r>
      <w:r w:rsidRPr="00D1336B">
        <w:rPr>
          <w:rFonts w:ascii="Times New Roman" w:hAnsi="Times New Roman" w:cs="Times New Roman"/>
          <w:i/>
          <w:iCs/>
        </w:rPr>
        <w:t>et al.</w:t>
      </w:r>
      <w:r w:rsidRPr="00D1336B">
        <w:rPr>
          <w:rFonts w:ascii="Times New Roman" w:hAnsi="Times New Roman" w:cs="Times New Roman"/>
        </w:rPr>
        <w:t xml:space="preserve"> 2005. Once the canopy becomes closed and the leaf area index increases during the change from vegetative to reproductive growth, both light interception and the plant's ability to perform photosynthesis go up, and the crop growth rate also increases. This is the time when differences between treatments are most apprehensible, because the amount of zinc and iron available now directly affects how well the plant can turn the captured light into plant biomass (</w:t>
      </w:r>
      <w:proofErr w:type="spellStart"/>
      <w:r w:rsidRPr="00D1336B">
        <w:rPr>
          <w:rFonts w:ascii="Times New Roman" w:hAnsi="Times New Roman" w:cs="Times New Roman"/>
        </w:rPr>
        <w:t>Fageria</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2012). After 60 days after transplanting, the crop enters the grain filling stage, and a lot of the plant's food produced through photosynthesis is moved from the leaves and stems to the developing ear. The lower leaves start to die off and their ability to make food decreases, which causes the crop's overall food production rate to drop, even in the best performing treatments (Yang &amp; Zhang, 2006).</w:t>
      </w:r>
    </w:p>
    <w:p w14:paraId="6F951A2A"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The consistent advantage of chelated zinc, especially @ 0.50% and 0.75% levels, matches what many other researchers have found. Ravikiran and </w:t>
      </w:r>
      <w:proofErr w:type="spellStart"/>
      <w:r w:rsidRPr="00D1336B">
        <w:rPr>
          <w:rFonts w:ascii="Times New Roman" w:hAnsi="Times New Roman" w:cs="Times New Roman"/>
        </w:rPr>
        <w:t>Halepyati</w:t>
      </w:r>
      <w:proofErr w:type="spellEnd"/>
      <w:r w:rsidRPr="00D1336B">
        <w:rPr>
          <w:rFonts w:ascii="Times New Roman" w:hAnsi="Times New Roman" w:cs="Times New Roman"/>
        </w:rPr>
        <w:t xml:space="preserve"> (2013) discovered that applying zinc increased the growth rate of cotton more consistently than other micronutrients. They explained this is because zinc helps maintain the structure of cell membranes in mesophyll cells, which allows the photosynthetic system to work effectively for a longer period during the growing season. </w:t>
      </w:r>
      <w:proofErr w:type="spellStart"/>
      <w:r w:rsidRPr="00D1336B">
        <w:rPr>
          <w:rFonts w:ascii="Times New Roman" w:hAnsi="Times New Roman" w:cs="Times New Roman"/>
        </w:rPr>
        <w:t>Potarzycki</w:t>
      </w:r>
      <w:proofErr w:type="spellEnd"/>
      <w:r w:rsidRPr="00D1336B">
        <w:rPr>
          <w:rFonts w:ascii="Times New Roman" w:hAnsi="Times New Roman" w:cs="Times New Roman"/>
        </w:rPr>
        <w:t xml:space="preserve"> and </w:t>
      </w:r>
      <w:proofErr w:type="spellStart"/>
      <w:r w:rsidRPr="00D1336B">
        <w:rPr>
          <w:rFonts w:ascii="Times New Roman" w:hAnsi="Times New Roman" w:cs="Times New Roman"/>
        </w:rPr>
        <w:t>Grzebisz</w:t>
      </w:r>
      <w:proofErr w:type="spellEnd"/>
      <w:r w:rsidRPr="00D1336B">
        <w:rPr>
          <w:rFonts w:ascii="Times New Roman" w:hAnsi="Times New Roman" w:cs="Times New Roman"/>
        </w:rPr>
        <w:t xml:space="preserve"> (2009) found a similar pattern in maize, where applying zinc to the leaves increased both the amount of grain produced and how fast the plant was growing during the stage when the grains were filling with starch. They connected this to zinc's role in helping an enzyme called carbonic anhydrase, which is important for moving CO₂ to Rubisco, the enzyme that helps in making sugars. That system explains why the zinc treatments in this study continued to do better than the iron-only ones, even as the overall growth rate slowed down after 60 days after transplanting. The plants with higher zinc levels had more active parts for making food through photosynthesis still working.</w:t>
      </w:r>
    </w:p>
    <w:p w14:paraId="4619B392"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Iron's role appears to be to be more limited when compared to others, which matches what we know about its biological function. Iron doesn't help directly with the enzymes that fix carbon like zinc does. Instead, iron is mostly involved in making chlorophyll and is part of the cytochromes in the electron transport chain (Abadia </w:t>
      </w:r>
      <w:r w:rsidRPr="00D1336B">
        <w:rPr>
          <w:rFonts w:ascii="Times New Roman" w:hAnsi="Times New Roman" w:cs="Times New Roman"/>
          <w:i/>
          <w:iCs/>
        </w:rPr>
        <w:t>et al.</w:t>
      </w:r>
      <w:r w:rsidRPr="00D1336B">
        <w:rPr>
          <w:rFonts w:ascii="Times New Roman" w:hAnsi="Times New Roman" w:cs="Times New Roman"/>
        </w:rPr>
        <w:t xml:space="preserve">, 2011). Paramasivan </w:t>
      </w:r>
      <w:r w:rsidRPr="00D1336B">
        <w:rPr>
          <w:rFonts w:ascii="Times New Roman" w:hAnsi="Times New Roman" w:cs="Times New Roman"/>
          <w:i/>
          <w:iCs/>
        </w:rPr>
        <w:t>et al.</w:t>
      </w:r>
      <w:r w:rsidRPr="00D1336B">
        <w:rPr>
          <w:rFonts w:ascii="Times New Roman" w:hAnsi="Times New Roman" w:cs="Times New Roman"/>
        </w:rPr>
        <w:t xml:space="preserve"> 2011 noticed the same ceiling effect in hybrid maize. They noticed that addition of iron to the plants helped them grow more during the early growth phase, but once the plants began to flower, their growth did not get much better after that. This was true even when comparing iron to zinc. Randhawa </w:t>
      </w:r>
      <w:r w:rsidRPr="00D1336B">
        <w:rPr>
          <w:rFonts w:ascii="Times New Roman" w:hAnsi="Times New Roman" w:cs="Times New Roman"/>
          <w:i/>
          <w:iCs/>
        </w:rPr>
        <w:t>et al.</w:t>
      </w:r>
      <w:r w:rsidRPr="00D1336B">
        <w:rPr>
          <w:rFonts w:ascii="Times New Roman" w:hAnsi="Times New Roman" w:cs="Times New Roman"/>
        </w:rPr>
        <w:t xml:space="preserve"> 2014 found that maize plants that lacked enough zinc had a much quicker drop in their growth rate after they started to flower, compared to plants that had enough zinc. This again shows that zinc is a key nutrient during the period of decline after flowering, which is shown in the 60 to 90 days after transplanting column here.</w:t>
      </w:r>
    </w:p>
    <w:p w14:paraId="630ABAAF"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The benefit of using chelated forms instead of sulphate sources, when given in similar amounts, matches previous findings that chelation helps slow how nutrients stick to soil particles and keeps them available for longer (Mortvedt, 1979 and Hergert </w:t>
      </w:r>
      <w:r w:rsidRPr="00D1336B">
        <w:rPr>
          <w:rFonts w:ascii="Times New Roman" w:hAnsi="Times New Roman" w:cs="Times New Roman"/>
          <w:i/>
          <w:iCs/>
        </w:rPr>
        <w:t>et al.</w:t>
      </w:r>
      <w:r w:rsidRPr="00D1336B">
        <w:rPr>
          <w:rFonts w:ascii="Times New Roman" w:hAnsi="Times New Roman" w:cs="Times New Roman"/>
        </w:rPr>
        <w:t xml:space="preserve">, 1984). This explains why chelated zinc stayed </w:t>
      </w:r>
      <w:r w:rsidRPr="00D1336B">
        <w:rPr>
          <w:rFonts w:ascii="Times New Roman" w:hAnsi="Times New Roman" w:cs="Times New Roman"/>
        </w:rPr>
        <w:lastRenderedPageBreak/>
        <w:t xml:space="preserve">effective during the 60-90 DAT period, even though the growth of the plants slowed for all the treatments. </w:t>
      </w:r>
    </w:p>
    <w:p w14:paraId="2DA8B2D4" w14:textId="77777777" w:rsidR="007E0A41" w:rsidRPr="00D1336B" w:rsidRDefault="007E0A41" w:rsidP="00D1336B">
      <w:pPr>
        <w:spacing w:after="0" w:line="276" w:lineRule="auto"/>
        <w:rPr>
          <w:rFonts w:ascii="Times New Roman" w:hAnsi="Times New Roman" w:cs="Times New Roman"/>
          <w:lang w:val="en-GB"/>
        </w:rPr>
      </w:pPr>
      <w:r w:rsidRPr="00D1336B">
        <w:rPr>
          <w:rFonts w:ascii="Times New Roman" w:hAnsi="Times New Roman" w:cs="Times New Roman"/>
          <w:lang w:val="en-GB"/>
        </w:rPr>
        <w:t>RGR</w:t>
      </w:r>
    </w:p>
    <w:p w14:paraId="3BE12E08"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RGR data shows that the treatments that recorded the highest relative growth rate during 30-60 DAT were found to record the lowest RGR during 60–90 DAT. Chelated zinc @ 0.75% reveals the highest in the first interval at 0.1084 g g⁻¹ day⁻¹, well above the control's 0.0830, but by the second interval it had dropped to just 0.0118, below the control's 0.0170. The same reversal shows up, in a milder form, across nearly every zinc and iron treatment. Instead of considering this inverse pattern as unpredictability, this inverse pattern illustrates the predictions of conventional growth-analysis theory.</w:t>
      </w:r>
    </w:p>
    <w:p w14:paraId="48AFB987" w14:textId="194CC956"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Relative growth rate is, by definition, the increment in dry matter expressed per unit of existing dry matter, so RGR is mathematically sensitive to plant size in a way that absolute measures like CGR are not (Hunt, 1990 and Evans, 1972). A plant that has already accumulated a large biomass by 60 DAT, is exactly what the chelated zinc treatments had done needs a proportionally larger absolute increment just to maintain the same RGR as a smaller plant. The control, still relatively small at 60 DAT, could post a higher RGR later simply because its baseline was lower, even though its absolute growth rate stayed below the treated plants throughout, as the CGR data in Table </w:t>
      </w:r>
      <w:r w:rsidR="00BF0A9E">
        <w:rPr>
          <w:rFonts w:ascii="Times New Roman" w:hAnsi="Times New Roman" w:cs="Times New Roman"/>
        </w:rPr>
        <w:t>1</w:t>
      </w:r>
      <w:r w:rsidRPr="00D1336B">
        <w:rPr>
          <w:rFonts w:ascii="Times New Roman" w:hAnsi="Times New Roman" w:cs="Times New Roman"/>
        </w:rPr>
        <w:t xml:space="preserve"> already showed. </w:t>
      </w:r>
      <w:proofErr w:type="spellStart"/>
      <w:r w:rsidRPr="00D1336B">
        <w:rPr>
          <w:rFonts w:ascii="Times New Roman" w:hAnsi="Times New Roman" w:cs="Times New Roman"/>
        </w:rPr>
        <w:t>Poorter</w:t>
      </w:r>
      <w:proofErr w:type="spellEnd"/>
      <w:r w:rsidRPr="00D1336B">
        <w:rPr>
          <w:rFonts w:ascii="Times New Roman" w:hAnsi="Times New Roman" w:cs="Times New Roman"/>
        </w:rPr>
        <w:t xml:space="preserve"> (1989) described this as an essentially universal feature of RGR that it declines with plant ontogeny regardless of nutrient treatment, because self-shading among lower leaves and a rising proportion of non-photosynthetic structural tissue both cut into the efficiency of new biomass production as the canopy matures.</w:t>
      </w:r>
    </w:p>
    <w:p w14:paraId="186D5AF8"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Zinc's early advantage in RGR fits its established role in auxin metabolism and enzyme activation. Zinc is required for tryptophan synthetase activity, and tryptophan feeds into IAA biosynthesis, so plants with strong zinc status tend to show rapid cell division and expansion in the early-to-mid vegetative window, which is captured well by the 30-60 DAT RGR values here (Cakmak, 2000 and Marschner, 1995). Once the canopy closes and the crop shifts toward reproductive development, though, that early advantage in relative terms necessarily fades, because the plant is now investing more of </w:t>
      </w:r>
      <w:proofErr w:type="gramStart"/>
      <w:r w:rsidRPr="00D1336B">
        <w:rPr>
          <w:rFonts w:ascii="Times New Roman" w:hAnsi="Times New Roman" w:cs="Times New Roman"/>
        </w:rPr>
        <w:t>its</w:t>
      </w:r>
      <w:proofErr w:type="gramEnd"/>
      <w:r w:rsidRPr="00D1336B">
        <w:rPr>
          <w:rFonts w:ascii="Times New Roman" w:hAnsi="Times New Roman" w:cs="Times New Roman"/>
        </w:rPr>
        <w:t xml:space="preserve"> assimilate into the ear rather than into new vegetative tissue, and the growing biomass base makes further proportional gains harder to sustain (Yang &amp; Zhang, 2006). </w:t>
      </w:r>
      <w:proofErr w:type="spellStart"/>
      <w:r w:rsidRPr="00D1336B">
        <w:rPr>
          <w:rFonts w:ascii="Times New Roman" w:hAnsi="Times New Roman" w:cs="Times New Roman"/>
        </w:rPr>
        <w:t>Grzebisz</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xml:space="preserve"> (2008) found out that the growth rate reduced almost the same way in maize plants that got zinc on their leaves after they stopped growing vegetatively. They assume this happened because the plants started focusing their energy on making seeds instead of just growing, not because the zinc wasn't working properly anymore.</w:t>
      </w:r>
      <w:r w:rsidRPr="00D1336B">
        <w:rPr>
          <w:rFonts w:ascii="Times New Roman" w:hAnsi="Times New Roman" w:cs="Times New Roman"/>
        </w:rPr>
        <w:br/>
        <w:t xml:space="preserve">Plants treated with iron had a slower decrease in growth between the two time periods compared to those treated with zinc. This matches with the idea that iron has a smaller effect on how cells grow longer and helps keep chlorophyll and the ability to perform photosynthesis steady throughout the season (Abadia </w:t>
      </w:r>
      <w:r w:rsidRPr="00D1336B">
        <w:rPr>
          <w:rFonts w:ascii="Times New Roman" w:hAnsi="Times New Roman" w:cs="Times New Roman"/>
          <w:i/>
          <w:iCs/>
        </w:rPr>
        <w:t>et al.</w:t>
      </w:r>
      <w:r w:rsidRPr="00D1336B">
        <w:rPr>
          <w:rFonts w:ascii="Times New Roman" w:hAnsi="Times New Roman" w:cs="Times New Roman"/>
        </w:rPr>
        <w:t>, 2011 and Rout &amp; Sahoo, 2015). Because iron does not drive the same early growth surge that zinc does, the iron treatments had less "excess" RGR to lose once the crop matured, and the CD values in the 60–90 DAT column reflect that smaller spread.</w:t>
      </w:r>
    </w:p>
    <w:p w14:paraId="3647974A"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This pattern of an early RGR peak followed by a steep decline as biomass accumulates has been documented widely enough in cereal growth-analysis studies (Ravi &amp; Channal, 2013 and </w:t>
      </w:r>
      <w:proofErr w:type="spellStart"/>
      <w:r w:rsidRPr="00D1336B">
        <w:rPr>
          <w:rFonts w:ascii="Times New Roman" w:hAnsi="Times New Roman" w:cs="Times New Roman"/>
        </w:rPr>
        <w:t>Fageria</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2012) that it is best read here not as evidence the zinc and iron treatments stopped working, but as confirmation that the crop's growth pattern in this trial followed the expected physiological trajectory, with the strongest micronutrient response concentrated in the early-to-mid vegetative phase where it matters most for establishing the plant's ultimate biomass ceiling.</w:t>
      </w:r>
    </w:p>
    <w:p w14:paraId="7383B863" w14:textId="77777777" w:rsidR="007E0A41" w:rsidRPr="00D1336B" w:rsidRDefault="007E0A41" w:rsidP="00D1336B">
      <w:pPr>
        <w:spacing w:after="0" w:line="276" w:lineRule="auto"/>
        <w:rPr>
          <w:rFonts w:ascii="Times New Roman" w:hAnsi="Times New Roman" w:cs="Times New Roman"/>
          <w:lang w:val="en-GB"/>
        </w:rPr>
      </w:pPr>
      <w:r w:rsidRPr="00D1336B">
        <w:rPr>
          <w:rFonts w:ascii="Times New Roman" w:hAnsi="Times New Roman" w:cs="Times New Roman"/>
          <w:lang w:val="en-GB"/>
        </w:rPr>
        <w:t>NAR</w:t>
      </w:r>
    </w:p>
    <w:p w14:paraId="1F45AB3F"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Net assimilation rate followed the same trend already seen in the crop growth rate data, but the numbers here also expose how sharply that decline sets in during grain filling. During 30–60 DAT, NAR climbed well above the control's 0.3796 g m⁻² day⁻¹ in every treated plot, peaking at 2.0428 g m⁻² day⁻¹ </w:t>
      </w:r>
      <w:r w:rsidRPr="00D1336B">
        <w:rPr>
          <w:rFonts w:ascii="Times New Roman" w:hAnsi="Times New Roman" w:cs="Times New Roman"/>
        </w:rPr>
        <w:lastRenderedPageBreak/>
        <w:t>in chelated zinc @ 0.50%, with chelated zinc @ 0.75% close behind at 1.9688. By 60–90 DAT the values collapsed across the board, falling into the range of 0.0040 to 0.0431 g m⁻² day⁻¹, though the same chelated zinc treatments still led the field even at that much reduced scale.</w:t>
      </w:r>
    </w:p>
    <w:p w14:paraId="4EC75E56"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NAR measures the rate of dry matter gain per unit of leaf area, so unlike CGR it strips away the effect of how much leaf area a plant is carrying and isolates the efficiency of that leaf area at producing biomass (Watson, 1947 and Hunt, 1990). The steep drop after 60 DAT is therefore telling a slightly different story than the LAI or CGR data. Which, is a </w:t>
      </w:r>
      <w:proofErr w:type="spellStart"/>
      <w:r w:rsidRPr="00D1336B">
        <w:rPr>
          <w:rFonts w:ascii="Times New Roman" w:hAnsi="Times New Roman" w:cs="Times New Roman"/>
        </w:rPr>
        <w:t>well recognized</w:t>
      </w:r>
      <w:proofErr w:type="spellEnd"/>
      <w:r w:rsidRPr="00D1336B">
        <w:rPr>
          <w:rFonts w:ascii="Times New Roman" w:hAnsi="Times New Roman" w:cs="Times New Roman"/>
        </w:rPr>
        <w:t xml:space="preserve"> feature of cereal physiology as grain sink demand takes over, a large share of assimilate is redirected toward the developing ear, lower leaves begin to senesce and their photosynthetic capacity declines, and mutual shading within a now-dense canopy reduces the light available to each unit of leaf area (Gardner </w:t>
      </w:r>
      <w:r w:rsidRPr="00D1336B">
        <w:rPr>
          <w:rFonts w:ascii="Times New Roman" w:hAnsi="Times New Roman" w:cs="Times New Roman"/>
          <w:i/>
          <w:iCs/>
        </w:rPr>
        <w:t>et al.</w:t>
      </w:r>
      <w:r w:rsidRPr="00D1336B">
        <w:rPr>
          <w:rFonts w:ascii="Times New Roman" w:hAnsi="Times New Roman" w:cs="Times New Roman"/>
        </w:rPr>
        <w:t>, 1985 and Muchow, 1994). The net effect is that a unit of leaf tissue simply does less useful work in the second half of the season regardless of nutrient status, which is why even the best-performing treatments here still fell by more than an order of magnitude between the two intervals.</w:t>
      </w:r>
    </w:p>
    <w:p w14:paraId="517AE9E6"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The strong response to zinc during the 30–60 DAT window is consistent with zinc's role in carbonic anhydrase activity, the enzyme responsible for supplying CO₂ to Rubisco in the chloroplast stroma. Cakmak (2000) showed that zinc-deficient plants have markedly reduced carbonic anhydrase activity, which directly limits the rate of net carbon assimilation per unit leaf area, so it follows that the zinc-treated plants in this trial, particularly the chelated forms at 0.50% and 0.75%, would show the largest NAR gains precisely in the phase where canopy photosynthesis is at its most active. Iron has a more moderate NAR response because of its more limited biochemical function. Iron helps in making chlorophyll and is part of the electron transport chain, which is important for the light reactions of photosynthesis. Zinc, on the other hand, helps with the carbonic anhydrase enzyme, which is involved in the carboxylation step of photosynthesis (Abadia </w:t>
      </w:r>
      <w:r w:rsidRPr="00D1336B">
        <w:rPr>
          <w:rFonts w:ascii="Times New Roman" w:hAnsi="Times New Roman" w:cs="Times New Roman"/>
          <w:i/>
          <w:iCs/>
        </w:rPr>
        <w:t>et al.</w:t>
      </w:r>
      <w:r w:rsidRPr="00D1336B">
        <w:rPr>
          <w:rFonts w:ascii="Times New Roman" w:hAnsi="Times New Roman" w:cs="Times New Roman"/>
        </w:rPr>
        <w:t>, 2011 and Rout &amp; Sahoo, 2015).</w:t>
      </w:r>
    </w:p>
    <w:p w14:paraId="736C0287"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That distinction likely explains why </w:t>
      </w:r>
      <w:proofErr w:type="spellStart"/>
      <w:r w:rsidRPr="00D1336B">
        <w:rPr>
          <w:rFonts w:ascii="Times New Roman" w:hAnsi="Times New Roman" w:cs="Times New Roman"/>
        </w:rPr>
        <w:t>FeSO</w:t>
      </w:r>
      <w:proofErr w:type="spellEnd"/>
      <w:r w:rsidRPr="00D1336B">
        <w:rPr>
          <w:rFonts w:ascii="Times New Roman" w:hAnsi="Times New Roman" w:cs="Times New Roman"/>
        </w:rPr>
        <w:t xml:space="preserve">₄ and chelated iron treatments in this table trailed the zinc treatments at both stages, a pattern that mirrors what </w:t>
      </w:r>
      <w:proofErr w:type="spellStart"/>
      <w:r w:rsidRPr="00D1336B">
        <w:rPr>
          <w:rFonts w:ascii="Times New Roman" w:hAnsi="Times New Roman" w:cs="Times New Roman"/>
        </w:rPr>
        <w:t>Grzebisz</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xml:space="preserve"> (2008) and </w:t>
      </w:r>
      <w:proofErr w:type="spellStart"/>
      <w:r w:rsidRPr="00D1336B">
        <w:rPr>
          <w:rFonts w:ascii="Times New Roman" w:hAnsi="Times New Roman" w:cs="Times New Roman"/>
        </w:rPr>
        <w:t>Potarzycki</w:t>
      </w:r>
      <w:proofErr w:type="spellEnd"/>
      <w:r w:rsidRPr="00D1336B">
        <w:rPr>
          <w:rFonts w:ascii="Times New Roman" w:hAnsi="Times New Roman" w:cs="Times New Roman"/>
        </w:rPr>
        <w:t xml:space="preserve"> and </w:t>
      </w:r>
      <w:proofErr w:type="spellStart"/>
      <w:r w:rsidRPr="00D1336B">
        <w:rPr>
          <w:rFonts w:ascii="Times New Roman" w:hAnsi="Times New Roman" w:cs="Times New Roman"/>
        </w:rPr>
        <w:t>Grzebisz</w:t>
      </w:r>
      <w:proofErr w:type="spellEnd"/>
      <w:r w:rsidRPr="00D1336B">
        <w:rPr>
          <w:rFonts w:ascii="Times New Roman" w:hAnsi="Times New Roman" w:cs="Times New Roman"/>
        </w:rPr>
        <w:t xml:space="preserve"> (2009) reported for zinc's stronger influence on assimilation-related traits in maize compared with iron applied alone.</w:t>
      </w:r>
    </w:p>
    <w:p w14:paraId="11A9FD6A" w14:textId="052007DB"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The unusually low pooled value recorded for chelated iron @ 0.75% during 30-60 DAT stands out against its own 2024 and 2025 figures and likely reflects a computational or transcription inconsistency in the pooled column rather than a genuine treatment effect, since the individual-year values for that treatment were in fact the highest among all iron treatments. Aside from that anomaly, the overall trend across Table 1 and 2 reinforces what the CGR and RGR tables already suggested: zinc, and chelated zinc in particular, drove the strongest gains in assimilation efficiency during active vegetative growth, with that advantage narrowing sharply, though not disappearing, once the crop shifted into grain filling (Ravikiran &amp; </w:t>
      </w:r>
      <w:proofErr w:type="spellStart"/>
      <w:r w:rsidRPr="00D1336B">
        <w:rPr>
          <w:rFonts w:ascii="Times New Roman" w:hAnsi="Times New Roman" w:cs="Times New Roman"/>
        </w:rPr>
        <w:t>Halepyati</w:t>
      </w:r>
      <w:proofErr w:type="spellEnd"/>
      <w:r w:rsidRPr="00D1336B">
        <w:rPr>
          <w:rFonts w:ascii="Times New Roman" w:hAnsi="Times New Roman" w:cs="Times New Roman"/>
        </w:rPr>
        <w:t xml:space="preserve">, 2013 and </w:t>
      </w:r>
      <w:proofErr w:type="spellStart"/>
      <w:r w:rsidRPr="00D1336B">
        <w:rPr>
          <w:rFonts w:ascii="Times New Roman" w:hAnsi="Times New Roman" w:cs="Times New Roman"/>
        </w:rPr>
        <w:t>Fageria</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2012).</w:t>
      </w:r>
    </w:p>
    <w:p w14:paraId="1BB9B856" w14:textId="77777777" w:rsidR="0048609B" w:rsidRPr="00AD59D9" w:rsidRDefault="0048609B" w:rsidP="00D1336B">
      <w:pPr>
        <w:spacing w:after="0" w:line="276" w:lineRule="auto"/>
        <w:jc w:val="both"/>
        <w:rPr>
          <w:rFonts w:ascii="Times New Roman" w:hAnsi="Times New Roman" w:cs="Times New Roman"/>
          <w:b/>
          <w:bCs/>
        </w:rPr>
      </w:pPr>
      <w:r w:rsidRPr="00AD59D9">
        <w:rPr>
          <w:rFonts w:ascii="Times New Roman" w:hAnsi="Times New Roman" w:cs="Times New Roman"/>
          <w:b/>
          <w:bCs/>
        </w:rPr>
        <w:t>Conclusion</w:t>
      </w:r>
    </w:p>
    <w:p w14:paraId="3EE16D25" w14:textId="77777777" w:rsidR="0048609B" w:rsidRPr="00D1336B" w:rsidRDefault="0048609B"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From the data discussed above it shows clear conclusion that chelated zinc, had a much bigger effect on the growth of sweet corn compared to any of the iron treatments that were tested.  It was found that when zinc was added, the growth rate of the crop increased a lot compared to the control. The best results were seen in the treatments with chelated zinc at 0.50% (T₉) and 0.75% (T₁₀). During the active growth period, these two treatments had more than double the growth rate compared to the control plots. This same pattern continued with RGR and NAR, where the same two treatments again showed the highest values between 30 and 60 days after planting, confirming that zinc was responsible for both faster overall growth and more efficient dry matter production per unit leaf area at this stage. Iron treatments, whether in chelated form or as </w:t>
      </w:r>
      <w:proofErr w:type="spellStart"/>
      <w:r w:rsidRPr="00D1336B">
        <w:rPr>
          <w:rFonts w:ascii="Times New Roman" w:hAnsi="Times New Roman" w:cs="Times New Roman"/>
        </w:rPr>
        <w:t>FeSO</w:t>
      </w:r>
      <w:proofErr w:type="spellEnd"/>
      <w:r w:rsidRPr="00D1336B">
        <w:rPr>
          <w:rFonts w:ascii="Times New Roman" w:hAnsi="Times New Roman" w:cs="Times New Roman"/>
        </w:rPr>
        <w:t xml:space="preserve">₄, provided a steady but not very large improvement compared to the control across all three recorded growth </w:t>
      </w:r>
      <w:proofErr w:type="gramStart"/>
      <w:r w:rsidRPr="00D1336B">
        <w:rPr>
          <w:rFonts w:ascii="Times New Roman" w:hAnsi="Times New Roman" w:cs="Times New Roman"/>
        </w:rPr>
        <w:t>rate</w:t>
      </w:r>
      <w:proofErr w:type="gramEnd"/>
      <w:r w:rsidRPr="00D1336B">
        <w:rPr>
          <w:rFonts w:ascii="Times New Roman" w:hAnsi="Times New Roman" w:cs="Times New Roman"/>
        </w:rPr>
        <w:t>.</w:t>
      </w:r>
    </w:p>
    <w:p w14:paraId="254A78B8" w14:textId="74C023B5" w:rsidR="00FB5AB7" w:rsidRPr="00D1336B" w:rsidRDefault="0048609B"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The early benefit from zinc did not last as the crop grew older. By 60 to 90 days after transplanting, the growth rates started to slow down for all the treatments. Difference between the zinc </w:t>
      </w:r>
      <w:r w:rsidRPr="00D1336B">
        <w:rPr>
          <w:rFonts w:ascii="Times New Roman" w:hAnsi="Times New Roman" w:cs="Times New Roman"/>
        </w:rPr>
        <w:lastRenderedPageBreak/>
        <w:t xml:space="preserve">and iron treatments got smaller, and in some cases, the iron treatment and even the control have almost similar value. This shows that zinc mostly helps sweet corn grow quickly at the vegetative phase, but its effect becomes less noticeable as the plant starts producing </w:t>
      </w:r>
      <w:r w:rsidR="00FB5AB7" w:rsidRPr="00D1336B">
        <w:rPr>
          <w:rFonts w:ascii="Times New Roman" w:hAnsi="Times New Roman" w:cs="Times New Roman"/>
        </w:rPr>
        <w:t>flowers and seeds.</w:t>
      </w:r>
    </w:p>
    <w:p w14:paraId="2B8BE9CA" w14:textId="47550FC3" w:rsidR="00FB5AB7" w:rsidRPr="00D1336B" w:rsidRDefault="00FB5AB7" w:rsidP="00D1336B">
      <w:pPr>
        <w:spacing w:after="0" w:line="276" w:lineRule="auto"/>
        <w:jc w:val="both"/>
        <w:rPr>
          <w:rFonts w:ascii="Times New Roman" w:hAnsi="Times New Roman" w:cs="Times New Roman"/>
          <w:b/>
          <w:bCs/>
        </w:rPr>
      </w:pPr>
      <w:r w:rsidRPr="00D1336B">
        <w:rPr>
          <w:rFonts w:ascii="Times New Roman" w:hAnsi="Times New Roman" w:cs="Times New Roman"/>
          <w:b/>
          <w:bCs/>
        </w:rPr>
        <w:t xml:space="preserve">6. Limitation </w:t>
      </w:r>
    </w:p>
    <w:p w14:paraId="326BAECC" w14:textId="04131902" w:rsidR="00EB197F" w:rsidRPr="00D1336B" w:rsidRDefault="00FB5AB7"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The experiment was conducted at one location by using sweet corn variety sugar 75 during two </w:t>
      </w:r>
      <w:r w:rsidR="00EB197F" w:rsidRPr="00D1336B">
        <w:rPr>
          <w:rFonts w:ascii="Times New Roman" w:hAnsi="Times New Roman" w:cs="Times New Roman"/>
          <w:i/>
          <w:iCs/>
        </w:rPr>
        <w:t>k</w:t>
      </w:r>
      <w:r w:rsidRPr="00D1336B">
        <w:rPr>
          <w:rFonts w:ascii="Times New Roman" w:hAnsi="Times New Roman" w:cs="Times New Roman"/>
          <w:i/>
          <w:iCs/>
        </w:rPr>
        <w:t>harif</w:t>
      </w:r>
      <w:r w:rsidRPr="00D1336B">
        <w:rPr>
          <w:rFonts w:ascii="Times New Roman" w:hAnsi="Times New Roman" w:cs="Times New Roman"/>
        </w:rPr>
        <w:t xml:space="preserve"> seasons</w:t>
      </w:r>
      <w:r w:rsidR="00EB197F" w:rsidRPr="00D1336B">
        <w:rPr>
          <w:rFonts w:ascii="Times New Roman" w:hAnsi="Times New Roman" w:cs="Times New Roman"/>
        </w:rPr>
        <w:t xml:space="preserve"> (2024 and 2025)</w:t>
      </w:r>
      <w:r w:rsidRPr="00D1336B">
        <w:rPr>
          <w:rFonts w:ascii="Times New Roman" w:hAnsi="Times New Roman" w:cs="Times New Roman"/>
        </w:rPr>
        <w:t xml:space="preserve">. </w:t>
      </w:r>
      <w:r w:rsidR="00EB197F" w:rsidRPr="00D1336B">
        <w:rPr>
          <w:rFonts w:ascii="Times New Roman" w:hAnsi="Times New Roman" w:cs="Times New Roman"/>
        </w:rPr>
        <w:t>T</w:t>
      </w:r>
      <w:r w:rsidRPr="00D1336B">
        <w:rPr>
          <w:rFonts w:ascii="Times New Roman" w:hAnsi="Times New Roman" w:cs="Times New Roman"/>
        </w:rPr>
        <w:t xml:space="preserve">he observed </w:t>
      </w:r>
      <w:r w:rsidR="00EB197F" w:rsidRPr="00D1336B">
        <w:rPr>
          <w:rFonts w:ascii="Times New Roman" w:hAnsi="Times New Roman" w:cs="Times New Roman"/>
        </w:rPr>
        <w:t>data</w:t>
      </w:r>
      <w:r w:rsidRPr="00D1336B">
        <w:rPr>
          <w:rFonts w:ascii="Times New Roman" w:hAnsi="Times New Roman" w:cs="Times New Roman"/>
        </w:rPr>
        <w:t xml:space="preserve"> may be specific to the soil</w:t>
      </w:r>
      <w:r w:rsidR="00EB197F" w:rsidRPr="00D1336B">
        <w:rPr>
          <w:rFonts w:ascii="Times New Roman" w:hAnsi="Times New Roman" w:cs="Times New Roman"/>
        </w:rPr>
        <w:t xml:space="preserve"> condition</w:t>
      </w:r>
      <w:r w:rsidRPr="00D1336B">
        <w:rPr>
          <w:rFonts w:ascii="Times New Roman" w:hAnsi="Times New Roman" w:cs="Times New Roman"/>
        </w:rPr>
        <w:t xml:space="preserve">, climatic conditions, </w:t>
      </w:r>
      <w:r w:rsidR="00EB197F" w:rsidRPr="00D1336B">
        <w:rPr>
          <w:rFonts w:ascii="Times New Roman" w:hAnsi="Times New Roman" w:cs="Times New Roman"/>
        </w:rPr>
        <w:t>planting methods</w:t>
      </w:r>
      <w:r w:rsidRPr="00D1336B">
        <w:rPr>
          <w:rFonts w:ascii="Times New Roman" w:hAnsi="Times New Roman" w:cs="Times New Roman"/>
        </w:rPr>
        <w:t xml:space="preserve"> and nutrient</w:t>
      </w:r>
      <w:r w:rsidR="00EB197F" w:rsidRPr="00D1336B">
        <w:rPr>
          <w:rFonts w:ascii="Times New Roman" w:hAnsi="Times New Roman" w:cs="Times New Roman"/>
        </w:rPr>
        <w:t>s applied</w:t>
      </w:r>
      <w:r w:rsidRPr="00D1336B">
        <w:rPr>
          <w:rFonts w:ascii="Times New Roman" w:hAnsi="Times New Roman" w:cs="Times New Roman"/>
        </w:rPr>
        <w:t xml:space="preserve">. The study </w:t>
      </w:r>
      <w:r w:rsidR="00EB197F" w:rsidRPr="00D1336B">
        <w:rPr>
          <w:rFonts w:ascii="Times New Roman" w:hAnsi="Times New Roman" w:cs="Times New Roman"/>
        </w:rPr>
        <w:t xml:space="preserve">emphasizes </w:t>
      </w:r>
      <w:r w:rsidRPr="00D1336B">
        <w:rPr>
          <w:rFonts w:ascii="Times New Roman" w:hAnsi="Times New Roman" w:cs="Times New Roman"/>
        </w:rPr>
        <w:t xml:space="preserve">on </w:t>
      </w:r>
      <w:r w:rsidR="00EB197F" w:rsidRPr="00D1336B">
        <w:rPr>
          <w:rFonts w:ascii="Times New Roman" w:hAnsi="Times New Roman" w:cs="Times New Roman"/>
        </w:rPr>
        <w:t xml:space="preserve">crop </w:t>
      </w:r>
      <w:r w:rsidRPr="00D1336B">
        <w:rPr>
          <w:rFonts w:ascii="Times New Roman" w:hAnsi="Times New Roman" w:cs="Times New Roman"/>
        </w:rPr>
        <w:t>growth indices</w:t>
      </w:r>
      <w:r w:rsidR="00EB197F" w:rsidRPr="00D1336B">
        <w:rPr>
          <w:rFonts w:ascii="Times New Roman" w:hAnsi="Times New Roman" w:cs="Times New Roman"/>
        </w:rPr>
        <w:t>,</w:t>
      </w:r>
      <w:r w:rsidRPr="00D1336B">
        <w:rPr>
          <w:rFonts w:ascii="Times New Roman" w:hAnsi="Times New Roman" w:cs="Times New Roman"/>
        </w:rPr>
        <w:t xml:space="preserve"> </w:t>
      </w:r>
      <w:r w:rsidR="00EB197F" w:rsidRPr="00D1336B">
        <w:rPr>
          <w:rFonts w:ascii="Times New Roman" w:hAnsi="Times New Roman" w:cs="Times New Roman"/>
        </w:rPr>
        <w:t>so the</w:t>
      </w:r>
      <w:r w:rsidRPr="00D1336B">
        <w:rPr>
          <w:rFonts w:ascii="Times New Roman" w:hAnsi="Times New Roman" w:cs="Times New Roman"/>
        </w:rPr>
        <w:t xml:space="preserve"> </w:t>
      </w:r>
      <w:r w:rsidR="00EB197F" w:rsidRPr="00D1336B">
        <w:rPr>
          <w:rFonts w:ascii="Times New Roman" w:hAnsi="Times New Roman" w:cs="Times New Roman"/>
        </w:rPr>
        <w:t>prediction</w:t>
      </w:r>
      <w:r w:rsidRPr="00D1336B">
        <w:rPr>
          <w:rFonts w:ascii="Times New Roman" w:hAnsi="Times New Roman" w:cs="Times New Roman"/>
        </w:rPr>
        <w:t xml:space="preserve"> </w:t>
      </w:r>
      <w:proofErr w:type="gramStart"/>
      <w:r w:rsidRPr="00D1336B">
        <w:rPr>
          <w:rFonts w:ascii="Times New Roman" w:hAnsi="Times New Roman" w:cs="Times New Roman"/>
        </w:rPr>
        <w:t>remain</w:t>
      </w:r>
      <w:proofErr w:type="gramEnd"/>
      <w:r w:rsidRPr="00D1336B">
        <w:rPr>
          <w:rFonts w:ascii="Times New Roman" w:hAnsi="Times New Roman" w:cs="Times New Roman"/>
        </w:rPr>
        <w:t xml:space="preserve"> confined to crop growth rate, relative growth rate and net assimilation rate. </w:t>
      </w:r>
      <w:r w:rsidR="00EB197F" w:rsidRPr="00D1336B">
        <w:rPr>
          <w:rFonts w:ascii="Times New Roman" w:hAnsi="Times New Roman" w:cs="Times New Roman"/>
        </w:rPr>
        <w:t xml:space="preserve">Before wider and boarder adoption, validation is required across multiple </w:t>
      </w:r>
      <w:r w:rsidR="00E866CB" w:rsidRPr="00D1336B">
        <w:rPr>
          <w:rFonts w:ascii="Times New Roman" w:hAnsi="Times New Roman" w:cs="Times New Roman"/>
        </w:rPr>
        <w:t>locations and varieties.</w:t>
      </w:r>
    </w:p>
    <w:p w14:paraId="3A554749" w14:textId="77777777" w:rsidR="00FB5AB7" w:rsidRPr="00D1336B" w:rsidRDefault="00FB5AB7"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Declaration of AI Use </w:t>
      </w:r>
    </w:p>
    <w:p w14:paraId="717897BC" w14:textId="3FE2120B" w:rsidR="00FB5AB7" w:rsidRPr="00D1336B" w:rsidRDefault="00FB5AB7"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This manuscript was prepared through the combined contributions of all author(s), including contributions to the study design, data, content development, results, interpretation, and related scholarly work. The author(s) acknowledge the use of Grammarly and </w:t>
      </w:r>
      <w:r w:rsidR="00E866CB" w:rsidRPr="00D1336B">
        <w:rPr>
          <w:rFonts w:ascii="Times New Roman" w:hAnsi="Times New Roman" w:cs="Times New Roman"/>
        </w:rPr>
        <w:t>Claude AI</w:t>
      </w:r>
      <w:r w:rsidRPr="00D1336B">
        <w:rPr>
          <w:rFonts w:ascii="Times New Roman" w:hAnsi="Times New Roman" w:cs="Times New Roman"/>
        </w:rPr>
        <w:t xml:space="preserve">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033E2AF" w14:textId="77777777" w:rsidR="00630CA7" w:rsidRDefault="00630CA7" w:rsidP="00D1336B">
      <w:pPr>
        <w:spacing w:after="0" w:line="276" w:lineRule="auto"/>
        <w:jc w:val="both"/>
        <w:rPr>
          <w:rFonts w:ascii="Times New Roman" w:hAnsi="Times New Roman" w:cs="Times New Roman"/>
          <w:b/>
          <w:bCs/>
        </w:rPr>
      </w:pPr>
    </w:p>
    <w:p w14:paraId="6924FD3B" w14:textId="27B2C4C8" w:rsidR="0048609B" w:rsidRPr="00AD59D9" w:rsidRDefault="0048609B" w:rsidP="00D1336B">
      <w:pPr>
        <w:spacing w:after="0" w:line="276" w:lineRule="auto"/>
        <w:jc w:val="both"/>
        <w:rPr>
          <w:rFonts w:ascii="Times New Roman" w:hAnsi="Times New Roman" w:cs="Times New Roman"/>
          <w:b/>
          <w:bCs/>
        </w:rPr>
      </w:pPr>
      <w:r w:rsidRPr="00AD59D9">
        <w:rPr>
          <w:rFonts w:ascii="Times New Roman" w:hAnsi="Times New Roman" w:cs="Times New Roman"/>
          <w:b/>
          <w:bCs/>
        </w:rPr>
        <w:t>Competing Interests</w:t>
      </w:r>
    </w:p>
    <w:p w14:paraId="45842DF5" w14:textId="77777777" w:rsidR="0048609B" w:rsidRDefault="0048609B" w:rsidP="00D1336B">
      <w:pPr>
        <w:tabs>
          <w:tab w:val="left" w:pos="7644"/>
        </w:tabs>
        <w:spacing w:after="0" w:line="276" w:lineRule="auto"/>
        <w:rPr>
          <w:rFonts w:ascii="Times New Roman" w:hAnsi="Times New Roman" w:cs="Times New Roman"/>
        </w:rPr>
      </w:pPr>
      <w:r w:rsidRPr="00D1336B">
        <w:rPr>
          <w:rFonts w:ascii="Times New Roman" w:hAnsi="Times New Roman" w:cs="Times New Roman"/>
        </w:rPr>
        <w:t xml:space="preserve"> Authors have declared that no competing interests exist.</w:t>
      </w:r>
    </w:p>
    <w:p w14:paraId="3969DCEF" w14:textId="77777777" w:rsidR="00AD59D9" w:rsidRDefault="00AD59D9" w:rsidP="00D1336B">
      <w:pPr>
        <w:tabs>
          <w:tab w:val="left" w:pos="7644"/>
        </w:tabs>
        <w:spacing w:after="0" w:line="276" w:lineRule="auto"/>
        <w:rPr>
          <w:rFonts w:ascii="Times New Roman" w:hAnsi="Times New Roman" w:cs="Times New Roman"/>
        </w:rPr>
      </w:pPr>
    </w:p>
    <w:p w14:paraId="35302C49" w14:textId="77777777" w:rsidR="00AD59D9" w:rsidRPr="000839CE" w:rsidRDefault="00AD59D9" w:rsidP="00AD59D9">
      <w:pPr>
        <w:rPr>
          <w:rFonts w:ascii="Times New Roman" w:hAnsi="Times New Roman" w:cs="Times New Roman"/>
          <w:b/>
        </w:rPr>
      </w:pPr>
      <w:r w:rsidRPr="000839CE">
        <w:rPr>
          <w:rFonts w:ascii="Times New Roman" w:hAnsi="Times New Roman" w:cs="Times New Roman"/>
          <w:b/>
        </w:rPr>
        <w:t>Declaration of AI Use</w:t>
      </w:r>
    </w:p>
    <w:p w14:paraId="141FC3AA" w14:textId="77777777" w:rsidR="00AD59D9" w:rsidRPr="000839CE" w:rsidRDefault="00AD59D9" w:rsidP="00AD59D9">
      <w:pPr>
        <w:rPr>
          <w:rFonts w:ascii="Times New Roman" w:hAnsi="Times New Roman" w:cs="Times New Roman"/>
        </w:rPr>
      </w:pPr>
    </w:p>
    <w:p w14:paraId="21A20DC0" w14:textId="77777777" w:rsidR="00AD59D9" w:rsidRPr="000839CE" w:rsidRDefault="00AD59D9" w:rsidP="00AD59D9">
      <w:pPr>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593DE2E" w14:textId="77777777" w:rsidR="00AD59D9" w:rsidRPr="00D1336B" w:rsidRDefault="00AD59D9" w:rsidP="00D1336B">
      <w:pPr>
        <w:tabs>
          <w:tab w:val="left" w:pos="7644"/>
        </w:tabs>
        <w:spacing w:after="0" w:line="276" w:lineRule="auto"/>
        <w:rPr>
          <w:rFonts w:ascii="Times New Roman" w:hAnsi="Times New Roman" w:cs="Times New Roman"/>
        </w:rPr>
      </w:pPr>
    </w:p>
    <w:p w14:paraId="1327854F" w14:textId="77777777" w:rsidR="00FB5AB7" w:rsidRPr="00D1336B" w:rsidRDefault="00FB5AB7" w:rsidP="00D1336B">
      <w:pPr>
        <w:tabs>
          <w:tab w:val="left" w:pos="7644"/>
        </w:tabs>
        <w:spacing w:after="0" w:line="276" w:lineRule="auto"/>
        <w:rPr>
          <w:rFonts w:ascii="Times New Roman" w:hAnsi="Times New Roman" w:cs="Times New Roman"/>
        </w:rPr>
      </w:pPr>
    </w:p>
    <w:p w14:paraId="6E31EB35"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References</w:t>
      </w:r>
    </w:p>
    <w:p w14:paraId="0C194359"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Abadia, J., Vazquez, S., </w:t>
      </w:r>
      <w:proofErr w:type="spellStart"/>
      <w:r w:rsidRPr="00D1336B">
        <w:rPr>
          <w:rFonts w:ascii="Times New Roman" w:hAnsi="Times New Roman" w:cs="Times New Roman"/>
        </w:rPr>
        <w:t>Rellan</w:t>
      </w:r>
      <w:proofErr w:type="spellEnd"/>
      <w:r w:rsidRPr="00D1336B">
        <w:rPr>
          <w:rFonts w:ascii="Times New Roman" w:hAnsi="Times New Roman" w:cs="Times New Roman"/>
        </w:rPr>
        <w:t xml:space="preserve">-Alvarez, R., El-Jendoubi, H., Abadia, A., Alvarez-Fernandez, A., &amp; Lopez-Millan, A. F. (2011). Towards a knowledge-based correction of iron chlorosis. </w:t>
      </w:r>
      <w:r w:rsidRPr="00D1336B">
        <w:rPr>
          <w:rFonts w:ascii="Times New Roman" w:hAnsi="Times New Roman" w:cs="Times New Roman"/>
          <w:i/>
          <w:iCs/>
        </w:rPr>
        <w:t>Plant Physiology and Biochemistry</w:t>
      </w:r>
      <w:r w:rsidRPr="00D1336B">
        <w:rPr>
          <w:rFonts w:ascii="Times New Roman" w:hAnsi="Times New Roman" w:cs="Times New Roman"/>
        </w:rPr>
        <w:t xml:space="preserve">, 49(5): 471-482. </w:t>
      </w:r>
      <w:proofErr w:type="spellStart"/>
      <w:r w:rsidRPr="00D1336B">
        <w:rPr>
          <w:rFonts w:ascii="Times New Roman" w:hAnsi="Times New Roman" w:cs="Times New Roman"/>
        </w:rPr>
        <w:t>doi</w:t>
      </w:r>
      <w:proofErr w:type="spellEnd"/>
      <w:r w:rsidRPr="00D1336B">
        <w:rPr>
          <w:rFonts w:ascii="Times New Roman" w:hAnsi="Times New Roman" w:cs="Times New Roman"/>
        </w:rPr>
        <w:t>: 10.1016/j.plaphy.2011.01.026</w:t>
      </w:r>
    </w:p>
    <w:p w14:paraId="403960CF"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Cakmak, I. (2000). Possible roles of zinc in protecting plant cells from damage by reactive oxygen species. </w:t>
      </w:r>
      <w:r w:rsidRPr="00D1336B">
        <w:rPr>
          <w:rFonts w:ascii="Times New Roman" w:hAnsi="Times New Roman" w:cs="Times New Roman"/>
          <w:i/>
          <w:iCs/>
        </w:rPr>
        <w:t>New Phytologist</w:t>
      </w:r>
      <w:r w:rsidRPr="00D1336B">
        <w:rPr>
          <w:rFonts w:ascii="Times New Roman" w:hAnsi="Times New Roman" w:cs="Times New Roman"/>
        </w:rPr>
        <w:t>, 146(2): 185-205.</w:t>
      </w:r>
    </w:p>
    <w:p w14:paraId="7443B6DE"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Dhaliwal, S. S., Sharma, V., Shukla, A. K., Verma, V., Behera, S. K., Singh, P., Alotaibi, S. S., Gaber, A., &amp; Hossain, A. (2021). Comparative efficiency of mineral, chelated and nano forms of zinc and iron for improvement of zinc and iron in chickpea (</w:t>
      </w:r>
      <w:r w:rsidRPr="00D1336B">
        <w:rPr>
          <w:rFonts w:ascii="Times New Roman" w:hAnsi="Times New Roman" w:cs="Times New Roman"/>
          <w:i/>
          <w:iCs/>
        </w:rPr>
        <w:t>Cicer arietinum</w:t>
      </w:r>
      <w:r w:rsidRPr="00D1336B">
        <w:rPr>
          <w:rFonts w:ascii="Times New Roman" w:hAnsi="Times New Roman" w:cs="Times New Roman"/>
        </w:rPr>
        <w:t xml:space="preserve"> L.) through biofortification. </w:t>
      </w:r>
      <w:r w:rsidRPr="00D1336B">
        <w:rPr>
          <w:rFonts w:ascii="Times New Roman" w:hAnsi="Times New Roman" w:cs="Times New Roman"/>
          <w:i/>
          <w:iCs/>
        </w:rPr>
        <w:t>Agronomy, 11</w:t>
      </w:r>
      <w:r w:rsidRPr="00D1336B">
        <w:rPr>
          <w:rFonts w:ascii="Times New Roman" w:hAnsi="Times New Roman" w:cs="Times New Roman"/>
        </w:rPr>
        <w:t xml:space="preserve">(12): 2436. </w:t>
      </w:r>
      <w:proofErr w:type="spellStart"/>
      <w:r w:rsidRPr="00D1336B">
        <w:rPr>
          <w:rFonts w:ascii="Times New Roman" w:hAnsi="Times New Roman" w:cs="Times New Roman"/>
        </w:rPr>
        <w:t>doi</w:t>
      </w:r>
      <w:proofErr w:type="spellEnd"/>
      <w:r w:rsidRPr="00D1336B">
        <w:rPr>
          <w:rFonts w:ascii="Times New Roman" w:hAnsi="Times New Roman" w:cs="Times New Roman"/>
        </w:rPr>
        <w:t xml:space="preserve">: 10.3390/agronomy11122436 </w:t>
      </w:r>
    </w:p>
    <w:p w14:paraId="64CB6266" w14:textId="77777777" w:rsidR="00FB5AB7" w:rsidRPr="00D1336B" w:rsidRDefault="00FB5AB7" w:rsidP="00D1336B">
      <w:pPr>
        <w:spacing w:after="0" w:line="276" w:lineRule="auto"/>
        <w:ind w:left="720" w:hanging="720"/>
        <w:jc w:val="both"/>
        <w:rPr>
          <w:rFonts w:ascii="Times New Roman" w:hAnsi="Times New Roman" w:cs="Times New Roman"/>
        </w:rPr>
      </w:pPr>
      <w:proofErr w:type="spellStart"/>
      <w:r w:rsidRPr="00D1336B">
        <w:rPr>
          <w:rFonts w:ascii="Times New Roman" w:hAnsi="Times New Roman" w:cs="Times New Roman"/>
        </w:rPr>
        <w:t>Durgude</w:t>
      </w:r>
      <w:proofErr w:type="spellEnd"/>
      <w:r w:rsidRPr="00D1336B">
        <w:rPr>
          <w:rFonts w:ascii="Times New Roman" w:hAnsi="Times New Roman" w:cs="Times New Roman"/>
        </w:rPr>
        <w:t xml:space="preserve">, A. G., Kadam, S. R., and </w:t>
      </w:r>
      <w:proofErr w:type="spellStart"/>
      <w:r w:rsidRPr="00D1336B">
        <w:rPr>
          <w:rFonts w:ascii="Times New Roman" w:hAnsi="Times New Roman" w:cs="Times New Roman"/>
        </w:rPr>
        <w:t>Pharande</w:t>
      </w:r>
      <w:proofErr w:type="spellEnd"/>
      <w:r w:rsidRPr="00D1336B">
        <w:rPr>
          <w:rFonts w:ascii="Times New Roman" w:hAnsi="Times New Roman" w:cs="Times New Roman"/>
        </w:rPr>
        <w:t xml:space="preserve">, A. L. (2014). Response of hybrid maize to soil and foliar application of iron and zinc on </w:t>
      </w:r>
      <w:proofErr w:type="spellStart"/>
      <w:r w:rsidRPr="00D1336B">
        <w:rPr>
          <w:rFonts w:ascii="Times New Roman" w:hAnsi="Times New Roman" w:cs="Times New Roman"/>
        </w:rPr>
        <w:t>entisols</w:t>
      </w:r>
      <w:proofErr w:type="spellEnd"/>
      <w:r w:rsidRPr="00D1336B">
        <w:rPr>
          <w:rFonts w:ascii="Times New Roman" w:hAnsi="Times New Roman" w:cs="Times New Roman"/>
        </w:rPr>
        <w:t xml:space="preserve">. </w:t>
      </w:r>
      <w:r w:rsidRPr="00D1336B">
        <w:rPr>
          <w:rFonts w:ascii="Times New Roman" w:hAnsi="Times New Roman" w:cs="Times New Roman"/>
          <w:i/>
          <w:iCs/>
        </w:rPr>
        <w:t>Asian Journal of Soil Science, 9</w:t>
      </w:r>
      <w:r w:rsidRPr="00D1336B">
        <w:rPr>
          <w:rFonts w:ascii="Times New Roman" w:hAnsi="Times New Roman" w:cs="Times New Roman"/>
        </w:rPr>
        <w:t>(1): 36-40.</w:t>
      </w:r>
    </w:p>
    <w:p w14:paraId="698AD7B7" w14:textId="77777777" w:rsidR="00FB5AB7" w:rsidRPr="00D1336B" w:rsidRDefault="00FB5AB7" w:rsidP="00D1336B">
      <w:pPr>
        <w:spacing w:after="0" w:line="276" w:lineRule="auto"/>
        <w:ind w:left="720" w:hanging="720"/>
        <w:jc w:val="both"/>
        <w:rPr>
          <w:rFonts w:ascii="Times New Roman" w:hAnsi="Times New Roman" w:cs="Times New Roman"/>
        </w:rPr>
      </w:pPr>
      <w:proofErr w:type="spellStart"/>
      <w:r w:rsidRPr="00D1336B">
        <w:rPr>
          <w:rFonts w:ascii="Times New Roman" w:hAnsi="Times New Roman" w:cs="Times New Roman"/>
        </w:rPr>
        <w:lastRenderedPageBreak/>
        <w:t>Erenstein</w:t>
      </w:r>
      <w:proofErr w:type="spellEnd"/>
      <w:r w:rsidRPr="00D1336B">
        <w:rPr>
          <w:rFonts w:ascii="Times New Roman" w:hAnsi="Times New Roman" w:cs="Times New Roman"/>
        </w:rPr>
        <w:t>, O., </w:t>
      </w:r>
      <w:proofErr w:type="spellStart"/>
      <w:r w:rsidRPr="00D1336B">
        <w:rPr>
          <w:rFonts w:ascii="Times New Roman" w:hAnsi="Times New Roman" w:cs="Times New Roman"/>
        </w:rPr>
        <w:t>Jaleta</w:t>
      </w:r>
      <w:proofErr w:type="spellEnd"/>
      <w:r w:rsidRPr="00D1336B">
        <w:rPr>
          <w:rFonts w:ascii="Times New Roman" w:hAnsi="Times New Roman" w:cs="Times New Roman"/>
        </w:rPr>
        <w:t>, M., Sonder, K., </w:t>
      </w:r>
      <w:proofErr w:type="spellStart"/>
      <w:r w:rsidRPr="00D1336B">
        <w:rPr>
          <w:rFonts w:ascii="Times New Roman" w:hAnsi="Times New Roman" w:cs="Times New Roman"/>
        </w:rPr>
        <w:t>Mottaleb</w:t>
      </w:r>
      <w:proofErr w:type="spellEnd"/>
      <w:r w:rsidRPr="00D1336B">
        <w:rPr>
          <w:rFonts w:ascii="Times New Roman" w:hAnsi="Times New Roman" w:cs="Times New Roman"/>
        </w:rPr>
        <w:t xml:space="preserve">, K. and Prasanna, </w:t>
      </w:r>
      <w:proofErr w:type="gramStart"/>
      <w:r w:rsidRPr="00D1336B">
        <w:rPr>
          <w:rFonts w:ascii="Times New Roman" w:hAnsi="Times New Roman" w:cs="Times New Roman"/>
        </w:rPr>
        <w:t>B.M.(</w:t>
      </w:r>
      <w:proofErr w:type="gramEnd"/>
      <w:r w:rsidRPr="00D1336B">
        <w:rPr>
          <w:rFonts w:ascii="Times New Roman" w:hAnsi="Times New Roman" w:cs="Times New Roman"/>
        </w:rPr>
        <w:t xml:space="preserve">2022). Global maize production, consumption and trade: trends and R&amp;D implications. </w:t>
      </w:r>
      <w:r w:rsidRPr="00D1336B">
        <w:rPr>
          <w:rFonts w:ascii="Times New Roman" w:hAnsi="Times New Roman" w:cs="Times New Roman"/>
          <w:i/>
          <w:iCs/>
        </w:rPr>
        <w:t xml:space="preserve">Food security, 14: </w:t>
      </w:r>
      <w:r w:rsidRPr="00D1336B">
        <w:rPr>
          <w:rFonts w:ascii="Times New Roman" w:hAnsi="Times New Roman" w:cs="Times New Roman"/>
        </w:rPr>
        <w:t>1295-1319.</w:t>
      </w:r>
    </w:p>
    <w:p w14:paraId="0E828091"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Evans, G. C. (1972). The quantitative analysis of plant growth.</w:t>
      </w:r>
      <w:r w:rsidRPr="00D1336B">
        <w:rPr>
          <w:rFonts w:ascii="Times New Roman" w:hAnsi="Times New Roman" w:cs="Times New Roman"/>
          <w:color w:val="232323"/>
          <w:shd w:val="clear" w:color="auto" w:fill="FFFFFF"/>
        </w:rPr>
        <w:t xml:space="preserve"> </w:t>
      </w:r>
      <w:r w:rsidRPr="00D1336B">
        <w:rPr>
          <w:rFonts w:ascii="Times New Roman" w:hAnsi="Times New Roman" w:cs="Times New Roman"/>
        </w:rPr>
        <w:t>Blackwell Scientific Publications, Oxford. University of California Press.</w:t>
      </w:r>
    </w:p>
    <w:p w14:paraId="3F8B0288" w14:textId="77777777" w:rsidR="00FB5AB7" w:rsidRPr="00D1336B" w:rsidRDefault="00FB5AB7" w:rsidP="00D1336B">
      <w:pPr>
        <w:spacing w:after="0" w:line="276" w:lineRule="auto"/>
        <w:ind w:left="720" w:hanging="720"/>
        <w:jc w:val="both"/>
        <w:rPr>
          <w:rFonts w:ascii="Times New Roman" w:hAnsi="Times New Roman" w:cs="Times New Roman"/>
        </w:rPr>
      </w:pPr>
      <w:proofErr w:type="spellStart"/>
      <w:r w:rsidRPr="00D1336B">
        <w:rPr>
          <w:rFonts w:ascii="Times New Roman" w:hAnsi="Times New Roman" w:cs="Times New Roman"/>
        </w:rPr>
        <w:t>Fageria</w:t>
      </w:r>
      <w:proofErr w:type="spellEnd"/>
      <w:r w:rsidRPr="00D1336B">
        <w:rPr>
          <w:rFonts w:ascii="Times New Roman" w:hAnsi="Times New Roman" w:cs="Times New Roman"/>
        </w:rPr>
        <w:t xml:space="preserve">, N. K., </w:t>
      </w:r>
      <w:proofErr w:type="spellStart"/>
      <w:r w:rsidRPr="00D1336B">
        <w:rPr>
          <w:rFonts w:ascii="Times New Roman" w:hAnsi="Times New Roman" w:cs="Times New Roman"/>
        </w:rPr>
        <w:t>Baligar</w:t>
      </w:r>
      <w:proofErr w:type="spellEnd"/>
      <w:r w:rsidRPr="00D1336B">
        <w:rPr>
          <w:rFonts w:ascii="Times New Roman" w:hAnsi="Times New Roman" w:cs="Times New Roman"/>
        </w:rPr>
        <w:t xml:space="preserve">, V. C., and Jones, C. A. (2012). </w:t>
      </w:r>
      <w:r w:rsidRPr="00D1336B">
        <w:rPr>
          <w:rFonts w:ascii="Times New Roman" w:hAnsi="Times New Roman" w:cs="Times New Roman"/>
          <w:i/>
          <w:iCs/>
        </w:rPr>
        <w:t>Growth and mineral nutrition of field crops</w:t>
      </w:r>
      <w:r w:rsidRPr="00D1336B">
        <w:rPr>
          <w:rFonts w:ascii="Times New Roman" w:hAnsi="Times New Roman" w:cs="Times New Roman"/>
        </w:rPr>
        <w:t xml:space="preserve"> (3rd ed.), CRC Press.</w:t>
      </w:r>
    </w:p>
    <w:p w14:paraId="52ECFCAA"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Gardner, F. P., Pearce, R. B., and Mitchell, R. L. (1985). </w:t>
      </w:r>
      <w:r w:rsidRPr="00D1336B">
        <w:rPr>
          <w:rFonts w:ascii="Times New Roman" w:hAnsi="Times New Roman" w:cs="Times New Roman"/>
          <w:i/>
          <w:iCs/>
        </w:rPr>
        <w:t>Physiology of crop plants</w:t>
      </w:r>
      <w:r w:rsidRPr="00D1336B">
        <w:rPr>
          <w:rFonts w:ascii="Times New Roman" w:hAnsi="Times New Roman" w:cs="Times New Roman"/>
        </w:rPr>
        <w:t>. Iowa State University Press.</w:t>
      </w:r>
    </w:p>
    <w:p w14:paraId="68A5D6C1"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Gomez, K.A., and A.A. Gomez. (1984). Statistical Procedures for Agricultural Research. 2nd ed. John Wiley &amp; Sons, Inc. New York, NY.</w:t>
      </w:r>
    </w:p>
    <w:p w14:paraId="3D2C9184" w14:textId="77777777" w:rsidR="00FB5AB7" w:rsidRPr="00D1336B" w:rsidRDefault="00FB5AB7" w:rsidP="00D1336B">
      <w:pPr>
        <w:spacing w:after="0" w:line="276" w:lineRule="auto"/>
        <w:ind w:left="720" w:hanging="720"/>
        <w:jc w:val="both"/>
        <w:rPr>
          <w:rFonts w:ascii="Times New Roman" w:hAnsi="Times New Roman" w:cs="Times New Roman"/>
        </w:rPr>
      </w:pPr>
      <w:proofErr w:type="spellStart"/>
      <w:r w:rsidRPr="00D1336B">
        <w:rPr>
          <w:rFonts w:ascii="Times New Roman" w:hAnsi="Times New Roman" w:cs="Times New Roman"/>
        </w:rPr>
        <w:t>Grzebisz</w:t>
      </w:r>
      <w:proofErr w:type="spellEnd"/>
      <w:r w:rsidRPr="00D1336B">
        <w:rPr>
          <w:rFonts w:ascii="Times New Roman" w:hAnsi="Times New Roman" w:cs="Times New Roman"/>
        </w:rPr>
        <w:t xml:space="preserve">, W., Szczepaniak, W., Barlog, P., &amp; Cyna, K. (2008). Effect of zinc foliar application at early stages of maize growth on yield and grain quality. </w:t>
      </w:r>
      <w:r w:rsidRPr="00D1336B">
        <w:rPr>
          <w:rFonts w:ascii="Times New Roman" w:hAnsi="Times New Roman" w:cs="Times New Roman"/>
          <w:i/>
          <w:iCs/>
        </w:rPr>
        <w:t xml:space="preserve">Journal of </w:t>
      </w:r>
      <w:proofErr w:type="spellStart"/>
      <w:r w:rsidRPr="00D1336B">
        <w:rPr>
          <w:rFonts w:ascii="Times New Roman" w:hAnsi="Times New Roman" w:cs="Times New Roman"/>
          <w:i/>
          <w:iCs/>
        </w:rPr>
        <w:t>Elementology</w:t>
      </w:r>
      <w:proofErr w:type="spellEnd"/>
      <w:r w:rsidRPr="00D1336B">
        <w:rPr>
          <w:rFonts w:ascii="Times New Roman" w:hAnsi="Times New Roman" w:cs="Times New Roman"/>
        </w:rPr>
        <w:t>, 13(2): 217-229.</w:t>
      </w:r>
    </w:p>
    <w:p w14:paraId="71D741E7"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Hergert, G. W., Rehm, G. W., and Wiese, R. A. (1984). Field evaluation of zinc sources band applied with ammonium polyphosphate suspensions. </w:t>
      </w:r>
      <w:r w:rsidRPr="00D1336B">
        <w:rPr>
          <w:rFonts w:ascii="Times New Roman" w:hAnsi="Times New Roman" w:cs="Times New Roman"/>
          <w:i/>
          <w:iCs/>
        </w:rPr>
        <w:t>Soil Science Society of America Journal</w:t>
      </w:r>
      <w:r w:rsidRPr="00D1336B">
        <w:rPr>
          <w:rFonts w:ascii="Times New Roman" w:hAnsi="Times New Roman" w:cs="Times New Roman"/>
        </w:rPr>
        <w:t>, 48(5): 1190-1193.</w:t>
      </w:r>
    </w:p>
    <w:p w14:paraId="6A0829A9"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Hunt, R. (1990). Basic growth analysis: Plant growth analysis for beginners. Unwin Hyman. </w:t>
      </w:r>
      <w:proofErr w:type="spellStart"/>
      <w:r w:rsidRPr="00D1336B">
        <w:rPr>
          <w:rFonts w:ascii="Times New Roman" w:hAnsi="Times New Roman" w:cs="Times New Roman"/>
        </w:rPr>
        <w:t>doi</w:t>
      </w:r>
      <w:proofErr w:type="spellEnd"/>
      <w:r w:rsidRPr="00D1336B">
        <w:rPr>
          <w:rFonts w:ascii="Times New Roman" w:hAnsi="Times New Roman" w:cs="Times New Roman"/>
        </w:rPr>
        <w:t>: 10.1007/978-94-010-9117-6.</w:t>
      </w:r>
    </w:p>
    <w:p w14:paraId="56332437" w14:textId="77777777" w:rsidR="00FB5AB7" w:rsidRPr="00D1336B" w:rsidRDefault="00FB5AB7" w:rsidP="00D1336B">
      <w:pPr>
        <w:spacing w:after="0" w:line="276" w:lineRule="auto"/>
        <w:ind w:left="720" w:hanging="720"/>
        <w:jc w:val="both"/>
        <w:rPr>
          <w:rFonts w:ascii="Times New Roman" w:hAnsi="Times New Roman" w:cs="Times New Roman"/>
        </w:rPr>
      </w:pPr>
      <w:proofErr w:type="spellStart"/>
      <w:r w:rsidRPr="00D1336B">
        <w:rPr>
          <w:rFonts w:ascii="Times New Roman" w:hAnsi="Times New Roman" w:cs="Times New Roman"/>
        </w:rPr>
        <w:t>Iseghohi</w:t>
      </w:r>
      <w:proofErr w:type="spellEnd"/>
      <w:r w:rsidRPr="00D1336B">
        <w:rPr>
          <w:rFonts w:ascii="Times New Roman" w:hAnsi="Times New Roman" w:cs="Times New Roman"/>
        </w:rPr>
        <w:t xml:space="preserve">, I., Abe, A., </w:t>
      </w:r>
      <w:proofErr w:type="spellStart"/>
      <w:proofErr w:type="gramStart"/>
      <w:r w:rsidRPr="00D1336B">
        <w:rPr>
          <w:rFonts w:ascii="Times New Roman" w:hAnsi="Times New Roman" w:cs="Times New Roman"/>
        </w:rPr>
        <w:t>Meseka,S</w:t>
      </w:r>
      <w:proofErr w:type="spellEnd"/>
      <w:r w:rsidRPr="00D1336B">
        <w:rPr>
          <w:rFonts w:ascii="Times New Roman" w:hAnsi="Times New Roman" w:cs="Times New Roman"/>
        </w:rPr>
        <w:t>.</w:t>
      </w:r>
      <w:proofErr w:type="gramEnd"/>
      <w:r w:rsidRPr="00D1336B">
        <w:rPr>
          <w:rFonts w:ascii="Times New Roman" w:hAnsi="Times New Roman" w:cs="Times New Roman"/>
        </w:rPr>
        <w:t xml:space="preserve">, Mengesha, W., </w:t>
      </w:r>
      <w:proofErr w:type="spellStart"/>
      <w:r w:rsidRPr="00D1336B">
        <w:rPr>
          <w:rFonts w:ascii="Times New Roman" w:hAnsi="Times New Roman" w:cs="Times New Roman"/>
        </w:rPr>
        <w:t>Gedil</w:t>
      </w:r>
      <w:proofErr w:type="spellEnd"/>
      <w:r w:rsidRPr="00D1336B">
        <w:rPr>
          <w:rFonts w:ascii="Times New Roman" w:hAnsi="Times New Roman" w:cs="Times New Roman"/>
        </w:rPr>
        <w:t xml:space="preserve">, M., Job, A. and </w:t>
      </w:r>
      <w:proofErr w:type="spellStart"/>
      <w:r w:rsidRPr="00D1336B">
        <w:rPr>
          <w:rFonts w:ascii="Times New Roman" w:hAnsi="Times New Roman" w:cs="Times New Roman"/>
        </w:rPr>
        <w:t>Menkir</w:t>
      </w:r>
      <w:proofErr w:type="spellEnd"/>
      <w:r w:rsidRPr="00D1336B">
        <w:rPr>
          <w:rFonts w:ascii="Times New Roman" w:hAnsi="Times New Roman" w:cs="Times New Roman"/>
        </w:rPr>
        <w:t>, A. (2024). Reactions of provitamin-A-enriched maize to foliar diseases under field conditions in Nigeria. </w:t>
      </w:r>
      <w:r w:rsidRPr="00D1336B">
        <w:rPr>
          <w:rFonts w:ascii="Times New Roman" w:hAnsi="Times New Roman" w:cs="Times New Roman"/>
          <w:i/>
          <w:iCs/>
        </w:rPr>
        <w:t xml:space="preserve">Cereal Res. Commun, </w:t>
      </w:r>
      <w:r w:rsidRPr="00D1336B">
        <w:rPr>
          <w:rFonts w:ascii="Times New Roman" w:hAnsi="Times New Roman" w:cs="Times New Roman"/>
        </w:rPr>
        <w:t xml:space="preserve">52: 747-758. </w:t>
      </w:r>
    </w:p>
    <w:p w14:paraId="03013A6F"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Jat, H., Yadav, K.K. and Singh, D.P. (2022). Effect of Soil and Foliar Application of Zn and Fe on Soil Fertility after Harvest of Maize. </w:t>
      </w:r>
      <w:r w:rsidRPr="00D1336B">
        <w:rPr>
          <w:rFonts w:ascii="Times New Roman" w:hAnsi="Times New Roman" w:cs="Times New Roman"/>
          <w:i/>
          <w:iCs/>
        </w:rPr>
        <w:t>Biological Forum– An International Journal</w:t>
      </w:r>
      <w:r w:rsidRPr="00D1336B">
        <w:rPr>
          <w:rFonts w:ascii="Times New Roman" w:hAnsi="Times New Roman" w:cs="Times New Roman"/>
        </w:rPr>
        <w:t>,14(1): 637-640.</w:t>
      </w:r>
    </w:p>
    <w:p w14:paraId="612B6FBE"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Karrimi, A. S., Reddy, A. P. K., </w:t>
      </w:r>
      <w:proofErr w:type="spellStart"/>
      <w:r w:rsidRPr="00D1336B">
        <w:rPr>
          <w:rFonts w:ascii="Times New Roman" w:hAnsi="Times New Roman" w:cs="Times New Roman"/>
        </w:rPr>
        <w:t>Babazoi</w:t>
      </w:r>
      <w:proofErr w:type="spellEnd"/>
      <w:r w:rsidRPr="00D1336B">
        <w:rPr>
          <w:rFonts w:ascii="Times New Roman" w:hAnsi="Times New Roman" w:cs="Times New Roman"/>
        </w:rPr>
        <w:t>, F., and Kohistani, T. (2018). Growth, yield and post-harvest soil available nutrients in sweet corn (</w:t>
      </w:r>
      <w:r w:rsidRPr="00D1336B">
        <w:rPr>
          <w:rFonts w:ascii="Times New Roman" w:hAnsi="Times New Roman" w:cs="Times New Roman"/>
          <w:i/>
          <w:iCs/>
        </w:rPr>
        <w:t>Zea mays</w:t>
      </w:r>
      <w:r w:rsidRPr="00D1336B">
        <w:rPr>
          <w:rFonts w:ascii="Times New Roman" w:hAnsi="Times New Roman" w:cs="Times New Roman"/>
        </w:rPr>
        <w:t xml:space="preserve"> L.) as influenced by zinc and iron nutrition. </w:t>
      </w:r>
      <w:r w:rsidRPr="00D1336B">
        <w:rPr>
          <w:rFonts w:ascii="Times New Roman" w:hAnsi="Times New Roman" w:cs="Times New Roman"/>
          <w:i/>
          <w:iCs/>
        </w:rPr>
        <w:t>Journal of Pharmacognosy and Phytochemistry, 7</w:t>
      </w:r>
      <w:r w:rsidRPr="00D1336B">
        <w:rPr>
          <w:rFonts w:ascii="Times New Roman" w:hAnsi="Times New Roman" w:cs="Times New Roman"/>
        </w:rPr>
        <w:t>(4): 2372–2374.</w:t>
      </w:r>
    </w:p>
    <w:p w14:paraId="5A6AA770"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Lindquist, J. L., </w:t>
      </w:r>
      <w:proofErr w:type="spellStart"/>
      <w:r w:rsidRPr="00D1336B">
        <w:rPr>
          <w:rFonts w:ascii="Times New Roman" w:hAnsi="Times New Roman" w:cs="Times New Roman"/>
        </w:rPr>
        <w:t>Arkebauer</w:t>
      </w:r>
      <w:proofErr w:type="spellEnd"/>
      <w:r w:rsidRPr="00D1336B">
        <w:rPr>
          <w:rFonts w:ascii="Times New Roman" w:hAnsi="Times New Roman" w:cs="Times New Roman"/>
        </w:rPr>
        <w:t xml:space="preserve">, T. J., Walters, D. T., Cassman, K. G., and Dobermann, A. (2005). Maize radiation use efficiency under optimal growth conditions. </w:t>
      </w:r>
      <w:r w:rsidRPr="00D1336B">
        <w:rPr>
          <w:rFonts w:ascii="Times New Roman" w:hAnsi="Times New Roman" w:cs="Times New Roman"/>
          <w:i/>
          <w:iCs/>
        </w:rPr>
        <w:t>Agronomy Journal</w:t>
      </w:r>
      <w:r w:rsidRPr="00D1336B">
        <w:rPr>
          <w:rFonts w:ascii="Times New Roman" w:hAnsi="Times New Roman" w:cs="Times New Roman"/>
        </w:rPr>
        <w:t>, 97(1): 72-78.</w:t>
      </w:r>
    </w:p>
    <w:p w14:paraId="48A6553E"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Malode, K. S., Kumar, Y., </w:t>
      </w:r>
      <w:proofErr w:type="spellStart"/>
      <w:r w:rsidRPr="00D1336B">
        <w:rPr>
          <w:rFonts w:ascii="Times New Roman" w:hAnsi="Times New Roman" w:cs="Times New Roman"/>
        </w:rPr>
        <w:t>Bhonde</w:t>
      </w:r>
      <w:proofErr w:type="spellEnd"/>
      <w:r w:rsidRPr="00D1336B">
        <w:rPr>
          <w:rFonts w:ascii="Times New Roman" w:hAnsi="Times New Roman" w:cs="Times New Roman"/>
        </w:rPr>
        <w:t xml:space="preserve">, S., </w:t>
      </w:r>
      <w:proofErr w:type="spellStart"/>
      <w:r w:rsidRPr="00D1336B">
        <w:rPr>
          <w:rFonts w:ascii="Times New Roman" w:hAnsi="Times New Roman" w:cs="Times New Roman"/>
        </w:rPr>
        <w:t>Kothawade</w:t>
      </w:r>
      <w:proofErr w:type="spellEnd"/>
      <w:r w:rsidRPr="00D1336B">
        <w:rPr>
          <w:rFonts w:ascii="Times New Roman" w:hAnsi="Times New Roman" w:cs="Times New Roman"/>
        </w:rPr>
        <w:t xml:space="preserve">, P., Malode, S., Ruchi, I., and Pandey, R. (2025). Evaluation of the effectiveness of modified lignosulphonate-chelated zinc fertilizer on sweet corn yield. </w:t>
      </w:r>
      <w:r w:rsidRPr="00D1336B">
        <w:rPr>
          <w:rFonts w:ascii="Times New Roman" w:hAnsi="Times New Roman" w:cs="Times New Roman"/>
          <w:i/>
          <w:iCs/>
        </w:rPr>
        <w:t>International Journal for Research in Applied Science &amp; Engineering Technology, 13</w:t>
      </w:r>
      <w:r w:rsidRPr="00D1336B">
        <w:rPr>
          <w:rFonts w:ascii="Times New Roman" w:hAnsi="Times New Roman" w:cs="Times New Roman"/>
        </w:rPr>
        <w:t xml:space="preserve">(8): 857–861. </w:t>
      </w:r>
    </w:p>
    <w:p w14:paraId="30211865"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Marschner, H. (1995). Mineral nutrition of higher plants (2nd ed.). Academic Press.</w:t>
      </w:r>
    </w:p>
    <w:p w14:paraId="00B1B19D"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Mortvedt, J. J. (1979). Corn response to zinc </w:t>
      </w:r>
      <w:proofErr w:type="spellStart"/>
      <w:r w:rsidRPr="00D1336B">
        <w:rPr>
          <w:rFonts w:ascii="Times New Roman" w:hAnsi="Times New Roman" w:cs="Times New Roman"/>
        </w:rPr>
        <w:t>sulfate</w:t>
      </w:r>
      <w:proofErr w:type="spellEnd"/>
      <w:r w:rsidRPr="00D1336B">
        <w:rPr>
          <w:rFonts w:ascii="Times New Roman" w:hAnsi="Times New Roman" w:cs="Times New Roman"/>
        </w:rPr>
        <w:t xml:space="preserve"> applied alone or with suspensions. </w:t>
      </w:r>
      <w:r w:rsidRPr="00D1336B">
        <w:rPr>
          <w:rFonts w:ascii="Times New Roman" w:hAnsi="Times New Roman" w:cs="Times New Roman"/>
          <w:i/>
          <w:iCs/>
        </w:rPr>
        <w:t>Fertilizer Solutions</w:t>
      </w:r>
      <w:r w:rsidRPr="00D1336B">
        <w:rPr>
          <w:rFonts w:ascii="Times New Roman" w:hAnsi="Times New Roman" w:cs="Times New Roman"/>
        </w:rPr>
        <w:t>.</w:t>
      </w:r>
    </w:p>
    <w:p w14:paraId="3BF77C1F"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Muchow, R. C. (1994). Effect of nitrogen on yield determination in irrigated maize in tropical and subtropical environments. </w:t>
      </w:r>
      <w:r w:rsidRPr="00D1336B">
        <w:rPr>
          <w:rFonts w:ascii="Times New Roman" w:hAnsi="Times New Roman" w:cs="Times New Roman"/>
          <w:i/>
          <w:iCs/>
        </w:rPr>
        <w:t>Field Crops Research</w:t>
      </w:r>
      <w:r w:rsidRPr="00D1336B">
        <w:rPr>
          <w:rFonts w:ascii="Times New Roman" w:hAnsi="Times New Roman" w:cs="Times New Roman"/>
        </w:rPr>
        <w:t>, 38(1): 1-13.</w:t>
      </w:r>
    </w:p>
    <w:p w14:paraId="206191EC"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Pandey, H. P., Sachan, A. K., Pathak, R. K., Tiwari, U. S., Pandey, R. K., and Pandey, R. (2021). Study the impact of vermicompost, zinc and iron on the performance of hybrid maize (</w:t>
      </w:r>
      <w:r w:rsidRPr="00D1336B">
        <w:rPr>
          <w:rFonts w:ascii="Times New Roman" w:hAnsi="Times New Roman" w:cs="Times New Roman"/>
          <w:i/>
          <w:iCs/>
        </w:rPr>
        <w:t>Zea mays</w:t>
      </w:r>
      <w:r w:rsidRPr="00D1336B">
        <w:rPr>
          <w:rFonts w:ascii="Times New Roman" w:hAnsi="Times New Roman" w:cs="Times New Roman"/>
        </w:rPr>
        <w:t xml:space="preserve"> L.). </w:t>
      </w:r>
      <w:r w:rsidRPr="00D1336B">
        <w:rPr>
          <w:rFonts w:ascii="Times New Roman" w:hAnsi="Times New Roman" w:cs="Times New Roman"/>
          <w:i/>
          <w:iCs/>
        </w:rPr>
        <w:t>International Journal of Plant &amp; Soil Science, 33</w:t>
      </w:r>
      <w:r w:rsidRPr="00D1336B">
        <w:rPr>
          <w:rFonts w:ascii="Times New Roman" w:hAnsi="Times New Roman" w:cs="Times New Roman"/>
        </w:rPr>
        <w:t xml:space="preserve">(4): 1-11. </w:t>
      </w:r>
    </w:p>
    <w:p w14:paraId="5A27D5D0"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Paramasivan, M., Kumaresan, K. R., Malarvizhi, P., and </w:t>
      </w:r>
      <w:proofErr w:type="spellStart"/>
      <w:r w:rsidRPr="00D1336B">
        <w:rPr>
          <w:rFonts w:ascii="Times New Roman" w:hAnsi="Times New Roman" w:cs="Times New Roman"/>
        </w:rPr>
        <w:t>Velayudham</w:t>
      </w:r>
      <w:proofErr w:type="spellEnd"/>
      <w:r w:rsidRPr="00D1336B">
        <w:rPr>
          <w:rFonts w:ascii="Times New Roman" w:hAnsi="Times New Roman" w:cs="Times New Roman"/>
        </w:rPr>
        <w:t xml:space="preserve">, K. (2011). Effect of different levels of </w:t>
      </w:r>
      <w:proofErr w:type="gramStart"/>
      <w:r w:rsidRPr="00D1336B">
        <w:rPr>
          <w:rFonts w:ascii="Times New Roman" w:hAnsi="Times New Roman" w:cs="Times New Roman"/>
        </w:rPr>
        <w:t>N,P</w:t>
      </w:r>
      <w:proofErr w:type="gramEnd"/>
      <w:r w:rsidRPr="00D1336B">
        <w:rPr>
          <w:rFonts w:ascii="Times New Roman" w:hAnsi="Times New Roman" w:cs="Times New Roman"/>
        </w:rPr>
        <w:t xml:space="preserve">,K and Zn on yield and nutrient uptake by hybrid maize (COHM 5) in </w:t>
      </w:r>
      <w:proofErr w:type="spellStart"/>
      <w:r w:rsidRPr="00D1336B">
        <w:rPr>
          <w:rFonts w:ascii="Times New Roman" w:hAnsi="Times New Roman" w:cs="Times New Roman"/>
        </w:rPr>
        <w:t>Pilamedu</w:t>
      </w:r>
      <w:proofErr w:type="spellEnd"/>
      <w:r w:rsidRPr="00D1336B">
        <w:rPr>
          <w:rFonts w:ascii="Times New Roman" w:hAnsi="Times New Roman" w:cs="Times New Roman"/>
        </w:rPr>
        <w:t xml:space="preserve"> and </w:t>
      </w:r>
      <w:proofErr w:type="spellStart"/>
      <w:r w:rsidRPr="00D1336B">
        <w:rPr>
          <w:rFonts w:ascii="Times New Roman" w:hAnsi="Times New Roman" w:cs="Times New Roman"/>
        </w:rPr>
        <w:t>Palaviduthi</w:t>
      </w:r>
      <w:proofErr w:type="spellEnd"/>
      <w:r w:rsidRPr="00D1336B">
        <w:rPr>
          <w:rFonts w:ascii="Times New Roman" w:hAnsi="Times New Roman" w:cs="Times New Roman"/>
        </w:rPr>
        <w:t xml:space="preserve"> series of Tamil Nadu. </w:t>
      </w:r>
      <w:r w:rsidRPr="00D1336B">
        <w:rPr>
          <w:rFonts w:ascii="Times New Roman" w:hAnsi="Times New Roman" w:cs="Times New Roman"/>
          <w:i/>
          <w:iCs/>
        </w:rPr>
        <w:t>Madras Agricultural Journal</w:t>
      </w:r>
      <w:r w:rsidRPr="00D1336B">
        <w:rPr>
          <w:rFonts w:ascii="Times New Roman" w:hAnsi="Times New Roman" w:cs="Times New Roman"/>
        </w:rPr>
        <w:t>, 98: 334-338.</w:t>
      </w:r>
    </w:p>
    <w:p w14:paraId="4542668D" w14:textId="77777777" w:rsidR="00FB5AB7" w:rsidRPr="00D1336B" w:rsidRDefault="00FB5AB7" w:rsidP="00D1336B">
      <w:pPr>
        <w:spacing w:after="0" w:line="276" w:lineRule="auto"/>
        <w:ind w:left="720" w:hanging="720"/>
        <w:jc w:val="both"/>
        <w:rPr>
          <w:rFonts w:ascii="Times New Roman" w:hAnsi="Times New Roman" w:cs="Times New Roman"/>
        </w:rPr>
      </w:pPr>
      <w:proofErr w:type="spellStart"/>
      <w:r w:rsidRPr="00D1336B">
        <w:rPr>
          <w:rFonts w:ascii="Times New Roman" w:hAnsi="Times New Roman" w:cs="Times New Roman"/>
        </w:rPr>
        <w:t>Poorter</w:t>
      </w:r>
      <w:proofErr w:type="spellEnd"/>
      <w:r w:rsidRPr="00D1336B">
        <w:rPr>
          <w:rFonts w:ascii="Times New Roman" w:hAnsi="Times New Roman" w:cs="Times New Roman"/>
        </w:rPr>
        <w:t xml:space="preserve">, H. (1989). Interspecific variation in relative growth rate: On ecological causes and physiological consequences. In H. Lambers, M. L. Cambridge, H. </w:t>
      </w:r>
      <w:proofErr w:type="spellStart"/>
      <w:r w:rsidRPr="00D1336B">
        <w:rPr>
          <w:rFonts w:ascii="Times New Roman" w:hAnsi="Times New Roman" w:cs="Times New Roman"/>
        </w:rPr>
        <w:t>Konings</w:t>
      </w:r>
      <w:proofErr w:type="spellEnd"/>
      <w:r w:rsidRPr="00D1336B">
        <w:rPr>
          <w:rFonts w:ascii="Times New Roman" w:hAnsi="Times New Roman" w:cs="Times New Roman"/>
        </w:rPr>
        <w:t>, &amp; T. L. Pons (Eds.), Causes and consequences of variation in growth rate and productivity of higher plants. pp. 45-68. SPB Academic Publishing.</w:t>
      </w:r>
    </w:p>
    <w:p w14:paraId="1F650ED5"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Potarzycki, J., and </w:t>
      </w:r>
      <w:proofErr w:type="spellStart"/>
      <w:r w:rsidRPr="00D1336B">
        <w:rPr>
          <w:rFonts w:ascii="Times New Roman" w:hAnsi="Times New Roman" w:cs="Times New Roman"/>
        </w:rPr>
        <w:t>Grzebisz</w:t>
      </w:r>
      <w:proofErr w:type="spellEnd"/>
      <w:r w:rsidRPr="00D1336B">
        <w:rPr>
          <w:rFonts w:ascii="Times New Roman" w:hAnsi="Times New Roman" w:cs="Times New Roman"/>
        </w:rPr>
        <w:t xml:space="preserve">, W. (2009). Effect of zinc foliar application on grain yield of maize and its yielding components. </w:t>
      </w:r>
      <w:r w:rsidRPr="00D1336B">
        <w:rPr>
          <w:rFonts w:ascii="Times New Roman" w:hAnsi="Times New Roman" w:cs="Times New Roman"/>
          <w:i/>
          <w:iCs/>
        </w:rPr>
        <w:t>Plant, Soil and Environment</w:t>
      </w:r>
      <w:r w:rsidRPr="00D1336B">
        <w:rPr>
          <w:rFonts w:ascii="Times New Roman" w:hAnsi="Times New Roman" w:cs="Times New Roman"/>
        </w:rPr>
        <w:t>, 55(12): 519-527.</w:t>
      </w:r>
    </w:p>
    <w:p w14:paraId="02F6D288"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lastRenderedPageBreak/>
        <w:t xml:space="preserve">Randhawa, M. A., Tariq, A., Anjum, S. A., Ullah, E., Naeem, M., Qamar, R., Ashraf, U., and Nadeem, M. (2014). Influence of zinc nutrition on growth and yield behaviour of maize (Zea mays L.) hybrids. </w:t>
      </w:r>
      <w:r w:rsidRPr="00D1336B">
        <w:rPr>
          <w:rFonts w:ascii="Times New Roman" w:hAnsi="Times New Roman" w:cs="Times New Roman"/>
          <w:i/>
          <w:iCs/>
        </w:rPr>
        <w:t>American Journal of Plant Sciences</w:t>
      </w:r>
      <w:r w:rsidRPr="00D1336B">
        <w:rPr>
          <w:rFonts w:ascii="Times New Roman" w:hAnsi="Times New Roman" w:cs="Times New Roman"/>
        </w:rPr>
        <w:t>, 5(17): 2646-2654.</w:t>
      </w:r>
    </w:p>
    <w:p w14:paraId="51F75404"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Ravi, S., and Channal, H. T. (2013). Influence of zinc and iron nutrition on leaf area index and dry matter production in maize. </w:t>
      </w:r>
      <w:r w:rsidRPr="00D1336B">
        <w:rPr>
          <w:rFonts w:ascii="Times New Roman" w:hAnsi="Times New Roman" w:cs="Times New Roman"/>
          <w:i/>
          <w:iCs/>
        </w:rPr>
        <w:t>Karnataka Journal of Agricultural Sciences.</w:t>
      </w:r>
      <w:r w:rsidRPr="00D1336B">
        <w:rPr>
          <w:rFonts w:ascii="Times New Roman" w:hAnsi="Times New Roman" w:cs="Times New Roman"/>
        </w:rPr>
        <w:t xml:space="preserve"> 26(3): 345-348.</w:t>
      </w:r>
    </w:p>
    <w:p w14:paraId="185F0888"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Ravikiran, S., and </w:t>
      </w:r>
      <w:proofErr w:type="spellStart"/>
      <w:r w:rsidRPr="00D1336B">
        <w:rPr>
          <w:rFonts w:ascii="Times New Roman" w:hAnsi="Times New Roman" w:cs="Times New Roman"/>
        </w:rPr>
        <w:t>Halepyati</w:t>
      </w:r>
      <w:proofErr w:type="spellEnd"/>
      <w:r w:rsidRPr="00D1336B">
        <w:rPr>
          <w:rFonts w:ascii="Times New Roman" w:hAnsi="Times New Roman" w:cs="Times New Roman"/>
        </w:rPr>
        <w:t xml:space="preserve">, A. S. (2013). Yield and yield components, quality parameters, uptake of nutrients and economics of </w:t>
      </w:r>
      <w:proofErr w:type="spellStart"/>
      <w:r w:rsidRPr="00D1336B">
        <w:rPr>
          <w:rFonts w:ascii="Times New Roman" w:hAnsi="Times New Roman" w:cs="Times New Roman"/>
        </w:rPr>
        <w:t>Bt</w:t>
      </w:r>
      <w:proofErr w:type="spellEnd"/>
      <w:r w:rsidRPr="00D1336B">
        <w:rPr>
          <w:rFonts w:ascii="Times New Roman" w:hAnsi="Times New Roman" w:cs="Times New Roman"/>
        </w:rPr>
        <w:t xml:space="preserve"> cotton (Gossypium hirsutum L.) as influenced by macro and soluble micronutrients under irrigation. </w:t>
      </w:r>
      <w:r w:rsidRPr="00D1336B">
        <w:rPr>
          <w:rFonts w:ascii="Times New Roman" w:hAnsi="Times New Roman" w:cs="Times New Roman"/>
          <w:i/>
          <w:iCs/>
        </w:rPr>
        <w:t>Crop Research</w:t>
      </w:r>
      <w:r w:rsidRPr="00D1336B">
        <w:rPr>
          <w:rFonts w:ascii="Times New Roman" w:hAnsi="Times New Roman" w:cs="Times New Roman"/>
        </w:rPr>
        <w:t>, 45(1,2 &amp; 3): 253-258.</w:t>
      </w:r>
    </w:p>
    <w:p w14:paraId="10D7032E"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Rout, G. R., and Sahoo, S. (2015). Role of iron in plant growth and metabolism. </w:t>
      </w:r>
      <w:r w:rsidRPr="00D1336B">
        <w:rPr>
          <w:rFonts w:ascii="Times New Roman" w:hAnsi="Times New Roman" w:cs="Times New Roman"/>
          <w:i/>
          <w:iCs/>
        </w:rPr>
        <w:t>Reviews in Agricultural Science</w:t>
      </w:r>
      <w:r w:rsidRPr="00D1336B">
        <w:rPr>
          <w:rFonts w:ascii="Times New Roman" w:hAnsi="Times New Roman" w:cs="Times New Roman"/>
        </w:rPr>
        <w:t>, 3: 1-24.</w:t>
      </w:r>
    </w:p>
    <w:p w14:paraId="23A1B0E9"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Thakur, M. P., Dawson, J., and Thakur, T. (2020). Effect of phosphorus, zinc and iron levels on growth and yield of </w:t>
      </w:r>
      <w:r w:rsidRPr="00D1336B">
        <w:rPr>
          <w:rFonts w:ascii="Times New Roman" w:hAnsi="Times New Roman" w:cs="Times New Roman"/>
          <w:i/>
          <w:iCs/>
        </w:rPr>
        <w:t>kharif</w:t>
      </w:r>
      <w:r w:rsidRPr="00D1336B">
        <w:rPr>
          <w:rFonts w:ascii="Times New Roman" w:hAnsi="Times New Roman" w:cs="Times New Roman"/>
        </w:rPr>
        <w:t xml:space="preserve"> maize (</w:t>
      </w:r>
      <w:r w:rsidRPr="00D1336B">
        <w:rPr>
          <w:rFonts w:ascii="Times New Roman" w:hAnsi="Times New Roman" w:cs="Times New Roman"/>
          <w:i/>
          <w:iCs/>
        </w:rPr>
        <w:t>Zea mays</w:t>
      </w:r>
      <w:r w:rsidRPr="00D1336B">
        <w:rPr>
          <w:rFonts w:ascii="Times New Roman" w:hAnsi="Times New Roman" w:cs="Times New Roman"/>
        </w:rPr>
        <w:t xml:space="preserve"> L.). </w:t>
      </w:r>
      <w:r w:rsidRPr="00D1336B">
        <w:rPr>
          <w:rFonts w:ascii="Times New Roman" w:hAnsi="Times New Roman" w:cs="Times New Roman"/>
          <w:i/>
          <w:iCs/>
        </w:rPr>
        <w:t>International Journal of Current Microbiology and Applied Science, 9</w:t>
      </w:r>
      <w:r w:rsidRPr="00D1336B">
        <w:rPr>
          <w:rFonts w:ascii="Times New Roman" w:hAnsi="Times New Roman" w:cs="Times New Roman"/>
        </w:rPr>
        <w:t xml:space="preserve">(12): 2312-2323. </w:t>
      </w:r>
    </w:p>
    <w:p w14:paraId="0D0CB323"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Watson, D. J. (1947). Comparative physiological studies on the growth of field crops: I. Variation in net assimilation rate and leaf area between species and varieties, and within and between years. </w:t>
      </w:r>
      <w:r w:rsidRPr="00D1336B">
        <w:rPr>
          <w:rFonts w:ascii="Times New Roman" w:hAnsi="Times New Roman" w:cs="Times New Roman"/>
          <w:i/>
          <w:iCs/>
        </w:rPr>
        <w:t>Annals of Botany</w:t>
      </w:r>
      <w:r w:rsidRPr="00D1336B">
        <w:rPr>
          <w:rFonts w:ascii="Times New Roman" w:hAnsi="Times New Roman" w:cs="Times New Roman"/>
        </w:rPr>
        <w:t>, 11(41): 41-76.</w:t>
      </w:r>
    </w:p>
    <w:p w14:paraId="3B410D0C"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Xue, Y.-F., Li, X.-J., Yan, W., Miao, Q., Zhang, C.-Y., Huang, M., Sun, J.-B., Qi, S.-J., Ding, Z.-H., and Cui, Z.-L. (2023). Biofortification of different maize cultivars with zinc, iron and selenium by foliar fertilizer applications </w:t>
      </w:r>
      <w:r w:rsidRPr="00D1336B">
        <w:rPr>
          <w:rFonts w:ascii="Times New Roman" w:hAnsi="Times New Roman" w:cs="Times New Roman"/>
          <w:i/>
          <w:iCs/>
        </w:rPr>
        <w:t>Front. Plant Sci</w:t>
      </w:r>
      <w:r w:rsidRPr="00D1336B">
        <w:rPr>
          <w:rFonts w:ascii="Times New Roman" w:hAnsi="Times New Roman" w:cs="Times New Roman"/>
        </w:rPr>
        <w:t>.,</w:t>
      </w:r>
      <w:r w:rsidRPr="00D1336B">
        <w:rPr>
          <w:rFonts w:ascii="Times New Roman" w:hAnsi="Times New Roman" w:cs="Times New Roman"/>
          <w:i/>
          <w:iCs/>
        </w:rPr>
        <w:t xml:space="preserve"> </w:t>
      </w:r>
      <w:r w:rsidRPr="00D1336B">
        <w:rPr>
          <w:rFonts w:ascii="Times New Roman" w:hAnsi="Times New Roman" w:cs="Times New Roman"/>
        </w:rPr>
        <w:t xml:space="preserve">14: 1144514. </w:t>
      </w:r>
      <w:proofErr w:type="spellStart"/>
      <w:r w:rsidRPr="00D1336B">
        <w:rPr>
          <w:rFonts w:ascii="Times New Roman" w:hAnsi="Times New Roman" w:cs="Times New Roman"/>
        </w:rPr>
        <w:t>doi</w:t>
      </w:r>
      <w:proofErr w:type="spellEnd"/>
      <w:r w:rsidRPr="00D1336B">
        <w:rPr>
          <w:rFonts w:ascii="Times New Roman" w:hAnsi="Times New Roman" w:cs="Times New Roman"/>
        </w:rPr>
        <w:t>: 10.3389/fpls.2023.1144514.</w:t>
      </w:r>
    </w:p>
    <w:p w14:paraId="50A907E1" w14:textId="522EC396" w:rsidR="007E0A41" w:rsidRPr="00D1336B" w:rsidRDefault="00FB5AB7" w:rsidP="00D1336B">
      <w:pPr>
        <w:spacing w:after="0" w:line="276" w:lineRule="auto"/>
        <w:ind w:left="720" w:hanging="720"/>
        <w:jc w:val="both"/>
      </w:pPr>
      <w:r w:rsidRPr="00D1336B">
        <w:rPr>
          <w:rFonts w:ascii="Times New Roman" w:hAnsi="Times New Roman" w:cs="Times New Roman"/>
        </w:rPr>
        <w:t xml:space="preserve">Yang, J., and Zhang, J. (2006). Grain filling of cereals under soil drying. </w:t>
      </w:r>
      <w:r w:rsidRPr="00D1336B">
        <w:rPr>
          <w:rFonts w:ascii="Times New Roman" w:hAnsi="Times New Roman" w:cs="Times New Roman"/>
          <w:i/>
          <w:iCs/>
        </w:rPr>
        <w:t>New Phytologist</w:t>
      </w:r>
      <w:r w:rsidRPr="00D1336B">
        <w:rPr>
          <w:rFonts w:ascii="Times New Roman" w:hAnsi="Times New Roman" w:cs="Times New Roman"/>
        </w:rPr>
        <w:t>, 169(2): 223-236.</w:t>
      </w:r>
    </w:p>
    <w:sectPr w:rsidR="007E0A41" w:rsidRPr="00D1336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40FEC" w14:textId="77777777" w:rsidR="00412F75" w:rsidRDefault="00412F75" w:rsidP="007E0A41">
      <w:pPr>
        <w:spacing w:after="0" w:line="240" w:lineRule="auto"/>
      </w:pPr>
      <w:r>
        <w:separator/>
      </w:r>
    </w:p>
  </w:endnote>
  <w:endnote w:type="continuationSeparator" w:id="0">
    <w:p w14:paraId="346F569F" w14:textId="77777777" w:rsidR="00412F75" w:rsidRDefault="00412F75" w:rsidP="007E0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DF0B0" w14:textId="77777777" w:rsidR="00630CA7" w:rsidRDefault="00630C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C3F23" w14:textId="77777777" w:rsidR="00630CA7" w:rsidRDefault="00630C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4E320" w14:textId="77777777" w:rsidR="00630CA7" w:rsidRDefault="00630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3D678" w14:textId="77777777" w:rsidR="00412F75" w:rsidRDefault="00412F75" w:rsidP="007E0A41">
      <w:pPr>
        <w:spacing w:after="0" w:line="240" w:lineRule="auto"/>
      </w:pPr>
      <w:r>
        <w:separator/>
      </w:r>
    </w:p>
  </w:footnote>
  <w:footnote w:type="continuationSeparator" w:id="0">
    <w:p w14:paraId="6DADF3E1" w14:textId="77777777" w:rsidR="00412F75" w:rsidRDefault="00412F75" w:rsidP="007E0A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0B1DA" w14:textId="20B0C651" w:rsidR="00630CA7" w:rsidRDefault="00630CA7">
    <w:pPr>
      <w:pStyle w:val="Header"/>
    </w:pPr>
    <w:r>
      <w:rPr>
        <w:noProof/>
      </w:rPr>
      <w:pict w14:anchorId="60F7E2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02361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89300" w14:textId="5BE0C34C" w:rsidR="00630CA7" w:rsidRDefault="00630CA7">
    <w:pPr>
      <w:pStyle w:val="Header"/>
    </w:pPr>
    <w:r>
      <w:rPr>
        <w:noProof/>
      </w:rPr>
      <w:pict w14:anchorId="063289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02361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293E6" w14:textId="48EBE84F" w:rsidR="00630CA7" w:rsidRDefault="00630CA7">
    <w:pPr>
      <w:pStyle w:val="Header"/>
    </w:pPr>
    <w:r>
      <w:rPr>
        <w:noProof/>
      </w:rPr>
      <w:pict w14:anchorId="383AF5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02360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A41"/>
    <w:rsid w:val="000125F9"/>
    <w:rsid w:val="000C4317"/>
    <w:rsid w:val="00262367"/>
    <w:rsid w:val="00274801"/>
    <w:rsid w:val="002B26E2"/>
    <w:rsid w:val="002E637A"/>
    <w:rsid w:val="00412F75"/>
    <w:rsid w:val="0048609B"/>
    <w:rsid w:val="00572B6D"/>
    <w:rsid w:val="005E25FE"/>
    <w:rsid w:val="00630CA7"/>
    <w:rsid w:val="007C5373"/>
    <w:rsid w:val="007E0A41"/>
    <w:rsid w:val="0082201E"/>
    <w:rsid w:val="00963889"/>
    <w:rsid w:val="009D2880"/>
    <w:rsid w:val="00A2471D"/>
    <w:rsid w:val="00A93199"/>
    <w:rsid w:val="00AD59D9"/>
    <w:rsid w:val="00AE1180"/>
    <w:rsid w:val="00BC109C"/>
    <w:rsid w:val="00BF0A9E"/>
    <w:rsid w:val="00D1336B"/>
    <w:rsid w:val="00D97E5D"/>
    <w:rsid w:val="00E866CB"/>
    <w:rsid w:val="00EB197F"/>
    <w:rsid w:val="00EE0923"/>
    <w:rsid w:val="00F642E1"/>
    <w:rsid w:val="00FB5AB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3721E7"/>
  <w15:chartTrackingRefBased/>
  <w15:docId w15:val="{3E856B8E-2DB8-41D5-9DA8-6D4F841E5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A41"/>
  </w:style>
  <w:style w:type="paragraph" w:styleId="Heading1">
    <w:name w:val="heading 1"/>
    <w:basedOn w:val="Normal"/>
    <w:next w:val="Normal"/>
    <w:link w:val="Heading1Char"/>
    <w:uiPriority w:val="9"/>
    <w:qFormat/>
    <w:rsid w:val="007E0A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0A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0A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0A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0A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0A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A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A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A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A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0A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0A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0A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0A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0A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A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A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A41"/>
    <w:rPr>
      <w:rFonts w:eastAsiaTheme="majorEastAsia" w:cstheme="majorBidi"/>
      <w:color w:val="272727" w:themeColor="text1" w:themeTint="D8"/>
    </w:rPr>
  </w:style>
  <w:style w:type="paragraph" w:styleId="Title">
    <w:name w:val="Title"/>
    <w:basedOn w:val="Normal"/>
    <w:next w:val="Normal"/>
    <w:link w:val="TitleChar"/>
    <w:uiPriority w:val="10"/>
    <w:qFormat/>
    <w:rsid w:val="007E0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A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A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A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A41"/>
    <w:pPr>
      <w:spacing w:before="160"/>
      <w:jc w:val="center"/>
    </w:pPr>
    <w:rPr>
      <w:i/>
      <w:iCs/>
      <w:color w:val="404040" w:themeColor="text1" w:themeTint="BF"/>
    </w:rPr>
  </w:style>
  <w:style w:type="character" w:customStyle="1" w:styleId="QuoteChar">
    <w:name w:val="Quote Char"/>
    <w:basedOn w:val="DefaultParagraphFont"/>
    <w:link w:val="Quote"/>
    <w:uiPriority w:val="29"/>
    <w:rsid w:val="007E0A41"/>
    <w:rPr>
      <w:i/>
      <w:iCs/>
      <w:color w:val="404040" w:themeColor="text1" w:themeTint="BF"/>
    </w:rPr>
  </w:style>
  <w:style w:type="paragraph" w:styleId="ListParagraph">
    <w:name w:val="List Paragraph"/>
    <w:basedOn w:val="Normal"/>
    <w:uiPriority w:val="34"/>
    <w:qFormat/>
    <w:rsid w:val="007E0A41"/>
    <w:pPr>
      <w:ind w:left="720"/>
      <w:contextualSpacing/>
    </w:pPr>
  </w:style>
  <w:style w:type="character" w:styleId="IntenseEmphasis">
    <w:name w:val="Intense Emphasis"/>
    <w:basedOn w:val="DefaultParagraphFont"/>
    <w:uiPriority w:val="21"/>
    <w:qFormat/>
    <w:rsid w:val="007E0A41"/>
    <w:rPr>
      <w:i/>
      <w:iCs/>
      <w:color w:val="2F5496" w:themeColor="accent1" w:themeShade="BF"/>
    </w:rPr>
  </w:style>
  <w:style w:type="paragraph" w:styleId="IntenseQuote">
    <w:name w:val="Intense Quote"/>
    <w:basedOn w:val="Normal"/>
    <w:next w:val="Normal"/>
    <w:link w:val="IntenseQuoteChar"/>
    <w:uiPriority w:val="30"/>
    <w:qFormat/>
    <w:rsid w:val="007E0A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0A41"/>
    <w:rPr>
      <w:i/>
      <w:iCs/>
      <w:color w:val="2F5496" w:themeColor="accent1" w:themeShade="BF"/>
    </w:rPr>
  </w:style>
  <w:style w:type="character" w:styleId="IntenseReference">
    <w:name w:val="Intense Reference"/>
    <w:basedOn w:val="DefaultParagraphFont"/>
    <w:uiPriority w:val="32"/>
    <w:qFormat/>
    <w:rsid w:val="007E0A41"/>
    <w:rPr>
      <w:b/>
      <w:bCs/>
      <w:smallCaps/>
      <w:color w:val="2F5496" w:themeColor="accent1" w:themeShade="BF"/>
      <w:spacing w:val="5"/>
    </w:rPr>
  </w:style>
  <w:style w:type="paragraph" w:styleId="Header">
    <w:name w:val="header"/>
    <w:basedOn w:val="Normal"/>
    <w:link w:val="HeaderChar"/>
    <w:uiPriority w:val="99"/>
    <w:unhideWhenUsed/>
    <w:rsid w:val="007E0A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A41"/>
  </w:style>
  <w:style w:type="paragraph" w:styleId="Footer">
    <w:name w:val="footer"/>
    <w:basedOn w:val="Normal"/>
    <w:link w:val="FooterChar"/>
    <w:uiPriority w:val="99"/>
    <w:unhideWhenUsed/>
    <w:rsid w:val="007E0A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A41"/>
  </w:style>
  <w:style w:type="character" w:styleId="Hyperlink">
    <w:name w:val="Hyperlink"/>
    <w:basedOn w:val="DefaultParagraphFont"/>
    <w:uiPriority w:val="99"/>
    <w:unhideWhenUsed/>
    <w:rsid w:val="00AE1180"/>
    <w:rPr>
      <w:color w:val="0563C1" w:themeColor="hyperlink"/>
      <w:u w:val="single"/>
    </w:rPr>
  </w:style>
  <w:style w:type="character" w:customStyle="1" w:styleId="UnresolvedMention1">
    <w:name w:val="Unresolved Mention1"/>
    <w:basedOn w:val="DefaultParagraphFont"/>
    <w:uiPriority w:val="99"/>
    <w:semiHidden/>
    <w:unhideWhenUsed/>
    <w:rsid w:val="00AE1180"/>
    <w:rPr>
      <w:color w:val="605E5C"/>
      <w:shd w:val="clear" w:color="auto" w:fill="E1DFDD"/>
    </w:rPr>
  </w:style>
  <w:style w:type="character" w:styleId="UnresolvedMention">
    <w:name w:val="Unresolved Mention"/>
    <w:basedOn w:val="DefaultParagraphFont"/>
    <w:uiPriority w:val="99"/>
    <w:semiHidden/>
    <w:unhideWhenUsed/>
    <w:rsid w:val="002E63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settings" Target="settings.xml"/><Relationship Id="rId16" Type="http://schemas.openxmlformats.org/officeDocument/2006/relationships/chart" Target="charts/chart5.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hart" Target="charts/chart4.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a:t>2024</a:t>
            </a:r>
          </a:p>
        </c:rich>
      </c:tx>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'obj1'!$B$73</c:f>
              <c:strCache>
                <c:ptCount val="1"/>
                <c:pt idx="0">
                  <c:v>T₁</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'obj1'!$C$72:$E$72</c:f>
              <c:strCache>
                <c:ptCount val="3"/>
                <c:pt idx="0">
                  <c:v>0-30 DAT</c:v>
                </c:pt>
                <c:pt idx="1">
                  <c:v>30-60 DAT</c:v>
                </c:pt>
                <c:pt idx="2">
                  <c:v>60-90 DAT</c:v>
                </c:pt>
              </c:strCache>
            </c:strRef>
          </c:cat>
          <c:val>
            <c:numRef>
              <c:f>'obj1'!$C$73:$E$73</c:f>
              <c:numCache>
                <c:formatCode>General</c:formatCode>
                <c:ptCount val="3"/>
                <c:pt idx="0">
                  <c:v>1.9901555555555557</c:v>
                </c:pt>
                <c:pt idx="1">
                  <c:v>22.078000000000003</c:v>
                </c:pt>
                <c:pt idx="2">
                  <c:v>15.336555555555558</c:v>
                </c:pt>
              </c:numCache>
            </c:numRef>
          </c:val>
          <c:smooth val="0"/>
          <c:extLst>
            <c:ext xmlns:c16="http://schemas.microsoft.com/office/drawing/2014/chart" uri="{C3380CC4-5D6E-409C-BE32-E72D297353CC}">
              <c16:uniqueId val="{00000000-E5F0-43BF-8979-D6AEEA9500CD}"/>
            </c:ext>
          </c:extLst>
        </c:ser>
        <c:ser>
          <c:idx val="1"/>
          <c:order val="1"/>
          <c:tx>
            <c:strRef>
              <c:f>'obj1'!$B$74</c:f>
              <c:strCache>
                <c:ptCount val="1"/>
                <c:pt idx="0">
                  <c:v>T₂</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'obj1'!$C$72:$E$72</c:f>
              <c:strCache>
                <c:ptCount val="3"/>
                <c:pt idx="0">
                  <c:v>0-30 DAT</c:v>
                </c:pt>
                <c:pt idx="1">
                  <c:v>30-60 DAT</c:v>
                </c:pt>
                <c:pt idx="2">
                  <c:v>60-90 DAT</c:v>
                </c:pt>
              </c:strCache>
            </c:strRef>
          </c:cat>
          <c:val>
            <c:numRef>
              <c:f>'obj1'!$C$74:$E$74</c:f>
              <c:numCache>
                <c:formatCode>General</c:formatCode>
                <c:ptCount val="3"/>
                <c:pt idx="0">
                  <c:v>2.0039888888888888</c:v>
                </c:pt>
                <c:pt idx="1">
                  <c:v>25.717088888888892</c:v>
                </c:pt>
                <c:pt idx="2">
                  <c:v>19.821322222222225</c:v>
                </c:pt>
              </c:numCache>
            </c:numRef>
          </c:val>
          <c:smooth val="0"/>
          <c:extLst>
            <c:ext xmlns:c16="http://schemas.microsoft.com/office/drawing/2014/chart" uri="{C3380CC4-5D6E-409C-BE32-E72D297353CC}">
              <c16:uniqueId val="{00000001-E5F0-43BF-8979-D6AEEA9500CD}"/>
            </c:ext>
          </c:extLst>
        </c:ser>
        <c:ser>
          <c:idx val="2"/>
          <c:order val="2"/>
          <c:tx>
            <c:strRef>
              <c:f>'obj1'!$B$75</c:f>
              <c:strCache>
                <c:ptCount val="1"/>
                <c:pt idx="0">
                  <c:v>T₃</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'obj1'!$C$72:$E$72</c:f>
              <c:strCache>
                <c:ptCount val="3"/>
                <c:pt idx="0">
                  <c:v>0-30 DAT</c:v>
                </c:pt>
                <c:pt idx="1">
                  <c:v>30-60 DAT</c:v>
                </c:pt>
                <c:pt idx="2">
                  <c:v>60-90 DAT</c:v>
                </c:pt>
              </c:strCache>
            </c:strRef>
          </c:cat>
          <c:val>
            <c:numRef>
              <c:f>'obj1'!$C$75:$E$75</c:f>
              <c:numCache>
                <c:formatCode>General</c:formatCode>
                <c:ptCount val="3"/>
                <c:pt idx="0">
                  <c:v>2.0021444444444447</c:v>
                </c:pt>
                <c:pt idx="1">
                  <c:v>27.883388888888891</c:v>
                </c:pt>
                <c:pt idx="2">
                  <c:v>18.342077777777778</c:v>
                </c:pt>
              </c:numCache>
            </c:numRef>
          </c:val>
          <c:smooth val="0"/>
          <c:extLst>
            <c:ext xmlns:c16="http://schemas.microsoft.com/office/drawing/2014/chart" uri="{C3380CC4-5D6E-409C-BE32-E72D297353CC}">
              <c16:uniqueId val="{00000002-E5F0-43BF-8979-D6AEEA9500CD}"/>
            </c:ext>
          </c:extLst>
        </c:ser>
        <c:ser>
          <c:idx val="3"/>
          <c:order val="3"/>
          <c:tx>
            <c:strRef>
              <c:f>'obj1'!$B$76</c:f>
              <c:strCache>
                <c:ptCount val="1"/>
                <c:pt idx="0">
                  <c:v>T₄</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'obj1'!$C$72:$E$72</c:f>
              <c:strCache>
                <c:ptCount val="3"/>
                <c:pt idx="0">
                  <c:v>0-30 DAT</c:v>
                </c:pt>
                <c:pt idx="1">
                  <c:v>30-60 DAT</c:v>
                </c:pt>
                <c:pt idx="2">
                  <c:v>60-90 DAT</c:v>
                </c:pt>
              </c:strCache>
            </c:strRef>
          </c:cat>
          <c:val>
            <c:numRef>
              <c:f>'obj1'!$C$76:$E$76</c:f>
              <c:numCache>
                <c:formatCode>General</c:formatCode>
                <c:ptCount val="3"/>
                <c:pt idx="0">
                  <c:v>2.0113666666666665</c:v>
                </c:pt>
                <c:pt idx="1">
                  <c:v>29.66235555555556</c:v>
                </c:pt>
                <c:pt idx="2">
                  <c:v>17.843155555555558</c:v>
                </c:pt>
              </c:numCache>
            </c:numRef>
          </c:val>
          <c:smooth val="0"/>
          <c:extLst>
            <c:ext xmlns:c16="http://schemas.microsoft.com/office/drawing/2014/chart" uri="{C3380CC4-5D6E-409C-BE32-E72D297353CC}">
              <c16:uniqueId val="{00000003-E5F0-43BF-8979-D6AEEA9500CD}"/>
            </c:ext>
          </c:extLst>
        </c:ser>
        <c:ser>
          <c:idx val="4"/>
          <c:order val="4"/>
          <c:tx>
            <c:strRef>
              <c:f>'obj1'!$B$77</c:f>
              <c:strCache>
                <c:ptCount val="1"/>
                <c:pt idx="0">
                  <c:v>T₅</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'obj1'!$C$72:$E$72</c:f>
              <c:strCache>
                <c:ptCount val="3"/>
                <c:pt idx="0">
                  <c:v>0-30 DAT</c:v>
                </c:pt>
                <c:pt idx="1">
                  <c:v>30-60 DAT</c:v>
                </c:pt>
                <c:pt idx="2">
                  <c:v>60-90 DAT</c:v>
                </c:pt>
              </c:strCache>
            </c:strRef>
          </c:cat>
          <c:val>
            <c:numRef>
              <c:f>'obj1'!$C$77:$E$77</c:f>
              <c:numCache>
                <c:formatCode>General</c:formatCode>
                <c:ptCount val="3"/>
                <c:pt idx="0">
                  <c:v>1.9975333333333334</c:v>
                </c:pt>
                <c:pt idx="1">
                  <c:v>26.214166666666667</c:v>
                </c:pt>
                <c:pt idx="2">
                  <c:v>17.947366666666667</c:v>
                </c:pt>
              </c:numCache>
            </c:numRef>
          </c:val>
          <c:smooth val="0"/>
          <c:extLst>
            <c:ext xmlns:c16="http://schemas.microsoft.com/office/drawing/2014/chart" uri="{C3380CC4-5D6E-409C-BE32-E72D297353CC}">
              <c16:uniqueId val="{00000004-E5F0-43BF-8979-D6AEEA9500CD}"/>
            </c:ext>
          </c:extLst>
        </c:ser>
        <c:ser>
          <c:idx val="5"/>
          <c:order val="5"/>
          <c:tx>
            <c:strRef>
              <c:f>'obj1'!$B$78</c:f>
              <c:strCache>
                <c:ptCount val="1"/>
                <c:pt idx="0">
                  <c:v>T₆</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'obj1'!$C$72:$E$72</c:f>
              <c:strCache>
                <c:ptCount val="3"/>
                <c:pt idx="0">
                  <c:v>0-30 DAT</c:v>
                </c:pt>
                <c:pt idx="1">
                  <c:v>30-60 DAT</c:v>
                </c:pt>
                <c:pt idx="2">
                  <c:v>60-90 DAT</c:v>
                </c:pt>
              </c:strCache>
            </c:strRef>
          </c:cat>
          <c:val>
            <c:numRef>
              <c:f>'obj1'!$C$78:$E$78</c:f>
              <c:numCache>
                <c:formatCode>General</c:formatCode>
                <c:ptCount val="3"/>
                <c:pt idx="0">
                  <c:v>2.0132111111111111</c:v>
                </c:pt>
                <c:pt idx="1">
                  <c:v>27.492366666666666</c:v>
                </c:pt>
                <c:pt idx="2">
                  <c:v>17.36267777777778</c:v>
                </c:pt>
              </c:numCache>
            </c:numRef>
          </c:val>
          <c:smooth val="0"/>
          <c:extLst>
            <c:ext xmlns:c16="http://schemas.microsoft.com/office/drawing/2014/chart" uri="{C3380CC4-5D6E-409C-BE32-E72D297353CC}">
              <c16:uniqueId val="{00000005-E5F0-43BF-8979-D6AEEA9500CD}"/>
            </c:ext>
          </c:extLst>
        </c:ser>
        <c:ser>
          <c:idx val="6"/>
          <c:order val="6"/>
          <c:tx>
            <c:strRef>
              <c:f>'obj1'!$B$79</c:f>
              <c:strCache>
                <c:ptCount val="1"/>
                <c:pt idx="0">
                  <c:v>T₇</c:v>
                </c:pt>
              </c:strCache>
            </c:strRef>
          </c:tx>
          <c:spPr>
            <a:ln w="28575" cap="rnd">
              <a:solidFill>
                <a:srgbClr val="8BF22E"/>
              </a:solidFill>
              <a:round/>
            </a:ln>
            <a:effectLst/>
          </c:spPr>
          <c:marker>
            <c:symbol val="circle"/>
            <c:size val="5"/>
            <c:spPr>
              <a:solidFill>
                <a:srgbClr val="8BF22E"/>
              </a:solidFill>
              <a:ln w="9525">
                <a:solidFill>
                  <a:srgbClr val="8BF22E"/>
                </a:solidFill>
              </a:ln>
              <a:effectLst/>
            </c:spPr>
          </c:marker>
          <c:cat>
            <c:strRef>
              <c:f>'obj1'!$C$72:$E$72</c:f>
              <c:strCache>
                <c:ptCount val="3"/>
                <c:pt idx="0">
                  <c:v>0-30 DAT</c:v>
                </c:pt>
                <c:pt idx="1">
                  <c:v>30-60 DAT</c:v>
                </c:pt>
                <c:pt idx="2">
                  <c:v>60-90 DAT</c:v>
                </c:pt>
              </c:strCache>
            </c:strRef>
          </c:cat>
          <c:val>
            <c:numRef>
              <c:f>'obj1'!$C$79:$E$79</c:f>
              <c:numCache>
                <c:formatCode>General</c:formatCode>
                <c:ptCount val="3"/>
                <c:pt idx="0">
                  <c:v>2.009522222222222</c:v>
                </c:pt>
                <c:pt idx="1">
                  <c:v>28.23844444444445</c:v>
                </c:pt>
                <c:pt idx="2">
                  <c:v>18.848377777777785</c:v>
                </c:pt>
              </c:numCache>
            </c:numRef>
          </c:val>
          <c:smooth val="0"/>
          <c:extLst>
            <c:ext xmlns:c16="http://schemas.microsoft.com/office/drawing/2014/chart" uri="{C3380CC4-5D6E-409C-BE32-E72D297353CC}">
              <c16:uniqueId val="{00000006-E5F0-43BF-8979-D6AEEA9500CD}"/>
            </c:ext>
          </c:extLst>
        </c:ser>
        <c:ser>
          <c:idx val="7"/>
          <c:order val="7"/>
          <c:tx>
            <c:strRef>
              <c:f>'obj1'!$B$80</c:f>
              <c:strCache>
                <c:ptCount val="1"/>
                <c:pt idx="0">
                  <c:v>T₈</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'obj1'!$C$72:$E$72</c:f>
              <c:strCache>
                <c:ptCount val="3"/>
                <c:pt idx="0">
                  <c:v>0-30 DAT</c:v>
                </c:pt>
                <c:pt idx="1">
                  <c:v>30-60 DAT</c:v>
                </c:pt>
                <c:pt idx="2">
                  <c:v>60-90 DAT</c:v>
                </c:pt>
              </c:strCache>
            </c:strRef>
          </c:cat>
          <c:val>
            <c:numRef>
              <c:f>'obj1'!$C$80:$E$80</c:f>
              <c:numCache>
                <c:formatCode>General</c:formatCode>
                <c:ptCount val="3"/>
                <c:pt idx="0">
                  <c:v>2.0169000000000001</c:v>
                </c:pt>
                <c:pt idx="1">
                  <c:v>30.142833333333339</c:v>
                </c:pt>
                <c:pt idx="2">
                  <c:v>19.415544444444446</c:v>
                </c:pt>
              </c:numCache>
            </c:numRef>
          </c:val>
          <c:smooth val="0"/>
          <c:extLst>
            <c:ext xmlns:c16="http://schemas.microsoft.com/office/drawing/2014/chart" uri="{C3380CC4-5D6E-409C-BE32-E72D297353CC}">
              <c16:uniqueId val="{00000007-E5F0-43BF-8979-D6AEEA9500CD}"/>
            </c:ext>
          </c:extLst>
        </c:ser>
        <c:ser>
          <c:idx val="8"/>
          <c:order val="8"/>
          <c:tx>
            <c:strRef>
              <c:f>'obj1'!$B$81</c:f>
              <c:strCache>
                <c:ptCount val="1"/>
                <c:pt idx="0">
                  <c:v>T₉</c:v>
                </c:pt>
              </c:strCache>
            </c:strRef>
          </c:tx>
          <c:spPr>
            <a:ln w="28575" cap="rnd">
              <a:solidFill>
                <a:srgbClr val="FFFF00"/>
              </a:solidFill>
              <a:round/>
            </a:ln>
            <a:effectLst/>
          </c:spPr>
          <c:marker>
            <c:symbol val="circle"/>
            <c:size val="5"/>
            <c:spPr>
              <a:solidFill>
                <a:srgbClr val="FFFF00"/>
              </a:solidFill>
              <a:ln w="9525">
                <a:solidFill>
                  <a:srgbClr val="FFFF00"/>
                </a:solidFill>
              </a:ln>
              <a:effectLst/>
            </c:spPr>
          </c:marker>
          <c:cat>
            <c:strRef>
              <c:f>'obj1'!$C$72:$E$72</c:f>
              <c:strCache>
                <c:ptCount val="3"/>
                <c:pt idx="0">
                  <c:v>0-30 DAT</c:v>
                </c:pt>
                <c:pt idx="1">
                  <c:v>30-60 DAT</c:v>
                </c:pt>
                <c:pt idx="2">
                  <c:v>60-90 DAT</c:v>
                </c:pt>
              </c:strCache>
            </c:strRef>
          </c:cat>
          <c:val>
            <c:numRef>
              <c:f>'obj1'!$C$81:$E$81</c:f>
              <c:numCache>
                <c:formatCode>General</c:formatCode>
                <c:ptCount val="3"/>
                <c:pt idx="0">
                  <c:v>2.0307333333333335</c:v>
                </c:pt>
                <c:pt idx="1">
                  <c:v>44.265744444444444</c:v>
                </c:pt>
                <c:pt idx="2">
                  <c:v>21.111511111111117</c:v>
                </c:pt>
              </c:numCache>
            </c:numRef>
          </c:val>
          <c:smooth val="0"/>
          <c:extLst>
            <c:ext xmlns:c16="http://schemas.microsoft.com/office/drawing/2014/chart" uri="{C3380CC4-5D6E-409C-BE32-E72D297353CC}">
              <c16:uniqueId val="{00000008-E5F0-43BF-8979-D6AEEA9500CD}"/>
            </c:ext>
          </c:extLst>
        </c:ser>
        <c:ser>
          <c:idx val="9"/>
          <c:order val="9"/>
          <c:tx>
            <c:strRef>
              <c:f>'obj1'!$B$82</c:f>
              <c:strCache>
                <c:ptCount val="1"/>
                <c:pt idx="0">
                  <c:v>T₁₀</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strRef>
              <c:f>'obj1'!$C$72:$E$72</c:f>
              <c:strCache>
                <c:ptCount val="3"/>
                <c:pt idx="0">
                  <c:v>0-30 DAT</c:v>
                </c:pt>
                <c:pt idx="1">
                  <c:v>30-60 DAT</c:v>
                </c:pt>
                <c:pt idx="2">
                  <c:v>60-90 DAT</c:v>
                </c:pt>
              </c:strCache>
            </c:strRef>
          </c:cat>
          <c:val>
            <c:numRef>
              <c:f>'obj1'!$C$82:$E$82</c:f>
              <c:numCache>
                <c:formatCode>General</c:formatCode>
                <c:ptCount val="3"/>
                <c:pt idx="0">
                  <c:v>2.0049111111111113</c:v>
                </c:pt>
                <c:pt idx="1">
                  <c:v>49.927266666666668</c:v>
                </c:pt>
                <c:pt idx="2">
                  <c:v>21.683288888888892</c:v>
                </c:pt>
              </c:numCache>
            </c:numRef>
          </c:val>
          <c:smooth val="0"/>
          <c:extLst>
            <c:ext xmlns:c16="http://schemas.microsoft.com/office/drawing/2014/chart" uri="{C3380CC4-5D6E-409C-BE32-E72D297353CC}">
              <c16:uniqueId val="{00000009-E5F0-43BF-8979-D6AEEA9500CD}"/>
            </c:ext>
          </c:extLst>
        </c:ser>
        <c:ser>
          <c:idx val="10"/>
          <c:order val="10"/>
          <c:tx>
            <c:strRef>
              <c:f>'obj1'!$B$83</c:f>
              <c:strCache>
                <c:ptCount val="1"/>
                <c:pt idx="0">
                  <c:v>T₁₁</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'obj1'!$C$72:$E$72</c:f>
              <c:strCache>
                <c:ptCount val="3"/>
                <c:pt idx="0">
                  <c:v>0-30 DAT</c:v>
                </c:pt>
                <c:pt idx="1">
                  <c:v>30-60 DAT</c:v>
                </c:pt>
                <c:pt idx="2">
                  <c:v>60-90 DAT</c:v>
                </c:pt>
              </c:strCache>
            </c:strRef>
          </c:cat>
          <c:val>
            <c:numRef>
              <c:f>'obj1'!$C$83:$E$83</c:f>
              <c:numCache>
                <c:formatCode>General</c:formatCode>
                <c:ptCount val="3"/>
                <c:pt idx="0">
                  <c:v>2.0049111111111113</c:v>
                </c:pt>
                <c:pt idx="1">
                  <c:v>29.904900000000001</c:v>
                </c:pt>
                <c:pt idx="2">
                  <c:v>18.020222222222227</c:v>
                </c:pt>
              </c:numCache>
            </c:numRef>
          </c:val>
          <c:smooth val="0"/>
          <c:extLst>
            <c:ext xmlns:c16="http://schemas.microsoft.com/office/drawing/2014/chart" uri="{C3380CC4-5D6E-409C-BE32-E72D297353CC}">
              <c16:uniqueId val="{0000000A-E5F0-43BF-8979-D6AEEA9500CD}"/>
            </c:ext>
          </c:extLst>
        </c:ser>
        <c:ser>
          <c:idx val="11"/>
          <c:order val="11"/>
          <c:tx>
            <c:strRef>
              <c:f>'obj1'!$B$84</c:f>
              <c:strCache>
                <c:ptCount val="1"/>
                <c:pt idx="0">
                  <c:v>T₁₂</c:v>
                </c:pt>
              </c:strCache>
            </c:strRef>
          </c:tx>
          <c:spPr>
            <a:ln w="28575" cap="rnd">
              <a:solidFill>
                <a:srgbClr val="14F1FC"/>
              </a:solidFill>
              <a:round/>
            </a:ln>
            <a:effectLst/>
          </c:spPr>
          <c:marker>
            <c:symbol val="circle"/>
            <c:size val="5"/>
            <c:spPr>
              <a:solidFill>
                <a:srgbClr val="14F1FC"/>
              </a:solidFill>
              <a:ln w="9525">
                <a:solidFill>
                  <a:srgbClr val="14F1FC"/>
                </a:solidFill>
              </a:ln>
              <a:effectLst/>
            </c:spPr>
          </c:marker>
          <c:cat>
            <c:strRef>
              <c:f>'obj1'!$C$72:$E$72</c:f>
              <c:strCache>
                <c:ptCount val="3"/>
                <c:pt idx="0">
                  <c:v>0-30 DAT</c:v>
                </c:pt>
                <c:pt idx="1">
                  <c:v>30-60 DAT</c:v>
                </c:pt>
                <c:pt idx="2">
                  <c:v>60-90 DAT</c:v>
                </c:pt>
              </c:strCache>
            </c:strRef>
          </c:cat>
          <c:val>
            <c:numRef>
              <c:f>'obj1'!$C$84:$E$84</c:f>
              <c:numCache>
                <c:formatCode>General</c:formatCode>
                <c:ptCount val="3"/>
                <c:pt idx="0">
                  <c:v>2.0371888888888887</c:v>
                </c:pt>
                <c:pt idx="1">
                  <c:v>30.333733333333331</c:v>
                </c:pt>
                <c:pt idx="2">
                  <c:v>19.24677777777778</c:v>
                </c:pt>
              </c:numCache>
            </c:numRef>
          </c:val>
          <c:smooth val="0"/>
          <c:extLst>
            <c:ext xmlns:c16="http://schemas.microsoft.com/office/drawing/2014/chart" uri="{C3380CC4-5D6E-409C-BE32-E72D297353CC}">
              <c16:uniqueId val="{0000000B-E5F0-43BF-8979-D6AEEA9500CD}"/>
            </c:ext>
          </c:extLst>
        </c:ser>
        <c:ser>
          <c:idx val="12"/>
          <c:order val="12"/>
          <c:tx>
            <c:strRef>
              <c:f>'obj1'!$B$85</c:f>
              <c:strCache>
                <c:ptCount val="1"/>
                <c:pt idx="0">
                  <c:v>T₁₃</c:v>
                </c:pt>
              </c:strCache>
            </c:strRef>
          </c:tx>
          <c:spPr>
            <a:ln w="28575" cap="rnd">
              <a:solidFill>
                <a:schemeClr val="accent2">
                  <a:lumMod val="40000"/>
                  <a:lumOff val="60000"/>
                </a:schemeClr>
              </a:solidFill>
              <a:round/>
            </a:ln>
            <a:effectLst/>
          </c:spPr>
          <c:marker>
            <c:symbol val="circle"/>
            <c:size val="5"/>
            <c:spPr>
              <a:solidFill>
                <a:schemeClr val="accent2">
                  <a:lumMod val="40000"/>
                  <a:lumOff val="60000"/>
                </a:schemeClr>
              </a:solidFill>
              <a:ln w="9525">
                <a:solidFill>
                  <a:schemeClr val="accent2">
                    <a:lumMod val="40000"/>
                    <a:lumOff val="60000"/>
                  </a:schemeClr>
                </a:solidFill>
              </a:ln>
              <a:effectLst/>
            </c:spPr>
          </c:marker>
          <c:cat>
            <c:strRef>
              <c:f>'obj1'!$C$72:$E$72</c:f>
              <c:strCache>
                <c:ptCount val="3"/>
                <c:pt idx="0">
                  <c:v>0-30 DAT</c:v>
                </c:pt>
                <c:pt idx="1">
                  <c:v>30-60 DAT</c:v>
                </c:pt>
                <c:pt idx="2">
                  <c:v>60-90 DAT</c:v>
                </c:pt>
              </c:strCache>
            </c:strRef>
          </c:cat>
          <c:val>
            <c:numRef>
              <c:f>'obj1'!$C$85:$E$85</c:f>
              <c:numCache>
                <c:formatCode>General</c:formatCode>
                <c:ptCount val="3"/>
                <c:pt idx="0">
                  <c:v>2.0261222222222224</c:v>
                </c:pt>
                <c:pt idx="1">
                  <c:v>31.458844444444448</c:v>
                </c:pt>
                <c:pt idx="2">
                  <c:v>18.782899999999998</c:v>
                </c:pt>
              </c:numCache>
            </c:numRef>
          </c:val>
          <c:smooth val="0"/>
          <c:extLst>
            <c:ext xmlns:c16="http://schemas.microsoft.com/office/drawing/2014/chart" uri="{C3380CC4-5D6E-409C-BE32-E72D297353CC}">
              <c16:uniqueId val="{0000000C-E5F0-43BF-8979-D6AEEA9500CD}"/>
            </c:ext>
          </c:extLst>
        </c:ser>
        <c:dLbls>
          <c:showLegendKey val="0"/>
          <c:showVal val="0"/>
          <c:showCatName val="0"/>
          <c:showSerName val="0"/>
          <c:showPercent val="0"/>
          <c:showBubbleSize val="0"/>
        </c:dLbls>
        <c:marker val="1"/>
        <c:smooth val="0"/>
        <c:axId val="911733839"/>
        <c:axId val="911739119"/>
      </c:lineChart>
      <c:catAx>
        <c:axId val="91173383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1739119"/>
        <c:crosses val="autoZero"/>
        <c:auto val="1"/>
        <c:lblAlgn val="ctr"/>
        <c:lblOffset val="100"/>
        <c:noMultiLvlLbl val="0"/>
      </c:catAx>
      <c:valAx>
        <c:axId val="911739119"/>
        <c:scaling>
          <c:orientation val="minMax"/>
        </c:scaling>
        <c:delete val="0"/>
        <c:axPos val="l"/>
        <c:majorGridlines>
          <c:spPr>
            <a:ln w="9525" cap="flat" cmpd="sng" algn="ctr">
              <a:solidFill>
                <a:schemeClr val="accent1">
                  <a:alpha val="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CGR (g m</a:t>
                </a:r>
                <a:r>
                  <a:rPr lang="en-IN" baseline="30000"/>
                  <a:t>-2</a:t>
                </a:r>
                <a:r>
                  <a:rPr lang="en-IN"/>
                  <a:t> day</a:t>
                </a:r>
                <a:r>
                  <a:rPr lang="en-IN" baseline="30000"/>
                  <a:t>-1</a:t>
                </a:r>
                <a:r>
                  <a:rPr lang="en-IN"/>
                  <a:t>)</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1733839"/>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a:t>2025</a:t>
            </a:r>
          </a:p>
        </c:rich>
      </c:tx>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'obj1'!$P$74</c:f>
              <c:strCache>
                <c:ptCount val="1"/>
                <c:pt idx="0">
                  <c:v>T₁</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'obj1'!$Q$73:$S$73</c:f>
              <c:strCache>
                <c:ptCount val="3"/>
                <c:pt idx="0">
                  <c:v>0-30 DAT</c:v>
                </c:pt>
                <c:pt idx="1">
                  <c:v>30-60 DAT</c:v>
                </c:pt>
                <c:pt idx="2">
                  <c:v>60-90 DAT</c:v>
                </c:pt>
              </c:strCache>
            </c:strRef>
          </c:cat>
          <c:val>
            <c:numRef>
              <c:f>'obj1'!$Q$74:$S$74</c:f>
              <c:numCache>
                <c:formatCode>General</c:formatCode>
                <c:ptCount val="3"/>
                <c:pt idx="0">
                  <c:v>1.9992000000000001</c:v>
                </c:pt>
                <c:pt idx="1">
                  <c:v>22.194822222222218</c:v>
                </c:pt>
                <c:pt idx="2">
                  <c:v>16.833078888888888</c:v>
                </c:pt>
              </c:numCache>
            </c:numRef>
          </c:val>
          <c:smooth val="0"/>
          <c:extLst>
            <c:ext xmlns:c16="http://schemas.microsoft.com/office/drawing/2014/chart" uri="{C3380CC4-5D6E-409C-BE32-E72D297353CC}">
              <c16:uniqueId val="{00000000-3DAE-4AF8-9B33-990BF70713EE}"/>
            </c:ext>
          </c:extLst>
        </c:ser>
        <c:ser>
          <c:idx val="1"/>
          <c:order val="1"/>
          <c:tx>
            <c:strRef>
              <c:f>'obj1'!$P$75</c:f>
              <c:strCache>
                <c:ptCount val="1"/>
                <c:pt idx="0">
                  <c:v>T₂</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'obj1'!$Q$73:$S$73</c:f>
              <c:strCache>
                <c:ptCount val="3"/>
                <c:pt idx="0">
                  <c:v>0-30 DAT</c:v>
                </c:pt>
                <c:pt idx="1">
                  <c:v>30-60 DAT</c:v>
                </c:pt>
                <c:pt idx="2">
                  <c:v>60-90 DAT</c:v>
                </c:pt>
              </c:strCache>
            </c:strRef>
          </c:cat>
          <c:val>
            <c:numRef>
              <c:f>'obj1'!$Q$75:$S$75</c:f>
              <c:numCache>
                <c:formatCode>General</c:formatCode>
                <c:ptCount val="3"/>
                <c:pt idx="0">
                  <c:v>2.00753</c:v>
                </c:pt>
                <c:pt idx="1">
                  <c:v>25.425936666666669</c:v>
                </c:pt>
                <c:pt idx="2">
                  <c:v>20.193771111111108</c:v>
                </c:pt>
              </c:numCache>
            </c:numRef>
          </c:val>
          <c:smooth val="0"/>
          <c:extLst>
            <c:ext xmlns:c16="http://schemas.microsoft.com/office/drawing/2014/chart" uri="{C3380CC4-5D6E-409C-BE32-E72D297353CC}">
              <c16:uniqueId val="{00000001-3DAE-4AF8-9B33-990BF70713EE}"/>
            </c:ext>
          </c:extLst>
        </c:ser>
        <c:ser>
          <c:idx val="2"/>
          <c:order val="2"/>
          <c:tx>
            <c:strRef>
              <c:f>'obj1'!$P$76</c:f>
              <c:strCache>
                <c:ptCount val="1"/>
                <c:pt idx="0">
                  <c:v>T₃</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'obj1'!$Q$73:$S$73</c:f>
              <c:strCache>
                <c:ptCount val="3"/>
                <c:pt idx="0">
                  <c:v>0-30 DAT</c:v>
                </c:pt>
                <c:pt idx="1">
                  <c:v>30-60 DAT</c:v>
                </c:pt>
                <c:pt idx="2">
                  <c:v>60-90 DAT</c:v>
                </c:pt>
              </c:strCache>
            </c:strRef>
          </c:cat>
          <c:val>
            <c:numRef>
              <c:f>'obj1'!$Q$76:$S$76</c:f>
              <c:numCache>
                <c:formatCode>General</c:formatCode>
                <c:ptCount val="3"/>
                <c:pt idx="0">
                  <c:v>2.0103066666666667</c:v>
                </c:pt>
                <c:pt idx="1">
                  <c:v>27.903648888888885</c:v>
                </c:pt>
                <c:pt idx="2">
                  <c:v>18.403746666666667</c:v>
                </c:pt>
              </c:numCache>
            </c:numRef>
          </c:val>
          <c:smooth val="0"/>
          <c:extLst>
            <c:ext xmlns:c16="http://schemas.microsoft.com/office/drawing/2014/chart" uri="{C3380CC4-5D6E-409C-BE32-E72D297353CC}">
              <c16:uniqueId val="{00000002-3DAE-4AF8-9B33-990BF70713EE}"/>
            </c:ext>
          </c:extLst>
        </c:ser>
        <c:ser>
          <c:idx val="3"/>
          <c:order val="3"/>
          <c:tx>
            <c:strRef>
              <c:f>'obj1'!$P$77</c:f>
              <c:strCache>
                <c:ptCount val="1"/>
                <c:pt idx="0">
                  <c:v>T₄</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'obj1'!$Q$73:$S$73</c:f>
              <c:strCache>
                <c:ptCount val="3"/>
                <c:pt idx="0">
                  <c:v>0-30 DAT</c:v>
                </c:pt>
                <c:pt idx="1">
                  <c:v>30-60 DAT</c:v>
                </c:pt>
                <c:pt idx="2">
                  <c:v>60-90 DAT</c:v>
                </c:pt>
              </c:strCache>
            </c:strRef>
          </c:cat>
          <c:val>
            <c:numRef>
              <c:f>'obj1'!$Q$77:$S$77</c:f>
              <c:numCache>
                <c:formatCode>General</c:formatCode>
                <c:ptCount val="3"/>
                <c:pt idx="0">
                  <c:v>2.0103066666666667</c:v>
                </c:pt>
                <c:pt idx="1">
                  <c:v>29.795484444444444</c:v>
                </c:pt>
                <c:pt idx="2">
                  <c:v>17.79288</c:v>
                </c:pt>
              </c:numCache>
            </c:numRef>
          </c:val>
          <c:smooth val="0"/>
          <c:extLst>
            <c:ext xmlns:c16="http://schemas.microsoft.com/office/drawing/2014/chart" uri="{C3380CC4-5D6E-409C-BE32-E72D297353CC}">
              <c16:uniqueId val="{00000003-3DAE-4AF8-9B33-990BF70713EE}"/>
            </c:ext>
          </c:extLst>
        </c:ser>
        <c:ser>
          <c:idx val="4"/>
          <c:order val="4"/>
          <c:tx>
            <c:strRef>
              <c:f>'obj1'!$P$78</c:f>
              <c:strCache>
                <c:ptCount val="1"/>
                <c:pt idx="0">
                  <c:v>T₅</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'obj1'!$Q$73:$S$73</c:f>
              <c:strCache>
                <c:ptCount val="3"/>
                <c:pt idx="0">
                  <c:v>0-30 DAT</c:v>
                </c:pt>
                <c:pt idx="1">
                  <c:v>30-60 DAT</c:v>
                </c:pt>
                <c:pt idx="2">
                  <c:v>60-90 DAT</c:v>
                </c:pt>
              </c:strCache>
            </c:strRef>
          </c:cat>
          <c:val>
            <c:numRef>
              <c:f>'obj1'!$Q$78:$S$78</c:f>
              <c:numCache>
                <c:formatCode>General</c:formatCode>
                <c:ptCount val="3"/>
                <c:pt idx="0">
                  <c:v>2.0047533333333334</c:v>
                </c:pt>
                <c:pt idx="1">
                  <c:v>26.02754777777778</c:v>
                </c:pt>
                <c:pt idx="2">
                  <c:v>18.140888888888885</c:v>
                </c:pt>
              </c:numCache>
            </c:numRef>
          </c:val>
          <c:smooth val="0"/>
          <c:extLst>
            <c:ext xmlns:c16="http://schemas.microsoft.com/office/drawing/2014/chart" uri="{C3380CC4-5D6E-409C-BE32-E72D297353CC}">
              <c16:uniqueId val="{00000004-3DAE-4AF8-9B33-990BF70713EE}"/>
            </c:ext>
          </c:extLst>
        </c:ser>
        <c:ser>
          <c:idx val="5"/>
          <c:order val="5"/>
          <c:tx>
            <c:strRef>
              <c:f>'obj1'!$P$79</c:f>
              <c:strCache>
                <c:ptCount val="1"/>
                <c:pt idx="0">
                  <c:v>T₆</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'obj1'!$Q$73:$S$73</c:f>
              <c:strCache>
                <c:ptCount val="3"/>
                <c:pt idx="0">
                  <c:v>0-30 DAT</c:v>
                </c:pt>
                <c:pt idx="1">
                  <c:v>30-60 DAT</c:v>
                </c:pt>
                <c:pt idx="2">
                  <c:v>60-90 DAT</c:v>
                </c:pt>
              </c:strCache>
            </c:strRef>
          </c:cat>
          <c:val>
            <c:numRef>
              <c:f>'obj1'!$Q$79:$S$79</c:f>
              <c:numCache>
                <c:formatCode>General</c:formatCode>
                <c:ptCount val="3"/>
                <c:pt idx="0">
                  <c:v>2.0177111111111112</c:v>
                </c:pt>
                <c:pt idx="1">
                  <c:v>27.489925555555558</c:v>
                </c:pt>
                <c:pt idx="2">
                  <c:v>18.177911111111111</c:v>
                </c:pt>
              </c:numCache>
            </c:numRef>
          </c:val>
          <c:smooth val="0"/>
          <c:extLst>
            <c:ext xmlns:c16="http://schemas.microsoft.com/office/drawing/2014/chart" uri="{C3380CC4-5D6E-409C-BE32-E72D297353CC}">
              <c16:uniqueId val="{00000005-3DAE-4AF8-9B33-990BF70713EE}"/>
            </c:ext>
          </c:extLst>
        </c:ser>
        <c:ser>
          <c:idx val="6"/>
          <c:order val="6"/>
          <c:tx>
            <c:strRef>
              <c:f>'obj1'!$P$80</c:f>
              <c:strCache>
                <c:ptCount val="1"/>
                <c:pt idx="0">
                  <c:v>T₇</c:v>
                </c:pt>
              </c:strCache>
            </c:strRef>
          </c:tx>
          <c:spPr>
            <a:ln w="28575" cap="rnd">
              <a:solidFill>
                <a:srgbClr val="8BF22E"/>
              </a:solidFill>
              <a:round/>
            </a:ln>
            <a:effectLst/>
          </c:spPr>
          <c:marker>
            <c:symbol val="circle"/>
            <c:size val="5"/>
            <c:spPr>
              <a:solidFill>
                <a:srgbClr val="8BF22E"/>
              </a:solidFill>
              <a:ln w="9525">
                <a:solidFill>
                  <a:srgbClr val="8BF22E"/>
                </a:solidFill>
              </a:ln>
              <a:effectLst/>
            </c:spPr>
          </c:marker>
          <c:cat>
            <c:strRef>
              <c:f>'obj1'!$Q$73:$S$73</c:f>
              <c:strCache>
                <c:ptCount val="3"/>
                <c:pt idx="0">
                  <c:v>0-30 DAT</c:v>
                </c:pt>
                <c:pt idx="1">
                  <c:v>30-60 DAT</c:v>
                </c:pt>
                <c:pt idx="2">
                  <c:v>60-90 DAT</c:v>
                </c:pt>
              </c:strCache>
            </c:strRef>
          </c:cat>
          <c:val>
            <c:numRef>
              <c:f>'obj1'!$Q$80:$S$80</c:f>
              <c:numCache>
                <c:formatCode>General</c:formatCode>
                <c:ptCount val="3"/>
                <c:pt idx="0">
                  <c:v>2.0121577777777779</c:v>
                </c:pt>
                <c:pt idx="1">
                  <c:v>28.056365555555558</c:v>
                </c:pt>
                <c:pt idx="2">
                  <c:v>18.929462222222227</c:v>
                </c:pt>
              </c:numCache>
            </c:numRef>
          </c:val>
          <c:smooth val="0"/>
          <c:extLst>
            <c:ext xmlns:c16="http://schemas.microsoft.com/office/drawing/2014/chart" uri="{C3380CC4-5D6E-409C-BE32-E72D297353CC}">
              <c16:uniqueId val="{00000006-3DAE-4AF8-9B33-990BF70713EE}"/>
            </c:ext>
          </c:extLst>
        </c:ser>
        <c:ser>
          <c:idx val="7"/>
          <c:order val="7"/>
          <c:tx>
            <c:strRef>
              <c:f>'obj1'!$P$81</c:f>
              <c:strCache>
                <c:ptCount val="1"/>
                <c:pt idx="0">
                  <c:v>T₈</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'obj1'!$Q$73:$S$73</c:f>
              <c:strCache>
                <c:ptCount val="3"/>
                <c:pt idx="0">
                  <c:v>0-30 DAT</c:v>
                </c:pt>
                <c:pt idx="1">
                  <c:v>30-60 DAT</c:v>
                </c:pt>
                <c:pt idx="2">
                  <c:v>60-90 DAT</c:v>
                </c:pt>
              </c:strCache>
            </c:strRef>
          </c:cat>
          <c:val>
            <c:numRef>
              <c:f>'obj1'!$Q$81:$S$81</c:f>
              <c:numCache>
                <c:formatCode>General</c:formatCode>
                <c:ptCount val="3"/>
                <c:pt idx="0">
                  <c:v>2.0186366666666666</c:v>
                </c:pt>
                <c:pt idx="1">
                  <c:v>30.047235555555556</c:v>
                </c:pt>
                <c:pt idx="2">
                  <c:v>19.173808888888889</c:v>
                </c:pt>
              </c:numCache>
            </c:numRef>
          </c:val>
          <c:smooth val="0"/>
          <c:extLst>
            <c:ext xmlns:c16="http://schemas.microsoft.com/office/drawing/2014/chart" uri="{C3380CC4-5D6E-409C-BE32-E72D297353CC}">
              <c16:uniqueId val="{00000007-3DAE-4AF8-9B33-990BF70713EE}"/>
            </c:ext>
          </c:extLst>
        </c:ser>
        <c:ser>
          <c:idx val="8"/>
          <c:order val="8"/>
          <c:tx>
            <c:strRef>
              <c:f>'obj1'!$P$82</c:f>
              <c:strCache>
                <c:ptCount val="1"/>
                <c:pt idx="0">
                  <c:v>T₉</c:v>
                </c:pt>
              </c:strCache>
            </c:strRef>
          </c:tx>
          <c:spPr>
            <a:ln w="28575" cap="rnd">
              <a:solidFill>
                <a:srgbClr val="FFFF00"/>
              </a:solidFill>
              <a:round/>
            </a:ln>
            <a:effectLst/>
          </c:spPr>
          <c:marker>
            <c:symbol val="circle"/>
            <c:size val="5"/>
            <c:spPr>
              <a:solidFill>
                <a:srgbClr val="FFFF00"/>
              </a:solidFill>
              <a:ln w="9525">
                <a:solidFill>
                  <a:srgbClr val="FFFF00"/>
                </a:solidFill>
              </a:ln>
              <a:effectLst/>
            </c:spPr>
          </c:marker>
          <c:cat>
            <c:strRef>
              <c:f>'obj1'!$Q$73:$S$73</c:f>
              <c:strCache>
                <c:ptCount val="3"/>
                <c:pt idx="0">
                  <c:v>0-30 DAT</c:v>
                </c:pt>
                <c:pt idx="1">
                  <c:v>30-60 DAT</c:v>
                </c:pt>
                <c:pt idx="2">
                  <c:v>60-90 DAT</c:v>
                </c:pt>
              </c:strCache>
            </c:strRef>
          </c:cat>
          <c:val>
            <c:numRef>
              <c:f>'obj1'!$Q$82:$S$82</c:f>
              <c:numCache>
                <c:formatCode>General</c:formatCode>
                <c:ptCount val="3"/>
                <c:pt idx="0">
                  <c:v>2.0408499999999998</c:v>
                </c:pt>
                <c:pt idx="1">
                  <c:v>44.456284444444442</c:v>
                </c:pt>
                <c:pt idx="2">
                  <c:v>21.53027333333333</c:v>
                </c:pt>
              </c:numCache>
            </c:numRef>
          </c:val>
          <c:smooth val="0"/>
          <c:extLst>
            <c:ext xmlns:c16="http://schemas.microsoft.com/office/drawing/2014/chart" uri="{C3380CC4-5D6E-409C-BE32-E72D297353CC}">
              <c16:uniqueId val="{00000008-3DAE-4AF8-9B33-990BF70713EE}"/>
            </c:ext>
          </c:extLst>
        </c:ser>
        <c:ser>
          <c:idx val="9"/>
          <c:order val="9"/>
          <c:tx>
            <c:strRef>
              <c:f>'obj1'!$P$83</c:f>
              <c:strCache>
                <c:ptCount val="1"/>
                <c:pt idx="0">
                  <c:v>T₁₀</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strRef>
              <c:f>'obj1'!$Q$73:$S$73</c:f>
              <c:strCache>
                <c:ptCount val="3"/>
                <c:pt idx="0">
                  <c:v>0-30 DAT</c:v>
                </c:pt>
                <c:pt idx="1">
                  <c:v>30-60 DAT</c:v>
                </c:pt>
                <c:pt idx="2">
                  <c:v>60-90 DAT</c:v>
                </c:pt>
              </c:strCache>
            </c:strRef>
          </c:cat>
          <c:val>
            <c:numRef>
              <c:f>'obj1'!$Q$83:$S$83</c:f>
              <c:numCache>
                <c:formatCode>General</c:formatCode>
                <c:ptCount val="3"/>
                <c:pt idx="0">
                  <c:v>2.0121577777777779</c:v>
                </c:pt>
                <c:pt idx="1">
                  <c:v>50.060523333333343</c:v>
                </c:pt>
                <c:pt idx="2">
                  <c:v>22.27534555555556</c:v>
                </c:pt>
              </c:numCache>
            </c:numRef>
          </c:val>
          <c:smooth val="0"/>
          <c:extLst>
            <c:ext xmlns:c16="http://schemas.microsoft.com/office/drawing/2014/chart" uri="{C3380CC4-5D6E-409C-BE32-E72D297353CC}">
              <c16:uniqueId val="{00000009-3DAE-4AF8-9B33-990BF70713EE}"/>
            </c:ext>
          </c:extLst>
        </c:ser>
        <c:ser>
          <c:idx val="10"/>
          <c:order val="10"/>
          <c:tx>
            <c:strRef>
              <c:f>'obj1'!$P$84</c:f>
              <c:strCache>
                <c:ptCount val="1"/>
                <c:pt idx="0">
                  <c:v>T₁₁</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'obj1'!$Q$73:$S$73</c:f>
              <c:strCache>
                <c:ptCount val="3"/>
                <c:pt idx="0">
                  <c:v>0-30 DAT</c:v>
                </c:pt>
                <c:pt idx="1">
                  <c:v>30-60 DAT</c:v>
                </c:pt>
                <c:pt idx="2">
                  <c:v>60-90 DAT</c:v>
                </c:pt>
              </c:strCache>
            </c:strRef>
          </c:cat>
          <c:val>
            <c:numRef>
              <c:f>'obj1'!$Q$84:$S$84</c:f>
              <c:numCache>
                <c:formatCode>General</c:formatCode>
                <c:ptCount val="3"/>
                <c:pt idx="0">
                  <c:v>2.0121577777777779</c:v>
                </c:pt>
                <c:pt idx="1">
                  <c:v>29.85472</c:v>
                </c:pt>
                <c:pt idx="2">
                  <c:v>17.879882222222218</c:v>
                </c:pt>
              </c:numCache>
            </c:numRef>
          </c:val>
          <c:smooth val="0"/>
          <c:extLst>
            <c:ext xmlns:c16="http://schemas.microsoft.com/office/drawing/2014/chart" uri="{C3380CC4-5D6E-409C-BE32-E72D297353CC}">
              <c16:uniqueId val="{0000000A-3DAE-4AF8-9B33-990BF70713EE}"/>
            </c:ext>
          </c:extLst>
        </c:ser>
        <c:ser>
          <c:idx val="11"/>
          <c:order val="11"/>
          <c:tx>
            <c:strRef>
              <c:f>'obj1'!$P$85</c:f>
              <c:strCache>
                <c:ptCount val="1"/>
                <c:pt idx="0">
                  <c:v>T₁₂</c:v>
                </c:pt>
              </c:strCache>
            </c:strRef>
          </c:tx>
          <c:spPr>
            <a:ln w="28575" cap="rnd">
              <a:solidFill>
                <a:srgbClr val="14F1FC"/>
              </a:solidFill>
              <a:round/>
            </a:ln>
            <a:effectLst/>
          </c:spPr>
          <c:marker>
            <c:symbol val="circle"/>
            <c:size val="5"/>
            <c:spPr>
              <a:solidFill>
                <a:srgbClr val="14F1FC"/>
              </a:solidFill>
              <a:ln w="9525">
                <a:solidFill>
                  <a:srgbClr val="14F1FC"/>
                </a:solidFill>
              </a:ln>
              <a:effectLst/>
            </c:spPr>
          </c:marker>
          <c:cat>
            <c:strRef>
              <c:f>'obj1'!$Q$73:$S$73</c:f>
              <c:strCache>
                <c:ptCount val="3"/>
                <c:pt idx="0">
                  <c:v>0-30 DAT</c:v>
                </c:pt>
                <c:pt idx="1">
                  <c:v>30-60 DAT</c:v>
                </c:pt>
                <c:pt idx="2">
                  <c:v>60-90 DAT</c:v>
                </c:pt>
              </c:strCache>
            </c:strRef>
          </c:cat>
          <c:val>
            <c:numRef>
              <c:f>'obj1'!$Q$85:$S$85</c:f>
              <c:numCache>
                <c:formatCode>General</c:formatCode>
                <c:ptCount val="3"/>
                <c:pt idx="0">
                  <c:v>2.0380733333333332</c:v>
                </c:pt>
                <c:pt idx="1">
                  <c:v>29.98152111111111</c:v>
                </c:pt>
                <c:pt idx="2">
                  <c:v>19.979042222222219</c:v>
                </c:pt>
              </c:numCache>
            </c:numRef>
          </c:val>
          <c:smooth val="0"/>
          <c:extLst>
            <c:ext xmlns:c16="http://schemas.microsoft.com/office/drawing/2014/chart" uri="{C3380CC4-5D6E-409C-BE32-E72D297353CC}">
              <c16:uniqueId val="{0000000B-3DAE-4AF8-9B33-990BF70713EE}"/>
            </c:ext>
          </c:extLst>
        </c:ser>
        <c:ser>
          <c:idx val="12"/>
          <c:order val="12"/>
          <c:tx>
            <c:strRef>
              <c:f>'obj1'!$P$86</c:f>
              <c:strCache>
                <c:ptCount val="1"/>
                <c:pt idx="0">
                  <c:v>T₁₃</c:v>
                </c:pt>
              </c:strCache>
            </c:strRef>
          </c:tx>
          <c:spPr>
            <a:ln w="28575" cap="rnd">
              <a:solidFill>
                <a:schemeClr val="accent2">
                  <a:lumMod val="40000"/>
                  <a:lumOff val="60000"/>
                </a:schemeClr>
              </a:solidFill>
              <a:round/>
            </a:ln>
            <a:effectLst/>
          </c:spPr>
          <c:marker>
            <c:symbol val="circle"/>
            <c:size val="5"/>
            <c:spPr>
              <a:solidFill>
                <a:schemeClr val="accent2">
                  <a:lumMod val="40000"/>
                  <a:lumOff val="60000"/>
                </a:schemeClr>
              </a:solidFill>
              <a:ln w="9525">
                <a:solidFill>
                  <a:schemeClr val="accent2">
                    <a:lumMod val="40000"/>
                    <a:lumOff val="60000"/>
                  </a:schemeClr>
                </a:solidFill>
              </a:ln>
              <a:effectLst/>
            </c:spPr>
          </c:marker>
          <c:cat>
            <c:strRef>
              <c:f>'obj1'!$Q$73:$S$73</c:f>
              <c:strCache>
                <c:ptCount val="3"/>
                <c:pt idx="0">
                  <c:v>0-30 DAT</c:v>
                </c:pt>
                <c:pt idx="1">
                  <c:v>30-60 DAT</c:v>
                </c:pt>
                <c:pt idx="2">
                  <c:v>60-90 DAT</c:v>
                </c:pt>
              </c:strCache>
            </c:strRef>
          </c:cat>
          <c:val>
            <c:numRef>
              <c:f>'obj1'!$Q$86:$S$86</c:f>
              <c:numCache>
                <c:formatCode>General</c:formatCode>
                <c:ptCount val="3"/>
                <c:pt idx="0">
                  <c:v>2.0491800000000002</c:v>
                </c:pt>
                <c:pt idx="1">
                  <c:v>31.449452222222224</c:v>
                </c:pt>
                <c:pt idx="2">
                  <c:v>19.082178888888887</c:v>
                </c:pt>
              </c:numCache>
            </c:numRef>
          </c:val>
          <c:smooth val="0"/>
          <c:extLst>
            <c:ext xmlns:c16="http://schemas.microsoft.com/office/drawing/2014/chart" uri="{C3380CC4-5D6E-409C-BE32-E72D297353CC}">
              <c16:uniqueId val="{0000000C-3DAE-4AF8-9B33-990BF70713EE}"/>
            </c:ext>
          </c:extLst>
        </c:ser>
        <c:dLbls>
          <c:showLegendKey val="0"/>
          <c:showVal val="0"/>
          <c:showCatName val="0"/>
          <c:showSerName val="0"/>
          <c:showPercent val="0"/>
          <c:showBubbleSize val="0"/>
        </c:dLbls>
        <c:marker val="1"/>
        <c:smooth val="0"/>
        <c:axId val="911782319"/>
        <c:axId val="911802479"/>
      </c:lineChart>
      <c:catAx>
        <c:axId val="91178231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1802479"/>
        <c:crosses val="autoZero"/>
        <c:auto val="1"/>
        <c:lblAlgn val="ctr"/>
        <c:lblOffset val="100"/>
        <c:noMultiLvlLbl val="0"/>
      </c:catAx>
      <c:valAx>
        <c:axId val="911802479"/>
        <c:scaling>
          <c:orientation val="minMax"/>
        </c:scaling>
        <c:delete val="0"/>
        <c:axPos val="l"/>
        <c:majorGridlines>
          <c:spPr>
            <a:ln w="9525" cap="flat" cmpd="sng" algn="ctr">
              <a:solidFill>
                <a:schemeClr val="accent1">
                  <a:alpha val="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CGR (</a:t>
                </a:r>
                <a:r>
                  <a:rPr lang="en-IN" sz="1000" b="1" i="0" u="none" strike="noStrike" kern="1200" baseline="0">
                    <a:solidFill>
                      <a:sysClr val="windowText" lastClr="000000"/>
                    </a:solidFill>
                    <a:latin typeface="Times New Roman" panose="02020603050405020304" pitchFamily="18" charset="0"/>
                    <a:cs typeface="Times New Roman" panose="02020603050405020304" pitchFamily="18" charset="0"/>
                  </a:rPr>
                  <a:t>g m</a:t>
                </a:r>
                <a:r>
                  <a:rPr lang="en-IN" sz="1000" b="1" i="0" u="none" strike="noStrike" kern="1200" baseline="30000">
                    <a:solidFill>
                      <a:sysClr val="windowText" lastClr="000000"/>
                    </a:solidFill>
                    <a:latin typeface="Times New Roman" panose="02020603050405020304" pitchFamily="18" charset="0"/>
                    <a:cs typeface="Times New Roman" panose="02020603050405020304" pitchFamily="18" charset="0"/>
                  </a:rPr>
                  <a:t>-2</a:t>
                </a:r>
                <a:r>
                  <a:rPr lang="en-IN" sz="1000" b="1" i="0" u="none" strike="noStrike" kern="1200" baseline="0">
                    <a:solidFill>
                      <a:sysClr val="windowText" lastClr="000000"/>
                    </a:solidFill>
                    <a:latin typeface="Times New Roman" panose="02020603050405020304" pitchFamily="18" charset="0"/>
                    <a:cs typeface="Times New Roman" panose="02020603050405020304" pitchFamily="18" charset="0"/>
                  </a:rPr>
                  <a:t> day</a:t>
                </a:r>
                <a:r>
                  <a:rPr lang="en-IN" sz="1000" b="1" i="0" u="none" strike="noStrike" kern="1200" baseline="30000">
                    <a:solidFill>
                      <a:sysClr val="windowText" lastClr="000000"/>
                    </a:solidFill>
                    <a:latin typeface="Times New Roman" panose="02020603050405020304" pitchFamily="18" charset="0"/>
                    <a:cs typeface="Times New Roman" panose="02020603050405020304" pitchFamily="18" charset="0"/>
                  </a:rPr>
                  <a:t>-1</a:t>
                </a:r>
                <a:r>
                  <a:rPr lang="en-IN" sz="1000" b="1" i="0" u="none" strike="noStrike" kern="1200" baseline="0">
                    <a:solidFill>
                      <a:sysClr val="windowText" lastClr="000000"/>
                    </a:solidFill>
                    <a:latin typeface="Times New Roman" panose="02020603050405020304" pitchFamily="18" charset="0"/>
                    <a:cs typeface="Times New Roman" panose="02020603050405020304" pitchFamily="18" charset="0"/>
                  </a:rPr>
                  <a:t>)</a:t>
                </a:r>
                <a:endParaRPr lang="en-IN"/>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1782319"/>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2024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'obj1'!$B$267</c:f>
              <c:strCache>
                <c:ptCount val="1"/>
                <c:pt idx="0">
                  <c:v>T1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'obj1'!$C$266:$D$266</c:f>
              <c:strCache>
                <c:ptCount val="2"/>
                <c:pt idx="0">
                  <c:v>30-60 DAT</c:v>
                </c:pt>
                <c:pt idx="1">
                  <c:v>60-90 DAT</c:v>
                </c:pt>
              </c:strCache>
            </c:strRef>
          </c:cat>
          <c:val>
            <c:numRef>
              <c:f>'obj1'!$C$267:$D$267</c:f>
              <c:numCache>
                <c:formatCode>0.0000</c:formatCode>
                <c:ptCount val="2"/>
                <c:pt idx="0">
                  <c:v>8.3062943741045961E-2</c:v>
                </c:pt>
                <c:pt idx="1">
                  <c:v>1.6388171122371235E-2</c:v>
                </c:pt>
              </c:numCache>
            </c:numRef>
          </c:val>
          <c:smooth val="0"/>
          <c:extLst>
            <c:ext xmlns:c16="http://schemas.microsoft.com/office/drawing/2014/chart" uri="{C3380CC4-5D6E-409C-BE32-E72D297353CC}">
              <c16:uniqueId val="{00000000-ED79-4039-B652-C1DB598BA61C}"/>
            </c:ext>
          </c:extLst>
        </c:ser>
        <c:ser>
          <c:idx val="1"/>
          <c:order val="1"/>
          <c:tx>
            <c:strRef>
              <c:f>'obj1'!$B$268</c:f>
              <c:strCache>
                <c:ptCount val="1"/>
                <c:pt idx="0">
                  <c:v>T2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'obj1'!$C$266:$D$266</c:f>
              <c:strCache>
                <c:ptCount val="2"/>
                <c:pt idx="0">
                  <c:v>30-60 DAT</c:v>
                </c:pt>
                <c:pt idx="1">
                  <c:v>60-90 DAT</c:v>
                </c:pt>
              </c:strCache>
            </c:strRef>
          </c:cat>
          <c:val>
            <c:numRef>
              <c:f>'obj1'!$C$268:$D$268</c:f>
              <c:numCache>
                <c:formatCode>0.0000</c:formatCode>
                <c:ptCount val="2"/>
                <c:pt idx="0">
                  <c:v>8.7501687178297968E-2</c:v>
                </c:pt>
                <c:pt idx="1">
                  <c:v>1.8041616019074721E-2</c:v>
                </c:pt>
              </c:numCache>
            </c:numRef>
          </c:val>
          <c:smooth val="0"/>
          <c:extLst>
            <c:ext xmlns:c16="http://schemas.microsoft.com/office/drawing/2014/chart" uri="{C3380CC4-5D6E-409C-BE32-E72D297353CC}">
              <c16:uniqueId val="{00000001-ED79-4039-B652-C1DB598BA61C}"/>
            </c:ext>
          </c:extLst>
        </c:ser>
        <c:ser>
          <c:idx val="2"/>
          <c:order val="2"/>
          <c:tx>
            <c:strRef>
              <c:f>'obj1'!$B$269</c:f>
              <c:strCache>
                <c:ptCount val="1"/>
                <c:pt idx="0">
                  <c:v>T3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'obj1'!$C$266:$D$266</c:f>
              <c:strCache>
                <c:ptCount val="2"/>
                <c:pt idx="0">
                  <c:v>30-60 DAT</c:v>
                </c:pt>
                <c:pt idx="1">
                  <c:v>60-90 DAT</c:v>
                </c:pt>
              </c:strCache>
            </c:strRef>
          </c:cat>
          <c:val>
            <c:numRef>
              <c:f>'obj1'!$C$269:$D$269</c:f>
              <c:numCache>
                <c:formatCode>0.0000</c:formatCode>
                <c:ptCount val="2"/>
                <c:pt idx="0">
                  <c:v>9.0065512558866287E-2</c:v>
                </c:pt>
                <c:pt idx="1">
                  <c:v>1.5991023317449522E-2</c:v>
                </c:pt>
              </c:numCache>
            </c:numRef>
          </c:val>
          <c:smooth val="0"/>
          <c:extLst>
            <c:ext xmlns:c16="http://schemas.microsoft.com/office/drawing/2014/chart" uri="{C3380CC4-5D6E-409C-BE32-E72D297353CC}">
              <c16:uniqueId val="{00000002-ED79-4039-B652-C1DB598BA61C}"/>
            </c:ext>
          </c:extLst>
        </c:ser>
        <c:ser>
          <c:idx val="3"/>
          <c:order val="3"/>
          <c:tx>
            <c:strRef>
              <c:f>'obj1'!$B$270</c:f>
              <c:strCache>
                <c:ptCount val="1"/>
                <c:pt idx="0">
                  <c:v>T4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'obj1'!$C$266:$D$266</c:f>
              <c:strCache>
                <c:ptCount val="2"/>
                <c:pt idx="0">
                  <c:v>30-60 DAT</c:v>
                </c:pt>
                <c:pt idx="1">
                  <c:v>60-90 DAT</c:v>
                </c:pt>
              </c:strCache>
            </c:strRef>
          </c:cat>
          <c:val>
            <c:numRef>
              <c:f>'obj1'!$C$270:$D$270</c:f>
              <c:numCache>
                <c:formatCode>0.0000</c:formatCode>
                <c:ptCount val="2"/>
                <c:pt idx="0">
                  <c:v>9.1883707125172756E-2</c:v>
                </c:pt>
                <c:pt idx="1">
                  <c:v>1.4891921942482414E-2</c:v>
                </c:pt>
              </c:numCache>
            </c:numRef>
          </c:val>
          <c:smooth val="0"/>
          <c:extLst>
            <c:ext xmlns:c16="http://schemas.microsoft.com/office/drawing/2014/chart" uri="{C3380CC4-5D6E-409C-BE32-E72D297353CC}">
              <c16:uniqueId val="{00000003-ED79-4039-B652-C1DB598BA61C}"/>
            </c:ext>
          </c:extLst>
        </c:ser>
        <c:ser>
          <c:idx val="4"/>
          <c:order val="4"/>
          <c:tx>
            <c:strRef>
              <c:f>'obj1'!$B$271</c:f>
              <c:strCache>
                <c:ptCount val="1"/>
                <c:pt idx="0">
                  <c:v>T5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'obj1'!$C$266:$D$266</c:f>
              <c:strCache>
                <c:ptCount val="2"/>
                <c:pt idx="0">
                  <c:v>30-60 DAT</c:v>
                </c:pt>
                <c:pt idx="1">
                  <c:v>60-90 DAT</c:v>
                </c:pt>
              </c:strCache>
            </c:strRef>
          </c:cat>
          <c:val>
            <c:numRef>
              <c:f>'obj1'!$C$271:$D$271</c:f>
              <c:numCache>
                <c:formatCode>0.0000</c:formatCode>
                <c:ptCount val="2"/>
                <c:pt idx="0">
                  <c:v>8.8208442026425846E-2</c:v>
                </c:pt>
                <c:pt idx="1">
                  <c:v>1.6462185092460727E-2</c:v>
                </c:pt>
              </c:numCache>
            </c:numRef>
          </c:val>
          <c:smooth val="0"/>
          <c:extLst>
            <c:ext xmlns:c16="http://schemas.microsoft.com/office/drawing/2014/chart" uri="{C3380CC4-5D6E-409C-BE32-E72D297353CC}">
              <c16:uniqueId val="{00000004-ED79-4039-B652-C1DB598BA61C}"/>
            </c:ext>
          </c:extLst>
        </c:ser>
        <c:ser>
          <c:idx val="5"/>
          <c:order val="5"/>
          <c:tx>
            <c:strRef>
              <c:f>'obj1'!$B$272</c:f>
              <c:strCache>
                <c:ptCount val="1"/>
                <c:pt idx="0">
                  <c:v>T6</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'obj1'!$C$266:$D$266</c:f>
              <c:strCache>
                <c:ptCount val="2"/>
                <c:pt idx="0">
                  <c:v>30-60 DAT</c:v>
                </c:pt>
                <c:pt idx="1">
                  <c:v>60-90 DAT</c:v>
                </c:pt>
              </c:strCache>
            </c:strRef>
          </c:cat>
          <c:val>
            <c:numRef>
              <c:f>'obj1'!$C$272:$D$272</c:f>
              <c:numCache>
                <c:formatCode>0.0000</c:formatCode>
                <c:ptCount val="2"/>
                <c:pt idx="0">
                  <c:v>8.9462696677385142E-2</c:v>
                </c:pt>
                <c:pt idx="1">
                  <c:v>1.5430944522462978E-2</c:v>
                </c:pt>
              </c:numCache>
            </c:numRef>
          </c:val>
          <c:smooth val="0"/>
          <c:extLst>
            <c:ext xmlns:c16="http://schemas.microsoft.com/office/drawing/2014/chart" uri="{C3380CC4-5D6E-409C-BE32-E72D297353CC}">
              <c16:uniqueId val="{00000005-ED79-4039-B652-C1DB598BA61C}"/>
            </c:ext>
          </c:extLst>
        </c:ser>
        <c:ser>
          <c:idx val="6"/>
          <c:order val="6"/>
          <c:tx>
            <c:strRef>
              <c:f>'obj1'!$B$273</c:f>
              <c:strCache>
                <c:ptCount val="1"/>
                <c:pt idx="0">
                  <c:v>T7</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'obj1'!$C$266:$D$266</c:f>
              <c:strCache>
                <c:ptCount val="2"/>
                <c:pt idx="0">
                  <c:v>30-60 DAT</c:v>
                </c:pt>
                <c:pt idx="1">
                  <c:v>60-90 DAT</c:v>
                </c:pt>
              </c:strCache>
            </c:strRef>
          </c:cat>
          <c:val>
            <c:numRef>
              <c:f>'obj1'!$C$273:$D$273</c:f>
              <c:numCache>
                <c:formatCode>0.0000</c:formatCode>
                <c:ptCount val="2"/>
                <c:pt idx="0">
                  <c:v>9.0278222670955879E-2</c:v>
                </c:pt>
                <c:pt idx="1">
                  <c:v>1.6232539287875863E-2</c:v>
                </c:pt>
              </c:numCache>
            </c:numRef>
          </c:val>
          <c:smooth val="0"/>
          <c:extLst>
            <c:ext xmlns:c16="http://schemas.microsoft.com/office/drawing/2014/chart" uri="{C3380CC4-5D6E-409C-BE32-E72D297353CC}">
              <c16:uniqueId val="{00000006-ED79-4039-B652-C1DB598BA61C}"/>
            </c:ext>
          </c:extLst>
        </c:ser>
        <c:ser>
          <c:idx val="7"/>
          <c:order val="7"/>
          <c:tx>
            <c:strRef>
              <c:f>'obj1'!$B$274</c:f>
              <c:strCache>
                <c:ptCount val="1"/>
                <c:pt idx="0">
                  <c:v>T8</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'obj1'!$C$266:$D$266</c:f>
              <c:strCache>
                <c:ptCount val="2"/>
                <c:pt idx="0">
                  <c:v>30-60 DAT</c:v>
                </c:pt>
                <c:pt idx="1">
                  <c:v>60-90 DAT</c:v>
                </c:pt>
              </c:strCache>
            </c:strRef>
          </c:cat>
          <c:val>
            <c:numRef>
              <c:f>'obj1'!$C$274:$D$274</c:f>
              <c:numCache>
                <c:formatCode>0.0000</c:formatCode>
                <c:ptCount val="2"/>
                <c:pt idx="0">
                  <c:v>9.2295466477295376E-2</c:v>
                </c:pt>
                <c:pt idx="1">
                  <c:v>1.5749847727873651E-2</c:v>
                </c:pt>
              </c:numCache>
            </c:numRef>
          </c:val>
          <c:smooth val="0"/>
          <c:extLst>
            <c:ext xmlns:c16="http://schemas.microsoft.com/office/drawing/2014/chart" uri="{C3380CC4-5D6E-409C-BE32-E72D297353CC}">
              <c16:uniqueId val="{00000007-ED79-4039-B652-C1DB598BA61C}"/>
            </c:ext>
          </c:extLst>
        </c:ser>
        <c:ser>
          <c:idx val="8"/>
          <c:order val="8"/>
          <c:tx>
            <c:strRef>
              <c:f>'obj1'!$B$275</c:f>
              <c:strCache>
                <c:ptCount val="1"/>
                <c:pt idx="0">
                  <c:v>T9</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'obj1'!$C$266:$D$266</c:f>
              <c:strCache>
                <c:ptCount val="2"/>
                <c:pt idx="0">
                  <c:v>30-60 DAT</c:v>
                </c:pt>
                <c:pt idx="1">
                  <c:v>60-90 DAT</c:v>
                </c:pt>
              </c:strCache>
            </c:strRef>
          </c:cat>
          <c:val>
            <c:numRef>
              <c:f>'obj1'!$C$275:$D$275</c:f>
              <c:numCache>
                <c:formatCode>0.0000</c:formatCode>
                <c:ptCount val="2"/>
                <c:pt idx="0">
                  <c:v>0.10420854755869206</c:v>
                </c:pt>
                <c:pt idx="1">
                  <c:v>1.2508822174794876E-2</c:v>
                </c:pt>
              </c:numCache>
            </c:numRef>
          </c:val>
          <c:smooth val="0"/>
          <c:extLst>
            <c:ext xmlns:c16="http://schemas.microsoft.com/office/drawing/2014/chart" uri="{C3380CC4-5D6E-409C-BE32-E72D297353CC}">
              <c16:uniqueId val="{00000008-ED79-4039-B652-C1DB598BA61C}"/>
            </c:ext>
          </c:extLst>
        </c:ser>
        <c:ser>
          <c:idx val="9"/>
          <c:order val="9"/>
          <c:tx>
            <c:strRef>
              <c:f>'obj1'!$B$276</c:f>
              <c:strCache>
                <c:ptCount val="1"/>
                <c:pt idx="0">
                  <c:v>T10</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strRef>
              <c:f>'obj1'!$C$266:$D$266</c:f>
              <c:strCache>
                <c:ptCount val="2"/>
                <c:pt idx="0">
                  <c:v>30-60 DAT</c:v>
                </c:pt>
                <c:pt idx="1">
                  <c:v>60-90 DAT</c:v>
                </c:pt>
              </c:strCache>
            </c:strRef>
          </c:cat>
          <c:val>
            <c:numRef>
              <c:f>'obj1'!$C$276:$D$276</c:f>
              <c:numCache>
                <c:formatCode>0.0000</c:formatCode>
                <c:ptCount val="2"/>
                <c:pt idx="0">
                  <c:v>0.10844298662288732</c:v>
                </c:pt>
                <c:pt idx="1">
                  <c:v>1.1663180689725878E-2</c:v>
                </c:pt>
              </c:numCache>
            </c:numRef>
          </c:val>
          <c:smooth val="0"/>
          <c:extLst>
            <c:ext xmlns:c16="http://schemas.microsoft.com/office/drawing/2014/chart" uri="{C3380CC4-5D6E-409C-BE32-E72D297353CC}">
              <c16:uniqueId val="{00000009-ED79-4039-B652-C1DB598BA61C}"/>
            </c:ext>
          </c:extLst>
        </c:ser>
        <c:ser>
          <c:idx val="10"/>
          <c:order val="10"/>
          <c:tx>
            <c:strRef>
              <c:f>'obj1'!$B$277</c:f>
              <c:strCache>
                <c:ptCount val="1"/>
                <c:pt idx="0">
                  <c:v>T11</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'obj1'!$C$266:$D$266</c:f>
              <c:strCache>
                <c:ptCount val="2"/>
                <c:pt idx="0">
                  <c:v>30-60 DAT</c:v>
                </c:pt>
                <c:pt idx="1">
                  <c:v>60-90 DAT</c:v>
                </c:pt>
              </c:strCache>
            </c:strRef>
          </c:cat>
          <c:val>
            <c:numRef>
              <c:f>'obj1'!$C$277:$D$277</c:f>
              <c:numCache>
                <c:formatCode>0.0000</c:formatCode>
                <c:ptCount val="2"/>
                <c:pt idx="0">
                  <c:v>9.2226493959358682E-2</c:v>
                </c:pt>
                <c:pt idx="1">
                  <c:v>1.4937055235144906E-2</c:v>
                </c:pt>
              </c:numCache>
            </c:numRef>
          </c:val>
          <c:smooth val="0"/>
          <c:extLst>
            <c:ext xmlns:c16="http://schemas.microsoft.com/office/drawing/2014/chart" uri="{C3380CC4-5D6E-409C-BE32-E72D297353CC}">
              <c16:uniqueId val="{0000000A-ED79-4039-B652-C1DB598BA61C}"/>
            </c:ext>
          </c:extLst>
        </c:ser>
        <c:ser>
          <c:idx val="11"/>
          <c:order val="11"/>
          <c:tx>
            <c:strRef>
              <c:f>'obj1'!$B$278</c:f>
              <c:strCache>
                <c:ptCount val="1"/>
                <c:pt idx="0">
                  <c:v>T12</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strRef>
              <c:f>'obj1'!$C$266:$D$266</c:f>
              <c:strCache>
                <c:ptCount val="2"/>
                <c:pt idx="0">
                  <c:v>30-60 DAT</c:v>
                </c:pt>
                <c:pt idx="1">
                  <c:v>60-90 DAT</c:v>
                </c:pt>
              </c:strCache>
            </c:strRef>
          </c:cat>
          <c:val>
            <c:numRef>
              <c:f>'obj1'!$C$278:$D$278</c:f>
              <c:numCache>
                <c:formatCode>0.0000</c:formatCode>
                <c:ptCount val="2"/>
                <c:pt idx="0">
                  <c:v>9.2182571300652674E-2</c:v>
                </c:pt>
                <c:pt idx="1">
                  <c:v>1.5559758894161441E-2</c:v>
                </c:pt>
              </c:numCache>
            </c:numRef>
          </c:val>
          <c:smooth val="0"/>
          <c:extLst>
            <c:ext xmlns:c16="http://schemas.microsoft.com/office/drawing/2014/chart" uri="{C3380CC4-5D6E-409C-BE32-E72D297353CC}">
              <c16:uniqueId val="{0000000B-ED79-4039-B652-C1DB598BA61C}"/>
            </c:ext>
          </c:extLst>
        </c:ser>
        <c:ser>
          <c:idx val="12"/>
          <c:order val="12"/>
          <c:tx>
            <c:strRef>
              <c:f>'obj1'!$B$279</c:f>
              <c:strCache>
                <c:ptCount val="1"/>
                <c:pt idx="0">
                  <c:v>T13</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strRef>
              <c:f>'obj1'!$C$266:$D$266</c:f>
              <c:strCache>
                <c:ptCount val="2"/>
                <c:pt idx="0">
                  <c:v>30-60 DAT</c:v>
                </c:pt>
                <c:pt idx="1">
                  <c:v>60-90 DAT</c:v>
                </c:pt>
              </c:strCache>
            </c:strRef>
          </c:cat>
          <c:val>
            <c:numRef>
              <c:f>'obj1'!$C$279:$D$279</c:f>
              <c:numCache>
                <c:formatCode>0.0000</c:formatCode>
                <c:ptCount val="2"/>
                <c:pt idx="0">
                  <c:v>9.3508406732487073E-2</c:v>
                </c:pt>
                <c:pt idx="1">
                  <c:v>1.4844553277517915E-2</c:v>
                </c:pt>
              </c:numCache>
            </c:numRef>
          </c:val>
          <c:smooth val="0"/>
          <c:extLst>
            <c:ext xmlns:c16="http://schemas.microsoft.com/office/drawing/2014/chart" uri="{C3380CC4-5D6E-409C-BE32-E72D297353CC}">
              <c16:uniqueId val="{0000000C-ED79-4039-B652-C1DB598BA61C}"/>
            </c:ext>
          </c:extLst>
        </c:ser>
        <c:dLbls>
          <c:showLegendKey val="0"/>
          <c:showVal val="0"/>
          <c:showCatName val="0"/>
          <c:showSerName val="0"/>
          <c:showPercent val="0"/>
          <c:showBubbleSize val="0"/>
        </c:dLbls>
        <c:marker val="1"/>
        <c:smooth val="0"/>
        <c:axId val="22491967"/>
        <c:axId val="1979451023"/>
      </c:lineChart>
      <c:catAx>
        <c:axId val="224919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451023"/>
        <c:crosses val="autoZero"/>
        <c:auto val="1"/>
        <c:lblAlgn val="ctr"/>
        <c:lblOffset val="100"/>
        <c:noMultiLvlLbl val="0"/>
      </c:catAx>
      <c:valAx>
        <c:axId val="1979451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RGR</a:t>
                </a:r>
                <a:r>
                  <a:rPr lang="en-IN" baseline="0"/>
                  <a:t> (g g</a:t>
                </a:r>
                <a:r>
                  <a:rPr lang="en-IN" baseline="30000"/>
                  <a:t>-1</a:t>
                </a:r>
                <a:r>
                  <a:rPr lang="en-IN" baseline="0"/>
                  <a:t> day</a:t>
                </a:r>
                <a:r>
                  <a:rPr lang="en-IN" baseline="30000"/>
                  <a:t>-1</a:t>
                </a:r>
                <a:r>
                  <a:rPr lang="en-IN" baseline="0"/>
                  <a:t>)</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91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'obj1'!$P$268</c:f>
              <c:strCache>
                <c:ptCount val="1"/>
                <c:pt idx="0">
                  <c:v>T1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'obj1'!$Q$267:$R$267</c:f>
              <c:strCache>
                <c:ptCount val="2"/>
                <c:pt idx="0">
                  <c:v>30-60 DAT</c:v>
                </c:pt>
                <c:pt idx="1">
                  <c:v>60-90 DAT</c:v>
                </c:pt>
              </c:strCache>
            </c:strRef>
          </c:cat>
          <c:val>
            <c:numRef>
              <c:f>'obj1'!$Q$268:$R$268</c:f>
              <c:numCache>
                <c:formatCode>0.0000</c:formatCode>
                <c:ptCount val="2"/>
                <c:pt idx="0">
                  <c:v>8.3055022027285E-2</c:v>
                </c:pt>
                <c:pt idx="1">
                  <c:v>1.7659324039484069E-2</c:v>
                </c:pt>
              </c:numCache>
            </c:numRef>
          </c:val>
          <c:smooth val="0"/>
          <c:extLst>
            <c:ext xmlns:c16="http://schemas.microsoft.com/office/drawing/2014/chart" uri="{C3380CC4-5D6E-409C-BE32-E72D297353CC}">
              <c16:uniqueId val="{00000000-873C-4DD9-8B9B-E855009A95B2}"/>
            </c:ext>
          </c:extLst>
        </c:ser>
        <c:ser>
          <c:idx val="1"/>
          <c:order val="1"/>
          <c:tx>
            <c:strRef>
              <c:f>'obj1'!$P$269</c:f>
              <c:strCache>
                <c:ptCount val="1"/>
                <c:pt idx="0">
                  <c:v>T2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'obj1'!$Q$267:$R$267</c:f>
              <c:strCache>
                <c:ptCount val="2"/>
                <c:pt idx="0">
                  <c:v>30-60 DAT</c:v>
                </c:pt>
                <c:pt idx="1">
                  <c:v>60-90 DAT</c:v>
                </c:pt>
              </c:strCache>
            </c:strRef>
          </c:cat>
          <c:val>
            <c:numRef>
              <c:f>'obj1'!$Q$269:$R$269</c:f>
              <c:numCache>
                <c:formatCode>0.0000</c:formatCode>
                <c:ptCount val="2"/>
                <c:pt idx="0">
                  <c:v>8.7107512484181457E-2</c:v>
                </c:pt>
                <c:pt idx="1">
                  <c:v>1.8434810918445295E-2</c:v>
                </c:pt>
              </c:numCache>
            </c:numRef>
          </c:val>
          <c:smooth val="0"/>
          <c:extLst>
            <c:ext xmlns:c16="http://schemas.microsoft.com/office/drawing/2014/chart" uri="{C3380CC4-5D6E-409C-BE32-E72D297353CC}">
              <c16:uniqueId val="{00000001-873C-4DD9-8B9B-E855009A95B2}"/>
            </c:ext>
          </c:extLst>
        </c:ser>
        <c:ser>
          <c:idx val="2"/>
          <c:order val="2"/>
          <c:tx>
            <c:strRef>
              <c:f>'obj1'!$P$270</c:f>
              <c:strCache>
                <c:ptCount val="1"/>
                <c:pt idx="0">
                  <c:v>T3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'obj1'!$Q$267:$R$267</c:f>
              <c:strCache>
                <c:ptCount val="2"/>
                <c:pt idx="0">
                  <c:v>30-60 DAT</c:v>
                </c:pt>
                <c:pt idx="1">
                  <c:v>60-90 DAT</c:v>
                </c:pt>
              </c:strCache>
            </c:strRef>
          </c:cat>
          <c:val>
            <c:numRef>
              <c:f>'obj1'!$Q$270:$R$270</c:f>
              <c:numCache>
                <c:formatCode>0.0000</c:formatCode>
                <c:ptCount val="2"/>
                <c:pt idx="0">
                  <c:v>8.9969133397797899E-2</c:v>
                </c:pt>
                <c:pt idx="1">
                  <c:v>1.6012666311170626E-2</c:v>
                </c:pt>
              </c:numCache>
            </c:numRef>
          </c:val>
          <c:smooth val="0"/>
          <c:extLst>
            <c:ext xmlns:c16="http://schemas.microsoft.com/office/drawing/2014/chart" uri="{C3380CC4-5D6E-409C-BE32-E72D297353CC}">
              <c16:uniqueId val="{00000002-873C-4DD9-8B9B-E855009A95B2}"/>
            </c:ext>
          </c:extLst>
        </c:ser>
        <c:ser>
          <c:idx val="3"/>
          <c:order val="3"/>
          <c:tx>
            <c:strRef>
              <c:f>'obj1'!$P$271</c:f>
              <c:strCache>
                <c:ptCount val="1"/>
                <c:pt idx="0">
                  <c:v>T4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'obj1'!$Q$267:$R$267</c:f>
              <c:strCache>
                <c:ptCount val="2"/>
                <c:pt idx="0">
                  <c:v>30-60 DAT</c:v>
                </c:pt>
                <c:pt idx="1">
                  <c:v>60-90 DAT</c:v>
                </c:pt>
              </c:strCache>
            </c:strRef>
          </c:cat>
          <c:val>
            <c:numRef>
              <c:f>'obj1'!$Q$271:$R$271</c:f>
              <c:numCache>
                <c:formatCode>0.0000</c:formatCode>
                <c:ptCount val="2"/>
                <c:pt idx="0">
                  <c:v>9.2043312824156231E-2</c:v>
                </c:pt>
                <c:pt idx="1">
                  <c:v>1.4807980998784298E-2</c:v>
                </c:pt>
              </c:numCache>
            </c:numRef>
          </c:val>
          <c:smooth val="0"/>
          <c:extLst>
            <c:ext xmlns:c16="http://schemas.microsoft.com/office/drawing/2014/chart" uri="{C3380CC4-5D6E-409C-BE32-E72D297353CC}">
              <c16:uniqueId val="{00000003-873C-4DD9-8B9B-E855009A95B2}"/>
            </c:ext>
          </c:extLst>
        </c:ser>
        <c:ser>
          <c:idx val="4"/>
          <c:order val="4"/>
          <c:tx>
            <c:strRef>
              <c:f>'obj1'!$P$272</c:f>
              <c:strCache>
                <c:ptCount val="1"/>
                <c:pt idx="0">
                  <c:v>T5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'obj1'!$Q$267:$R$267</c:f>
              <c:strCache>
                <c:ptCount val="2"/>
                <c:pt idx="0">
                  <c:v>30-60 DAT</c:v>
                </c:pt>
                <c:pt idx="1">
                  <c:v>60-90 DAT</c:v>
                </c:pt>
              </c:strCache>
            </c:strRef>
          </c:cat>
          <c:val>
            <c:numRef>
              <c:f>'obj1'!$Q$272:$R$272</c:f>
              <c:numCache>
                <c:formatCode>0.0000</c:formatCode>
                <c:ptCount val="2"/>
                <c:pt idx="0">
                  <c:v>8.7874377872949272E-2</c:v>
                </c:pt>
                <c:pt idx="1">
                  <c:v>1.6684225112969436E-2</c:v>
                </c:pt>
              </c:numCache>
            </c:numRef>
          </c:val>
          <c:smooth val="0"/>
          <c:extLst>
            <c:ext xmlns:c16="http://schemas.microsoft.com/office/drawing/2014/chart" uri="{C3380CC4-5D6E-409C-BE32-E72D297353CC}">
              <c16:uniqueId val="{00000004-873C-4DD9-8B9B-E855009A95B2}"/>
            </c:ext>
          </c:extLst>
        </c:ser>
        <c:ser>
          <c:idx val="5"/>
          <c:order val="5"/>
          <c:tx>
            <c:strRef>
              <c:f>'obj1'!$P$273</c:f>
              <c:strCache>
                <c:ptCount val="1"/>
                <c:pt idx="0">
                  <c:v>T6</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'obj1'!$Q$267:$R$267</c:f>
              <c:strCache>
                <c:ptCount val="2"/>
                <c:pt idx="0">
                  <c:v>30-60 DAT</c:v>
                </c:pt>
                <c:pt idx="1">
                  <c:v>60-90 DAT</c:v>
                </c:pt>
              </c:strCache>
            </c:strRef>
          </c:cat>
          <c:val>
            <c:numRef>
              <c:f>'obj1'!$Q$273:$R$273</c:f>
              <c:numCache>
                <c:formatCode>0.0000</c:formatCode>
                <c:ptCount val="2"/>
                <c:pt idx="0">
                  <c:v>8.9398349474019131E-2</c:v>
                </c:pt>
                <c:pt idx="1">
                  <c:v>1.5946346054889676E-2</c:v>
                </c:pt>
              </c:numCache>
            </c:numRef>
          </c:val>
          <c:smooth val="0"/>
          <c:extLst>
            <c:ext xmlns:c16="http://schemas.microsoft.com/office/drawing/2014/chart" uri="{C3380CC4-5D6E-409C-BE32-E72D297353CC}">
              <c16:uniqueId val="{00000005-873C-4DD9-8B9B-E855009A95B2}"/>
            </c:ext>
          </c:extLst>
        </c:ser>
        <c:ser>
          <c:idx val="6"/>
          <c:order val="6"/>
          <c:tx>
            <c:strRef>
              <c:f>'obj1'!$P$274</c:f>
              <c:strCache>
                <c:ptCount val="1"/>
                <c:pt idx="0">
                  <c:v>T7</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'obj1'!$Q$267:$R$267</c:f>
              <c:strCache>
                <c:ptCount val="2"/>
                <c:pt idx="0">
                  <c:v>30-60 DAT</c:v>
                </c:pt>
                <c:pt idx="1">
                  <c:v>60-90 DAT</c:v>
                </c:pt>
              </c:strCache>
            </c:strRef>
          </c:cat>
          <c:val>
            <c:numRef>
              <c:f>'obj1'!$Q$274:$R$274</c:f>
              <c:numCache>
                <c:formatCode>0.0000</c:formatCode>
                <c:ptCount val="2"/>
                <c:pt idx="0">
                  <c:v>9.0027841538579442E-2</c:v>
                </c:pt>
                <c:pt idx="1">
                  <c:v>1.6366119688786037E-2</c:v>
                </c:pt>
              </c:numCache>
            </c:numRef>
          </c:val>
          <c:smooth val="0"/>
          <c:extLst>
            <c:ext xmlns:c16="http://schemas.microsoft.com/office/drawing/2014/chart" uri="{C3380CC4-5D6E-409C-BE32-E72D297353CC}">
              <c16:uniqueId val="{00000006-873C-4DD9-8B9B-E855009A95B2}"/>
            </c:ext>
          </c:extLst>
        </c:ser>
        <c:ser>
          <c:idx val="7"/>
          <c:order val="7"/>
          <c:tx>
            <c:strRef>
              <c:f>'obj1'!$P$275</c:f>
              <c:strCache>
                <c:ptCount val="1"/>
                <c:pt idx="0">
                  <c:v>T8</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'obj1'!$Q$267:$R$267</c:f>
              <c:strCache>
                <c:ptCount val="2"/>
                <c:pt idx="0">
                  <c:v>30-60 DAT</c:v>
                </c:pt>
                <c:pt idx="1">
                  <c:v>60-90 DAT</c:v>
                </c:pt>
              </c:strCache>
            </c:strRef>
          </c:cat>
          <c:val>
            <c:numRef>
              <c:f>'obj1'!$Q$275:$R$275</c:f>
              <c:numCache>
                <c:formatCode>0.0000</c:formatCode>
                <c:ptCount val="2"/>
                <c:pt idx="0">
                  <c:v>9.2170273733170313E-2</c:v>
                </c:pt>
                <c:pt idx="1">
                  <c:v>1.5631390837195287E-2</c:v>
                </c:pt>
              </c:numCache>
            </c:numRef>
          </c:val>
          <c:smooth val="0"/>
          <c:extLst>
            <c:ext xmlns:c16="http://schemas.microsoft.com/office/drawing/2014/chart" uri="{C3380CC4-5D6E-409C-BE32-E72D297353CC}">
              <c16:uniqueId val="{00000007-873C-4DD9-8B9B-E855009A95B2}"/>
            </c:ext>
          </c:extLst>
        </c:ser>
        <c:ser>
          <c:idx val="8"/>
          <c:order val="8"/>
          <c:tx>
            <c:strRef>
              <c:f>'obj1'!$P$276</c:f>
              <c:strCache>
                <c:ptCount val="1"/>
                <c:pt idx="0">
                  <c:v>T9</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'obj1'!$Q$267:$R$267</c:f>
              <c:strCache>
                <c:ptCount val="2"/>
                <c:pt idx="0">
                  <c:v>30-60 DAT</c:v>
                </c:pt>
                <c:pt idx="1">
                  <c:v>60-90 DAT</c:v>
                </c:pt>
              </c:strCache>
            </c:strRef>
          </c:cat>
          <c:val>
            <c:numRef>
              <c:f>'obj1'!$Q$276:$R$276</c:f>
              <c:numCache>
                <c:formatCode>0.0000</c:formatCode>
                <c:ptCount val="2"/>
                <c:pt idx="0">
                  <c:v>0.10418037364934979</c:v>
                </c:pt>
                <c:pt idx="1">
                  <c:v>1.2680635153790495E-2</c:v>
                </c:pt>
              </c:numCache>
            </c:numRef>
          </c:val>
          <c:smooth val="0"/>
          <c:extLst>
            <c:ext xmlns:c16="http://schemas.microsoft.com/office/drawing/2014/chart" uri="{C3380CC4-5D6E-409C-BE32-E72D297353CC}">
              <c16:uniqueId val="{00000008-873C-4DD9-8B9B-E855009A95B2}"/>
            </c:ext>
          </c:extLst>
        </c:ser>
        <c:ser>
          <c:idx val="9"/>
          <c:order val="9"/>
          <c:tx>
            <c:strRef>
              <c:f>'obj1'!$P$277</c:f>
              <c:strCache>
                <c:ptCount val="1"/>
                <c:pt idx="0">
                  <c:v>T10</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strRef>
              <c:f>'obj1'!$Q$267:$R$267</c:f>
              <c:strCache>
                <c:ptCount val="2"/>
                <c:pt idx="0">
                  <c:v>30-60 DAT</c:v>
                </c:pt>
                <c:pt idx="1">
                  <c:v>60-90 DAT</c:v>
                </c:pt>
              </c:strCache>
            </c:strRef>
          </c:cat>
          <c:val>
            <c:numRef>
              <c:f>'obj1'!$Q$277:$R$277</c:f>
              <c:numCache>
                <c:formatCode>0.0000</c:formatCode>
                <c:ptCount val="2"/>
                <c:pt idx="0">
                  <c:v>0.10841217953707133</c:v>
                </c:pt>
                <c:pt idx="1">
                  <c:v>1.1904851774279655E-2</c:v>
                </c:pt>
              </c:numCache>
            </c:numRef>
          </c:val>
          <c:smooth val="0"/>
          <c:extLst>
            <c:ext xmlns:c16="http://schemas.microsoft.com/office/drawing/2014/chart" uri="{C3380CC4-5D6E-409C-BE32-E72D297353CC}">
              <c16:uniqueId val="{00000009-873C-4DD9-8B9B-E855009A95B2}"/>
            </c:ext>
          </c:extLst>
        </c:ser>
        <c:ser>
          <c:idx val="10"/>
          <c:order val="10"/>
          <c:tx>
            <c:strRef>
              <c:f>'obj1'!$P$278</c:f>
              <c:strCache>
                <c:ptCount val="1"/>
                <c:pt idx="0">
                  <c:v>T11</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'obj1'!$Q$267:$R$267</c:f>
              <c:strCache>
                <c:ptCount val="2"/>
                <c:pt idx="0">
                  <c:v>30-60 DAT</c:v>
                </c:pt>
                <c:pt idx="1">
                  <c:v>60-90 DAT</c:v>
                </c:pt>
              </c:strCache>
            </c:strRef>
          </c:cat>
          <c:val>
            <c:numRef>
              <c:f>'obj1'!$Q$278:$R$278</c:f>
              <c:numCache>
                <c:formatCode>0.0000</c:formatCode>
                <c:ptCount val="2"/>
                <c:pt idx="0">
                  <c:v>9.2069161844860206E-2</c:v>
                </c:pt>
                <c:pt idx="1">
                  <c:v>1.4854631564727624E-2</c:v>
                </c:pt>
              </c:numCache>
            </c:numRef>
          </c:val>
          <c:smooth val="0"/>
          <c:extLst>
            <c:ext xmlns:c16="http://schemas.microsoft.com/office/drawing/2014/chart" uri="{C3380CC4-5D6E-409C-BE32-E72D297353CC}">
              <c16:uniqueId val="{0000000A-873C-4DD9-8B9B-E855009A95B2}"/>
            </c:ext>
          </c:extLst>
        </c:ser>
        <c:ser>
          <c:idx val="11"/>
          <c:order val="11"/>
          <c:tx>
            <c:strRef>
              <c:f>'obj1'!$P$279</c:f>
              <c:strCache>
                <c:ptCount val="1"/>
                <c:pt idx="0">
                  <c:v>T12</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strRef>
              <c:f>'obj1'!$Q$267:$R$267</c:f>
              <c:strCache>
                <c:ptCount val="2"/>
                <c:pt idx="0">
                  <c:v>30-60 DAT</c:v>
                </c:pt>
                <c:pt idx="1">
                  <c:v>60-90 DAT</c:v>
                </c:pt>
              </c:strCache>
            </c:strRef>
          </c:cat>
          <c:val>
            <c:numRef>
              <c:f>'obj1'!$Q$279:$R$279</c:f>
              <c:numCache>
                <c:formatCode>0.0000</c:formatCode>
                <c:ptCount val="2"/>
                <c:pt idx="0">
                  <c:v>9.1807693966234019E-2</c:v>
                </c:pt>
                <c:pt idx="1">
                  <c:v>1.6164461411935841E-2</c:v>
                </c:pt>
              </c:numCache>
            </c:numRef>
          </c:val>
          <c:smooth val="0"/>
          <c:extLst>
            <c:ext xmlns:c16="http://schemas.microsoft.com/office/drawing/2014/chart" uri="{C3380CC4-5D6E-409C-BE32-E72D297353CC}">
              <c16:uniqueId val="{0000000B-873C-4DD9-8B9B-E855009A95B2}"/>
            </c:ext>
          </c:extLst>
        </c:ser>
        <c:ser>
          <c:idx val="12"/>
          <c:order val="12"/>
          <c:tx>
            <c:strRef>
              <c:f>'obj1'!$P$280</c:f>
              <c:strCache>
                <c:ptCount val="1"/>
                <c:pt idx="0">
                  <c:v>T13</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strRef>
              <c:f>'obj1'!$Q$267:$R$267</c:f>
              <c:strCache>
                <c:ptCount val="2"/>
                <c:pt idx="0">
                  <c:v>30-60 DAT</c:v>
                </c:pt>
                <c:pt idx="1">
                  <c:v>60-90 DAT</c:v>
                </c:pt>
              </c:strCache>
            </c:strRef>
          </c:cat>
          <c:val>
            <c:numRef>
              <c:f>'obj1'!$Q$280:$R$280</c:f>
              <c:numCache>
                <c:formatCode>0.0000</c:formatCode>
                <c:ptCount val="2"/>
                <c:pt idx="0">
                  <c:v>9.313665999536673E-2</c:v>
                </c:pt>
                <c:pt idx="1">
                  <c:v>1.5032072184955602E-2</c:v>
                </c:pt>
              </c:numCache>
            </c:numRef>
          </c:val>
          <c:smooth val="0"/>
          <c:extLst>
            <c:ext xmlns:c16="http://schemas.microsoft.com/office/drawing/2014/chart" uri="{C3380CC4-5D6E-409C-BE32-E72D297353CC}">
              <c16:uniqueId val="{0000000C-873C-4DD9-8B9B-E855009A95B2}"/>
            </c:ext>
          </c:extLst>
        </c:ser>
        <c:dLbls>
          <c:showLegendKey val="0"/>
          <c:showVal val="0"/>
          <c:showCatName val="0"/>
          <c:showSerName val="0"/>
          <c:showPercent val="0"/>
          <c:showBubbleSize val="0"/>
        </c:dLbls>
        <c:marker val="1"/>
        <c:smooth val="0"/>
        <c:axId val="29803775"/>
        <c:axId val="1979452943"/>
      </c:lineChart>
      <c:catAx>
        <c:axId val="298037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452943"/>
        <c:crosses val="autoZero"/>
        <c:auto val="1"/>
        <c:lblAlgn val="ctr"/>
        <c:lblOffset val="100"/>
        <c:noMultiLvlLbl val="0"/>
      </c:catAx>
      <c:valAx>
        <c:axId val="19794529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RGR</a:t>
                </a:r>
                <a:r>
                  <a:rPr lang="en-IN" baseline="0"/>
                  <a:t> (g g</a:t>
                </a:r>
                <a:r>
                  <a:rPr lang="en-IN" baseline="30000"/>
                  <a:t>-1</a:t>
                </a:r>
                <a:r>
                  <a:rPr lang="en-IN" baseline="0"/>
                  <a:t>day</a:t>
                </a:r>
                <a:r>
                  <a:rPr lang="en-IN" baseline="30000"/>
                  <a:t>-1</a:t>
                </a:r>
                <a:r>
                  <a:rPr lang="en-IN" baseline="0"/>
                  <a:t>)</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037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2024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'obj1'!$B$285</c:f>
              <c:strCache>
                <c:ptCount val="1"/>
                <c:pt idx="0">
                  <c:v>T1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'obj1'!$C$284:$D$284</c:f>
              <c:strCache>
                <c:ptCount val="2"/>
                <c:pt idx="0">
                  <c:v>30-60 DAT</c:v>
                </c:pt>
                <c:pt idx="1">
                  <c:v>60-90 DAT</c:v>
                </c:pt>
              </c:strCache>
            </c:strRef>
          </c:cat>
          <c:val>
            <c:numRef>
              <c:f>'obj1'!$C$285:$D$285</c:f>
              <c:numCache>
                <c:formatCode>0.0000</c:formatCode>
                <c:ptCount val="2"/>
                <c:pt idx="0">
                  <c:v>0.36657280948025811</c:v>
                </c:pt>
                <c:pt idx="1">
                  <c:v>3.6033175880314902E-3</c:v>
                </c:pt>
              </c:numCache>
            </c:numRef>
          </c:val>
          <c:smooth val="0"/>
          <c:extLst>
            <c:ext xmlns:c16="http://schemas.microsoft.com/office/drawing/2014/chart" uri="{C3380CC4-5D6E-409C-BE32-E72D297353CC}">
              <c16:uniqueId val="{00000000-064B-46C2-B96C-8B6807697202}"/>
            </c:ext>
          </c:extLst>
        </c:ser>
        <c:ser>
          <c:idx val="1"/>
          <c:order val="1"/>
          <c:tx>
            <c:strRef>
              <c:f>'obj1'!$B$286</c:f>
              <c:strCache>
                <c:ptCount val="1"/>
                <c:pt idx="0">
                  <c:v>T2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'obj1'!$C$284:$D$284</c:f>
              <c:strCache>
                <c:ptCount val="2"/>
                <c:pt idx="0">
                  <c:v>30-60 DAT</c:v>
                </c:pt>
                <c:pt idx="1">
                  <c:v>60-90 DAT</c:v>
                </c:pt>
              </c:strCache>
            </c:strRef>
          </c:cat>
          <c:val>
            <c:numRef>
              <c:f>'obj1'!$C$286:$D$286</c:f>
              <c:numCache>
                <c:formatCode>0.0000</c:formatCode>
                <c:ptCount val="2"/>
                <c:pt idx="0">
                  <c:v>0.78607084938998628</c:v>
                </c:pt>
                <c:pt idx="1">
                  <c:v>9.8504948243119516E-3</c:v>
                </c:pt>
              </c:numCache>
            </c:numRef>
          </c:val>
          <c:smooth val="0"/>
          <c:extLst>
            <c:ext xmlns:c16="http://schemas.microsoft.com/office/drawing/2014/chart" uri="{C3380CC4-5D6E-409C-BE32-E72D297353CC}">
              <c16:uniqueId val="{00000001-064B-46C2-B96C-8B6807697202}"/>
            </c:ext>
          </c:extLst>
        </c:ser>
        <c:ser>
          <c:idx val="2"/>
          <c:order val="2"/>
          <c:tx>
            <c:strRef>
              <c:f>'obj1'!$B$287</c:f>
              <c:strCache>
                <c:ptCount val="1"/>
                <c:pt idx="0">
                  <c:v>T3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'obj1'!$C$284:$D$284</c:f>
              <c:strCache>
                <c:ptCount val="2"/>
                <c:pt idx="0">
                  <c:v>30-60 DAT</c:v>
                </c:pt>
                <c:pt idx="1">
                  <c:v>60-90 DAT</c:v>
                </c:pt>
              </c:strCache>
            </c:strRef>
          </c:cat>
          <c:val>
            <c:numRef>
              <c:f>'obj1'!$C$287:$D$287</c:f>
              <c:numCache>
                <c:formatCode>0.0000</c:formatCode>
                <c:ptCount val="2"/>
                <c:pt idx="0">
                  <c:v>0.86406133284549469</c:v>
                </c:pt>
                <c:pt idx="1">
                  <c:v>1.3477227964014812E-2</c:v>
                </c:pt>
              </c:numCache>
            </c:numRef>
          </c:val>
          <c:smooth val="0"/>
          <c:extLst>
            <c:ext xmlns:c16="http://schemas.microsoft.com/office/drawing/2014/chart" uri="{C3380CC4-5D6E-409C-BE32-E72D297353CC}">
              <c16:uniqueId val="{00000002-064B-46C2-B96C-8B6807697202}"/>
            </c:ext>
          </c:extLst>
        </c:ser>
        <c:ser>
          <c:idx val="3"/>
          <c:order val="3"/>
          <c:tx>
            <c:strRef>
              <c:f>'obj1'!$B$288</c:f>
              <c:strCache>
                <c:ptCount val="1"/>
                <c:pt idx="0">
                  <c:v>T4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'obj1'!$C$284:$D$284</c:f>
              <c:strCache>
                <c:ptCount val="2"/>
                <c:pt idx="0">
                  <c:v>30-60 DAT</c:v>
                </c:pt>
                <c:pt idx="1">
                  <c:v>60-90 DAT</c:v>
                </c:pt>
              </c:strCache>
            </c:strRef>
          </c:cat>
          <c:val>
            <c:numRef>
              <c:f>'obj1'!$C$288:$D$288</c:f>
              <c:numCache>
                <c:formatCode>0.0000</c:formatCode>
                <c:ptCount val="2"/>
                <c:pt idx="0">
                  <c:v>1.0633975254406611</c:v>
                </c:pt>
                <c:pt idx="1">
                  <c:v>2.9793121429868008E-2</c:v>
                </c:pt>
              </c:numCache>
            </c:numRef>
          </c:val>
          <c:smooth val="0"/>
          <c:extLst>
            <c:ext xmlns:c16="http://schemas.microsoft.com/office/drawing/2014/chart" uri="{C3380CC4-5D6E-409C-BE32-E72D297353CC}">
              <c16:uniqueId val="{00000003-064B-46C2-B96C-8B6807697202}"/>
            </c:ext>
          </c:extLst>
        </c:ser>
        <c:ser>
          <c:idx val="4"/>
          <c:order val="4"/>
          <c:tx>
            <c:strRef>
              <c:f>'obj1'!$B$289</c:f>
              <c:strCache>
                <c:ptCount val="1"/>
                <c:pt idx="0">
                  <c:v>T5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'obj1'!$C$284:$D$284</c:f>
              <c:strCache>
                <c:ptCount val="2"/>
                <c:pt idx="0">
                  <c:v>30-60 DAT</c:v>
                </c:pt>
                <c:pt idx="1">
                  <c:v>60-90 DAT</c:v>
                </c:pt>
              </c:strCache>
            </c:strRef>
          </c:cat>
          <c:val>
            <c:numRef>
              <c:f>'obj1'!$C$289:$D$289</c:f>
              <c:numCache>
                <c:formatCode>0.0000</c:formatCode>
                <c:ptCount val="2"/>
                <c:pt idx="0">
                  <c:v>0.65580743836947075</c:v>
                </c:pt>
                <c:pt idx="1">
                  <c:v>3.7825101087585852E-3</c:v>
                </c:pt>
              </c:numCache>
            </c:numRef>
          </c:val>
          <c:smooth val="0"/>
          <c:extLst>
            <c:ext xmlns:c16="http://schemas.microsoft.com/office/drawing/2014/chart" uri="{C3380CC4-5D6E-409C-BE32-E72D297353CC}">
              <c16:uniqueId val="{00000004-064B-46C2-B96C-8B6807697202}"/>
            </c:ext>
          </c:extLst>
        </c:ser>
        <c:ser>
          <c:idx val="5"/>
          <c:order val="5"/>
          <c:tx>
            <c:strRef>
              <c:f>'obj1'!$B$290</c:f>
              <c:strCache>
                <c:ptCount val="1"/>
                <c:pt idx="0">
                  <c:v>T6</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'obj1'!$C$284:$D$284</c:f>
              <c:strCache>
                <c:ptCount val="2"/>
                <c:pt idx="0">
                  <c:v>30-60 DAT</c:v>
                </c:pt>
                <c:pt idx="1">
                  <c:v>60-90 DAT</c:v>
                </c:pt>
              </c:strCache>
            </c:strRef>
          </c:cat>
          <c:val>
            <c:numRef>
              <c:f>'obj1'!$C$290:$D$290</c:f>
              <c:numCache>
                <c:formatCode>0.0000</c:formatCode>
                <c:ptCount val="2"/>
                <c:pt idx="0">
                  <c:v>0.6810303325670789</c:v>
                </c:pt>
                <c:pt idx="1">
                  <c:v>4.9955751459446066E-3</c:v>
                </c:pt>
              </c:numCache>
            </c:numRef>
          </c:val>
          <c:smooth val="0"/>
          <c:extLst>
            <c:ext xmlns:c16="http://schemas.microsoft.com/office/drawing/2014/chart" uri="{C3380CC4-5D6E-409C-BE32-E72D297353CC}">
              <c16:uniqueId val="{00000005-064B-46C2-B96C-8B6807697202}"/>
            </c:ext>
          </c:extLst>
        </c:ser>
        <c:ser>
          <c:idx val="6"/>
          <c:order val="6"/>
          <c:tx>
            <c:strRef>
              <c:f>'obj1'!$B$291</c:f>
              <c:strCache>
                <c:ptCount val="1"/>
                <c:pt idx="0">
                  <c:v>T7</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'obj1'!$C$284:$D$284</c:f>
              <c:strCache>
                <c:ptCount val="2"/>
                <c:pt idx="0">
                  <c:v>30-60 DAT</c:v>
                </c:pt>
                <c:pt idx="1">
                  <c:v>60-90 DAT</c:v>
                </c:pt>
              </c:strCache>
            </c:strRef>
          </c:cat>
          <c:val>
            <c:numRef>
              <c:f>'obj1'!$C$291:$D$291</c:f>
              <c:numCache>
                <c:formatCode>0.0000</c:formatCode>
                <c:ptCount val="2"/>
                <c:pt idx="0">
                  <c:v>0.76986123435755938</c:v>
                </c:pt>
                <c:pt idx="1">
                  <c:v>8.5434305840241444E-3</c:v>
                </c:pt>
              </c:numCache>
            </c:numRef>
          </c:val>
          <c:smooth val="0"/>
          <c:extLst>
            <c:ext xmlns:c16="http://schemas.microsoft.com/office/drawing/2014/chart" uri="{C3380CC4-5D6E-409C-BE32-E72D297353CC}">
              <c16:uniqueId val="{00000006-064B-46C2-B96C-8B6807697202}"/>
            </c:ext>
          </c:extLst>
        </c:ser>
        <c:ser>
          <c:idx val="7"/>
          <c:order val="7"/>
          <c:tx>
            <c:strRef>
              <c:f>'obj1'!$B$292</c:f>
              <c:strCache>
                <c:ptCount val="1"/>
                <c:pt idx="0">
                  <c:v>T8</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'obj1'!$C$284:$D$284</c:f>
              <c:strCache>
                <c:ptCount val="2"/>
                <c:pt idx="0">
                  <c:v>30-60 DAT</c:v>
                </c:pt>
                <c:pt idx="1">
                  <c:v>60-90 DAT</c:v>
                </c:pt>
              </c:strCache>
            </c:strRef>
          </c:cat>
          <c:val>
            <c:numRef>
              <c:f>'obj1'!$C$292:$D$292</c:f>
              <c:numCache>
                <c:formatCode>0.0000</c:formatCode>
                <c:ptCount val="2"/>
                <c:pt idx="0">
                  <c:v>0.92396208004310809</c:v>
                </c:pt>
                <c:pt idx="1">
                  <c:v>1.6271652523164749E-2</c:v>
                </c:pt>
              </c:numCache>
            </c:numRef>
          </c:val>
          <c:smooth val="0"/>
          <c:extLst>
            <c:ext xmlns:c16="http://schemas.microsoft.com/office/drawing/2014/chart" uri="{C3380CC4-5D6E-409C-BE32-E72D297353CC}">
              <c16:uniqueId val="{00000007-064B-46C2-B96C-8B6807697202}"/>
            </c:ext>
          </c:extLst>
        </c:ser>
        <c:ser>
          <c:idx val="8"/>
          <c:order val="8"/>
          <c:tx>
            <c:strRef>
              <c:f>'obj1'!$B$293</c:f>
              <c:strCache>
                <c:ptCount val="1"/>
                <c:pt idx="0">
                  <c:v>T9</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'obj1'!$C$284:$D$284</c:f>
              <c:strCache>
                <c:ptCount val="2"/>
                <c:pt idx="0">
                  <c:v>30-60 DAT</c:v>
                </c:pt>
                <c:pt idx="1">
                  <c:v>60-90 DAT</c:v>
                </c:pt>
              </c:strCache>
            </c:strRef>
          </c:cat>
          <c:val>
            <c:numRef>
              <c:f>'obj1'!$C$293:$D$293</c:f>
              <c:numCache>
                <c:formatCode>0.0000</c:formatCode>
                <c:ptCount val="2"/>
                <c:pt idx="0">
                  <c:v>2.0023885180069882</c:v>
                </c:pt>
                <c:pt idx="1">
                  <c:v>4.4313647024596892E-2</c:v>
                </c:pt>
              </c:numCache>
            </c:numRef>
          </c:val>
          <c:smooth val="0"/>
          <c:extLst>
            <c:ext xmlns:c16="http://schemas.microsoft.com/office/drawing/2014/chart" uri="{C3380CC4-5D6E-409C-BE32-E72D297353CC}">
              <c16:uniqueId val="{00000008-064B-46C2-B96C-8B6807697202}"/>
            </c:ext>
          </c:extLst>
        </c:ser>
        <c:ser>
          <c:idx val="9"/>
          <c:order val="9"/>
          <c:tx>
            <c:strRef>
              <c:f>'obj1'!$B$294</c:f>
              <c:strCache>
                <c:ptCount val="1"/>
                <c:pt idx="0">
                  <c:v>T10</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strRef>
              <c:f>'obj1'!$C$284:$D$284</c:f>
              <c:strCache>
                <c:ptCount val="2"/>
                <c:pt idx="0">
                  <c:v>30-60 DAT</c:v>
                </c:pt>
                <c:pt idx="1">
                  <c:v>60-90 DAT</c:v>
                </c:pt>
              </c:strCache>
            </c:strRef>
          </c:cat>
          <c:val>
            <c:numRef>
              <c:f>'obj1'!$C$294:$D$294</c:f>
              <c:numCache>
                <c:formatCode>0.0000</c:formatCode>
                <c:ptCount val="2"/>
                <c:pt idx="0">
                  <c:v>1.9847505116121933</c:v>
                </c:pt>
                <c:pt idx="1">
                  <c:v>3.2739153315206819E-2</c:v>
                </c:pt>
              </c:numCache>
            </c:numRef>
          </c:val>
          <c:smooth val="0"/>
          <c:extLst>
            <c:ext xmlns:c16="http://schemas.microsoft.com/office/drawing/2014/chart" uri="{C3380CC4-5D6E-409C-BE32-E72D297353CC}">
              <c16:uniqueId val="{00000009-064B-46C2-B96C-8B6807697202}"/>
            </c:ext>
          </c:extLst>
        </c:ser>
        <c:ser>
          <c:idx val="10"/>
          <c:order val="10"/>
          <c:tx>
            <c:strRef>
              <c:f>'obj1'!$B$295</c:f>
              <c:strCache>
                <c:ptCount val="1"/>
                <c:pt idx="0">
                  <c:v>T11</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'obj1'!$C$284:$D$284</c:f>
              <c:strCache>
                <c:ptCount val="2"/>
                <c:pt idx="0">
                  <c:v>30-60 DAT</c:v>
                </c:pt>
                <c:pt idx="1">
                  <c:v>60-90 DAT</c:v>
                </c:pt>
              </c:strCache>
            </c:strRef>
          </c:cat>
          <c:val>
            <c:numRef>
              <c:f>'obj1'!$C$295:$D$295</c:f>
              <c:numCache>
                <c:formatCode>0.0000</c:formatCode>
                <c:ptCount val="2"/>
                <c:pt idx="0">
                  <c:v>0.86427961311144064</c:v>
                </c:pt>
                <c:pt idx="1">
                  <c:v>1.4863505981714745E-2</c:v>
                </c:pt>
              </c:numCache>
            </c:numRef>
          </c:val>
          <c:smooth val="0"/>
          <c:extLst>
            <c:ext xmlns:c16="http://schemas.microsoft.com/office/drawing/2014/chart" uri="{C3380CC4-5D6E-409C-BE32-E72D297353CC}">
              <c16:uniqueId val="{0000000A-064B-46C2-B96C-8B6807697202}"/>
            </c:ext>
          </c:extLst>
        </c:ser>
        <c:ser>
          <c:idx val="11"/>
          <c:order val="11"/>
          <c:tx>
            <c:strRef>
              <c:f>'obj1'!$B$296</c:f>
              <c:strCache>
                <c:ptCount val="1"/>
                <c:pt idx="0">
                  <c:v>T12</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strRef>
              <c:f>'obj1'!$C$284:$D$284</c:f>
              <c:strCache>
                <c:ptCount val="2"/>
                <c:pt idx="0">
                  <c:v>30-60 DAT</c:v>
                </c:pt>
                <c:pt idx="1">
                  <c:v>60-90 DAT</c:v>
                </c:pt>
              </c:strCache>
            </c:strRef>
          </c:cat>
          <c:val>
            <c:numRef>
              <c:f>'obj1'!$C$296:$D$296</c:f>
              <c:numCache>
                <c:formatCode>0.0000</c:formatCode>
                <c:ptCount val="2"/>
                <c:pt idx="0">
                  <c:v>0.92043087269045376</c:v>
                </c:pt>
                <c:pt idx="1">
                  <c:v>2.4943180757528913E-2</c:v>
                </c:pt>
              </c:numCache>
            </c:numRef>
          </c:val>
          <c:smooth val="0"/>
          <c:extLst>
            <c:ext xmlns:c16="http://schemas.microsoft.com/office/drawing/2014/chart" uri="{C3380CC4-5D6E-409C-BE32-E72D297353CC}">
              <c16:uniqueId val="{0000000B-064B-46C2-B96C-8B6807697202}"/>
            </c:ext>
          </c:extLst>
        </c:ser>
        <c:ser>
          <c:idx val="12"/>
          <c:order val="12"/>
          <c:tx>
            <c:strRef>
              <c:f>'obj1'!$B$297</c:f>
              <c:strCache>
                <c:ptCount val="1"/>
                <c:pt idx="0">
                  <c:v>T13</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strRef>
              <c:f>'obj1'!$C$284:$D$284</c:f>
              <c:strCache>
                <c:ptCount val="2"/>
                <c:pt idx="0">
                  <c:v>30-60 DAT</c:v>
                </c:pt>
                <c:pt idx="1">
                  <c:v>60-90 DAT</c:v>
                </c:pt>
              </c:strCache>
            </c:strRef>
          </c:cat>
          <c:val>
            <c:numRef>
              <c:f>'obj1'!$C$297:$D$297</c:f>
              <c:numCache>
                <c:formatCode>0.0000</c:formatCode>
                <c:ptCount val="2"/>
                <c:pt idx="0">
                  <c:v>0.92094394266028556</c:v>
                </c:pt>
                <c:pt idx="1">
                  <c:v>1.9000523460928127E-2</c:v>
                </c:pt>
              </c:numCache>
            </c:numRef>
          </c:val>
          <c:smooth val="0"/>
          <c:extLst>
            <c:ext xmlns:c16="http://schemas.microsoft.com/office/drawing/2014/chart" uri="{C3380CC4-5D6E-409C-BE32-E72D297353CC}">
              <c16:uniqueId val="{0000000C-064B-46C2-B96C-8B6807697202}"/>
            </c:ext>
          </c:extLst>
        </c:ser>
        <c:dLbls>
          <c:showLegendKey val="0"/>
          <c:showVal val="0"/>
          <c:showCatName val="0"/>
          <c:showSerName val="0"/>
          <c:showPercent val="0"/>
          <c:showBubbleSize val="0"/>
        </c:dLbls>
        <c:marker val="1"/>
        <c:smooth val="0"/>
        <c:axId val="29976847"/>
        <c:axId val="1979491823"/>
      </c:lineChart>
      <c:catAx>
        <c:axId val="29976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491823"/>
        <c:crosses val="autoZero"/>
        <c:auto val="1"/>
        <c:lblAlgn val="ctr"/>
        <c:lblOffset val="100"/>
        <c:noMultiLvlLbl val="0"/>
      </c:catAx>
      <c:valAx>
        <c:axId val="19794918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NAR (g</a:t>
                </a:r>
                <a:r>
                  <a:rPr lang="en-IN" baseline="0"/>
                  <a:t> m</a:t>
                </a:r>
                <a:r>
                  <a:rPr lang="en-IN" baseline="30000"/>
                  <a:t>-2</a:t>
                </a:r>
                <a:r>
                  <a:rPr lang="en-IN" baseline="0"/>
                  <a:t> day</a:t>
                </a:r>
                <a:r>
                  <a:rPr lang="en-IN" baseline="30000"/>
                  <a:t>-1</a:t>
                </a:r>
                <a:r>
                  <a:rPr lang="en-IN" baseline="0"/>
                  <a:t>)</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9768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'obj1'!$P$286</c:f>
              <c:strCache>
                <c:ptCount val="1"/>
                <c:pt idx="0">
                  <c:v>T1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'obj1'!$Q$285:$R$285</c:f>
              <c:strCache>
                <c:ptCount val="2"/>
                <c:pt idx="0">
                  <c:v>30-60 DAT</c:v>
                </c:pt>
                <c:pt idx="1">
                  <c:v>60-90 DAT</c:v>
                </c:pt>
              </c:strCache>
            </c:strRef>
          </c:cat>
          <c:val>
            <c:numRef>
              <c:f>'obj1'!$Q$286:$R$286</c:f>
              <c:numCache>
                <c:formatCode>0.0000</c:formatCode>
                <c:ptCount val="2"/>
                <c:pt idx="0">
                  <c:v>0.39263545783121945</c:v>
                </c:pt>
                <c:pt idx="1">
                  <c:v>4.4057051981625135E-3</c:v>
                </c:pt>
              </c:numCache>
            </c:numRef>
          </c:val>
          <c:smooth val="0"/>
          <c:extLst>
            <c:ext xmlns:c16="http://schemas.microsoft.com/office/drawing/2014/chart" uri="{C3380CC4-5D6E-409C-BE32-E72D297353CC}">
              <c16:uniqueId val="{00000000-E43C-4CC1-9790-E83B13B76898}"/>
            </c:ext>
          </c:extLst>
        </c:ser>
        <c:ser>
          <c:idx val="1"/>
          <c:order val="1"/>
          <c:tx>
            <c:strRef>
              <c:f>'obj1'!$P$287</c:f>
              <c:strCache>
                <c:ptCount val="1"/>
                <c:pt idx="0">
                  <c:v>T2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'obj1'!$Q$285:$R$285</c:f>
              <c:strCache>
                <c:ptCount val="2"/>
                <c:pt idx="0">
                  <c:v>30-60 DAT</c:v>
                </c:pt>
                <c:pt idx="1">
                  <c:v>60-90 DAT</c:v>
                </c:pt>
              </c:strCache>
            </c:strRef>
          </c:cat>
          <c:val>
            <c:numRef>
              <c:f>'obj1'!$Q$287:$R$287</c:f>
              <c:numCache>
                <c:formatCode>0.0000</c:formatCode>
                <c:ptCount val="2"/>
                <c:pt idx="0">
                  <c:v>0.74256106342698092</c:v>
                </c:pt>
                <c:pt idx="1">
                  <c:v>9.5290979971509853E-3</c:v>
                </c:pt>
              </c:numCache>
            </c:numRef>
          </c:val>
          <c:smooth val="0"/>
          <c:extLst>
            <c:ext xmlns:c16="http://schemas.microsoft.com/office/drawing/2014/chart" uri="{C3380CC4-5D6E-409C-BE32-E72D297353CC}">
              <c16:uniqueId val="{00000001-E43C-4CC1-9790-E83B13B76898}"/>
            </c:ext>
          </c:extLst>
        </c:ser>
        <c:ser>
          <c:idx val="2"/>
          <c:order val="2"/>
          <c:tx>
            <c:strRef>
              <c:f>'obj1'!$P$288</c:f>
              <c:strCache>
                <c:ptCount val="1"/>
                <c:pt idx="0">
                  <c:v>T3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'obj1'!$Q$285:$R$285</c:f>
              <c:strCache>
                <c:ptCount val="2"/>
                <c:pt idx="0">
                  <c:v>30-60 DAT</c:v>
                </c:pt>
                <c:pt idx="1">
                  <c:v>60-90 DAT</c:v>
                </c:pt>
              </c:strCache>
            </c:strRef>
          </c:cat>
          <c:val>
            <c:numRef>
              <c:f>'obj1'!$Q$288:$R$288</c:f>
              <c:numCache>
                <c:formatCode>0.0000</c:formatCode>
                <c:ptCount val="2"/>
                <c:pt idx="0">
                  <c:v>0.89538919341187573</c:v>
                </c:pt>
                <c:pt idx="1">
                  <c:v>1.7071485123766116E-2</c:v>
                </c:pt>
              </c:numCache>
            </c:numRef>
          </c:val>
          <c:smooth val="0"/>
          <c:extLst>
            <c:ext xmlns:c16="http://schemas.microsoft.com/office/drawing/2014/chart" uri="{C3380CC4-5D6E-409C-BE32-E72D297353CC}">
              <c16:uniqueId val="{00000002-E43C-4CC1-9790-E83B13B76898}"/>
            </c:ext>
          </c:extLst>
        </c:ser>
        <c:ser>
          <c:idx val="3"/>
          <c:order val="3"/>
          <c:tx>
            <c:strRef>
              <c:f>'obj1'!$P$289</c:f>
              <c:strCache>
                <c:ptCount val="1"/>
                <c:pt idx="0">
                  <c:v>T4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'obj1'!$Q$285:$R$285</c:f>
              <c:strCache>
                <c:ptCount val="2"/>
                <c:pt idx="0">
                  <c:v>30-60 DAT</c:v>
                </c:pt>
                <c:pt idx="1">
                  <c:v>60-90 DAT</c:v>
                </c:pt>
              </c:strCache>
            </c:strRef>
          </c:cat>
          <c:val>
            <c:numRef>
              <c:f>'obj1'!$Q$289:$R$289</c:f>
              <c:numCache>
                <c:formatCode>0.0000</c:formatCode>
                <c:ptCount val="2"/>
                <c:pt idx="0">
                  <c:v>1.1603380512761212</c:v>
                </c:pt>
                <c:pt idx="1">
                  <c:v>2.4142203271706519E-2</c:v>
                </c:pt>
              </c:numCache>
            </c:numRef>
          </c:val>
          <c:smooth val="0"/>
          <c:extLst>
            <c:ext xmlns:c16="http://schemas.microsoft.com/office/drawing/2014/chart" uri="{C3380CC4-5D6E-409C-BE32-E72D297353CC}">
              <c16:uniqueId val="{00000003-E43C-4CC1-9790-E83B13B76898}"/>
            </c:ext>
          </c:extLst>
        </c:ser>
        <c:ser>
          <c:idx val="4"/>
          <c:order val="4"/>
          <c:tx>
            <c:strRef>
              <c:f>'obj1'!$P$290</c:f>
              <c:strCache>
                <c:ptCount val="1"/>
                <c:pt idx="0">
                  <c:v>T5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'obj1'!$Q$285:$R$285</c:f>
              <c:strCache>
                <c:ptCount val="2"/>
                <c:pt idx="0">
                  <c:v>30-60 DAT</c:v>
                </c:pt>
                <c:pt idx="1">
                  <c:v>60-90 DAT</c:v>
                </c:pt>
              </c:strCache>
            </c:strRef>
          </c:cat>
          <c:val>
            <c:numRef>
              <c:f>'obj1'!$Q$290:$R$290</c:f>
              <c:numCache>
                <c:formatCode>0.0000</c:formatCode>
                <c:ptCount val="2"/>
                <c:pt idx="0">
                  <c:v>0.60996822572649079</c:v>
                </c:pt>
                <c:pt idx="1">
                  <c:v>5.7115695436242798E-3</c:v>
                </c:pt>
              </c:numCache>
            </c:numRef>
          </c:val>
          <c:smooth val="0"/>
          <c:extLst>
            <c:ext xmlns:c16="http://schemas.microsoft.com/office/drawing/2014/chart" uri="{C3380CC4-5D6E-409C-BE32-E72D297353CC}">
              <c16:uniqueId val="{00000004-E43C-4CC1-9790-E83B13B76898}"/>
            </c:ext>
          </c:extLst>
        </c:ser>
        <c:ser>
          <c:idx val="5"/>
          <c:order val="5"/>
          <c:tx>
            <c:strRef>
              <c:f>'obj1'!$P$291</c:f>
              <c:strCache>
                <c:ptCount val="1"/>
                <c:pt idx="0">
                  <c:v>T6</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'obj1'!$Q$285:$R$285</c:f>
              <c:strCache>
                <c:ptCount val="2"/>
                <c:pt idx="0">
                  <c:v>30-60 DAT</c:v>
                </c:pt>
                <c:pt idx="1">
                  <c:v>60-90 DAT</c:v>
                </c:pt>
              </c:strCache>
            </c:strRef>
          </c:cat>
          <c:val>
            <c:numRef>
              <c:f>'obj1'!$Q$291:$R$291</c:f>
              <c:numCache>
                <c:formatCode>0.0000</c:formatCode>
                <c:ptCount val="2"/>
                <c:pt idx="0">
                  <c:v>0.57618550060939211</c:v>
                </c:pt>
                <c:pt idx="1">
                  <c:v>5.0125205533050193E-3</c:v>
                </c:pt>
              </c:numCache>
            </c:numRef>
          </c:val>
          <c:smooth val="0"/>
          <c:extLst>
            <c:ext xmlns:c16="http://schemas.microsoft.com/office/drawing/2014/chart" uri="{C3380CC4-5D6E-409C-BE32-E72D297353CC}">
              <c16:uniqueId val="{00000005-E43C-4CC1-9790-E83B13B76898}"/>
            </c:ext>
          </c:extLst>
        </c:ser>
        <c:ser>
          <c:idx val="6"/>
          <c:order val="6"/>
          <c:tx>
            <c:strRef>
              <c:f>'obj1'!$P$292</c:f>
              <c:strCache>
                <c:ptCount val="1"/>
                <c:pt idx="0">
                  <c:v>T7</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'obj1'!$Q$285:$R$285</c:f>
              <c:strCache>
                <c:ptCount val="2"/>
                <c:pt idx="0">
                  <c:v>30-60 DAT</c:v>
                </c:pt>
                <c:pt idx="1">
                  <c:v>60-90 DAT</c:v>
                </c:pt>
              </c:strCache>
            </c:strRef>
          </c:cat>
          <c:val>
            <c:numRef>
              <c:f>'obj1'!$Q$292:$R$292</c:f>
              <c:numCache>
                <c:formatCode>0.0000</c:formatCode>
                <c:ptCount val="2"/>
                <c:pt idx="0">
                  <c:v>0.86201467932394227</c:v>
                </c:pt>
                <c:pt idx="1">
                  <c:v>6.7536020919606692E-3</c:v>
                </c:pt>
              </c:numCache>
            </c:numRef>
          </c:val>
          <c:smooth val="0"/>
          <c:extLst>
            <c:ext xmlns:c16="http://schemas.microsoft.com/office/drawing/2014/chart" uri="{C3380CC4-5D6E-409C-BE32-E72D297353CC}">
              <c16:uniqueId val="{00000006-E43C-4CC1-9790-E83B13B76898}"/>
            </c:ext>
          </c:extLst>
        </c:ser>
        <c:ser>
          <c:idx val="7"/>
          <c:order val="7"/>
          <c:tx>
            <c:strRef>
              <c:f>'obj1'!$P$293</c:f>
              <c:strCache>
                <c:ptCount val="1"/>
                <c:pt idx="0">
                  <c:v>T8</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'obj1'!$Q$285:$R$285</c:f>
              <c:strCache>
                <c:ptCount val="2"/>
                <c:pt idx="0">
                  <c:v>30-60 DAT</c:v>
                </c:pt>
                <c:pt idx="1">
                  <c:v>60-90 DAT</c:v>
                </c:pt>
              </c:strCache>
            </c:strRef>
          </c:cat>
          <c:val>
            <c:numRef>
              <c:f>'obj1'!$Q$293:$R$293</c:f>
              <c:numCache>
                <c:formatCode>0.0000</c:formatCode>
                <c:ptCount val="2"/>
                <c:pt idx="0">
                  <c:v>0.87379185022409944</c:v>
                </c:pt>
                <c:pt idx="1">
                  <c:v>1.6050502790283024E-2</c:v>
                </c:pt>
              </c:numCache>
            </c:numRef>
          </c:val>
          <c:smooth val="0"/>
          <c:extLst>
            <c:ext xmlns:c16="http://schemas.microsoft.com/office/drawing/2014/chart" uri="{C3380CC4-5D6E-409C-BE32-E72D297353CC}">
              <c16:uniqueId val="{00000007-E43C-4CC1-9790-E83B13B76898}"/>
            </c:ext>
          </c:extLst>
        </c:ser>
        <c:ser>
          <c:idx val="8"/>
          <c:order val="8"/>
          <c:tx>
            <c:strRef>
              <c:f>'obj1'!$P$294</c:f>
              <c:strCache>
                <c:ptCount val="1"/>
                <c:pt idx="0">
                  <c:v>T9</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'obj1'!$Q$285:$R$285</c:f>
              <c:strCache>
                <c:ptCount val="2"/>
                <c:pt idx="0">
                  <c:v>30-60 DAT</c:v>
                </c:pt>
                <c:pt idx="1">
                  <c:v>60-90 DAT</c:v>
                </c:pt>
              </c:strCache>
            </c:strRef>
          </c:cat>
          <c:val>
            <c:numRef>
              <c:f>'obj1'!$Q$294:$R$294</c:f>
              <c:numCache>
                <c:formatCode>0.0000</c:formatCode>
                <c:ptCount val="2"/>
                <c:pt idx="0">
                  <c:v>2.0831003203733478</c:v>
                </c:pt>
                <c:pt idx="1">
                  <c:v>4.18220790065938E-2</c:v>
                </c:pt>
              </c:numCache>
            </c:numRef>
          </c:val>
          <c:smooth val="0"/>
          <c:extLst>
            <c:ext xmlns:c16="http://schemas.microsoft.com/office/drawing/2014/chart" uri="{C3380CC4-5D6E-409C-BE32-E72D297353CC}">
              <c16:uniqueId val="{00000008-E43C-4CC1-9790-E83B13B76898}"/>
            </c:ext>
          </c:extLst>
        </c:ser>
        <c:ser>
          <c:idx val="9"/>
          <c:order val="9"/>
          <c:tx>
            <c:strRef>
              <c:f>'obj1'!$P$295</c:f>
              <c:strCache>
                <c:ptCount val="1"/>
                <c:pt idx="0">
                  <c:v>T10</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strRef>
              <c:f>'obj1'!$Q$285:$R$285</c:f>
              <c:strCache>
                <c:ptCount val="2"/>
                <c:pt idx="0">
                  <c:v>30-60 DAT</c:v>
                </c:pt>
                <c:pt idx="1">
                  <c:v>60-90 DAT</c:v>
                </c:pt>
              </c:strCache>
            </c:strRef>
          </c:cat>
          <c:val>
            <c:numRef>
              <c:f>'obj1'!$Q$295:$R$295</c:f>
              <c:numCache>
                <c:formatCode>0.0000</c:formatCode>
                <c:ptCount val="2"/>
                <c:pt idx="0">
                  <c:v>1.9527960640008188</c:v>
                </c:pt>
                <c:pt idx="1">
                  <c:v>3.3215075442572718E-2</c:v>
                </c:pt>
              </c:numCache>
            </c:numRef>
          </c:val>
          <c:smooth val="0"/>
          <c:extLst>
            <c:ext xmlns:c16="http://schemas.microsoft.com/office/drawing/2014/chart" uri="{C3380CC4-5D6E-409C-BE32-E72D297353CC}">
              <c16:uniqueId val="{00000009-E43C-4CC1-9790-E83B13B76898}"/>
            </c:ext>
          </c:extLst>
        </c:ser>
        <c:ser>
          <c:idx val="10"/>
          <c:order val="10"/>
          <c:tx>
            <c:strRef>
              <c:f>'obj1'!$P$296</c:f>
              <c:strCache>
                <c:ptCount val="1"/>
                <c:pt idx="0">
                  <c:v>T11</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'obj1'!$Q$285:$R$285</c:f>
              <c:strCache>
                <c:ptCount val="2"/>
                <c:pt idx="0">
                  <c:v>30-60 DAT</c:v>
                </c:pt>
                <c:pt idx="1">
                  <c:v>60-90 DAT</c:v>
                </c:pt>
              </c:strCache>
            </c:strRef>
          </c:cat>
          <c:val>
            <c:numRef>
              <c:f>'obj1'!$Q$296:$R$296</c:f>
              <c:numCache>
                <c:formatCode>0.0000</c:formatCode>
                <c:ptCount val="2"/>
                <c:pt idx="0">
                  <c:v>0.95186496986207902</c:v>
                </c:pt>
                <c:pt idx="1">
                  <c:v>1.4851603954735296E-2</c:v>
                </c:pt>
              </c:numCache>
            </c:numRef>
          </c:val>
          <c:smooth val="0"/>
          <c:extLst>
            <c:ext xmlns:c16="http://schemas.microsoft.com/office/drawing/2014/chart" uri="{C3380CC4-5D6E-409C-BE32-E72D297353CC}">
              <c16:uniqueId val="{0000000A-E43C-4CC1-9790-E83B13B76898}"/>
            </c:ext>
          </c:extLst>
        </c:ser>
        <c:ser>
          <c:idx val="11"/>
          <c:order val="11"/>
          <c:tx>
            <c:strRef>
              <c:f>'obj1'!$P$297</c:f>
              <c:strCache>
                <c:ptCount val="1"/>
                <c:pt idx="0">
                  <c:v>T12</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strRef>
              <c:f>'obj1'!$Q$285:$R$285</c:f>
              <c:strCache>
                <c:ptCount val="2"/>
                <c:pt idx="0">
                  <c:v>30-60 DAT</c:v>
                </c:pt>
                <c:pt idx="1">
                  <c:v>60-90 DAT</c:v>
                </c:pt>
              </c:strCache>
            </c:strRef>
          </c:cat>
          <c:val>
            <c:numRef>
              <c:f>'obj1'!$Q$297:$R$297</c:f>
              <c:numCache>
                <c:formatCode>0.0000</c:formatCode>
                <c:ptCount val="2"/>
                <c:pt idx="0">
                  <c:v>0.9469840124654052</c:v>
                </c:pt>
                <c:pt idx="1">
                  <c:v>2.1888829120655009E-2</c:v>
                </c:pt>
              </c:numCache>
            </c:numRef>
          </c:val>
          <c:smooth val="0"/>
          <c:extLst>
            <c:ext xmlns:c16="http://schemas.microsoft.com/office/drawing/2014/chart" uri="{C3380CC4-5D6E-409C-BE32-E72D297353CC}">
              <c16:uniqueId val="{0000000B-E43C-4CC1-9790-E83B13B76898}"/>
            </c:ext>
          </c:extLst>
        </c:ser>
        <c:ser>
          <c:idx val="12"/>
          <c:order val="12"/>
          <c:tx>
            <c:strRef>
              <c:f>'obj1'!$P$298</c:f>
              <c:strCache>
                <c:ptCount val="1"/>
                <c:pt idx="0">
                  <c:v>T13</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strRef>
              <c:f>'obj1'!$Q$285:$R$285</c:f>
              <c:strCache>
                <c:ptCount val="2"/>
                <c:pt idx="0">
                  <c:v>30-60 DAT</c:v>
                </c:pt>
                <c:pt idx="1">
                  <c:v>60-90 DAT</c:v>
                </c:pt>
              </c:strCache>
            </c:strRef>
          </c:cat>
          <c:val>
            <c:numRef>
              <c:f>'obj1'!$Q$298:$R$298</c:f>
              <c:numCache>
                <c:formatCode>0.0000</c:formatCode>
                <c:ptCount val="2"/>
                <c:pt idx="0">
                  <c:v>1.1324755403261999</c:v>
                </c:pt>
                <c:pt idx="1">
                  <c:v>1.8253821161106382E-2</c:v>
                </c:pt>
              </c:numCache>
            </c:numRef>
          </c:val>
          <c:smooth val="0"/>
          <c:extLst>
            <c:ext xmlns:c16="http://schemas.microsoft.com/office/drawing/2014/chart" uri="{C3380CC4-5D6E-409C-BE32-E72D297353CC}">
              <c16:uniqueId val="{0000000C-E43C-4CC1-9790-E83B13B76898}"/>
            </c:ext>
          </c:extLst>
        </c:ser>
        <c:dLbls>
          <c:showLegendKey val="0"/>
          <c:showVal val="0"/>
          <c:showCatName val="0"/>
          <c:showSerName val="0"/>
          <c:showPercent val="0"/>
          <c:showBubbleSize val="0"/>
        </c:dLbls>
        <c:marker val="1"/>
        <c:smooth val="0"/>
        <c:axId val="30005151"/>
        <c:axId val="1979523503"/>
      </c:lineChart>
      <c:catAx>
        <c:axId val="300051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523503"/>
        <c:crosses val="autoZero"/>
        <c:auto val="1"/>
        <c:lblAlgn val="ctr"/>
        <c:lblOffset val="100"/>
        <c:noMultiLvlLbl val="0"/>
      </c:catAx>
      <c:valAx>
        <c:axId val="19795235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NAR (g m</a:t>
                </a:r>
                <a:r>
                  <a:rPr lang="en-IN" baseline="30000"/>
                  <a:t>-2</a:t>
                </a:r>
                <a:r>
                  <a:rPr lang="en-IN" baseline="0"/>
                  <a:t> day</a:t>
                </a:r>
                <a:r>
                  <a:rPr lang="en-IN" baseline="30000"/>
                  <a:t>-1</a:t>
                </a:r>
                <a:r>
                  <a:rPr lang="en-IN" baseline="0"/>
                  <a:t>)</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0051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15</Pages>
  <Words>6150</Words>
  <Characters>35061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Khwairakpam Kishwar Singh</dc:creator>
  <cp:keywords/>
  <dc:description/>
  <cp:lastModifiedBy>SDI 1166</cp:lastModifiedBy>
  <cp:revision>11</cp:revision>
  <dcterms:created xsi:type="dcterms:W3CDTF">2026-08-11T09:23:00Z</dcterms:created>
  <dcterms:modified xsi:type="dcterms:W3CDTF">2026-08-13T05:38:00Z</dcterms:modified>
</cp:coreProperties>
</file>