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A6011" w14:textId="77777777" w:rsidR="00EA092B" w:rsidRPr="00EA092B" w:rsidRDefault="00EA092B" w:rsidP="00EA092B">
      <w:pPr>
        <w:pStyle w:val="Title"/>
        <w:jc w:val="both"/>
        <w:rPr>
          <w:rFonts w:ascii="Arial" w:hAnsi="Arial" w:cs="Arial"/>
          <w:bCs/>
          <w:i/>
          <w:iCs/>
          <w:u w:val="single"/>
        </w:rPr>
      </w:pPr>
      <w:r w:rsidRPr="00EA092B">
        <w:rPr>
          <w:rFonts w:ascii="Arial" w:hAnsi="Arial" w:cs="Arial"/>
          <w:bCs/>
          <w:i/>
          <w:iCs/>
          <w:u w:val="single"/>
        </w:rPr>
        <w:t>Original Research Article</w:t>
      </w:r>
    </w:p>
    <w:p w14:paraId="357A7A7E" w14:textId="77777777" w:rsidR="00754C9A" w:rsidRDefault="00754C9A" w:rsidP="00441B6F">
      <w:pPr>
        <w:pStyle w:val="Title"/>
        <w:spacing w:after="0"/>
        <w:jc w:val="both"/>
        <w:rPr>
          <w:rFonts w:ascii="Arial" w:hAnsi="Arial" w:cs="Arial"/>
        </w:rPr>
      </w:pPr>
    </w:p>
    <w:p w14:paraId="36B9F915" w14:textId="77777777" w:rsidR="008666F9" w:rsidRPr="008666F9" w:rsidRDefault="008666F9" w:rsidP="008666F9">
      <w:pPr>
        <w:jc w:val="right"/>
        <w:rPr>
          <w:rFonts w:ascii="Arial" w:hAnsi="Arial" w:cs="Arial"/>
          <w:b/>
          <w:bCs/>
          <w:iCs/>
          <w:kern w:val="28"/>
          <w:sz w:val="36"/>
        </w:rPr>
      </w:pPr>
      <w:r w:rsidRPr="008666F9">
        <w:rPr>
          <w:rFonts w:ascii="Arial" w:hAnsi="Arial" w:cs="Arial"/>
          <w:b/>
          <w:bCs/>
          <w:iCs/>
          <w:kern w:val="28"/>
          <w:sz w:val="36"/>
        </w:rPr>
        <w:t xml:space="preserve">Dietary </w:t>
      </w:r>
      <w:proofErr w:type="spellStart"/>
      <w:r w:rsidRPr="008666F9">
        <w:rPr>
          <w:rFonts w:ascii="Arial" w:hAnsi="Arial" w:cs="Arial"/>
          <w:b/>
          <w:bCs/>
          <w:iCs/>
          <w:kern w:val="28"/>
          <w:sz w:val="36"/>
        </w:rPr>
        <w:t>Fibres</w:t>
      </w:r>
      <w:proofErr w:type="spellEnd"/>
      <w:r w:rsidRPr="008666F9">
        <w:rPr>
          <w:rFonts w:ascii="Arial" w:hAnsi="Arial" w:cs="Arial"/>
          <w:b/>
          <w:bCs/>
          <w:iCs/>
          <w:kern w:val="28"/>
          <w:sz w:val="36"/>
        </w:rPr>
        <w:t xml:space="preserve"> Requirements of Cane Rat (Thryonomys </w:t>
      </w:r>
      <w:proofErr w:type="spellStart"/>
      <w:r w:rsidRPr="008666F9">
        <w:rPr>
          <w:rFonts w:ascii="Arial" w:hAnsi="Arial" w:cs="Arial"/>
          <w:b/>
          <w:bCs/>
          <w:iCs/>
          <w:kern w:val="28"/>
          <w:sz w:val="36"/>
        </w:rPr>
        <w:t>swinderianus</w:t>
      </w:r>
      <w:proofErr w:type="spellEnd"/>
      <w:r w:rsidRPr="008666F9">
        <w:rPr>
          <w:rFonts w:ascii="Arial" w:hAnsi="Arial" w:cs="Arial"/>
          <w:b/>
          <w:bCs/>
          <w:iCs/>
          <w:kern w:val="28"/>
          <w:sz w:val="36"/>
        </w:rPr>
        <w:t>) at the Growth and Fattening Stages</w:t>
      </w:r>
    </w:p>
    <w:p w14:paraId="17957525" w14:textId="77777777" w:rsidR="00A258C3" w:rsidRPr="00790ADA" w:rsidRDefault="00A258C3" w:rsidP="00441B6F">
      <w:pPr>
        <w:pStyle w:val="Author"/>
        <w:spacing w:line="240" w:lineRule="auto"/>
        <w:jc w:val="both"/>
        <w:rPr>
          <w:rFonts w:ascii="Arial" w:hAnsi="Arial" w:cs="Arial"/>
          <w:sz w:val="36"/>
        </w:rPr>
      </w:pPr>
    </w:p>
    <w:p w14:paraId="69811DE8" w14:textId="77777777" w:rsidR="00EA092B" w:rsidRDefault="00EA092B" w:rsidP="00441B6F">
      <w:pPr>
        <w:pStyle w:val="Affiliation"/>
        <w:spacing w:after="0" w:line="240" w:lineRule="auto"/>
        <w:jc w:val="both"/>
        <w:rPr>
          <w:rFonts w:ascii="Arial" w:hAnsi="Arial" w:cs="Arial"/>
        </w:rPr>
      </w:pPr>
    </w:p>
    <w:p w14:paraId="3E4A5813" w14:textId="77777777" w:rsidR="002C57D2" w:rsidRPr="00FB3A86" w:rsidRDefault="002C57D2" w:rsidP="00441B6F">
      <w:pPr>
        <w:pStyle w:val="Affiliation"/>
        <w:spacing w:after="0" w:line="240" w:lineRule="auto"/>
        <w:jc w:val="both"/>
        <w:rPr>
          <w:rFonts w:ascii="Arial" w:hAnsi="Arial" w:cs="Arial"/>
        </w:rPr>
      </w:pPr>
    </w:p>
    <w:p w14:paraId="4521A38C" w14:textId="77777777" w:rsidR="00B01FCD" w:rsidRPr="00FB3A86" w:rsidRDefault="00000000" w:rsidP="00441B6F">
      <w:pPr>
        <w:pStyle w:val="Copyright"/>
        <w:spacing w:after="0" w:line="240" w:lineRule="auto"/>
        <w:jc w:val="both"/>
        <w:rPr>
          <w:rFonts w:ascii="Arial" w:hAnsi="Arial" w:cs="Arial"/>
        </w:rPr>
        <w:sectPr w:rsidR="00B01FCD" w:rsidRPr="00FB3A86" w:rsidSect="00EA092B">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6BC1D4A">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r w:rsidR="00FB3A86">
        <w:rPr>
          <w:rFonts w:ascii="Arial" w:hAnsi="Arial" w:cs="Arial"/>
        </w:rPr>
        <w:t>.</w:t>
      </w:r>
    </w:p>
    <w:p w14:paraId="368C191D"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37AC2C8D"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2D2CD5D0" w14:textId="77777777" w:rsidTr="001E44FE">
        <w:tc>
          <w:tcPr>
            <w:tcW w:w="9576" w:type="dxa"/>
            <w:shd w:val="clear" w:color="auto" w:fill="F2F2F2"/>
          </w:tcPr>
          <w:p w14:paraId="6335EDD8"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Pr="00BA1B01">
              <w:rPr>
                <w:rFonts w:ascii="Arial" w:eastAsia="Calibri" w:hAnsi="Arial" w:cs="Arial"/>
                <w:szCs w:val="22"/>
              </w:rPr>
              <w:t xml:space="preserve">To </w:t>
            </w:r>
            <w:r w:rsidR="008666F9">
              <w:rPr>
                <w:rFonts w:ascii="Arial" w:eastAsia="Calibri" w:hAnsi="Arial" w:cs="Arial"/>
                <w:szCs w:val="22"/>
              </w:rPr>
              <w:t xml:space="preserve">demonstrate </w:t>
            </w:r>
            <w:r w:rsidR="008666F9" w:rsidRPr="008666F9">
              <w:rPr>
                <w:rFonts w:ascii="Arial" w:eastAsia="Calibri" w:hAnsi="Arial" w:cs="Arial"/>
                <w:szCs w:val="22"/>
              </w:rPr>
              <w:t xml:space="preserve">the importance of dietary </w:t>
            </w:r>
            <w:proofErr w:type="spellStart"/>
            <w:r w:rsidR="008666F9" w:rsidRPr="008666F9">
              <w:rPr>
                <w:rFonts w:ascii="Arial" w:eastAsia="Calibri" w:hAnsi="Arial" w:cs="Arial"/>
                <w:szCs w:val="22"/>
              </w:rPr>
              <w:t>fibre</w:t>
            </w:r>
            <w:proofErr w:type="spellEnd"/>
            <w:r w:rsidR="008666F9" w:rsidRPr="008666F9">
              <w:rPr>
                <w:rFonts w:ascii="Arial" w:eastAsia="Calibri" w:hAnsi="Arial" w:cs="Arial"/>
                <w:szCs w:val="22"/>
              </w:rPr>
              <w:t xml:space="preserve"> on young cane rats’ digestive health.</w:t>
            </w:r>
          </w:p>
          <w:p w14:paraId="26F26265"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8666F9" w:rsidRPr="009B1799">
              <w:rPr>
                <w:rFonts w:ascii="Arial" w:eastAsia="Calibri" w:hAnsi="Arial" w:cs="Arial"/>
                <w:szCs w:val="22"/>
              </w:rPr>
              <w:t>Completely randomized controlled feeding trial.</w:t>
            </w:r>
          </w:p>
          <w:p w14:paraId="3BB577E3"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ED27B2" w:rsidRPr="009B1799">
              <w:rPr>
                <w:rFonts w:ascii="Arial" w:eastAsia="Calibri" w:hAnsi="Arial" w:cs="Arial"/>
                <w:szCs w:val="22"/>
              </w:rPr>
              <w:t>Laboratory of Animal Science and Animal Production, Félix Houphouët-Boigny National Polytechnic Institute, Yamoussoukro</w:t>
            </w:r>
            <w:r w:rsidR="0044598B">
              <w:rPr>
                <w:rFonts w:ascii="Arial" w:eastAsia="Calibri" w:hAnsi="Arial" w:cs="Arial"/>
                <w:szCs w:val="22"/>
              </w:rPr>
              <w:t>.</w:t>
            </w:r>
          </w:p>
          <w:p w14:paraId="3BC505F9"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ED27B2" w:rsidRPr="008666F9">
              <w:rPr>
                <w:rFonts w:ascii="Arial" w:eastAsia="Calibri" w:hAnsi="Arial" w:cs="Arial"/>
                <w:szCs w:val="22"/>
              </w:rPr>
              <w:t xml:space="preserve">Thirty-six cane rats aged 42 ± 9 days with an average live weight of 393 ± 92 g were used. They were divided into three batches of 12 animals. Three complete iso-protein pelleted diets containing 16% crude protein with three levels of </w:t>
            </w:r>
            <w:proofErr w:type="spellStart"/>
            <w:r w:rsidR="00ED27B2" w:rsidRPr="008666F9">
              <w:rPr>
                <w:rFonts w:ascii="Arial" w:eastAsia="Calibri" w:hAnsi="Arial" w:cs="Arial"/>
                <w:szCs w:val="22"/>
              </w:rPr>
              <w:t>fibre</w:t>
            </w:r>
            <w:proofErr w:type="spellEnd"/>
            <w:r w:rsidR="00ED27B2" w:rsidRPr="008666F9">
              <w:rPr>
                <w:rFonts w:ascii="Arial" w:eastAsia="Calibri" w:hAnsi="Arial" w:cs="Arial"/>
                <w:szCs w:val="22"/>
              </w:rPr>
              <w:t xml:space="preserve"> (17, 19 and 21% Acid Detergent Lignin (ADF)) were tested on young cane rats, from weaning to 6 months of age. Each batch of animals was subjected to a diet. Health and zootechnical parameters as well as carcass characteristics were measured according to the diet.</w:t>
            </w:r>
          </w:p>
          <w:p w14:paraId="1082F861" w14:textId="77777777" w:rsidR="00ED27B2" w:rsidRDefault="00BA1B01" w:rsidP="00441B6F">
            <w:pPr>
              <w:pStyle w:val="Body"/>
              <w:spacing w:after="0"/>
              <w:rPr>
                <w:rFonts w:ascii="Arial" w:eastAsia="Calibri" w:hAnsi="Arial" w:cs="Arial"/>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ED27B2" w:rsidRPr="008666F9">
              <w:rPr>
                <w:rFonts w:ascii="Arial" w:eastAsia="Calibri" w:hAnsi="Arial" w:cs="Arial"/>
                <w:szCs w:val="22"/>
              </w:rPr>
              <w:t xml:space="preserve">At the end of the experiment, there was no mortality or morbidity regardless of diet. The feed containing 21% ADF resulted in a reduction of animals’ weight gain by 25% </w:t>
            </w:r>
            <w:r w:rsidR="00983011">
              <w:rPr>
                <w:rFonts w:ascii="Arial" w:eastAsia="Calibri" w:hAnsi="Arial" w:cs="Arial"/>
                <w:szCs w:val="22"/>
              </w:rPr>
              <w:t>(</w:t>
            </w:r>
            <w:r w:rsidR="00983011" w:rsidRPr="00983011">
              <w:rPr>
                <w:rFonts w:ascii="Arial" w:eastAsia="Calibri" w:hAnsi="Arial" w:cs="Arial"/>
                <w:i/>
                <w:iCs/>
                <w:szCs w:val="22"/>
              </w:rPr>
              <w:t>P=.007</w:t>
            </w:r>
            <w:r w:rsidR="00983011">
              <w:rPr>
                <w:rFonts w:ascii="Arial" w:eastAsia="Calibri" w:hAnsi="Arial" w:cs="Arial"/>
                <w:szCs w:val="22"/>
              </w:rPr>
              <w:t xml:space="preserve">) </w:t>
            </w:r>
            <w:r w:rsidR="00ED27B2" w:rsidRPr="008666F9">
              <w:rPr>
                <w:rFonts w:ascii="Arial" w:eastAsia="Calibri" w:hAnsi="Arial" w:cs="Arial"/>
                <w:szCs w:val="22"/>
              </w:rPr>
              <w:t xml:space="preserve">and 12.5% </w:t>
            </w:r>
            <w:r w:rsidR="00983011">
              <w:rPr>
                <w:rFonts w:ascii="Arial" w:eastAsia="Calibri" w:hAnsi="Arial" w:cs="Arial"/>
                <w:szCs w:val="22"/>
              </w:rPr>
              <w:t>(</w:t>
            </w:r>
            <w:r w:rsidR="00983011" w:rsidRPr="00983011">
              <w:rPr>
                <w:rFonts w:ascii="Arial" w:eastAsia="Calibri" w:hAnsi="Arial" w:cs="Arial"/>
                <w:i/>
                <w:iCs/>
                <w:szCs w:val="22"/>
              </w:rPr>
              <w:t>P=.0</w:t>
            </w:r>
            <w:r w:rsidR="00D35687">
              <w:rPr>
                <w:rFonts w:ascii="Arial" w:eastAsia="Calibri" w:hAnsi="Arial" w:cs="Arial"/>
                <w:i/>
                <w:iCs/>
                <w:szCs w:val="22"/>
              </w:rPr>
              <w:t>4</w:t>
            </w:r>
            <w:r w:rsidR="00983011">
              <w:rPr>
                <w:rFonts w:ascii="Arial" w:eastAsia="Calibri" w:hAnsi="Arial" w:cs="Arial"/>
                <w:szCs w:val="22"/>
              </w:rPr>
              <w:t xml:space="preserve">) </w:t>
            </w:r>
            <w:r w:rsidR="00ED27B2" w:rsidRPr="008666F9">
              <w:rPr>
                <w:rFonts w:ascii="Arial" w:eastAsia="Calibri" w:hAnsi="Arial" w:cs="Arial"/>
                <w:szCs w:val="22"/>
              </w:rPr>
              <w:t>during the growth and fattening phases, respectively. The feeds containing 17% and 19% ADF gave the best values for feed conversion</w:t>
            </w:r>
            <w:r w:rsidR="00983011">
              <w:rPr>
                <w:rFonts w:ascii="Arial" w:eastAsia="Calibri" w:hAnsi="Arial" w:cs="Arial"/>
                <w:szCs w:val="22"/>
              </w:rPr>
              <w:t xml:space="preserve"> (</w:t>
            </w:r>
            <w:r w:rsidR="00983011" w:rsidRPr="00983011">
              <w:rPr>
                <w:rFonts w:ascii="Arial" w:eastAsia="Calibri" w:hAnsi="Arial" w:cs="Arial"/>
                <w:i/>
                <w:iCs/>
                <w:szCs w:val="22"/>
              </w:rPr>
              <w:t>P=.007</w:t>
            </w:r>
            <w:r w:rsidR="00983011">
              <w:rPr>
                <w:rFonts w:ascii="Arial" w:eastAsia="Calibri" w:hAnsi="Arial" w:cs="Arial"/>
                <w:szCs w:val="22"/>
              </w:rPr>
              <w:t>)</w:t>
            </w:r>
            <w:r w:rsidR="00ED27B2" w:rsidRPr="008666F9">
              <w:rPr>
                <w:rFonts w:ascii="Arial" w:eastAsia="Calibri" w:hAnsi="Arial" w:cs="Arial"/>
                <w:szCs w:val="22"/>
              </w:rPr>
              <w:t xml:space="preserve">, average daily gain </w:t>
            </w:r>
            <w:r w:rsidR="00983011">
              <w:rPr>
                <w:rFonts w:ascii="Arial" w:eastAsia="Calibri" w:hAnsi="Arial" w:cs="Arial"/>
                <w:szCs w:val="22"/>
              </w:rPr>
              <w:t>(</w:t>
            </w:r>
            <w:r w:rsidR="00983011" w:rsidRPr="00983011">
              <w:rPr>
                <w:rFonts w:ascii="Arial" w:eastAsia="Calibri" w:hAnsi="Arial" w:cs="Arial"/>
                <w:i/>
                <w:iCs/>
                <w:szCs w:val="22"/>
              </w:rPr>
              <w:t>P=</w:t>
            </w:r>
            <w:r w:rsidR="00983011" w:rsidRPr="000B1219">
              <w:rPr>
                <w:i/>
                <w:iCs/>
                <w:color w:val="000000" w:themeColor="text1"/>
                <w:szCs w:val="24"/>
                <w:lang w:eastAsia="fr-FR"/>
              </w:rPr>
              <w:t xml:space="preserve">3.6 </w:t>
            </w:r>
            <w:r w:rsidR="00983011" w:rsidRPr="000B1219">
              <w:rPr>
                <w:color w:val="000000" w:themeColor="text1"/>
                <w:szCs w:val="24"/>
                <w:lang w:eastAsia="fr-FR"/>
              </w:rPr>
              <w:t xml:space="preserve">x </w:t>
            </w:r>
            <w:r w:rsidR="00983011" w:rsidRPr="000B1219">
              <w:rPr>
                <w:i/>
                <w:iCs/>
                <w:color w:val="000000" w:themeColor="text1"/>
                <w:szCs w:val="24"/>
                <w:lang w:eastAsia="fr-FR"/>
              </w:rPr>
              <w:t xml:space="preserve">10 </w:t>
            </w:r>
            <w:r w:rsidR="00983011" w:rsidRPr="000B1219">
              <w:rPr>
                <w:i/>
                <w:iCs/>
                <w:color w:val="000000" w:themeColor="text1"/>
                <w:szCs w:val="24"/>
                <w:vertAlign w:val="superscript"/>
                <w:lang w:eastAsia="fr-FR"/>
              </w:rPr>
              <w:t>-4</w:t>
            </w:r>
            <w:r w:rsidR="00983011">
              <w:rPr>
                <w:rFonts w:ascii="Arial" w:eastAsia="Calibri" w:hAnsi="Arial" w:cs="Arial"/>
                <w:szCs w:val="22"/>
              </w:rPr>
              <w:t xml:space="preserve">) </w:t>
            </w:r>
            <w:r w:rsidR="00ED27B2" w:rsidRPr="008666F9">
              <w:rPr>
                <w:rFonts w:ascii="Arial" w:eastAsia="Calibri" w:hAnsi="Arial" w:cs="Arial"/>
                <w:szCs w:val="22"/>
              </w:rPr>
              <w:t xml:space="preserve">and carcass yields. </w:t>
            </w:r>
          </w:p>
          <w:p w14:paraId="0B7F4954" w14:textId="77777777" w:rsidR="00505F06" w:rsidRPr="00BA1B01" w:rsidRDefault="00BA1B01" w:rsidP="00ED27B2">
            <w:pPr>
              <w:jc w:val="both"/>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ED27B2" w:rsidRPr="008666F9">
              <w:rPr>
                <w:rFonts w:ascii="Arial" w:eastAsia="Calibri" w:hAnsi="Arial" w:cs="Arial"/>
                <w:szCs w:val="22"/>
              </w:rPr>
              <w:t xml:space="preserve">It was concluded that the </w:t>
            </w:r>
            <w:proofErr w:type="spellStart"/>
            <w:r w:rsidR="00ED27B2" w:rsidRPr="008666F9">
              <w:rPr>
                <w:rFonts w:ascii="Arial" w:eastAsia="Calibri" w:hAnsi="Arial" w:cs="Arial"/>
                <w:szCs w:val="22"/>
              </w:rPr>
              <w:t>fibre</w:t>
            </w:r>
            <w:proofErr w:type="spellEnd"/>
            <w:r w:rsidR="00ED27B2" w:rsidRPr="008666F9">
              <w:rPr>
                <w:rFonts w:ascii="Arial" w:eastAsia="Calibri" w:hAnsi="Arial" w:cs="Arial"/>
                <w:szCs w:val="22"/>
              </w:rPr>
              <w:t xml:space="preserve"> contents for young cane rats fed on complete pelleted diets would be between 17% and 19 % ADF during the growth and fattening stages. </w:t>
            </w:r>
          </w:p>
        </w:tc>
      </w:tr>
    </w:tbl>
    <w:p w14:paraId="2C134C2E" w14:textId="77777777" w:rsidR="00636EB2" w:rsidRDefault="00636EB2" w:rsidP="00441B6F">
      <w:pPr>
        <w:pStyle w:val="Body"/>
        <w:spacing w:after="0"/>
        <w:rPr>
          <w:rFonts w:ascii="Arial" w:hAnsi="Arial" w:cs="Arial"/>
          <w:i/>
        </w:rPr>
      </w:pPr>
    </w:p>
    <w:p w14:paraId="7B5E3C5A" w14:textId="77777777" w:rsidR="008666F9" w:rsidRDefault="00A24E7E" w:rsidP="00441B6F">
      <w:pPr>
        <w:pStyle w:val="Body"/>
        <w:spacing w:after="0"/>
        <w:rPr>
          <w:rFonts w:ascii="Arial" w:hAnsi="Arial" w:cs="Arial"/>
          <w:i/>
        </w:rPr>
      </w:pPr>
      <w:r>
        <w:rPr>
          <w:rFonts w:ascii="Arial" w:hAnsi="Arial" w:cs="Arial"/>
          <w:i/>
        </w:rPr>
        <w:t>Keywords:</w:t>
      </w:r>
      <w:r w:rsidR="008666F9">
        <w:rPr>
          <w:rFonts w:ascii="Arial" w:hAnsi="Arial" w:cs="Arial"/>
          <w:i/>
        </w:rPr>
        <w:t xml:space="preserve"> </w:t>
      </w:r>
      <w:r w:rsidR="008666F9" w:rsidRPr="008666F9">
        <w:rPr>
          <w:rFonts w:ascii="Arial" w:hAnsi="Arial" w:cs="Arial"/>
          <w:i/>
        </w:rPr>
        <w:t xml:space="preserve">lignocellulose, complete pelleted feed, growth, fattening, Thryonomys </w:t>
      </w:r>
      <w:proofErr w:type="spellStart"/>
      <w:r w:rsidR="008666F9" w:rsidRPr="008666F9">
        <w:rPr>
          <w:rFonts w:ascii="Arial" w:hAnsi="Arial" w:cs="Arial"/>
          <w:i/>
        </w:rPr>
        <w:t>swinderianus</w:t>
      </w:r>
      <w:proofErr w:type="spellEnd"/>
    </w:p>
    <w:p w14:paraId="693E3903" w14:textId="77777777" w:rsidR="0024282C" w:rsidRDefault="0024282C" w:rsidP="00441B6F">
      <w:pPr>
        <w:pStyle w:val="Body"/>
        <w:spacing w:after="0"/>
        <w:rPr>
          <w:rFonts w:ascii="Arial" w:hAnsi="Arial" w:cs="Arial"/>
          <w:i/>
          <w:sz w:val="18"/>
        </w:rPr>
      </w:pPr>
    </w:p>
    <w:p w14:paraId="131E0CB9" w14:textId="77777777" w:rsidR="00505F06" w:rsidRPr="00A24E7E" w:rsidRDefault="00505F06" w:rsidP="00441B6F">
      <w:pPr>
        <w:pStyle w:val="Body"/>
        <w:spacing w:after="0"/>
        <w:rPr>
          <w:rFonts w:ascii="Arial" w:hAnsi="Arial" w:cs="Arial"/>
          <w:i/>
        </w:rPr>
      </w:pPr>
    </w:p>
    <w:p w14:paraId="02DAC684"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1DFE5700" w14:textId="77777777" w:rsidR="00790ADA" w:rsidRPr="00FB3A86" w:rsidRDefault="00790ADA" w:rsidP="00441B6F">
      <w:pPr>
        <w:pStyle w:val="AbstHead"/>
        <w:spacing w:after="0"/>
        <w:jc w:val="both"/>
        <w:rPr>
          <w:rFonts w:ascii="Arial" w:hAnsi="Arial" w:cs="Arial"/>
        </w:rPr>
      </w:pPr>
    </w:p>
    <w:p w14:paraId="415C5273" w14:textId="77777777" w:rsidR="00561B74" w:rsidRPr="00561B74" w:rsidRDefault="00561B74" w:rsidP="00561B74">
      <w:pPr>
        <w:jc w:val="both"/>
        <w:rPr>
          <w:rFonts w:ascii="Arial" w:hAnsi="Arial" w:cs="Arial"/>
        </w:rPr>
      </w:pPr>
      <w:r w:rsidRPr="00561B74">
        <w:rPr>
          <w:rFonts w:ascii="Arial" w:hAnsi="Arial" w:cs="Arial"/>
        </w:rPr>
        <w:t xml:space="preserve">The cane rat is a wild animal whose meat is very appreciated by the populations of sub-Saharan Africa. To limit poaching pressure on the wild species, the cane rat has been farmed for several decades </w:t>
      </w:r>
      <w:r w:rsidRPr="00561B74">
        <w:rPr>
          <w:rFonts w:ascii="Arial" w:hAnsi="Arial" w:cs="Arial"/>
        </w:rPr>
        <w:fldChar w:fldCharType="begin">
          <w:fldData xml:space="preserve">PEVuZE5vdGU+PENpdGU+PEF1dGhvcj5UZXllPC9BdXRob3I+PFllYXI+MjAyMDwvWWVhcj48UmVj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</w:fldData>
        </w:fldChar>
      </w:r>
      <w:r w:rsidRPr="00561B74">
        <w:rPr>
          <w:rFonts w:ascii="Arial" w:hAnsi="Arial" w:cs="Arial"/>
        </w:rPr>
        <w:instrText xml:space="preserve"> ADDIN EN.CITE </w:instrText>
      </w:r>
      <w:r w:rsidRPr="00561B74">
        <w:rPr>
          <w:rFonts w:ascii="Arial" w:hAnsi="Arial" w:cs="Arial"/>
        </w:rPr>
        <w:fldChar w:fldCharType="begin">
          <w:fldData xml:space="preserve">PEVuZE5vdGU+PENpdGU+PEF1dGhvcj5UZXllPC9BdXRob3I+PFllYXI+MjAyMDwvWWVhcj48UmVj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</w:fldData>
        </w:fldChar>
      </w:r>
      <w:r w:rsidRPr="00561B74">
        <w:rPr>
          <w:rFonts w:ascii="Arial" w:hAnsi="Arial" w:cs="Arial"/>
        </w:rPr>
        <w:instrText xml:space="preserve"> ADDIN EN.CITE.DATA </w:instrText>
      </w:r>
      <w:r w:rsidRPr="00561B74">
        <w:rPr>
          <w:rFonts w:ascii="Arial" w:hAnsi="Arial" w:cs="Arial"/>
        </w:rPr>
      </w:r>
      <w:r w:rsidRPr="00561B74">
        <w:rPr>
          <w:rFonts w:ascii="Arial" w:hAnsi="Arial" w:cs="Arial"/>
        </w:rPr>
        <w:fldChar w:fldCharType="end"/>
      </w:r>
      <w:r w:rsidRPr="00561B74">
        <w:rPr>
          <w:rFonts w:ascii="Arial" w:hAnsi="Arial" w:cs="Arial"/>
        </w:rPr>
      </w:r>
      <w:r w:rsidRPr="00561B74">
        <w:rPr>
          <w:rFonts w:ascii="Arial" w:hAnsi="Arial" w:cs="Arial"/>
        </w:rPr>
        <w:fldChar w:fldCharType="separate"/>
      </w:r>
      <w:r w:rsidRPr="00561B74">
        <w:rPr>
          <w:rFonts w:ascii="Arial" w:hAnsi="Arial" w:cs="Arial"/>
        </w:rPr>
        <w:t>(Teye et al., 2020)</w:t>
      </w:r>
      <w:r w:rsidRPr="00561B74">
        <w:rPr>
          <w:rFonts w:ascii="Arial" w:hAnsi="Arial" w:cs="Arial"/>
        </w:rPr>
        <w:fldChar w:fldCharType="end"/>
      </w:r>
      <w:r w:rsidRPr="00561B74">
        <w:rPr>
          <w:rFonts w:ascii="Arial" w:hAnsi="Arial" w:cs="Arial"/>
        </w:rPr>
        <w:t xml:space="preserve">. To feed this animal, breeders use fodder, the harvest of which constitutes a daily chore. In addition, fodder most often has poor nutritional value; and, the presence of parasites on it constitutes a risk for animal health </w:t>
      </w:r>
      <w:r w:rsidRPr="00561B74">
        <w:rPr>
          <w:rFonts w:ascii="Arial" w:hAnsi="Arial" w:cs="Arial"/>
        </w:rPr>
        <w:fldChar w:fldCharType="begin"/>
      </w:r>
      <w:r w:rsidRPr="00561B74">
        <w:rPr>
          <w:rFonts w:ascii="Arial" w:hAnsi="Arial" w:cs="Arial"/>
        </w:rPr>
        <w:instrText xml:space="preserve"> ADDIN EN.CITE &lt;EndNote&gt;&lt;Cite&gt;&lt;Author&gt;Mandey&lt;/Author&gt;&lt;Year&gt;2017&lt;/Year&gt;&lt;RecNum&gt;10&lt;/RecNum&gt;&lt;DisplayText&gt;(Mandey&lt;style face="italic"&gt; et al.&lt;/style&gt;, 2017; Nyameasem&lt;style face="italic"&gt; et al.&lt;/style&gt;, 2018)&lt;/DisplayText&gt;&lt;record&gt;&lt;rec-number&gt;10&lt;/rec-number&gt;&lt;foreign-keys&gt;&lt;key app="EN" db-id="95rwdpepzf52eae2e5dxxrxwasafevedepw0" timestamp="1773692499"&gt;10&lt;/key&gt;&lt;/foreign-keys&gt;&lt;ref-type name="Journal Article"&gt;17&lt;/ref-type&gt;&lt;contributors&gt;&lt;authors&gt;&lt;author&gt;Mandey, JS&lt;/author&gt;&lt;author&gt;Kowel, YHS&lt;/author&gt;&lt;author&gt;Regar, MN&lt;/author&gt;&lt;author&gt;Leke, JR&lt;/author&gt;&lt;/authors&gt;&lt;/contributors&gt;&lt;titles&gt;&lt;title&gt;Effect of different level of energy and crude fiber from sawdust in diets on carcass quality of broiler&lt;/title&gt;&lt;secondary-title&gt;Journal of the Indonesian Tropical Animal Agriculture &lt;/secondary-title&gt;&lt;/titles&gt;&lt;pages&gt;240-246&lt;/pages&gt;&lt;volume&gt;42&lt;/volume&gt;&lt;number&gt;4&lt;/number&gt;&lt;dates&gt;&lt;year&gt;2017&lt;/year&gt;&lt;/dates&gt;&lt;isbn&gt;2087-8273&lt;/isbn&gt;&lt;urls&gt;&lt;/urls&gt;&lt;electronic-resource-num&gt;10.14710/jitaa.42.4.240-246&lt;/electronic-resource-num&gt;&lt;/record&gt;&lt;/Cite&gt;&lt;Cite&gt;&lt;Author&gt;Nyameasem&lt;/Author&gt;&lt;Year&gt;2018&lt;/Year&gt;&lt;RecNum&gt;12&lt;/RecNum&gt;&lt;record&gt;&lt;rec-number&gt;12&lt;/rec-number&gt;&lt;foreign-keys&gt;&lt;key app="EN" db-id="95rwdpepzf52eae2e5dxxrxwasafevedepw0" timestamp="1773693051"&gt;12&lt;/key&gt;&lt;/foreign-keys&gt;&lt;ref-type name="Journal Article"&gt;17&lt;/ref-type&gt;&lt;contributors&gt;&lt;authors&gt;&lt;author&gt;Nyameasem, J. K.&lt;/author&gt;&lt;author&gt;Akoloh, M.&lt;/author&gt;&lt;author&gt;Adu, E. K.&lt;/author&gt;&lt;/authors&gt;&lt;/contributors&gt;&lt;titles&gt;&lt;title&gt;Effects of protein content on feed intake and performance of grasscutters fed diets containing forage meal&lt;/title&gt;&lt;secondary-title&gt;Animal Production Science&lt;/secondary-title&gt;&lt;/titles&gt;&lt;periodical&gt;&lt;full-title&gt;Animal Production Science&lt;/full-title&gt;&lt;/periodical&gt;&lt;pages&gt;314-318&lt;/pages&gt;&lt;volume&gt;59&lt;/volume&gt;&lt;number&gt;2&lt;/number&gt;&lt;dates&gt;&lt;year&gt;2018&lt;/year&gt;&lt;/dates&gt;&lt;isbn&gt;1836-0939&lt;/isbn&gt;&lt;urls&gt;&lt;related-urls&gt;&lt;url&gt;https://doi.org/10.1071/AN15889&lt;/url&gt;&lt;/related-urls&gt;&lt;/urls&gt;&lt;electronic-resource-num&gt;10.1071/an15889&lt;/electronic-resource-num&gt;&lt;access-date&gt;3/16/2026&lt;/access-date&gt;&lt;/record&gt;&lt;/Cite&gt;&lt;/EndNote&gt;</w:instrText>
      </w:r>
      <w:r w:rsidRPr="00561B74">
        <w:rPr>
          <w:rFonts w:ascii="Arial" w:hAnsi="Arial" w:cs="Arial"/>
        </w:rPr>
        <w:fldChar w:fldCharType="separate"/>
      </w:r>
      <w:r w:rsidRPr="00561B74">
        <w:rPr>
          <w:rFonts w:ascii="Arial" w:hAnsi="Arial" w:cs="Arial"/>
        </w:rPr>
        <w:t>(Mandey et al., 2017; Nyameasem et al., 2018)</w:t>
      </w:r>
      <w:r w:rsidRPr="00561B74">
        <w:rPr>
          <w:rFonts w:ascii="Arial" w:hAnsi="Arial" w:cs="Arial"/>
        </w:rPr>
        <w:fldChar w:fldCharType="end"/>
      </w:r>
      <w:r w:rsidRPr="00561B74">
        <w:rPr>
          <w:rFonts w:ascii="Arial" w:hAnsi="Arial" w:cs="Arial"/>
        </w:rPr>
        <w:t xml:space="preserve">. Thus, feeding cane rats on fodder leads to a low growth rate and significant mortality of up to 40% on farms </w:t>
      </w:r>
      <w:r w:rsidRPr="00561B74">
        <w:rPr>
          <w:rFonts w:ascii="Arial" w:hAnsi="Arial" w:cs="Arial"/>
        </w:rPr>
        <w:fldChar w:fldCharType="begin"/>
      </w:r>
      <w:r w:rsidRPr="00561B74">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561B74">
        <w:rPr>
          <w:rFonts w:ascii="Arial" w:hAnsi="Arial" w:cs="Arial"/>
        </w:rPr>
        <w:fldChar w:fldCharType="separate"/>
      </w:r>
      <w:r w:rsidRPr="00561B74">
        <w:rPr>
          <w:rFonts w:ascii="Arial" w:hAnsi="Arial" w:cs="Arial"/>
        </w:rPr>
        <w:t>(Yapi et al., 2021)</w:t>
      </w:r>
      <w:r w:rsidRPr="00561B74">
        <w:rPr>
          <w:rFonts w:ascii="Arial" w:hAnsi="Arial" w:cs="Arial"/>
        </w:rPr>
        <w:fldChar w:fldCharType="end"/>
      </w:r>
      <w:r w:rsidRPr="00561B74">
        <w:rPr>
          <w:rFonts w:ascii="Arial" w:hAnsi="Arial" w:cs="Arial"/>
        </w:rPr>
        <w:t xml:space="preserve">. </w:t>
      </w:r>
    </w:p>
    <w:p w14:paraId="0DD3E025" w14:textId="77777777" w:rsidR="00561B74" w:rsidRPr="00561B74" w:rsidRDefault="00561B74" w:rsidP="00561B74">
      <w:pPr>
        <w:jc w:val="both"/>
        <w:rPr>
          <w:rFonts w:ascii="Arial" w:hAnsi="Arial" w:cs="Arial"/>
        </w:rPr>
      </w:pPr>
      <w:r w:rsidRPr="00561B74">
        <w:rPr>
          <w:rFonts w:ascii="Arial" w:hAnsi="Arial" w:cs="Arial"/>
        </w:rPr>
        <w:t xml:space="preserve">In order to develop cane rat farming on a rational and more productive model, the feeding method based on fodder should be replaced by feeding in the form of complete pelleted feed </w:t>
      </w:r>
      <w:r w:rsidRPr="00561B74">
        <w:rPr>
          <w:rFonts w:ascii="Arial" w:hAnsi="Arial" w:cs="Arial"/>
        </w:rPr>
        <w:fldChar w:fldCharType="begin"/>
      </w:r>
      <w:r w:rsidRPr="00561B74">
        <w:rPr>
          <w:rFonts w:ascii="Arial" w:hAnsi="Arial" w:cs="Arial"/>
        </w:rPr>
        <w:instrText xml:space="preserve"> ADDIN EN.CITE &lt;EndNote&gt;&lt;Cite&gt;&lt;Author&gt;Marani&lt;/Author&gt;&lt;Year&gt;2018&lt;/Year&gt;&lt;RecNum&gt;11&lt;/RecNum&gt;&lt;DisplayText&gt;(Marani, 2018)&lt;/DisplayText&gt;&lt;record&gt;&lt;rec-number&gt;11&lt;/rec-number&gt;&lt;foreign-keys&gt;&lt;key app="EN" db-id="95rwdpepzf52eae2e5dxxrxwasafevedepw0" timestamp="1773692863"&gt;11&lt;/key&gt;&lt;/foreign-keys&gt;&lt;ref-type name="Journal Article"&gt;17&lt;/ref-type&gt;&lt;contributors&gt;&lt;authors&gt;&lt;author&gt;Marani, Swallah Abdul Majid&lt;/author&gt;&lt;/authors&gt;&lt;/contributors&gt;&lt;titles&gt;&lt;title&gt;&lt;style face="normal" font="default" size="100%"&gt;Effects of pelleted feed on the performance of the grasscutter (&lt;/style&gt;&lt;style face="italic" font="default" size="100%"&gt;Thryonomys swinderianus&lt;/style&gt;&lt;style face="normal" font="default" size="100%"&gt;)&lt;/style&gt;&lt;/title&gt;&lt;secondary-title&gt;Journal of Agricultural Science and Food Research&lt;/secondary-title&gt;&lt;/titles&gt;&lt;periodical&gt;&lt;full-title&gt;Journal of Agricultural Science and Food Research&lt;/full-title&gt;&lt;/periodical&gt;&lt;pages&gt;2000218&lt;/pages&gt;&lt;volume&gt;9&lt;/volume&gt;&lt;number&gt;2&lt;/number&gt;&lt;dates&gt;&lt;year&gt;2018&lt;/year&gt;&lt;/dates&gt;&lt;urls&gt;&lt;/urls&gt;&lt;/record&gt;&lt;/Cite&gt;&lt;/EndNote&gt;</w:instrText>
      </w:r>
      <w:r w:rsidRPr="00561B74">
        <w:rPr>
          <w:rFonts w:ascii="Arial" w:hAnsi="Arial" w:cs="Arial"/>
        </w:rPr>
        <w:fldChar w:fldCharType="separate"/>
      </w:r>
      <w:r w:rsidRPr="00561B74">
        <w:rPr>
          <w:rFonts w:ascii="Arial" w:hAnsi="Arial" w:cs="Arial"/>
        </w:rPr>
        <w:t>(Marani, 2018)</w:t>
      </w:r>
      <w:r w:rsidRPr="00561B74">
        <w:rPr>
          <w:rFonts w:ascii="Arial" w:hAnsi="Arial" w:cs="Arial"/>
        </w:rPr>
        <w:fldChar w:fldCharType="end"/>
      </w:r>
      <w:r w:rsidRPr="00561B74">
        <w:rPr>
          <w:rFonts w:ascii="Arial" w:hAnsi="Arial" w:cs="Arial"/>
        </w:rPr>
        <w:t xml:space="preserve">. So, the cane rat dietary </w:t>
      </w:r>
      <w:proofErr w:type="spellStart"/>
      <w:r w:rsidRPr="00561B74">
        <w:rPr>
          <w:rFonts w:ascii="Arial" w:hAnsi="Arial" w:cs="Arial"/>
        </w:rPr>
        <w:t>fibre</w:t>
      </w:r>
      <w:proofErr w:type="spellEnd"/>
      <w:r w:rsidRPr="00561B74">
        <w:rPr>
          <w:rFonts w:ascii="Arial" w:hAnsi="Arial" w:cs="Arial"/>
        </w:rPr>
        <w:t xml:space="preserve"> requirements must be known as the digestive health of herbivores is largely dependent on </w:t>
      </w:r>
      <w:proofErr w:type="spellStart"/>
      <w:r w:rsidRPr="00561B74">
        <w:rPr>
          <w:rFonts w:ascii="Arial" w:hAnsi="Arial" w:cs="Arial"/>
        </w:rPr>
        <w:t>fibre</w:t>
      </w:r>
      <w:proofErr w:type="spellEnd"/>
      <w:r w:rsidRPr="00561B74">
        <w:rPr>
          <w:rFonts w:ascii="Arial" w:hAnsi="Arial" w:cs="Arial"/>
        </w:rPr>
        <w:t xml:space="preserve"> intake of the feed. While an excess of </w:t>
      </w:r>
      <w:proofErr w:type="spellStart"/>
      <w:r w:rsidRPr="00561B74">
        <w:rPr>
          <w:rFonts w:ascii="Arial" w:hAnsi="Arial" w:cs="Arial"/>
        </w:rPr>
        <w:t>fibre</w:t>
      </w:r>
      <w:proofErr w:type="spellEnd"/>
      <w:r w:rsidRPr="00561B74">
        <w:rPr>
          <w:rFonts w:ascii="Arial" w:hAnsi="Arial" w:cs="Arial"/>
        </w:rPr>
        <w:t xml:space="preserve"> can lead to a reduction in zootechnical performance, a deficit of </w:t>
      </w:r>
      <w:proofErr w:type="spellStart"/>
      <w:r w:rsidRPr="00561B74">
        <w:rPr>
          <w:rFonts w:ascii="Arial" w:hAnsi="Arial" w:cs="Arial"/>
        </w:rPr>
        <w:t>fibre</w:t>
      </w:r>
      <w:proofErr w:type="spellEnd"/>
      <w:r w:rsidRPr="00561B74">
        <w:rPr>
          <w:rFonts w:ascii="Arial" w:hAnsi="Arial" w:cs="Arial"/>
        </w:rPr>
        <w:t xml:space="preserve"> can lead to digestive </w:t>
      </w:r>
      <w:r w:rsidRPr="00561B74">
        <w:rPr>
          <w:rFonts w:ascii="Arial" w:hAnsi="Arial" w:cs="Arial"/>
        </w:rPr>
        <w:lastRenderedPageBreak/>
        <w:t xml:space="preserve">dysfunction causing pathologies </w:t>
      </w:r>
      <w:r w:rsidRPr="00561B74">
        <w:rPr>
          <w:rFonts w:ascii="Arial" w:hAnsi="Arial" w:cs="Arial"/>
        </w:rPr>
        <w:fldChar w:fldCharType="begin">
          <w:fldData xml:space="preserve">PEVuZE5vdGU+PENpdGU+PEF1dGhvcj5HaWRlbm5lPC9BdXRob3I+PFllYXI+MjAxOTwvWWVhcj48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</w:fldData>
        </w:fldChar>
      </w:r>
      <w:r w:rsidRPr="00561B74">
        <w:rPr>
          <w:rFonts w:ascii="Arial" w:hAnsi="Arial" w:cs="Arial"/>
        </w:rPr>
        <w:instrText xml:space="preserve"> ADDIN EN.CITE </w:instrText>
      </w:r>
      <w:r w:rsidRPr="00561B74">
        <w:rPr>
          <w:rFonts w:ascii="Arial" w:hAnsi="Arial" w:cs="Arial"/>
        </w:rPr>
        <w:fldChar w:fldCharType="begin">
          <w:fldData xml:space="preserve">PEVuZE5vdGU+PENpdGU+PEF1dGhvcj5HaWRlbm5lPC9BdXRob3I+PFllYXI+MjAxOTwvWWVhcj48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</w:fldData>
        </w:fldChar>
      </w:r>
      <w:r w:rsidRPr="00561B74">
        <w:rPr>
          <w:rFonts w:ascii="Arial" w:hAnsi="Arial" w:cs="Arial"/>
        </w:rPr>
        <w:instrText xml:space="preserve"> ADDIN EN.CITE.DATA </w:instrText>
      </w:r>
      <w:r w:rsidRPr="00561B74">
        <w:rPr>
          <w:rFonts w:ascii="Arial" w:hAnsi="Arial" w:cs="Arial"/>
        </w:rPr>
      </w:r>
      <w:r w:rsidRPr="00561B74">
        <w:rPr>
          <w:rFonts w:ascii="Arial" w:hAnsi="Arial" w:cs="Arial"/>
        </w:rPr>
        <w:fldChar w:fldCharType="end"/>
      </w:r>
      <w:r w:rsidRPr="00561B74">
        <w:rPr>
          <w:rFonts w:ascii="Arial" w:hAnsi="Arial" w:cs="Arial"/>
        </w:rPr>
      </w:r>
      <w:r w:rsidRPr="00561B74">
        <w:rPr>
          <w:rFonts w:ascii="Arial" w:hAnsi="Arial" w:cs="Arial"/>
        </w:rPr>
        <w:fldChar w:fldCharType="separate"/>
      </w:r>
      <w:r w:rsidRPr="00561B74">
        <w:rPr>
          <w:rFonts w:ascii="Arial" w:hAnsi="Arial" w:cs="Arial"/>
        </w:rPr>
        <w:t>(Chen et al., 2019; Gidenne et al., 2019; Yapi et al., 2021)</w:t>
      </w:r>
      <w:r w:rsidRPr="00561B74">
        <w:rPr>
          <w:rFonts w:ascii="Arial" w:hAnsi="Arial" w:cs="Arial"/>
        </w:rPr>
        <w:fldChar w:fldCharType="end"/>
      </w:r>
      <w:r w:rsidRPr="00561B74">
        <w:rPr>
          <w:rFonts w:ascii="Arial" w:hAnsi="Arial" w:cs="Arial"/>
        </w:rPr>
        <w:t xml:space="preserve">. Previous studies have already shown the importance of dietary </w:t>
      </w:r>
      <w:proofErr w:type="spellStart"/>
      <w:r w:rsidRPr="00561B74">
        <w:rPr>
          <w:rFonts w:ascii="Arial" w:hAnsi="Arial" w:cs="Arial"/>
        </w:rPr>
        <w:t>fibre</w:t>
      </w:r>
      <w:proofErr w:type="spellEnd"/>
      <w:r w:rsidRPr="00561B74">
        <w:rPr>
          <w:rFonts w:ascii="Arial" w:hAnsi="Arial" w:cs="Arial"/>
        </w:rPr>
        <w:t xml:space="preserve"> on cane rats digestive health. In cane rats’ reproductive females, </w:t>
      </w:r>
      <w:r w:rsidRPr="00561B74">
        <w:rPr>
          <w:rFonts w:ascii="Arial" w:hAnsi="Arial" w:cs="Arial"/>
        </w:rPr>
        <w:fldChar w:fldCharType="begin"/>
      </w:r>
      <w:r w:rsidRPr="00561B74">
        <w:rPr>
          <w:rFonts w:ascii="Arial" w:hAnsi="Arial" w:cs="Arial"/>
        </w:rPr>
        <w:instrText xml:space="preserve"> ADDIN EN.CITE &lt;EndNote&gt;&lt;Cite AuthorYear="1"&gt;&lt;Author&gt;Alla&lt;/Author&gt;&lt;Year&gt;2017&lt;/Year&gt;&lt;RecNum&gt;3&lt;/RecNum&gt;&lt;DisplayText&gt;Alla&lt;style face="italic"&gt; et al.&lt;/style&gt; (2017)&lt;/DisplayText&gt;&lt;record&gt;&lt;rec-number&gt;3&lt;/rec-number&gt;&lt;foreign-keys&gt;&lt;key app="EN" db-id="95rwdpepzf52eae2e5dxxrxwasafevedepw0" timestamp="1773691577"&gt;3&lt;/key&gt;&lt;/foreign-keys&gt;&lt;ref-type name="Journal Article"&gt;17&lt;/ref-type&gt;&lt;contributors&gt;&lt;authors&gt;&lt;author&gt;Alla, Konan Jean Bedel&lt;/author&gt;&lt;author&gt;Yapi, Yapo Magloire&lt;/author&gt;&lt;author&gt;Kimsé, Moussa&lt;/author&gt;&lt;author&gt;Soro, Dofara&lt;/author&gt;&lt;author&gt;Yapi, Jean Noel&lt;/author&gt;&lt;author&gt;Otchoumou, Atcho&lt;/author&gt;&lt;/authors&gt;&lt;/contributors&gt;&lt;titles&gt;&lt;title&gt;&lt;style face="normal" font="default" size="100%"&gt;Determination Du Niveau De Fibres Dans L&amp;apos;aliment Granule Chez L&amp;apos;aulacodine (&lt;/style&gt;&lt;style face="italic" font="default" size="100%"&gt;Thryonomys Swinderianus&lt;/style&gt;&lt;style face="normal" font="default" size="100%"&gt;, Temminck 1827): Impacts Sur Les Performances Zootechniques&lt;/style&gt;&lt;/title&gt;&lt;secondary-title&gt;European Scientific Journal&lt;/secondary-title&gt;&lt;/titles&gt;&lt;periodical&gt;&lt;full-title&gt;European Scientific Journal&lt;/full-title&gt;&lt;/periodical&gt;&lt;pages&gt;212-226&lt;/pages&gt;&lt;volume&gt;13&lt;/volume&gt;&lt;number&gt;9&lt;/number&gt;&lt;dates&gt;&lt;year&gt;2017&lt;/year&gt;&lt;/dates&gt;&lt;isbn&gt;1857-7881&lt;/isbn&gt;&lt;urls&gt;&lt;/urls&gt;&lt;electronic-resource-num&gt;10.19044/esj.2017.v13n9p212&lt;/electronic-resource-num&gt;&lt;/record&gt;&lt;/Cite&gt;&lt;/EndNote&gt;</w:instrText>
      </w:r>
      <w:r w:rsidRPr="00561B74">
        <w:rPr>
          <w:rFonts w:ascii="Arial" w:hAnsi="Arial" w:cs="Arial"/>
        </w:rPr>
        <w:fldChar w:fldCharType="separate"/>
      </w:r>
      <w:r w:rsidRPr="00561B74">
        <w:rPr>
          <w:rFonts w:ascii="Arial" w:hAnsi="Arial" w:cs="Arial"/>
        </w:rPr>
        <w:t>Alla et al. (2017)</w:t>
      </w:r>
      <w:r w:rsidRPr="00561B74">
        <w:rPr>
          <w:rFonts w:ascii="Arial" w:hAnsi="Arial" w:cs="Arial"/>
        </w:rPr>
        <w:fldChar w:fldCharType="end"/>
      </w:r>
      <w:r w:rsidRPr="00561B74">
        <w:rPr>
          <w:rFonts w:ascii="Arial" w:hAnsi="Arial" w:cs="Arial"/>
        </w:rPr>
        <w:t xml:space="preserve"> showed it is primordial to ensure the </w:t>
      </w:r>
      <w:proofErr w:type="spellStart"/>
      <w:r w:rsidRPr="00561B74">
        <w:rPr>
          <w:rFonts w:ascii="Arial" w:hAnsi="Arial" w:cs="Arial"/>
        </w:rPr>
        <w:t>fibre</w:t>
      </w:r>
      <w:proofErr w:type="spellEnd"/>
      <w:r w:rsidRPr="00561B74">
        <w:rPr>
          <w:rFonts w:ascii="Arial" w:hAnsi="Arial" w:cs="Arial"/>
        </w:rPr>
        <w:t xml:space="preserve"> content of the feed to be between 14 and 18% lignocellulose in order to guarantee good reproductive parameters. For the growing cane rat, it has been shown that the </w:t>
      </w:r>
      <w:proofErr w:type="spellStart"/>
      <w:r w:rsidRPr="00561B74">
        <w:rPr>
          <w:rFonts w:ascii="Arial" w:hAnsi="Arial" w:cs="Arial"/>
        </w:rPr>
        <w:t>fibre</w:t>
      </w:r>
      <w:proofErr w:type="spellEnd"/>
      <w:r w:rsidRPr="00561B74">
        <w:rPr>
          <w:rFonts w:ascii="Arial" w:hAnsi="Arial" w:cs="Arial"/>
        </w:rPr>
        <w:t xml:space="preserve"> content of the diet should be between 17 and 21% lignocellulose to both avoid serious digestive disorders such as hemorrhagic enteritis and guarantee a good growth rate of the animals </w:t>
      </w:r>
      <w:r w:rsidRPr="00561B74">
        <w:rPr>
          <w:rFonts w:ascii="Arial" w:hAnsi="Arial" w:cs="Arial"/>
        </w:rPr>
        <w:fldChar w:fldCharType="begin"/>
      </w:r>
      <w:r w:rsidRPr="00561B74">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561B74">
        <w:rPr>
          <w:rFonts w:ascii="Arial" w:hAnsi="Arial" w:cs="Arial"/>
        </w:rPr>
        <w:fldChar w:fldCharType="separate"/>
      </w:r>
      <w:r w:rsidRPr="00561B74">
        <w:rPr>
          <w:rFonts w:ascii="Arial" w:hAnsi="Arial" w:cs="Arial"/>
        </w:rPr>
        <w:t>(Yapi et al., 2021)</w:t>
      </w:r>
      <w:r w:rsidRPr="00561B74">
        <w:rPr>
          <w:rFonts w:ascii="Arial" w:hAnsi="Arial" w:cs="Arial"/>
        </w:rPr>
        <w:fldChar w:fldCharType="end"/>
      </w:r>
      <w:r w:rsidRPr="00561B74">
        <w:rPr>
          <w:rFonts w:ascii="Arial" w:hAnsi="Arial" w:cs="Arial"/>
        </w:rPr>
        <w:t xml:space="preserve">. However, carcass characteristics were not taken into account by these authors. </w:t>
      </w:r>
    </w:p>
    <w:p w14:paraId="144AA12B" w14:textId="77777777" w:rsidR="00561B74" w:rsidRPr="00561B74" w:rsidRDefault="00561B74" w:rsidP="00561B74">
      <w:pPr>
        <w:jc w:val="both"/>
        <w:rPr>
          <w:rFonts w:ascii="Arial" w:hAnsi="Arial" w:cs="Arial"/>
        </w:rPr>
      </w:pPr>
      <w:r w:rsidRPr="00561B74">
        <w:rPr>
          <w:rFonts w:ascii="Arial" w:hAnsi="Arial" w:cs="Arial"/>
        </w:rPr>
        <w:t xml:space="preserve">This study aimed to specify, within a narrower range, dietary </w:t>
      </w:r>
      <w:proofErr w:type="spellStart"/>
      <w:r w:rsidRPr="00561B74">
        <w:rPr>
          <w:rFonts w:ascii="Arial" w:hAnsi="Arial" w:cs="Arial"/>
        </w:rPr>
        <w:t>fibre</w:t>
      </w:r>
      <w:proofErr w:type="spellEnd"/>
      <w:r w:rsidRPr="00561B74">
        <w:rPr>
          <w:rFonts w:ascii="Arial" w:hAnsi="Arial" w:cs="Arial"/>
        </w:rPr>
        <w:t xml:space="preserve"> requirements of the cane rat for the growth and fattening stages, with carcass characteristics measurement.</w:t>
      </w:r>
    </w:p>
    <w:p w14:paraId="0E15AB2B" w14:textId="77777777" w:rsidR="00561B74" w:rsidRDefault="00561B74" w:rsidP="00441B6F">
      <w:pPr>
        <w:pStyle w:val="Body"/>
        <w:spacing w:after="0"/>
        <w:rPr>
          <w:rFonts w:ascii="Arial" w:hAnsi="Arial" w:cs="Arial"/>
        </w:rPr>
      </w:pPr>
    </w:p>
    <w:p w14:paraId="70543B1A" w14:textId="77777777" w:rsidR="00790ADA" w:rsidRPr="00FB3A86" w:rsidRDefault="00790ADA" w:rsidP="00441B6F">
      <w:pPr>
        <w:pStyle w:val="Body"/>
        <w:spacing w:after="0"/>
        <w:rPr>
          <w:rFonts w:ascii="Arial" w:hAnsi="Arial" w:cs="Arial"/>
        </w:rPr>
      </w:pPr>
    </w:p>
    <w:p w14:paraId="6A6C5445"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58E9D6C6" w14:textId="77777777" w:rsidR="00790ADA" w:rsidRPr="00FB3A86" w:rsidRDefault="00790ADA" w:rsidP="00441B6F">
      <w:pPr>
        <w:pStyle w:val="AbstHead"/>
        <w:spacing w:after="0"/>
        <w:jc w:val="both"/>
        <w:rPr>
          <w:rFonts w:ascii="Arial" w:hAnsi="Arial" w:cs="Arial"/>
        </w:rPr>
      </w:pPr>
    </w:p>
    <w:p w14:paraId="1DE13F80" w14:textId="77777777" w:rsidR="00561B74" w:rsidRDefault="00561B74" w:rsidP="00441B6F">
      <w:pPr>
        <w:pStyle w:val="Body"/>
        <w:spacing w:after="0"/>
        <w:rPr>
          <w:rFonts w:ascii="Arial" w:hAnsi="Arial" w:cs="Arial"/>
          <w:b/>
          <w:sz w:val="22"/>
        </w:rPr>
      </w:pPr>
      <w:r w:rsidRPr="00C30A0F">
        <w:rPr>
          <w:rFonts w:ascii="Arial" w:hAnsi="Arial" w:cs="Arial"/>
          <w:b/>
          <w:caps/>
          <w:sz w:val="22"/>
        </w:rPr>
        <w:t xml:space="preserve">2.1 </w:t>
      </w:r>
      <w:r>
        <w:rPr>
          <w:rFonts w:ascii="Arial" w:hAnsi="Arial" w:cs="Arial"/>
          <w:b/>
          <w:sz w:val="22"/>
        </w:rPr>
        <w:t>Animals and housing</w:t>
      </w:r>
      <w:r w:rsidRPr="00C30A0F">
        <w:rPr>
          <w:rFonts w:ascii="Arial" w:hAnsi="Arial" w:cs="Arial"/>
          <w:b/>
          <w:sz w:val="22"/>
        </w:rPr>
        <w:t xml:space="preserve"> </w:t>
      </w:r>
    </w:p>
    <w:p w14:paraId="654DD59C" w14:textId="77777777" w:rsidR="00A03B96" w:rsidRDefault="00A03B96" w:rsidP="00441B6F">
      <w:pPr>
        <w:pStyle w:val="Body"/>
        <w:spacing w:after="0"/>
        <w:rPr>
          <w:rFonts w:ascii="Arial" w:hAnsi="Arial" w:cs="Arial"/>
        </w:rPr>
      </w:pPr>
    </w:p>
    <w:p w14:paraId="76089FC7" w14:textId="77777777" w:rsidR="00561B74" w:rsidRPr="00561B74" w:rsidRDefault="00561B74" w:rsidP="00561B74">
      <w:pPr>
        <w:jc w:val="both"/>
        <w:rPr>
          <w:rFonts w:ascii="Arial" w:hAnsi="Arial" w:cs="Arial"/>
        </w:rPr>
      </w:pPr>
      <w:r w:rsidRPr="00561B74">
        <w:rPr>
          <w:rFonts w:ascii="Arial" w:hAnsi="Arial" w:cs="Arial"/>
        </w:rPr>
        <w:t xml:space="preserve">The trial took place in Côte d’Ivoire, at the experimental farm of the </w:t>
      </w:r>
      <w:proofErr w:type="spellStart"/>
      <w:r w:rsidRPr="00561B74">
        <w:rPr>
          <w:rFonts w:ascii="Arial" w:hAnsi="Arial" w:cs="Arial"/>
        </w:rPr>
        <w:t>Institut</w:t>
      </w:r>
      <w:proofErr w:type="spellEnd"/>
      <w:r w:rsidRPr="00561B74">
        <w:rPr>
          <w:rFonts w:ascii="Arial" w:hAnsi="Arial" w:cs="Arial"/>
        </w:rPr>
        <w:t xml:space="preserve"> National Polytechnique Félix Houphouët-Boigny (INP-HB) in Yamoussoukro. </w:t>
      </w:r>
    </w:p>
    <w:p w14:paraId="43E69AE4" w14:textId="77777777" w:rsidR="00561B74" w:rsidRPr="00561B74" w:rsidRDefault="00561B74" w:rsidP="00561B74">
      <w:pPr>
        <w:jc w:val="both"/>
        <w:rPr>
          <w:rFonts w:ascii="Arial" w:hAnsi="Arial" w:cs="Arial"/>
        </w:rPr>
      </w:pPr>
      <w:r w:rsidRPr="00561B74">
        <w:rPr>
          <w:rFonts w:ascii="Arial" w:hAnsi="Arial" w:cs="Arial"/>
        </w:rPr>
        <w:t>Thirty-six (36) male cane rats weaned at 42 ± 9 days with an average weight of 393 ± 92 g were used for this study. They were divided into three groups of 12 animals and housed in individual mesh metabolic cages measuring 50 cm long, 40 cm wide and 30 cm high. Thus, each animal constituted an experimental unit. The three animal groups were constituted taking into account the weaning weight in order to constitute homogeneous batches.</w:t>
      </w:r>
    </w:p>
    <w:p w14:paraId="00D0F194" w14:textId="77777777" w:rsidR="00790ADA" w:rsidRPr="00FB3A86" w:rsidRDefault="00790ADA" w:rsidP="00441B6F">
      <w:pPr>
        <w:pStyle w:val="Body"/>
        <w:spacing w:after="0"/>
        <w:rPr>
          <w:rFonts w:ascii="Arial" w:hAnsi="Arial" w:cs="Arial"/>
        </w:rPr>
      </w:pPr>
    </w:p>
    <w:p w14:paraId="6AD05896" w14:textId="77777777" w:rsidR="00AA74E0" w:rsidRPr="00561B74" w:rsidRDefault="00AA74E0" w:rsidP="00561B74">
      <w:pPr>
        <w:pStyle w:val="Body"/>
        <w:spacing w:after="0"/>
        <w:rPr>
          <w:rFonts w:ascii="Arial" w:hAnsi="Arial" w:cs="Arial"/>
          <w:b/>
          <w:sz w:val="22"/>
          <w:szCs w:val="22"/>
        </w:rPr>
      </w:pPr>
      <w:r w:rsidRPr="00561B74">
        <w:rPr>
          <w:rFonts w:ascii="Arial" w:hAnsi="Arial" w:cs="Arial"/>
          <w:b/>
          <w:sz w:val="22"/>
        </w:rPr>
        <w:t>2.</w:t>
      </w:r>
      <w:r w:rsidR="00561B74">
        <w:rPr>
          <w:rFonts w:ascii="Arial" w:hAnsi="Arial" w:cs="Arial"/>
          <w:b/>
          <w:sz w:val="22"/>
        </w:rPr>
        <w:t>2</w:t>
      </w:r>
      <w:r w:rsidRPr="00561B74">
        <w:rPr>
          <w:rFonts w:ascii="Arial" w:hAnsi="Arial" w:cs="Arial"/>
          <w:b/>
          <w:sz w:val="22"/>
        </w:rPr>
        <w:t xml:space="preserve"> </w:t>
      </w:r>
      <w:r w:rsidR="00561B74" w:rsidRPr="00561B74">
        <w:rPr>
          <w:rFonts w:ascii="Arial" w:hAnsi="Arial" w:cs="Arial"/>
          <w:b/>
          <w:sz w:val="22"/>
        </w:rPr>
        <w:t xml:space="preserve">Experimental Design and Diets </w:t>
      </w:r>
      <w:proofErr w:type="spellStart"/>
      <w:r w:rsidR="00561B74" w:rsidRPr="00561B74">
        <w:rPr>
          <w:rFonts w:ascii="Arial" w:hAnsi="Arial" w:cs="Arial"/>
          <w:b/>
          <w:sz w:val="22"/>
        </w:rPr>
        <w:t>Assesment</w:t>
      </w:r>
      <w:proofErr w:type="spellEnd"/>
      <w:r w:rsidRPr="00561B74">
        <w:rPr>
          <w:rFonts w:ascii="Arial" w:hAnsi="Arial" w:cs="Arial"/>
          <w:b/>
          <w:sz w:val="22"/>
        </w:rPr>
        <w:t xml:space="preserve"> </w:t>
      </w:r>
    </w:p>
    <w:p w14:paraId="55E35792" w14:textId="77777777" w:rsidR="00505F06" w:rsidRDefault="00505F06" w:rsidP="00441B6F">
      <w:pPr>
        <w:pStyle w:val="Body"/>
        <w:spacing w:after="0"/>
        <w:rPr>
          <w:rFonts w:ascii="Arial" w:hAnsi="Arial" w:cs="Arial"/>
        </w:rPr>
      </w:pPr>
    </w:p>
    <w:p w14:paraId="0DA362C5" w14:textId="77777777" w:rsidR="00561B74" w:rsidRDefault="00561B74" w:rsidP="00561B74">
      <w:pPr>
        <w:tabs>
          <w:tab w:val="left" w:pos="360"/>
        </w:tabs>
        <w:jc w:val="both"/>
        <w:rPr>
          <w:rFonts w:ascii="Arial" w:hAnsi="Arial" w:cs="Arial"/>
        </w:rPr>
      </w:pPr>
      <w:r w:rsidRPr="00561B74">
        <w:rPr>
          <w:rFonts w:ascii="Arial" w:hAnsi="Arial" w:cs="Arial"/>
        </w:rPr>
        <w:t xml:space="preserve">Three complete iso-protein pelleted diets containing 16% crude protein were used. The diets were formulated taking into account the range of </w:t>
      </w:r>
      <w:proofErr w:type="spellStart"/>
      <w:r w:rsidRPr="00561B74">
        <w:rPr>
          <w:rFonts w:ascii="Arial" w:hAnsi="Arial" w:cs="Arial"/>
        </w:rPr>
        <w:t>fibre</w:t>
      </w:r>
      <w:proofErr w:type="spellEnd"/>
      <w:r w:rsidRPr="00561B74">
        <w:rPr>
          <w:rFonts w:ascii="Arial" w:hAnsi="Arial" w:cs="Arial"/>
        </w:rPr>
        <w:t xml:space="preserve"> levels consistent with the digestive health of the growing cane rat.  So, the three experimental diets contained 17, 19, and 21% ADF </w:t>
      </w:r>
      <w:r w:rsidRPr="00561B74">
        <w:rPr>
          <w:rFonts w:ascii="Arial" w:hAnsi="Arial" w:cs="Arial"/>
        </w:rPr>
        <w:fldChar w:fldCharType="begin"/>
      </w:r>
      <w:r w:rsidRPr="00561B74">
        <w:rPr>
          <w:rFonts w:ascii="Arial" w:hAnsi="Arial" w:cs="Arial"/>
        </w:rPr>
        <w:instrText xml:space="preserve"> ADDIN EN.CITE &lt;EndNote&gt;&lt;Cite&gt;&lt;Author&gt;Van Soest&lt;/Author&gt;&lt;Year&gt;1991&lt;/Year&gt;&lt;RecNum&gt;22&lt;/RecNum&gt;&lt;DisplayText&gt;(Van Soest&lt;style face="italic"&gt; et al.&lt;/style&gt;, 1991)&lt;/DisplayText&gt;&lt;record&gt;&lt;rec-number&gt;22&lt;/rec-number&gt;&lt;foreign-keys&gt;&lt;key app="EN" db-id="95rwdpepzf52eae2e5dxxrxwasafevedepw0" timestamp="1773694964"&gt;22&lt;/key&gt;&lt;/foreign-keys&gt;&lt;ref-type name="Journal Article"&gt;17&lt;/ref-type&gt;&lt;contributors&gt;&lt;authors&gt;&lt;author&gt;Van Soest, P. J.&lt;/author&gt;&lt;author&gt;Robertson, J. B.&lt;/author&gt;&lt;author&gt;Lewis, B. A.&lt;/author&gt;&lt;/authors&gt;&lt;/contributors&gt;&lt;titles&gt;&lt;title&gt;Methods for Dietary Fiber, Neutral Detergent Fiber, and Nonstarch Polysaccharides in Relation to Animal Nutrition&lt;/title&gt;&lt;secondary-title&gt;Journal of Dairy Science&lt;/secondary-title&gt;&lt;/titles&gt;&lt;periodical&gt;&lt;full-title&gt;Journal of Dairy Science&lt;/full-title&gt;&lt;/periodical&gt;&lt;pages&gt;3583-3597&lt;/pages&gt;&lt;volume&gt;74&lt;/volume&gt;&lt;number&gt;10&lt;/number&gt;&lt;keywords&gt;&lt;keyword&gt;dietary fiber&lt;/keyword&gt;&lt;keyword&gt;neutral detergent fiber&lt;/keyword&gt;&lt;keyword&gt;nonstarch polysaccharides&lt;/keyword&gt;&lt;/keywords&gt;&lt;dates&gt;&lt;year&gt;1991&lt;/year&gt;&lt;pub-dates&gt;&lt;date&gt;1991/10/01/&lt;/date&gt;&lt;/pub-dates&gt;&lt;/dates&gt;&lt;isbn&gt;0022-0302&lt;/isbn&gt;&lt;urls&gt;&lt;related-urls&gt;&lt;url&gt;https://www.sciencedirect.com/science/article/pii/S0022030291785512&lt;/url&gt;&lt;/related-urls&gt;&lt;/urls&gt;&lt;electronic-resource-num&gt;10.3168/jds.S0022-0302(91)78551-2&lt;/electronic-resource-num&gt;&lt;/record&gt;&lt;/Cite&gt;&lt;/EndNote&gt;</w:instrText>
      </w:r>
      <w:r w:rsidRPr="00561B74">
        <w:rPr>
          <w:rFonts w:ascii="Arial" w:hAnsi="Arial" w:cs="Arial"/>
        </w:rPr>
        <w:fldChar w:fldCharType="separate"/>
      </w:r>
      <w:r w:rsidRPr="00561B74">
        <w:rPr>
          <w:rFonts w:ascii="Arial" w:hAnsi="Arial" w:cs="Arial"/>
        </w:rPr>
        <w:t>(Van Soest et al., 1991)</w:t>
      </w:r>
      <w:r w:rsidRPr="00561B74">
        <w:rPr>
          <w:rFonts w:ascii="Arial" w:hAnsi="Arial" w:cs="Arial"/>
        </w:rPr>
        <w:fldChar w:fldCharType="end"/>
      </w:r>
      <w:r w:rsidRPr="00561B74">
        <w:rPr>
          <w:rFonts w:ascii="Arial" w:hAnsi="Arial" w:cs="Arial"/>
        </w:rPr>
        <w:t>, respectively. They consisted mainly of elephant grass (</w:t>
      </w:r>
      <w:r w:rsidRPr="00946F73">
        <w:rPr>
          <w:rFonts w:ascii="Arial" w:hAnsi="Arial" w:cs="Arial"/>
          <w:i/>
          <w:iCs/>
        </w:rPr>
        <w:t>Pennisetum purpureum</w:t>
      </w:r>
      <w:r w:rsidRPr="00561B74">
        <w:rPr>
          <w:rFonts w:ascii="Arial" w:hAnsi="Arial" w:cs="Arial"/>
        </w:rPr>
        <w:t>), cottonseed meal, wheat bran, corn grain, soybean meal, oyster shell flour, salt, vitamins and minerals mixture.  These ingredients were pelleted after mixing and grinding. The proportions of the ingredients as well as their chemical compositions are given in Table 1.</w:t>
      </w:r>
    </w:p>
    <w:p w14:paraId="5010D42A" w14:textId="77777777" w:rsidR="00A464BB" w:rsidRDefault="00A464BB" w:rsidP="00561B74">
      <w:pPr>
        <w:tabs>
          <w:tab w:val="left" w:pos="360"/>
        </w:tabs>
        <w:jc w:val="both"/>
        <w:rPr>
          <w:rFonts w:ascii="Arial" w:hAnsi="Arial" w:cs="Arial"/>
        </w:rPr>
      </w:pPr>
    </w:p>
    <w:p w14:paraId="30A83CBB" w14:textId="77777777" w:rsidR="00453404" w:rsidRPr="00F64B85" w:rsidRDefault="00453404" w:rsidP="00453404">
      <w:pPr>
        <w:pStyle w:val="Caption"/>
        <w:keepNext/>
        <w:spacing w:after="0" w:line="480" w:lineRule="auto"/>
        <w:rPr>
          <w:rFonts w:ascii="Arial" w:eastAsia="Times New Roman" w:hAnsi="Arial" w:cs="Arial"/>
          <w:b/>
          <w:bCs/>
          <w:i w:val="0"/>
          <w:iCs w:val="0"/>
          <w:color w:val="auto"/>
          <w:sz w:val="20"/>
          <w:szCs w:val="20"/>
          <w:lang w:val="en-US"/>
        </w:rPr>
      </w:pPr>
      <w:r w:rsidRPr="00F64B85">
        <w:rPr>
          <w:rFonts w:ascii="Arial" w:eastAsia="Times New Roman" w:hAnsi="Arial" w:cs="Arial"/>
          <w:b/>
          <w:bCs/>
          <w:i w:val="0"/>
          <w:iCs w:val="0"/>
          <w:color w:val="auto"/>
          <w:sz w:val="20"/>
          <w:szCs w:val="20"/>
          <w:lang w:val="en-US"/>
        </w:rPr>
        <w:t>Table 1. Composition of experimental diets</w:t>
      </w:r>
    </w:p>
    <w:tbl>
      <w:tblPr>
        <w:tblW w:w="0" w:type="auto"/>
        <w:jc w:val="center"/>
        <w:tblBorders>
          <w:top w:val="single" w:sz="8" w:space="0" w:color="000000"/>
          <w:bottom w:val="single" w:sz="8" w:space="0" w:color="000000"/>
        </w:tblBorders>
        <w:tblLook w:val="07A0" w:firstRow="1" w:lastRow="0" w:firstColumn="1" w:lastColumn="1" w:noHBand="1" w:noVBand="1"/>
      </w:tblPr>
      <w:tblGrid>
        <w:gridCol w:w="3531"/>
        <w:gridCol w:w="1198"/>
        <w:gridCol w:w="1212"/>
        <w:gridCol w:w="1211"/>
      </w:tblGrid>
      <w:tr w:rsidR="00453404" w:rsidRPr="00453404" w14:paraId="47DED6A3" w14:textId="77777777" w:rsidTr="00863509">
        <w:trPr>
          <w:trHeight w:val="353"/>
          <w:jc w:val="center"/>
        </w:trPr>
        <w:tc>
          <w:tcPr>
            <w:tcW w:w="3531" w:type="dxa"/>
            <w:tcBorders>
              <w:top w:val="single" w:sz="8" w:space="0" w:color="000000"/>
              <w:left w:val="nil"/>
              <w:bottom w:val="single" w:sz="8" w:space="0" w:color="000000"/>
              <w:right w:val="nil"/>
            </w:tcBorders>
            <w:vAlign w:val="center"/>
            <w:hideMark/>
          </w:tcPr>
          <w:p w14:paraId="412E93DF" w14:textId="77777777" w:rsidR="00453404" w:rsidRPr="00F64B85" w:rsidRDefault="00453404" w:rsidP="00863509">
            <w:pPr>
              <w:tabs>
                <w:tab w:val="left" w:pos="360"/>
              </w:tabs>
              <w:rPr>
                <w:rFonts w:ascii="Arial" w:hAnsi="Arial" w:cs="Arial"/>
                <w:b/>
                <w:bCs/>
              </w:rPr>
            </w:pPr>
            <w:r w:rsidRPr="00F64B85">
              <w:rPr>
                <w:rFonts w:ascii="Arial" w:hAnsi="Arial" w:cs="Arial"/>
                <w:b/>
                <w:bCs/>
              </w:rPr>
              <w:t>Diets</w:t>
            </w:r>
          </w:p>
        </w:tc>
        <w:tc>
          <w:tcPr>
            <w:tcW w:w="1198" w:type="dxa"/>
            <w:tcBorders>
              <w:top w:val="single" w:sz="8" w:space="0" w:color="000000"/>
              <w:left w:val="nil"/>
              <w:bottom w:val="single" w:sz="8" w:space="0" w:color="000000"/>
              <w:right w:val="nil"/>
            </w:tcBorders>
            <w:vAlign w:val="center"/>
            <w:hideMark/>
          </w:tcPr>
          <w:p w14:paraId="32EBA5DC"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17</w:t>
            </w:r>
          </w:p>
        </w:tc>
        <w:tc>
          <w:tcPr>
            <w:tcW w:w="1212" w:type="dxa"/>
            <w:tcBorders>
              <w:top w:val="single" w:sz="8" w:space="0" w:color="000000"/>
              <w:left w:val="nil"/>
              <w:bottom w:val="single" w:sz="8" w:space="0" w:color="000000"/>
              <w:right w:val="nil"/>
            </w:tcBorders>
            <w:vAlign w:val="center"/>
            <w:hideMark/>
          </w:tcPr>
          <w:p w14:paraId="1546A637"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19</w:t>
            </w:r>
          </w:p>
        </w:tc>
        <w:tc>
          <w:tcPr>
            <w:tcW w:w="1211" w:type="dxa"/>
            <w:tcBorders>
              <w:top w:val="single" w:sz="8" w:space="0" w:color="000000"/>
              <w:left w:val="nil"/>
              <w:bottom w:val="single" w:sz="8" w:space="0" w:color="000000"/>
              <w:right w:val="nil"/>
            </w:tcBorders>
            <w:vAlign w:val="center"/>
            <w:hideMark/>
          </w:tcPr>
          <w:p w14:paraId="526355C9"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21</w:t>
            </w:r>
          </w:p>
        </w:tc>
      </w:tr>
      <w:tr w:rsidR="00453404" w:rsidRPr="00453404" w14:paraId="1BF53D50" w14:textId="77777777" w:rsidTr="00863509">
        <w:trPr>
          <w:trHeight w:val="272"/>
          <w:jc w:val="center"/>
        </w:trPr>
        <w:tc>
          <w:tcPr>
            <w:tcW w:w="7152" w:type="dxa"/>
            <w:gridSpan w:val="4"/>
            <w:tcBorders>
              <w:top w:val="nil"/>
              <w:left w:val="nil"/>
              <w:bottom w:val="nil"/>
              <w:right w:val="nil"/>
            </w:tcBorders>
            <w:vAlign w:val="center"/>
            <w:hideMark/>
          </w:tcPr>
          <w:p w14:paraId="4ADD0428" w14:textId="77777777" w:rsidR="00453404" w:rsidRPr="00F64B85" w:rsidRDefault="00453404" w:rsidP="00863509">
            <w:pPr>
              <w:jc w:val="center"/>
              <w:rPr>
                <w:rFonts w:ascii="Arial" w:hAnsi="Arial" w:cs="Arial"/>
                <w:b/>
                <w:bCs/>
              </w:rPr>
            </w:pPr>
            <w:r w:rsidRPr="00F64B85">
              <w:rPr>
                <w:rFonts w:ascii="Arial" w:hAnsi="Arial" w:cs="Arial"/>
                <w:b/>
                <w:bCs/>
              </w:rPr>
              <w:t>Proportions of ingredients (% raw product)</w:t>
            </w:r>
          </w:p>
        </w:tc>
      </w:tr>
      <w:tr w:rsidR="00453404" w:rsidRPr="00453404" w14:paraId="12D0E4C3" w14:textId="77777777" w:rsidTr="00863509">
        <w:trPr>
          <w:trHeight w:val="285"/>
          <w:jc w:val="center"/>
        </w:trPr>
        <w:tc>
          <w:tcPr>
            <w:tcW w:w="3531" w:type="dxa"/>
            <w:tcBorders>
              <w:top w:val="nil"/>
              <w:left w:val="nil"/>
              <w:bottom w:val="nil"/>
              <w:right w:val="nil"/>
            </w:tcBorders>
            <w:hideMark/>
          </w:tcPr>
          <w:p w14:paraId="2A3DE42E" w14:textId="77777777" w:rsidR="00453404" w:rsidRPr="00453404" w:rsidRDefault="00453404" w:rsidP="00863509">
            <w:pPr>
              <w:tabs>
                <w:tab w:val="left" w:pos="360"/>
              </w:tabs>
              <w:rPr>
                <w:rFonts w:ascii="Arial" w:hAnsi="Arial" w:cs="Arial"/>
              </w:rPr>
            </w:pPr>
            <w:r w:rsidRPr="00453404">
              <w:rPr>
                <w:rFonts w:ascii="Arial" w:hAnsi="Arial" w:cs="Arial"/>
              </w:rPr>
              <w:t>Pennisetum purpureum</w:t>
            </w:r>
          </w:p>
        </w:tc>
        <w:tc>
          <w:tcPr>
            <w:tcW w:w="1198" w:type="dxa"/>
            <w:tcBorders>
              <w:top w:val="nil"/>
              <w:left w:val="nil"/>
              <w:bottom w:val="nil"/>
              <w:right w:val="nil"/>
            </w:tcBorders>
            <w:vAlign w:val="center"/>
            <w:hideMark/>
          </w:tcPr>
          <w:p w14:paraId="23678271" w14:textId="77777777" w:rsidR="00453404" w:rsidRPr="00453404" w:rsidRDefault="00453404" w:rsidP="00863509">
            <w:pPr>
              <w:jc w:val="right"/>
              <w:rPr>
                <w:rFonts w:ascii="Arial" w:hAnsi="Arial" w:cs="Arial"/>
              </w:rPr>
            </w:pPr>
            <w:r w:rsidRPr="00453404">
              <w:rPr>
                <w:rFonts w:ascii="Arial" w:hAnsi="Arial" w:cs="Arial"/>
              </w:rPr>
              <w:t>39.2</w:t>
            </w:r>
          </w:p>
        </w:tc>
        <w:tc>
          <w:tcPr>
            <w:tcW w:w="1212" w:type="dxa"/>
            <w:tcBorders>
              <w:top w:val="nil"/>
              <w:left w:val="nil"/>
              <w:bottom w:val="nil"/>
              <w:right w:val="nil"/>
            </w:tcBorders>
            <w:vAlign w:val="center"/>
            <w:hideMark/>
          </w:tcPr>
          <w:p w14:paraId="5503F8B3" w14:textId="77777777" w:rsidR="00453404" w:rsidRPr="00453404" w:rsidRDefault="00453404" w:rsidP="00863509">
            <w:pPr>
              <w:jc w:val="right"/>
              <w:rPr>
                <w:rFonts w:ascii="Arial" w:hAnsi="Arial" w:cs="Arial"/>
              </w:rPr>
            </w:pPr>
            <w:r w:rsidRPr="00453404">
              <w:rPr>
                <w:rFonts w:ascii="Arial" w:hAnsi="Arial" w:cs="Arial"/>
              </w:rPr>
              <w:t>41.4</w:t>
            </w:r>
          </w:p>
        </w:tc>
        <w:tc>
          <w:tcPr>
            <w:tcW w:w="1211" w:type="dxa"/>
            <w:tcBorders>
              <w:top w:val="nil"/>
              <w:left w:val="nil"/>
              <w:bottom w:val="nil"/>
              <w:right w:val="nil"/>
            </w:tcBorders>
            <w:vAlign w:val="center"/>
          </w:tcPr>
          <w:p w14:paraId="1468C817" w14:textId="77777777" w:rsidR="00453404" w:rsidRPr="00453404" w:rsidRDefault="00453404" w:rsidP="00863509">
            <w:pPr>
              <w:jc w:val="right"/>
              <w:rPr>
                <w:rFonts w:ascii="Arial" w:hAnsi="Arial" w:cs="Arial"/>
              </w:rPr>
            </w:pPr>
            <w:r w:rsidRPr="00453404">
              <w:rPr>
                <w:rFonts w:ascii="Arial" w:hAnsi="Arial" w:cs="Arial"/>
              </w:rPr>
              <w:t>47.5</w:t>
            </w:r>
          </w:p>
        </w:tc>
      </w:tr>
      <w:tr w:rsidR="00453404" w:rsidRPr="00453404" w14:paraId="141B5276" w14:textId="77777777" w:rsidTr="00863509">
        <w:trPr>
          <w:jc w:val="center"/>
        </w:trPr>
        <w:tc>
          <w:tcPr>
            <w:tcW w:w="3531" w:type="dxa"/>
            <w:tcBorders>
              <w:top w:val="nil"/>
              <w:left w:val="nil"/>
              <w:bottom w:val="nil"/>
              <w:right w:val="nil"/>
            </w:tcBorders>
            <w:hideMark/>
          </w:tcPr>
          <w:p w14:paraId="72E4CE79" w14:textId="77777777" w:rsidR="00453404" w:rsidRPr="00453404" w:rsidRDefault="00453404" w:rsidP="00863509">
            <w:pPr>
              <w:tabs>
                <w:tab w:val="left" w:pos="360"/>
              </w:tabs>
              <w:rPr>
                <w:rFonts w:ascii="Arial" w:hAnsi="Arial" w:cs="Arial"/>
              </w:rPr>
            </w:pPr>
            <w:r w:rsidRPr="00453404">
              <w:rPr>
                <w:rFonts w:ascii="Arial" w:hAnsi="Arial" w:cs="Arial"/>
              </w:rPr>
              <w:t>Wheat bran</w:t>
            </w:r>
          </w:p>
        </w:tc>
        <w:tc>
          <w:tcPr>
            <w:tcW w:w="1198" w:type="dxa"/>
            <w:tcBorders>
              <w:top w:val="nil"/>
              <w:left w:val="nil"/>
              <w:bottom w:val="nil"/>
              <w:right w:val="nil"/>
            </w:tcBorders>
            <w:vAlign w:val="center"/>
            <w:hideMark/>
          </w:tcPr>
          <w:p w14:paraId="4ED1FCA8" w14:textId="77777777" w:rsidR="00453404" w:rsidRPr="00453404" w:rsidRDefault="00453404" w:rsidP="00863509">
            <w:pPr>
              <w:jc w:val="right"/>
              <w:rPr>
                <w:rFonts w:ascii="Arial" w:hAnsi="Arial" w:cs="Arial"/>
              </w:rPr>
            </w:pPr>
            <w:r w:rsidRPr="00453404">
              <w:rPr>
                <w:rFonts w:ascii="Arial" w:hAnsi="Arial" w:cs="Arial"/>
              </w:rPr>
              <w:t>3</w:t>
            </w:r>
          </w:p>
        </w:tc>
        <w:tc>
          <w:tcPr>
            <w:tcW w:w="1212" w:type="dxa"/>
            <w:tcBorders>
              <w:top w:val="nil"/>
              <w:left w:val="nil"/>
              <w:bottom w:val="nil"/>
              <w:right w:val="nil"/>
            </w:tcBorders>
            <w:vAlign w:val="center"/>
            <w:hideMark/>
          </w:tcPr>
          <w:p w14:paraId="68D686E1" w14:textId="77777777" w:rsidR="00453404" w:rsidRPr="00453404" w:rsidRDefault="00453404" w:rsidP="00863509">
            <w:pPr>
              <w:jc w:val="right"/>
              <w:rPr>
                <w:rFonts w:ascii="Arial" w:hAnsi="Arial" w:cs="Arial"/>
              </w:rPr>
            </w:pPr>
            <w:r w:rsidRPr="00453404">
              <w:rPr>
                <w:rFonts w:ascii="Arial" w:hAnsi="Arial" w:cs="Arial"/>
              </w:rPr>
              <w:t>15</w:t>
            </w:r>
          </w:p>
        </w:tc>
        <w:tc>
          <w:tcPr>
            <w:tcW w:w="1211" w:type="dxa"/>
            <w:tcBorders>
              <w:top w:val="nil"/>
              <w:left w:val="nil"/>
              <w:bottom w:val="nil"/>
              <w:right w:val="nil"/>
            </w:tcBorders>
            <w:vAlign w:val="center"/>
          </w:tcPr>
          <w:p w14:paraId="09015B61" w14:textId="77777777" w:rsidR="00453404" w:rsidRPr="00453404" w:rsidRDefault="00453404" w:rsidP="00863509">
            <w:pPr>
              <w:jc w:val="right"/>
              <w:rPr>
                <w:rFonts w:ascii="Arial" w:hAnsi="Arial" w:cs="Arial"/>
              </w:rPr>
            </w:pPr>
            <w:r w:rsidRPr="00453404">
              <w:rPr>
                <w:rFonts w:ascii="Arial" w:hAnsi="Arial" w:cs="Arial"/>
              </w:rPr>
              <w:t>15</w:t>
            </w:r>
          </w:p>
        </w:tc>
      </w:tr>
      <w:tr w:rsidR="00453404" w:rsidRPr="00453404" w14:paraId="55D760E4" w14:textId="77777777" w:rsidTr="00863509">
        <w:trPr>
          <w:jc w:val="center"/>
        </w:trPr>
        <w:tc>
          <w:tcPr>
            <w:tcW w:w="3531" w:type="dxa"/>
            <w:tcBorders>
              <w:top w:val="nil"/>
              <w:left w:val="nil"/>
              <w:bottom w:val="nil"/>
              <w:right w:val="nil"/>
            </w:tcBorders>
            <w:hideMark/>
          </w:tcPr>
          <w:p w14:paraId="77373183" w14:textId="77777777" w:rsidR="00453404" w:rsidRPr="00453404" w:rsidRDefault="00453404" w:rsidP="00863509">
            <w:pPr>
              <w:tabs>
                <w:tab w:val="left" w:pos="360"/>
              </w:tabs>
              <w:rPr>
                <w:rFonts w:ascii="Arial" w:hAnsi="Arial" w:cs="Arial"/>
              </w:rPr>
            </w:pPr>
            <w:r w:rsidRPr="00453404">
              <w:rPr>
                <w:rFonts w:ascii="Arial" w:hAnsi="Arial" w:cs="Arial"/>
              </w:rPr>
              <w:t>Cottonseed meal</w:t>
            </w:r>
          </w:p>
        </w:tc>
        <w:tc>
          <w:tcPr>
            <w:tcW w:w="1198" w:type="dxa"/>
            <w:tcBorders>
              <w:top w:val="nil"/>
              <w:left w:val="nil"/>
              <w:bottom w:val="nil"/>
              <w:right w:val="nil"/>
            </w:tcBorders>
            <w:vAlign w:val="center"/>
          </w:tcPr>
          <w:p w14:paraId="1B7354B8" w14:textId="77777777" w:rsidR="00453404" w:rsidRPr="00453404" w:rsidRDefault="00453404" w:rsidP="00863509">
            <w:pPr>
              <w:jc w:val="right"/>
              <w:rPr>
                <w:rFonts w:ascii="Arial" w:hAnsi="Arial" w:cs="Arial"/>
              </w:rPr>
            </w:pPr>
            <w:r w:rsidRPr="00453404">
              <w:rPr>
                <w:rFonts w:ascii="Arial" w:hAnsi="Arial" w:cs="Arial"/>
              </w:rPr>
              <w:t>7.6</w:t>
            </w:r>
          </w:p>
        </w:tc>
        <w:tc>
          <w:tcPr>
            <w:tcW w:w="1212" w:type="dxa"/>
            <w:tcBorders>
              <w:top w:val="nil"/>
              <w:left w:val="nil"/>
              <w:bottom w:val="nil"/>
              <w:right w:val="nil"/>
            </w:tcBorders>
            <w:vAlign w:val="center"/>
          </w:tcPr>
          <w:p w14:paraId="3285E080" w14:textId="77777777" w:rsidR="00453404" w:rsidRPr="00453404" w:rsidRDefault="00453404" w:rsidP="00863509">
            <w:pPr>
              <w:jc w:val="right"/>
              <w:rPr>
                <w:rFonts w:ascii="Arial" w:hAnsi="Arial" w:cs="Arial"/>
              </w:rPr>
            </w:pPr>
            <w:r w:rsidRPr="00453404">
              <w:rPr>
                <w:rFonts w:ascii="Arial" w:hAnsi="Arial" w:cs="Arial"/>
              </w:rPr>
              <w:t>10</w:t>
            </w:r>
          </w:p>
        </w:tc>
        <w:tc>
          <w:tcPr>
            <w:tcW w:w="1211" w:type="dxa"/>
            <w:tcBorders>
              <w:top w:val="nil"/>
              <w:left w:val="nil"/>
              <w:bottom w:val="nil"/>
              <w:right w:val="nil"/>
            </w:tcBorders>
            <w:vAlign w:val="center"/>
          </w:tcPr>
          <w:p w14:paraId="5502572E" w14:textId="77777777" w:rsidR="00453404" w:rsidRPr="00453404" w:rsidRDefault="00453404" w:rsidP="00863509">
            <w:pPr>
              <w:jc w:val="right"/>
              <w:rPr>
                <w:rFonts w:ascii="Arial" w:hAnsi="Arial" w:cs="Arial"/>
              </w:rPr>
            </w:pPr>
            <w:r w:rsidRPr="00453404">
              <w:rPr>
                <w:rFonts w:ascii="Arial" w:hAnsi="Arial" w:cs="Arial"/>
              </w:rPr>
              <w:t>10</w:t>
            </w:r>
          </w:p>
        </w:tc>
      </w:tr>
      <w:tr w:rsidR="00453404" w:rsidRPr="00453404" w14:paraId="5D7910FC" w14:textId="77777777" w:rsidTr="00863509">
        <w:trPr>
          <w:jc w:val="center"/>
        </w:trPr>
        <w:tc>
          <w:tcPr>
            <w:tcW w:w="3531" w:type="dxa"/>
            <w:tcBorders>
              <w:top w:val="nil"/>
              <w:left w:val="nil"/>
              <w:bottom w:val="nil"/>
              <w:right w:val="nil"/>
            </w:tcBorders>
            <w:hideMark/>
          </w:tcPr>
          <w:p w14:paraId="42ACFB39" w14:textId="77777777" w:rsidR="00453404" w:rsidRPr="00453404" w:rsidRDefault="00453404" w:rsidP="00863509">
            <w:pPr>
              <w:tabs>
                <w:tab w:val="left" w:pos="360"/>
                <w:tab w:val="center" w:pos="1656"/>
              </w:tabs>
              <w:rPr>
                <w:rFonts w:ascii="Arial" w:hAnsi="Arial" w:cs="Arial"/>
              </w:rPr>
            </w:pPr>
            <w:bookmarkStart w:id="0" w:name="_Hlk160794964"/>
            <w:r w:rsidRPr="00453404">
              <w:rPr>
                <w:rFonts w:ascii="Arial" w:hAnsi="Arial" w:cs="Arial"/>
              </w:rPr>
              <w:t>Corn grain</w:t>
            </w:r>
          </w:p>
        </w:tc>
        <w:tc>
          <w:tcPr>
            <w:tcW w:w="1198" w:type="dxa"/>
            <w:tcBorders>
              <w:top w:val="nil"/>
              <w:left w:val="nil"/>
              <w:bottom w:val="nil"/>
              <w:right w:val="nil"/>
            </w:tcBorders>
            <w:vAlign w:val="center"/>
          </w:tcPr>
          <w:p w14:paraId="012E7EDF" w14:textId="77777777" w:rsidR="00453404" w:rsidRPr="00453404" w:rsidRDefault="00453404" w:rsidP="00863509">
            <w:pPr>
              <w:jc w:val="right"/>
              <w:rPr>
                <w:rFonts w:ascii="Arial" w:hAnsi="Arial" w:cs="Arial"/>
              </w:rPr>
            </w:pPr>
            <w:r w:rsidRPr="00453404">
              <w:rPr>
                <w:rFonts w:ascii="Arial" w:hAnsi="Arial" w:cs="Arial"/>
              </w:rPr>
              <w:t>37.3</w:t>
            </w:r>
          </w:p>
        </w:tc>
        <w:tc>
          <w:tcPr>
            <w:tcW w:w="1212" w:type="dxa"/>
            <w:tcBorders>
              <w:top w:val="nil"/>
              <w:left w:val="nil"/>
              <w:bottom w:val="nil"/>
              <w:right w:val="nil"/>
            </w:tcBorders>
            <w:vAlign w:val="center"/>
          </w:tcPr>
          <w:p w14:paraId="6FC5D739" w14:textId="77777777" w:rsidR="00453404" w:rsidRPr="00453404" w:rsidRDefault="00453404" w:rsidP="00863509">
            <w:pPr>
              <w:jc w:val="right"/>
              <w:rPr>
                <w:rFonts w:ascii="Arial" w:hAnsi="Arial" w:cs="Arial"/>
              </w:rPr>
            </w:pPr>
            <w:r w:rsidRPr="00453404">
              <w:rPr>
                <w:rFonts w:ascii="Arial" w:hAnsi="Arial" w:cs="Arial"/>
              </w:rPr>
              <w:t>24.4</w:t>
            </w:r>
          </w:p>
        </w:tc>
        <w:tc>
          <w:tcPr>
            <w:tcW w:w="1211" w:type="dxa"/>
            <w:tcBorders>
              <w:top w:val="nil"/>
              <w:left w:val="nil"/>
              <w:bottom w:val="nil"/>
              <w:right w:val="nil"/>
            </w:tcBorders>
            <w:vAlign w:val="center"/>
          </w:tcPr>
          <w:p w14:paraId="13DE97FA" w14:textId="77777777" w:rsidR="00453404" w:rsidRPr="00453404" w:rsidRDefault="00453404" w:rsidP="00863509">
            <w:pPr>
              <w:jc w:val="right"/>
              <w:rPr>
                <w:rFonts w:ascii="Arial" w:hAnsi="Arial" w:cs="Arial"/>
              </w:rPr>
            </w:pPr>
            <w:r w:rsidRPr="00453404">
              <w:rPr>
                <w:rFonts w:ascii="Arial" w:hAnsi="Arial" w:cs="Arial"/>
              </w:rPr>
              <w:t>18.3</w:t>
            </w:r>
          </w:p>
        </w:tc>
      </w:tr>
      <w:tr w:rsidR="00453404" w:rsidRPr="00453404" w14:paraId="4A4271C5" w14:textId="77777777" w:rsidTr="00863509">
        <w:trPr>
          <w:jc w:val="center"/>
        </w:trPr>
        <w:tc>
          <w:tcPr>
            <w:tcW w:w="3531" w:type="dxa"/>
            <w:tcBorders>
              <w:top w:val="nil"/>
              <w:left w:val="nil"/>
              <w:bottom w:val="nil"/>
              <w:right w:val="nil"/>
            </w:tcBorders>
            <w:hideMark/>
          </w:tcPr>
          <w:p w14:paraId="088D721C" w14:textId="77777777" w:rsidR="00453404" w:rsidRPr="00453404" w:rsidRDefault="00453404" w:rsidP="00863509">
            <w:pPr>
              <w:tabs>
                <w:tab w:val="left" w:pos="360"/>
              </w:tabs>
              <w:rPr>
                <w:rFonts w:ascii="Arial" w:hAnsi="Arial" w:cs="Arial"/>
              </w:rPr>
            </w:pPr>
            <w:r w:rsidRPr="00453404">
              <w:rPr>
                <w:rFonts w:ascii="Arial" w:hAnsi="Arial" w:cs="Arial"/>
              </w:rPr>
              <w:t>Soybean meal</w:t>
            </w:r>
          </w:p>
        </w:tc>
        <w:tc>
          <w:tcPr>
            <w:tcW w:w="1198" w:type="dxa"/>
            <w:tcBorders>
              <w:top w:val="nil"/>
              <w:left w:val="nil"/>
              <w:bottom w:val="nil"/>
              <w:right w:val="nil"/>
            </w:tcBorders>
            <w:vAlign w:val="center"/>
          </w:tcPr>
          <w:p w14:paraId="355F587D" w14:textId="77777777" w:rsidR="00453404" w:rsidRPr="00453404" w:rsidRDefault="00453404" w:rsidP="00863509">
            <w:pPr>
              <w:jc w:val="right"/>
              <w:rPr>
                <w:rFonts w:ascii="Arial" w:hAnsi="Arial" w:cs="Arial"/>
              </w:rPr>
            </w:pPr>
            <w:r w:rsidRPr="00453404">
              <w:rPr>
                <w:rFonts w:ascii="Arial" w:hAnsi="Arial" w:cs="Arial"/>
              </w:rPr>
              <w:t>10.9</w:t>
            </w:r>
          </w:p>
        </w:tc>
        <w:tc>
          <w:tcPr>
            <w:tcW w:w="1212" w:type="dxa"/>
            <w:tcBorders>
              <w:top w:val="nil"/>
              <w:left w:val="nil"/>
              <w:bottom w:val="nil"/>
              <w:right w:val="nil"/>
            </w:tcBorders>
            <w:vAlign w:val="center"/>
          </w:tcPr>
          <w:p w14:paraId="25D295B8" w14:textId="77777777" w:rsidR="00453404" w:rsidRPr="00453404" w:rsidRDefault="00453404" w:rsidP="00863509">
            <w:pPr>
              <w:jc w:val="right"/>
              <w:rPr>
                <w:rFonts w:ascii="Arial" w:hAnsi="Arial" w:cs="Arial"/>
              </w:rPr>
            </w:pPr>
            <w:r w:rsidRPr="00453404">
              <w:rPr>
                <w:rFonts w:ascii="Arial" w:hAnsi="Arial" w:cs="Arial"/>
              </w:rPr>
              <w:t>7.1</w:t>
            </w:r>
          </w:p>
        </w:tc>
        <w:tc>
          <w:tcPr>
            <w:tcW w:w="1211" w:type="dxa"/>
            <w:tcBorders>
              <w:top w:val="nil"/>
              <w:left w:val="nil"/>
              <w:bottom w:val="nil"/>
              <w:right w:val="nil"/>
            </w:tcBorders>
            <w:vAlign w:val="center"/>
          </w:tcPr>
          <w:p w14:paraId="1AC67350" w14:textId="77777777" w:rsidR="00453404" w:rsidRPr="00453404" w:rsidRDefault="00453404" w:rsidP="00863509">
            <w:pPr>
              <w:jc w:val="right"/>
              <w:rPr>
                <w:rFonts w:ascii="Arial" w:hAnsi="Arial" w:cs="Arial"/>
              </w:rPr>
            </w:pPr>
            <w:r w:rsidRPr="00453404">
              <w:rPr>
                <w:rFonts w:ascii="Arial" w:hAnsi="Arial" w:cs="Arial"/>
              </w:rPr>
              <w:t>7.2</w:t>
            </w:r>
          </w:p>
        </w:tc>
      </w:tr>
      <w:tr w:rsidR="00453404" w:rsidRPr="00453404" w14:paraId="6FBAB7D6" w14:textId="77777777" w:rsidTr="00863509">
        <w:trPr>
          <w:jc w:val="center"/>
        </w:trPr>
        <w:tc>
          <w:tcPr>
            <w:tcW w:w="3531" w:type="dxa"/>
            <w:tcBorders>
              <w:top w:val="nil"/>
              <w:left w:val="nil"/>
              <w:bottom w:val="nil"/>
              <w:right w:val="nil"/>
            </w:tcBorders>
            <w:hideMark/>
          </w:tcPr>
          <w:p w14:paraId="721364C3" w14:textId="77777777" w:rsidR="00453404" w:rsidRPr="00453404" w:rsidRDefault="00453404" w:rsidP="00863509">
            <w:pPr>
              <w:tabs>
                <w:tab w:val="left" w:pos="360"/>
              </w:tabs>
              <w:rPr>
                <w:rFonts w:ascii="Arial" w:hAnsi="Arial" w:cs="Arial"/>
              </w:rPr>
            </w:pPr>
            <w:r w:rsidRPr="00453404">
              <w:rPr>
                <w:rFonts w:ascii="Arial" w:hAnsi="Arial" w:cs="Arial"/>
              </w:rPr>
              <w:t>Oyster shell flour</w:t>
            </w:r>
          </w:p>
        </w:tc>
        <w:tc>
          <w:tcPr>
            <w:tcW w:w="1198" w:type="dxa"/>
            <w:tcBorders>
              <w:top w:val="nil"/>
              <w:left w:val="nil"/>
              <w:bottom w:val="nil"/>
              <w:right w:val="nil"/>
            </w:tcBorders>
            <w:vAlign w:val="center"/>
          </w:tcPr>
          <w:p w14:paraId="6D0D70A4" w14:textId="77777777" w:rsidR="00453404" w:rsidRPr="00453404" w:rsidRDefault="00453404" w:rsidP="00863509">
            <w:pPr>
              <w:jc w:val="right"/>
              <w:rPr>
                <w:rFonts w:ascii="Arial" w:hAnsi="Arial" w:cs="Arial"/>
              </w:rPr>
            </w:pPr>
            <w:r w:rsidRPr="00453404">
              <w:rPr>
                <w:rFonts w:ascii="Arial" w:hAnsi="Arial" w:cs="Arial"/>
              </w:rPr>
              <w:t>0.5</w:t>
            </w:r>
          </w:p>
        </w:tc>
        <w:tc>
          <w:tcPr>
            <w:tcW w:w="1212" w:type="dxa"/>
            <w:tcBorders>
              <w:top w:val="nil"/>
              <w:left w:val="nil"/>
              <w:bottom w:val="nil"/>
              <w:right w:val="nil"/>
            </w:tcBorders>
            <w:vAlign w:val="center"/>
          </w:tcPr>
          <w:p w14:paraId="37A741AF" w14:textId="77777777" w:rsidR="00453404" w:rsidRPr="00453404" w:rsidRDefault="00453404" w:rsidP="00863509">
            <w:pPr>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268FA507" w14:textId="77777777" w:rsidR="00453404" w:rsidRPr="00453404" w:rsidRDefault="00453404" w:rsidP="00863509">
            <w:pPr>
              <w:jc w:val="right"/>
              <w:rPr>
                <w:rFonts w:ascii="Arial" w:hAnsi="Arial" w:cs="Arial"/>
              </w:rPr>
            </w:pPr>
            <w:r w:rsidRPr="00453404">
              <w:rPr>
                <w:rFonts w:ascii="Arial" w:hAnsi="Arial" w:cs="Arial"/>
              </w:rPr>
              <w:t>0.5</w:t>
            </w:r>
          </w:p>
        </w:tc>
      </w:tr>
      <w:tr w:rsidR="00453404" w:rsidRPr="00453404" w14:paraId="3D3D9B53" w14:textId="77777777" w:rsidTr="00863509">
        <w:trPr>
          <w:jc w:val="center"/>
        </w:trPr>
        <w:tc>
          <w:tcPr>
            <w:tcW w:w="3531" w:type="dxa"/>
            <w:tcBorders>
              <w:top w:val="nil"/>
              <w:left w:val="nil"/>
              <w:bottom w:val="nil"/>
              <w:right w:val="nil"/>
            </w:tcBorders>
            <w:hideMark/>
          </w:tcPr>
          <w:p w14:paraId="692B72B8" w14:textId="77777777" w:rsidR="00453404" w:rsidRPr="00453404" w:rsidRDefault="00453404" w:rsidP="00863509">
            <w:pPr>
              <w:tabs>
                <w:tab w:val="left" w:pos="360"/>
              </w:tabs>
              <w:rPr>
                <w:rFonts w:ascii="Arial" w:hAnsi="Arial" w:cs="Arial"/>
              </w:rPr>
            </w:pPr>
            <w:r w:rsidRPr="00453404">
              <w:rPr>
                <w:rFonts w:ascii="Arial" w:hAnsi="Arial" w:cs="Arial"/>
              </w:rPr>
              <w:t>Salt</w:t>
            </w:r>
          </w:p>
        </w:tc>
        <w:tc>
          <w:tcPr>
            <w:tcW w:w="1198" w:type="dxa"/>
            <w:tcBorders>
              <w:top w:val="nil"/>
              <w:left w:val="nil"/>
              <w:bottom w:val="nil"/>
              <w:right w:val="nil"/>
            </w:tcBorders>
            <w:vAlign w:val="center"/>
          </w:tcPr>
          <w:p w14:paraId="42DCDEED" w14:textId="77777777" w:rsidR="00453404" w:rsidRPr="00453404" w:rsidRDefault="00453404" w:rsidP="00863509">
            <w:pPr>
              <w:jc w:val="right"/>
              <w:rPr>
                <w:rFonts w:ascii="Arial" w:hAnsi="Arial" w:cs="Arial"/>
              </w:rPr>
            </w:pPr>
            <w:r w:rsidRPr="00453404">
              <w:rPr>
                <w:rFonts w:ascii="Arial" w:hAnsi="Arial" w:cs="Arial"/>
              </w:rPr>
              <w:t>0.5</w:t>
            </w:r>
          </w:p>
        </w:tc>
        <w:tc>
          <w:tcPr>
            <w:tcW w:w="1212" w:type="dxa"/>
            <w:tcBorders>
              <w:top w:val="nil"/>
              <w:left w:val="nil"/>
              <w:bottom w:val="nil"/>
              <w:right w:val="nil"/>
            </w:tcBorders>
            <w:vAlign w:val="center"/>
          </w:tcPr>
          <w:p w14:paraId="2E60FB06" w14:textId="77777777" w:rsidR="00453404" w:rsidRPr="00453404" w:rsidRDefault="00453404" w:rsidP="00863509">
            <w:pPr>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598ACF3F" w14:textId="77777777" w:rsidR="00453404" w:rsidRPr="00453404" w:rsidRDefault="00453404" w:rsidP="00863509">
            <w:pPr>
              <w:jc w:val="right"/>
              <w:rPr>
                <w:rFonts w:ascii="Arial" w:hAnsi="Arial" w:cs="Arial"/>
              </w:rPr>
            </w:pPr>
            <w:r w:rsidRPr="00453404">
              <w:rPr>
                <w:rFonts w:ascii="Arial" w:hAnsi="Arial" w:cs="Arial"/>
              </w:rPr>
              <w:t>0.5</w:t>
            </w:r>
          </w:p>
        </w:tc>
      </w:tr>
      <w:bookmarkEnd w:id="0"/>
      <w:tr w:rsidR="00453404" w:rsidRPr="00453404" w14:paraId="1BD32E3F" w14:textId="77777777" w:rsidTr="00863509">
        <w:trPr>
          <w:jc w:val="center"/>
        </w:trPr>
        <w:tc>
          <w:tcPr>
            <w:tcW w:w="3531" w:type="dxa"/>
            <w:tcBorders>
              <w:top w:val="nil"/>
              <w:left w:val="nil"/>
              <w:bottom w:val="nil"/>
              <w:right w:val="nil"/>
            </w:tcBorders>
            <w:hideMark/>
          </w:tcPr>
          <w:p w14:paraId="7F7C8728" w14:textId="77777777" w:rsidR="00453404" w:rsidRPr="00453404" w:rsidRDefault="00453404" w:rsidP="00863509">
            <w:pPr>
              <w:tabs>
                <w:tab w:val="left" w:pos="360"/>
              </w:tabs>
              <w:rPr>
                <w:rFonts w:ascii="Arial" w:hAnsi="Arial" w:cs="Arial"/>
              </w:rPr>
            </w:pPr>
            <w:r w:rsidRPr="00453404">
              <w:rPr>
                <w:rFonts w:ascii="Arial" w:hAnsi="Arial" w:cs="Arial"/>
              </w:rPr>
              <w:t>Premix *</w:t>
            </w:r>
          </w:p>
        </w:tc>
        <w:tc>
          <w:tcPr>
            <w:tcW w:w="1198" w:type="dxa"/>
            <w:tcBorders>
              <w:top w:val="nil"/>
              <w:left w:val="nil"/>
              <w:bottom w:val="nil"/>
              <w:right w:val="nil"/>
            </w:tcBorders>
            <w:vAlign w:val="center"/>
          </w:tcPr>
          <w:p w14:paraId="6759F8B9" w14:textId="77777777" w:rsidR="00453404" w:rsidRPr="00453404" w:rsidRDefault="00453404" w:rsidP="00863509">
            <w:pPr>
              <w:jc w:val="right"/>
              <w:rPr>
                <w:rFonts w:ascii="Arial" w:hAnsi="Arial" w:cs="Arial"/>
              </w:rPr>
            </w:pPr>
            <w:r w:rsidRPr="00453404">
              <w:rPr>
                <w:rFonts w:ascii="Arial" w:hAnsi="Arial" w:cs="Arial"/>
              </w:rPr>
              <w:t>1</w:t>
            </w:r>
          </w:p>
        </w:tc>
        <w:tc>
          <w:tcPr>
            <w:tcW w:w="1212" w:type="dxa"/>
            <w:tcBorders>
              <w:top w:val="nil"/>
              <w:left w:val="nil"/>
              <w:bottom w:val="nil"/>
              <w:right w:val="nil"/>
            </w:tcBorders>
            <w:vAlign w:val="center"/>
          </w:tcPr>
          <w:p w14:paraId="01A7C054" w14:textId="77777777" w:rsidR="00453404" w:rsidRPr="00453404" w:rsidRDefault="00453404" w:rsidP="00863509">
            <w:pPr>
              <w:jc w:val="right"/>
              <w:rPr>
                <w:rFonts w:ascii="Arial" w:hAnsi="Arial" w:cs="Arial"/>
              </w:rPr>
            </w:pPr>
            <w:r w:rsidRPr="00453404">
              <w:rPr>
                <w:rFonts w:ascii="Arial" w:hAnsi="Arial" w:cs="Arial"/>
              </w:rPr>
              <w:t>1</w:t>
            </w:r>
          </w:p>
        </w:tc>
        <w:tc>
          <w:tcPr>
            <w:tcW w:w="1211" w:type="dxa"/>
            <w:tcBorders>
              <w:top w:val="nil"/>
              <w:left w:val="nil"/>
              <w:bottom w:val="nil"/>
              <w:right w:val="nil"/>
            </w:tcBorders>
            <w:vAlign w:val="center"/>
          </w:tcPr>
          <w:p w14:paraId="1B8A184E" w14:textId="77777777" w:rsidR="00453404" w:rsidRPr="00453404" w:rsidRDefault="00453404" w:rsidP="00863509">
            <w:pPr>
              <w:jc w:val="right"/>
              <w:rPr>
                <w:rFonts w:ascii="Arial" w:hAnsi="Arial" w:cs="Arial"/>
              </w:rPr>
            </w:pPr>
            <w:r w:rsidRPr="00453404">
              <w:rPr>
                <w:rFonts w:ascii="Arial" w:hAnsi="Arial" w:cs="Arial"/>
              </w:rPr>
              <w:t>1</w:t>
            </w:r>
          </w:p>
        </w:tc>
      </w:tr>
      <w:tr w:rsidR="00453404" w:rsidRPr="00453404" w14:paraId="6B4D72C1" w14:textId="77777777" w:rsidTr="00863509">
        <w:trPr>
          <w:jc w:val="center"/>
        </w:trPr>
        <w:tc>
          <w:tcPr>
            <w:tcW w:w="3531" w:type="dxa"/>
            <w:tcBorders>
              <w:top w:val="nil"/>
              <w:left w:val="nil"/>
              <w:bottom w:val="single" w:sz="4" w:space="0" w:color="000000"/>
              <w:right w:val="nil"/>
            </w:tcBorders>
            <w:hideMark/>
          </w:tcPr>
          <w:p w14:paraId="0FA1F7ED" w14:textId="77777777" w:rsidR="00453404" w:rsidRPr="00453404" w:rsidRDefault="00453404" w:rsidP="00863509">
            <w:pPr>
              <w:tabs>
                <w:tab w:val="left" w:pos="360"/>
              </w:tabs>
              <w:rPr>
                <w:rFonts w:ascii="Arial" w:hAnsi="Arial" w:cs="Arial"/>
              </w:rPr>
            </w:pPr>
            <w:r w:rsidRPr="00453404">
              <w:rPr>
                <w:rFonts w:ascii="Arial" w:hAnsi="Arial" w:cs="Arial"/>
              </w:rPr>
              <w:t>Total</w:t>
            </w:r>
          </w:p>
        </w:tc>
        <w:tc>
          <w:tcPr>
            <w:tcW w:w="1198" w:type="dxa"/>
            <w:tcBorders>
              <w:top w:val="nil"/>
              <w:left w:val="nil"/>
              <w:bottom w:val="single" w:sz="4" w:space="0" w:color="auto"/>
              <w:right w:val="nil"/>
            </w:tcBorders>
            <w:vAlign w:val="center"/>
          </w:tcPr>
          <w:p w14:paraId="53B0F070"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c>
          <w:tcPr>
            <w:tcW w:w="1212" w:type="dxa"/>
            <w:tcBorders>
              <w:top w:val="nil"/>
              <w:left w:val="nil"/>
              <w:bottom w:val="single" w:sz="4" w:space="0" w:color="auto"/>
              <w:right w:val="nil"/>
            </w:tcBorders>
            <w:vAlign w:val="center"/>
          </w:tcPr>
          <w:p w14:paraId="4604D6C3"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c>
          <w:tcPr>
            <w:tcW w:w="1211" w:type="dxa"/>
            <w:tcBorders>
              <w:top w:val="nil"/>
              <w:left w:val="nil"/>
              <w:bottom w:val="single" w:sz="4" w:space="0" w:color="auto"/>
              <w:right w:val="nil"/>
            </w:tcBorders>
            <w:vAlign w:val="center"/>
          </w:tcPr>
          <w:p w14:paraId="42AFBF5F"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r>
      <w:tr w:rsidR="00453404" w:rsidRPr="00453404" w14:paraId="2C31E050" w14:textId="77777777" w:rsidTr="00863509">
        <w:trPr>
          <w:trHeight w:val="326"/>
          <w:jc w:val="center"/>
        </w:trPr>
        <w:tc>
          <w:tcPr>
            <w:tcW w:w="7152" w:type="dxa"/>
            <w:gridSpan w:val="4"/>
            <w:tcBorders>
              <w:top w:val="nil"/>
              <w:left w:val="nil"/>
              <w:bottom w:val="nil"/>
              <w:right w:val="nil"/>
            </w:tcBorders>
            <w:vAlign w:val="center"/>
            <w:hideMark/>
          </w:tcPr>
          <w:p w14:paraId="15384EC0" w14:textId="77777777" w:rsidR="00453404" w:rsidRPr="00F64B85" w:rsidRDefault="00453404" w:rsidP="00863509">
            <w:pPr>
              <w:tabs>
                <w:tab w:val="left" w:pos="360"/>
              </w:tabs>
              <w:jc w:val="center"/>
              <w:rPr>
                <w:rFonts w:ascii="Arial" w:hAnsi="Arial" w:cs="Arial"/>
                <w:b/>
                <w:bCs/>
              </w:rPr>
            </w:pPr>
            <w:r w:rsidRPr="00F64B85">
              <w:rPr>
                <w:rFonts w:ascii="Arial" w:hAnsi="Arial" w:cs="Arial"/>
                <w:b/>
                <w:bCs/>
              </w:rPr>
              <w:t>Chemical composition (in % crude product)</w:t>
            </w:r>
          </w:p>
        </w:tc>
      </w:tr>
      <w:tr w:rsidR="00453404" w:rsidRPr="00453404" w14:paraId="6A26FC5E" w14:textId="77777777" w:rsidTr="00863509">
        <w:trPr>
          <w:trHeight w:val="252"/>
          <w:jc w:val="center"/>
        </w:trPr>
        <w:tc>
          <w:tcPr>
            <w:tcW w:w="3531" w:type="dxa"/>
            <w:tcBorders>
              <w:top w:val="nil"/>
              <w:left w:val="nil"/>
              <w:bottom w:val="nil"/>
              <w:right w:val="nil"/>
            </w:tcBorders>
            <w:hideMark/>
          </w:tcPr>
          <w:p w14:paraId="10771842" w14:textId="77777777" w:rsidR="00453404" w:rsidRPr="00453404" w:rsidRDefault="00453404" w:rsidP="00863509">
            <w:pPr>
              <w:tabs>
                <w:tab w:val="left" w:pos="360"/>
              </w:tabs>
              <w:rPr>
                <w:rFonts w:ascii="Arial" w:hAnsi="Arial" w:cs="Arial"/>
              </w:rPr>
            </w:pPr>
            <w:r w:rsidRPr="00453404">
              <w:rPr>
                <w:rFonts w:ascii="Arial" w:hAnsi="Arial" w:cs="Arial"/>
              </w:rPr>
              <w:t>Dry matter</w:t>
            </w:r>
          </w:p>
        </w:tc>
        <w:tc>
          <w:tcPr>
            <w:tcW w:w="1198" w:type="dxa"/>
            <w:tcBorders>
              <w:top w:val="nil"/>
              <w:left w:val="nil"/>
              <w:bottom w:val="nil"/>
              <w:right w:val="nil"/>
            </w:tcBorders>
            <w:vAlign w:val="center"/>
          </w:tcPr>
          <w:p w14:paraId="43EA627C" w14:textId="77777777" w:rsidR="00453404" w:rsidRPr="00453404" w:rsidRDefault="00453404" w:rsidP="00863509">
            <w:pPr>
              <w:tabs>
                <w:tab w:val="left" w:pos="360"/>
              </w:tabs>
              <w:jc w:val="right"/>
              <w:rPr>
                <w:rFonts w:ascii="Arial" w:hAnsi="Arial" w:cs="Arial"/>
              </w:rPr>
            </w:pPr>
            <w:r w:rsidRPr="00453404">
              <w:rPr>
                <w:rFonts w:ascii="Arial" w:hAnsi="Arial" w:cs="Arial"/>
              </w:rPr>
              <w:t>89.8</w:t>
            </w:r>
          </w:p>
        </w:tc>
        <w:tc>
          <w:tcPr>
            <w:tcW w:w="1212" w:type="dxa"/>
            <w:tcBorders>
              <w:top w:val="nil"/>
              <w:left w:val="nil"/>
              <w:bottom w:val="nil"/>
              <w:right w:val="nil"/>
            </w:tcBorders>
            <w:vAlign w:val="center"/>
          </w:tcPr>
          <w:p w14:paraId="11D105F8" w14:textId="77777777" w:rsidR="00453404" w:rsidRPr="00453404" w:rsidRDefault="00453404" w:rsidP="00863509">
            <w:pPr>
              <w:tabs>
                <w:tab w:val="left" w:pos="360"/>
              </w:tabs>
              <w:jc w:val="right"/>
              <w:rPr>
                <w:rFonts w:ascii="Arial" w:hAnsi="Arial" w:cs="Arial"/>
              </w:rPr>
            </w:pPr>
            <w:r w:rsidRPr="00453404">
              <w:rPr>
                <w:rFonts w:ascii="Arial" w:hAnsi="Arial" w:cs="Arial"/>
              </w:rPr>
              <w:t>89.9</w:t>
            </w:r>
          </w:p>
        </w:tc>
        <w:tc>
          <w:tcPr>
            <w:tcW w:w="1211" w:type="dxa"/>
            <w:tcBorders>
              <w:top w:val="nil"/>
              <w:left w:val="nil"/>
              <w:bottom w:val="nil"/>
              <w:right w:val="nil"/>
            </w:tcBorders>
            <w:vAlign w:val="center"/>
          </w:tcPr>
          <w:p w14:paraId="1ADEA32F" w14:textId="77777777" w:rsidR="00453404" w:rsidRPr="00453404" w:rsidRDefault="00453404" w:rsidP="00863509">
            <w:pPr>
              <w:tabs>
                <w:tab w:val="left" w:pos="360"/>
              </w:tabs>
              <w:jc w:val="right"/>
              <w:rPr>
                <w:rFonts w:ascii="Arial" w:hAnsi="Arial" w:cs="Arial"/>
              </w:rPr>
            </w:pPr>
            <w:r w:rsidRPr="00453404">
              <w:rPr>
                <w:rFonts w:ascii="Arial" w:hAnsi="Arial" w:cs="Arial"/>
              </w:rPr>
              <w:t>90.2</w:t>
            </w:r>
          </w:p>
        </w:tc>
      </w:tr>
      <w:tr w:rsidR="00453404" w:rsidRPr="00453404" w14:paraId="2EF09D07" w14:textId="77777777" w:rsidTr="00863509">
        <w:trPr>
          <w:trHeight w:val="251"/>
          <w:jc w:val="center"/>
        </w:trPr>
        <w:tc>
          <w:tcPr>
            <w:tcW w:w="3531" w:type="dxa"/>
            <w:tcBorders>
              <w:top w:val="nil"/>
              <w:left w:val="nil"/>
              <w:bottom w:val="nil"/>
              <w:right w:val="nil"/>
            </w:tcBorders>
            <w:hideMark/>
          </w:tcPr>
          <w:p w14:paraId="74AC881F" w14:textId="77777777" w:rsidR="00453404" w:rsidRPr="00453404" w:rsidRDefault="00453404" w:rsidP="00863509">
            <w:pPr>
              <w:tabs>
                <w:tab w:val="left" w:pos="360"/>
              </w:tabs>
              <w:rPr>
                <w:rFonts w:ascii="Arial" w:hAnsi="Arial" w:cs="Arial"/>
              </w:rPr>
            </w:pPr>
            <w:r w:rsidRPr="00453404">
              <w:rPr>
                <w:rFonts w:ascii="Arial" w:hAnsi="Arial" w:cs="Arial"/>
              </w:rPr>
              <w:lastRenderedPageBreak/>
              <w:t>Crude Protein</w:t>
            </w:r>
          </w:p>
        </w:tc>
        <w:tc>
          <w:tcPr>
            <w:tcW w:w="1198" w:type="dxa"/>
            <w:tcBorders>
              <w:top w:val="nil"/>
              <w:left w:val="nil"/>
              <w:bottom w:val="nil"/>
              <w:right w:val="nil"/>
            </w:tcBorders>
            <w:vAlign w:val="center"/>
          </w:tcPr>
          <w:p w14:paraId="19EF15A2"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c>
          <w:tcPr>
            <w:tcW w:w="1212" w:type="dxa"/>
            <w:tcBorders>
              <w:top w:val="nil"/>
              <w:left w:val="nil"/>
              <w:bottom w:val="nil"/>
              <w:right w:val="nil"/>
            </w:tcBorders>
            <w:vAlign w:val="center"/>
          </w:tcPr>
          <w:p w14:paraId="041DB1CF"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c>
          <w:tcPr>
            <w:tcW w:w="1211" w:type="dxa"/>
            <w:tcBorders>
              <w:top w:val="nil"/>
              <w:left w:val="nil"/>
              <w:bottom w:val="nil"/>
              <w:right w:val="nil"/>
            </w:tcBorders>
            <w:vAlign w:val="center"/>
          </w:tcPr>
          <w:p w14:paraId="023B1065"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r>
      <w:tr w:rsidR="00453404" w:rsidRPr="00453404" w14:paraId="5C2FAA7A" w14:textId="77777777" w:rsidTr="00863509">
        <w:trPr>
          <w:jc w:val="center"/>
        </w:trPr>
        <w:tc>
          <w:tcPr>
            <w:tcW w:w="3531" w:type="dxa"/>
            <w:tcBorders>
              <w:top w:val="nil"/>
              <w:left w:val="nil"/>
              <w:bottom w:val="nil"/>
              <w:right w:val="nil"/>
            </w:tcBorders>
            <w:hideMark/>
          </w:tcPr>
          <w:p w14:paraId="5FC4E112" w14:textId="77777777" w:rsidR="00453404" w:rsidRPr="00453404" w:rsidRDefault="00453404" w:rsidP="00863509">
            <w:pPr>
              <w:rPr>
                <w:rFonts w:ascii="Arial" w:hAnsi="Arial" w:cs="Arial"/>
              </w:rPr>
            </w:pPr>
            <w:r w:rsidRPr="00453404">
              <w:rPr>
                <w:rFonts w:ascii="Arial" w:hAnsi="Arial" w:cs="Arial"/>
              </w:rPr>
              <w:t>Starch</w:t>
            </w:r>
          </w:p>
        </w:tc>
        <w:tc>
          <w:tcPr>
            <w:tcW w:w="1198" w:type="dxa"/>
            <w:tcBorders>
              <w:top w:val="nil"/>
              <w:left w:val="nil"/>
              <w:bottom w:val="nil"/>
              <w:right w:val="nil"/>
            </w:tcBorders>
            <w:vAlign w:val="center"/>
          </w:tcPr>
          <w:p w14:paraId="1EFB63FB" w14:textId="77777777" w:rsidR="00453404" w:rsidRPr="00453404" w:rsidRDefault="00453404" w:rsidP="00863509">
            <w:pPr>
              <w:jc w:val="right"/>
              <w:rPr>
                <w:rFonts w:ascii="Arial" w:hAnsi="Arial" w:cs="Arial"/>
              </w:rPr>
            </w:pPr>
            <w:r w:rsidRPr="00453404">
              <w:rPr>
                <w:rFonts w:ascii="Arial" w:hAnsi="Arial" w:cs="Arial"/>
              </w:rPr>
              <w:t>22.2</w:t>
            </w:r>
          </w:p>
        </w:tc>
        <w:tc>
          <w:tcPr>
            <w:tcW w:w="1212" w:type="dxa"/>
            <w:tcBorders>
              <w:top w:val="nil"/>
              <w:left w:val="nil"/>
              <w:bottom w:val="nil"/>
              <w:right w:val="nil"/>
            </w:tcBorders>
            <w:vAlign w:val="center"/>
          </w:tcPr>
          <w:p w14:paraId="2D375200" w14:textId="77777777" w:rsidR="00453404" w:rsidRPr="00453404" w:rsidRDefault="00453404" w:rsidP="00863509">
            <w:pPr>
              <w:jc w:val="right"/>
              <w:rPr>
                <w:rFonts w:ascii="Arial" w:hAnsi="Arial" w:cs="Arial"/>
              </w:rPr>
            </w:pPr>
            <w:r w:rsidRPr="00453404">
              <w:rPr>
                <w:rFonts w:ascii="Arial" w:hAnsi="Arial" w:cs="Arial"/>
              </w:rPr>
              <w:t>16.9</w:t>
            </w:r>
          </w:p>
        </w:tc>
        <w:tc>
          <w:tcPr>
            <w:tcW w:w="1211" w:type="dxa"/>
            <w:tcBorders>
              <w:top w:val="nil"/>
              <w:left w:val="nil"/>
              <w:bottom w:val="nil"/>
              <w:right w:val="nil"/>
            </w:tcBorders>
            <w:vAlign w:val="center"/>
          </w:tcPr>
          <w:p w14:paraId="3E519E38" w14:textId="77777777" w:rsidR="00453404" w:rsidRPr="00453404" w:rsidRDefault="00453404" w:rsidP="00863509">
            <w:pPr>
              <w:jc w:val="right"/>
              <w:rPr>
                <w:rFonts w:ascii="Arial" w:hAnsi="Arial" w:cs="Arial"/>
              </w:rPr>
            </w:pPr>
            <w:r w:rsidRPr="00453404">
              <w:rPr>
                <w:rFonts w:ascii="Arial" w:hAnsi="Arial" w:cs="Arial"/>
              </w:rPr>
              <w:t>13.4</w:t>
            </w:r>
          </w:p>
        </w:tc>
      </w:tr>
      <w:tr w:rsidR="00453404" w:rsidRPr="00453404" w14:paraId="7A896CBB" w14:textId="77777777" w:rsidTr="00863509">
        <w:trPr>
          <w:jc w:val="center"/>
        </w:trPr>
        <w:tc>
          <w:tcPr>
            <w:tcW w:w="3531" w:type="dxa"/>
            <w:tcBorders>
              <w:top w:val="nil"/>
              <w:left w:val="nil"/>
              <w:bottom w:val="nil"/>
              <w:right w:val="nil"/>
            </w:tcBorders>
            <w:hideMark/>
          </w:tcPr>
          <w:p w14:paraId="2BABE5E2" w14:textId="77777777" w:rsidR="00453404" w:rsidRPr="00453404" w:rsidRDefault="00453404" w:rsidP="00863509">
            <w:pPr>
              <w:rPr>
                <w:rFonts w:ascii="Arial" w:hAnsi="Arial" w:cs="Arial"/>
              </w:rPr>
            </w:pPr>
            <w:r w:rsidRPr="00453404">
              <w:rPr>
                <w:rFonts w:ascii="Arial" w:hAnsi="Arial" w:cs="Arial"/>
              </w:rPr>
              <w:t>NDF**</w:t>
            </w:r>
          </w:p>
        </w:tc>
        <w:tc>
          <w:tcPr>
            <w:tcW w:w="1198" w:type="dxa"/>
            <w:tcBorders>
              <w:top w:val="nil"/>
              <w:left w:val="nil"/>
              <w:bottom w:val="nil"/>
              <w:right w:val="nil"/>
            </w:tcBorders>
            <w:vAlign w:val="center"/>
          </w:tcPr>
          <w:p w14:paraId="7C9EE797" w14:textId="77777777" w:rsidR="00453404" w:rsidRPr="00453404" w:rsidRDefault="00453404" w:rsidP="00863509">
            <w:pPr>
              <w:jc w:val="right"/>
              <w:rPr>
                <w:rFonts w:ascii="Arial" w:hAnsi="Arial" w:cs="Arial"/>
              </w:rPr>
            </w:pPr>
            <w:r w:rsidRPr="00453404">
              <w:rPr>
                <w:rFonts w:ascii="Arial" w:hAnsi="Arial" w:cs="Arial"/>
              </w:rPr>
              <w:t>33.7</w:t>
            </w:r>
          </w:p>
        </w:tc>
        <w:tc>
          <w:tcPr>
            <w:tcW w:w="1212" w:type="dxa"/>
            <w:tcBorders>
              <w:top w:val="nil"/>
              <w:left w:val="nil"/>
              <w:bottom w:val="nil"/>
              <w:right w:val="nil"/>
            </w:tcBorders>
            <w:vAlign w:val="center"/>
          </w:tcPr>
          <w:p w14:paraId="7727798C" w14:textId="77777777" w:rsidR="00453404" w:rsidRPr="00453404" w:rsidRDefault="00453404" w:rsidP="00863509">
            <w:pPr>
              <w:jc w:val="right"/>
              <w:rPr>
                <w:rFonts w:ascii="Arial" w:hAnsi="Arial" w:cs="Arial"/>
              </w:rPr>
            </w:pPr>
            <w:r w:rsidRPr="00453404">
              <w:rPr>
                <w:rFonts w:ascii="Arial" w:hAnsi="Arial" w:cs="Arial"/>
              </w:rPr>
              <w:t>38.7</w:t>
            </w:r>
          </w:p>
        </w:tc>
        <w:tc>
          <w:tcPr>
            <w:tcW w:w="1211" w:type="dxa"/>
            <w:tcBorders>
              <w:top w:val="nil"/>
              <w:left w:val="nil"/>
              <w:bottom w:val="nil"/>
              <w:right w:val="nil"/>
            </w:tcBorders>
            <w:vAlign w:val="center"/>
          </w:tcPr>
          <w:p w14:paraId="406EED11" w14:textId="77777777" w:rsidR="00453404" w:rsidRPr="00453404" w:rsidRDefault="00453404" w:rsidP="00863509">
            <w:pPr>
              <w:jc w:val="right"/>
              <w:rPr>
                <w:rFonts w:ascii="Arial" w:hAnsi="Arial" w:cs="Arial"/>
              </w:rPr>
            </w:pPr>
            <w:r w:rsidRPr="00453404">
              <w:rPr>
                <w:rFonts w:ascii="Arial" w:hAnsi="Arial" w:cs="Arial"/>
              </w:rPr>
              <w:t>42.1</w:t>
            </w:r>
          </w:p>
        </w:tc>
      </w:tr>
      <w:tr w:rsidR="00453404" w:rsidRPr="00453404" w14:paraId="25C656F2" w14:textId="77777777" w:rsidTr="00863509">
        <w:trPr>
          <w:jc w:val="center"/>
        </w:trPr>
        <w:tc>
          <w:tcPr>
            <w:tcW w:w="3531" w:type="dxa"/>
            <w:tcBorders>
              <w:top w:val="nil"/>
              <w:left w:val="nil"/>
              <w:bottom w:val="nil"/>
              <w:right w:val="nil"/>
            </w:tcBorders>
            <w:hideMark/>
          </w:tcPr>
          <w:p w14:paraId="051D2DAF" w14:textId="77777777" w:rsidR="00453404" w:rsidRPr="00453404" w:rsidRDefault="00453404" w:rsidP="00863509">
            <w:pPr>
              <w:rPr>
                <w:rFonts w:ascii="Arial" w:hAnsi="Arial" w:cs="Arial"/>
              </w:rPr>
            </w:pPr>
            <w:r w:rsidRPr="00453404">
              <w:rPr>
                <w:rFonts w:ascii="Arial" w:hAnsi="Arial" w:cs="Arial"/>
              </w:rPr>
              <w:t>ADF**</w:t>
            </w:r>
          </w:p>
        </w:tc>
        <w:tc>
          <w:tcPr>
            <w:tcW w:w="1198" w:type="dxa"/>
            <w:tcBorders>
              <w:top w:val="nil"/>
              <w:left w:val="nil"/>
              <w:bottom w:val="nil"/>
              <w:right w:val="nil"/>
            </w:tcBorders>
            <w:vAlign w:val="center"/>
            <w:hideMark/>
          </w:tcPr>
          <w:p w14:paraId="4B6E4DD8" w14:textId="77777777" w:rsidR="00453404" w:rsidRPr="00453404" w:rsidRDefault="00453404" w:rsidP="00863509">
            <w:pPr>
              <w:jc w:val="right"/>
              <w:rPr>
                <w:rFonts w:ascii="Arial" w:hAnsi="Arial" w:cs="Arial"/>
              </w:rPr>
            </w:pPr>
            <w:r w:rsidRPr="00453404">
              <w:rPr>
                <w:rFonts w:ascii="Arial" w:hAnsi="Arial" w:cs="Arial"/>
              </w:rPr>
              <w:t>17.0</w:t>
            </w:r>
          </w:p>
        </w:tc>
        <w:tc>
          <w:tcPr>
            <w:tcW w:w="1212" w:type="dxa"/>
            <w:tcBorders>
              <w:top w:val="nil"/>
              <w:left w:val="nil"/>
              <w:bottom w:val="nil"/>
              <w:right w:val="nil"/>
            </w:tcBorders>
            <w:vAlign w:val="center"/>
            <w:hideMark/>
          </w:tcPr>
          <w:p w14:paraId="61AD24F1" w14:textId="77777777" w:rsidR="00453404" w:rsidRPr="00453404" w:rsidRDefault="00453404" w:rsidP="00863509">
            <w:pPr>
              <w:jc w:val="right"/>
              <w:rPr>
                <w:rFonts w:ascii="Arial" w:hAnsi="Arial" w:cs="Arial"/>
              </w:rPr>
            </w:pPr>
            <w:r w:rsidRPr="00453404">
              <w:rPr>
                <w:rFonts w:ascii="Arial" w:hAnsi="Arial" w:cs="Arial"/>
              </w:rPr>
              <w:t>19.0</w:t>
            </w:r>
          </w:p>
        </w:tc>
        <w:tc>
          <w:tcPr>
            <w:tcW w:w="1211" w:type="dxa"/>
            <w:tcBorders>
              <w:top w:val="nil"/>
              <w:left w:val="nil"/>
              <w:bottom w:val="nil"/>
              <w:right w:val="nil"/>
            </w:tcBorders>
            <w:vAlign w:val="center"/>
          </w:tcPr>
          <w:p w14:paraId="4A6F2AB6" w14:textId="77777777" w:rsidR="00453404" w:rsidRPr="00453404" w:rsidRDefault="00453404" w:rsidP="00863509">
            <w:pPr>
              <w:jc w:val="right"/>
              <w:rPr>
                <w:rFonts w:ascii="Arial" w:hAnsi="Arial" w:cs="Arial"/>
              </w:rPr>
            </w:pPr>
            <w:r w:rsidRPr="00453404">
              <w:rPr>
                <w:rFonts w:ascii="Arial" w:hAnsi="Arial" w:cs="Arial"/>
              </w:rPr>
              <w:t>21.0</w:t>
            </w:r>
          </w:p>
        </w:tc>
      </w:tr>
      <w:tr w:rsidR="00453404" w:rsidRPr="00453404" w14:paraId="3CC2310A" w14:textId="77777777" w:rsidTr="00863509">
        <w:trPr>
          <w:jc w:val="center"/>
        </w:trPr>
        <w:tc>
          <w:tcPr>
            <w:tcW w:w="3531" w:type="dxa"/>
            <w:tcBorders>
              <w:top w:val="nil"/>
              <w:left w:val="nil"/>
              <w:bottom w:val="nil"/>
              <w:right w:val="nil"/>
            </w:tcBorders>
            <w:hideMark/>
          </w:tcPr>
          <w:p w14:paraId="450238B0" w14:textId="77777777" w:rsidR="00453404" w:rsidRPr="00453404" w:rsidRDefault="00453404" w:rsidP="00863509">
            <w:pPr>
              <w:rPr>
                <w:rFonts w:ascii="Arial" w:hAnsi="Arial" w:cs="Arial"/>
              </w:rPr>
            </w:pPr>
            <w:r w:rsidRPr="00453404">
              <w:rPr>
                <w:rFonts w:ascii="Arial" w:hAnsi="Arial" w:cs="Arial"/>
              </w:rPr>
              <w:t>ADL**</w:t>
            </w:r>
          </w:p>
        </w:tc>
        <w:tc>
          <w:tcPr>
            <w:tcW w:w="1198" w:type="dxa"/>
            <w:tcBorders>
              <w:top w:val="nil"/>
              <w:left w:val="nil"/>
              <w:bottom w:val="nil"/>
              <w:right w:val="nil"/>
            </w:tcBorders>
            <w:vAlign w:val="center"/>
          </w:tcPr>
          <w:p w14:paraId="01458950" w14:textId="77777777" w:rsidR="00453404" w:rsidRPr="00453404" w:rsidRDefault="00453404" w:rsidP="00863509">
            <w:pPr>
              <w:jc w:val="right"/>
              <w:rPr>
                <w:rFonts w:ascii="Arial" w:hAnsi="Arial" w:cs="Arial"/>
              </w:rPr>
            </w:pPr>
            <w:r w:rsidRPr="00453404">
              <w:rPr>
                <w:rFonts w:ascii="Arial" w:hAnsi="Arial" w:cs="Arial"/>
              </w:rPr>
              <w:t>2.5</w:t>
            </w:r>
          </w:p>
        </w:tc>
        <w:tc>
          <w:tcPr>
            <w:tcW w:w="1212" w:type="dxa"/>
            <w:tcBorders>
              <w:top w:val="nil"/>
              <w:left w:val="nil"/>
              <w:bottom w:val="nil"/>
              <w:right w:val="nil"/>
            </w:tcBorders>
            <w:vAlign w:val="center"/>
          </w:tcPr>
          <w:p w14:paraId="63B17F94" w14:textId="77777777" w:rsidR="00453404" w:rsidRPr="00453404" w:rsidRDefault="00453404" w:rsidP="00863509">
            <w:pPr>
              <w:jc w:val="right"/>
              <w:rPr>
                <w:rFonts w:ascii="Arial" w:hAnsi="Arial" w:cs="Arial"/>
              </w:rPr>
            </w:pPr>
            <w:r w:rsidRPr="00453404">
              <w:rPr>
                <w:rFonts w:ascii="Arial" w:hAnsi="Arial" w:cs="Arial"/>
              </w:rPr>
              <w:t>3.1</w:t>
            </w:r>
          </w:p>
        </w:tc>
        <w:tc>
          <w:tcPr>
            <w:tcW w:w="1211" w:type="dxa"/>
            <w:tcBorders>
              <w:top w:val="nil"/>
              <w:left w:val="nil"/>
              <w:bottom w:val="nil"/>
              <w:right w:val="nil"/>
            </w:tcBorders>
            <w:vAlign w:val="center"/>
          </w:tcPr>
          <w:p w14:paraId="2B782F7A" w14:textId="77777777" w:rsidR="00453404" w:rsidRPr="00453404" w:rsidRDefault="00453404" w:rsidP="00863509">
            <w:pPr>
              <w:jc w:val="right"/>
              <w:rPr>
                <w:rFonts w:ascii="Arial" w:hAnsi="Arial" w:cs="Arial"/>
              </w:rPr>
            </w:pPr>
            <w:r w:rsidRPr="00453404">
              <w:rPr>
                <w:rFonts w:ascii="Arial" w:hAnsi="Arial" w:cs="Arial"/>
              </w:rPr>
              <w:t>3.4</w:t>
            </w:r>
          </w:p>
        </w:tc>
      </w:tr>
      <w:tr w:rsidR="00453404" w:rsidRPr="00453404" w14:paraId="3AD02438" w14:textId="77777777" w:rsidTr="00863509">
        <w:trPr>
          <w:jc w:val="center"/>
        </w:trPr>
        <w:tc>
          <w:tcPr>
            <w:tcW w:w="3531" w:type="dxa"/>
            <w:tcBorders>
              <w:top w:val="nil"/>
              <w:left w:val="nil"/>
              <w:bottom w:val="nil"/>
              <w:right w:val="nil"/>
            </w:tcBorders>
            <w:hideMark/>
          </w:tcPr>
          <w:p w14:paraId="00E01EAF" w14:textId="77777777" w:rsidR="00453404" w:rsidRPr="00453404" w:rsidRDefault="00453404" w:rsidP="00863509">
            <w:pPr>
              <w:rPr>
                <w:rFonts w:ascii="Arial" w:hAnsi="Arial" w:cs="Arial"/>
              </w:rPr>
            </w:pPr>
            <w:r w:rsidRPr="00453404">
              <w:rPr>
                <w:rFonts w:ascii="Arial" w:hAnsi="Arial" w:cs="Arial"/>
              </w:rPr>
              <w:t xml:space="preserve">Crude </w:t>
            </w:r>
            <w:proofErr w:type="spellStart"/>
            <w:r w:rsidRPr="00453404">
              <w:rPr>
                <w:rFonts w:ascii="Arial" w:hAnsi="Arial" w:cs="Arial"/>
              </w:rPr>
              <w:t>fibre</w:t>
            </w:r>
            <w:proofErr w:type="spellEnd"/>
          </w:p>
        </w:tc>
        <w:tc>
          <w:tcPr>
            <w:tcW w:w="1198" w:type="dxa"/>
            <w:tcBorders>
              <w:top w:val="nil"/>
              <w:left w:val="nil"/>
              <w:bottom w:val="nil"/>
              <w:right w:val="nil"/>
            </w:tcBorders>
            <w:vAlign w:val="center"/>
          </w:tcPr>
          <w:p w14:paraId="3105CF14" w14:textId="77777777" w:rsidR="00453404" w:rsidRPr="00453404" w:rsidRDefault="00453404" w:rsidP="00863509">
            <w:pPr>
              <w:jc w:val="right"/>
              <w:rPr>
                <w:rFonts w:ascii="Arial" w:hAnsi="Arial" w:cs="Arial"/>
              </w:rPr>
            </w:pPr>
            <w:r w:rsidRPr="00453404">
              <w:rPr>
                <w:rFonts w:ascii="Arial" w:hAnsi="Arial" w:cs="Arial"/>
              </w:rPr>
              <w:t>16.5</w:t>
            </w:r>
          </w:p>
        </w:tc>
        <w:tc>
          <w:tcPr>
            <w:tcW w:w="1212" w:type="dxa"/>
            <w:tcBorders>
              <w:top w:val="nil"/>
              <w:left w:val="nil"/>
              <w:bottom w:val="nil"/>
              <w:right w:val="nil"/>
            </w:tcBorders>
            <w:vAlign w:val="center"/>
          </w:tcPr>
          <w:p w14:paraId="46E61240" w14:textId="77777777" w:rsidR="00453404" w:rsidRPr="00453404" w:rsidRDefault="00453404" w:rsidP="00863509">
            <w:pPr>
              <w:jc w:val="right"/>
              <w:rPr>
                <w:rFonts w:ascii="Arial" w:hAnsi="Arial" w:cs="Arial"/>
              </w:rPr>
            </w:pPr>
            <w:r w:rsidRPr="00453404">
              <w:rPr>
                <w:rFonts w:ascii="Arial" w:hAnsi="Arial" w:cs="Arial"/>
              </w:rPr>
              <w:t>18.3</w:t>
            </w:r>
          </w:p>
        </w:tc>
        <w:tc>
          <w:tcPr>
            <w:tcW w:w="1211" w:type="dxa"/>
            <w:tcBorders>
              <w:top w:val="nil"/>
              <w:left w:val="nil"/>
              <w:bottom w:val="nil"/>
              <w:right w:val="nil"/>
            </w:tcBorders>
            <w:vAlign w:val="center"/>
          </w:tcPr>
          <w:p w14:paraId="0356FA62" w14:textId="77777777" w:rsidR="00453404" w:rsidRPr="00453404" w:rsidRDefault="00453404" w:rsidP="00863509">
            <w:pPr>
              <w:jc w:val="right"/>
              <w:rPr>
                <w:rFonts w:ascii="Arial" w:hAnsi="Arial" w:cs="Arial"/>
              </w:rPr>
            </w:pPr>
            <w:r w:rsidRPr="00453404">
              <w:rPr>
                <w:rFonts w:ascii="Arial" w:hAnsi="Arial" w:cs="Arial"/>
              </w:rPr>
              <w:t>20.2</w:t>
            </w:r>
          </w:p>
        </w:tc>
      </w:tr>
      <w:tr w:rsidR="00453404" w:rsidRPr="00453404" w14:paraId="3CCEFAB9" w14:textId="77777777" w:rsidTr="00863509">
        <w:trPr>
          <w:jc w:val="center"/>
        </w:trPr>
        <w:tc>
          <w:tcPr>
            <w:tcW w:w="3531" w:type="dxa"/>
            <w:tcBorders>
              <w:top w:val="nil"/>
              <w:left w:val="nil"/>
              <w:bottom w:val="nil"/>
              <w:right w:val="nil"/>
            </w:tcBorders>
            <w:hideMark/>
          </w:tcPr>
          <w:p w14:paraId="5E0A4F09" w14:textId="77777777" w:rsidR="00453404" w:rsidRPr="00453404" w:rsidRDefault="00453404" w:rsidP="00863509">
            <w:pPr>
              <w:rPr>
                <w:rFonts w:ascii="Arial" w:hAnsi="Arial" w:cs="Arial"/>
              </w:rPr>
            </w:pPr>
            <w:r w:rsidRPr="00453404">
              <w:rPr>
                <w:rFonts w:ascii="Arial" w:hAnsi="Arial" w:cs="Arial"/>
              </w:rPr>
              <w:t>Fat</w:t>
            </w:r>
          </w:p>
        </w:tc>
        <w:tc>
          <w:tcPr>
            <w:tcW w:w="1198" w:type="dxa"/>
            <w:tcBorders>
              <w:top w:val="nil"/>
              <w:left w:val="nil"/>
              <w:bottom w:val="nil"/>
              <w:right w:val="nil"/>
            </w:tcBorders>
            <w:vAlign w:val="center"/>
          </w:tcPr>
          <w:p w14:paraId="4C86EC2D" w14:textId="77777777" w:rsidR="00453404" w:rsidRPr="00453404" w:rsidRDefault="00453404" w:rsidP="00863509">
            <w:pPr>
              <w:jc w:val="right"/>
              <w:rPr>
                <w:rFonts w:ascii="Arial" w:hAnsi="Arial" w:cs="Arial"/>
              </w:rPr>
            </w:pPr>
            <w:r w:rsidRPr="00453404">
              <w:rPr>
                <w:rFonts w:ascii="Arial" w:hAnsi="Arial" w:cs="Arial"/>
              </w:rPr>
              <w:t>3.5</w:t>
            </w:r>
          </w:p>
        </w:tc>
        <w:tc>
          <w:tcPr>
            <w:tcW w:w="1212" w:type="dxa"/>
            <w:tcBorders>
              <w:top w:val="nil"/>
              <w:left w:val="nil"/>
              <w:bottom w:val="nil"/>
              <w:right w:val="nil"/>
            </w:tcBorders>
            <w:vAlign w:val="center"/>
          </w:tcPr>
          <w:p w14:paraId="6F1F675E" w14:textId="77777777" w:rsidR="00453404" w:rsidRPr="00453404" w:rsidRDefault="00453404" w:rsidP="00863509">
            <w:pPr>
              <w:jc w:val="right"/>
              <w:rPr>
                <w:rFonts w:ascii="Arial" w:hAnsi="Arial" w:cs="Arial"/>
              </w:rPr>
            </w:pPr>
            <w:r w:rsidRPr="00453404">
              <w:rPr>
                <w:rFonts w:ascii="Arial" w:hAnsi="Arial" w:cs="Arial"/>
              </w:rPr>
              <w:t>3.4</w:t>
            </w:r>
          </w:p>
        </w:tc>
        <w:tc>
          <w:tcPr>
            <w:tcW w:w="1211" w:type="dxa"/>
            <w:tcBorders>
              <w:top w:val="nil"/>
              <w:left w:val="nil"/>
              <w:bottom w:val="nil"/>
              <w:right w:val="nil"/>
            </w:tcBorders>
            <w:vAlign w:val="center"/>
          </w:tcPr>
          <w:p w14:paraId="22CD6601" w14:textId="77777777" w:rsidR="00453404" w:rsidRPr="00453404" w:rsidRDefault="00453404" w:rsidP="00863509">
            <w:pPr>
              <w:jc w:val="right"/>
              <w:rPr>
                <w:rFonts w:ascii="Arial" w:hAnsi="Arial" w:cs="Arial"/>
              </w:rPr>
            </w:pPr>
            <w:r w:rsidRPr="00453404">
              <w:rPr>
                <w:rFonts w:ascii="Arial" w:hAnsi="Arial" w:cs="Arial"/>
              </w:rPr>
              <w:t>3.2</w:t>
            </w:r>
          </w:p>
        </w:tc>
      </w:tr>
      <w:tr w:rsidR="00453404" w:rsidRPr="00453404" w14:paraId="793CC15C" w14:textId="77777777" w:rsidTr="00863509">
        <w:trPr>
          <w:jc w:val="center"/>
        </w:trPr>
        <w:tc>
          <w:tcPr>
            <w:tcW w:w="3531" w:type="dxa"/>
            <w:tcBorders>
              <w:top w:val="nil"/>
              <w:left w:val="nil"/>
              <w:bottom w:val="nil"/>
              <w:right w:val="nil"/>
            </w:tcBorders>
            <w:hideMark/>
          </w:tcPr>
          <w:p w14:paraId="6B75542F" w14:textId="77777777" w:rsidR="00453404" w:rsidRPr="00453404" w:rsidRDefault="00453404" w:rsidP="00863509">
            <w:pPr>
              <w:tabs>
                <w:tab w:val="left" w:pos="360"/>
              </w:tabs>
              <w:rPr>
                <w:rFonts w:ascii="Arial" w:hAnsi="Arial" w:cs="Arial"/>
              </w:rPr>
            </w:pPr>
            <w:r w:rsidRPr="00453404">
              <w:rPr>
                <w:rFonts w:ascii="Arial" w:hAnsi="Arial" w:cs="Arial"/>
              </w:rPr>
              <w:t>Calcium</w:t>
            </w:r>
          </w:p>
        </w:tc>
        <w:tc>
          <w:tcPr>
            <w:tcW w:w="1198" w:type="dxa"/>
            <w:tcBorders>
              <w:top w:val="nil"/>
              <w:left w:val="nil"/>
              <w:bottom w:val="nil"/>
              <w:right w:val="nil"/>
            </w:tcBorders>
            <w:vAlign w:val="center"/>
          </w:tcPr>
          <w:p w14:paraId="0F2B8C22" w14:textId="77777777" w:rsidR="00453404" w:rsidRPr="00453404" w:rsidRDefault="00453404" w:rsidP="00863509">
            <w:pPr>
              <w:tabs>
                <w:tab w:val="left" w:pos="360"/>
              </w:tabs>
              <w:jc w:val="right"/>
              <w:rPr>
                <w:rFonts w:ascii="Arial" w:hAnsi="Arial" w:cs="Arial"/>
              </w:rPr>
            </w:pPr>
            <w:r w:rsidRPr="00453404">
              <w:rPr>
                <w:rFonts w:ascii="Arial" w:hAnsi="Arial" w:cs="Arial"/>
              </w:rPr>
              <w:t>0.3</w:t>
            </w:r>
          </w:p>
        </w:tc>
        <w:tc>
          <w:tcPr>
            <w:tcW w:w="1212" w:type="dxa"/>
            <w:tcBorders>
              <w:top w:val="nil"/>
              <w:left w:val="nil"/>
              <w:bottom w:val="nil"/>
              <w:right w:val="nil"/>
            </w:tcBorders>
            <w:vAlign w:val="center"/>
          </w:tcPr>
          <w:p w14:paraId="14ABADF9"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c>
          <w:tcPr>
            <w:tcW w:w="1211" w:type="dxa"/>
            <w:tcBorders>
              <w:top w:val="nil"/>
              <w:left w:val="nil"/>
              <w:bottom w:val="nil"/>
              <w:right w:val="nil"/>
            </w:tcBorders>
            <w:vAlign w:val="center"/>
          </w:tcPr>
          <w:p w14:paraId="193DF716"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r>
      <w:tr w:rsidR="00453404" w:rsidRPr="00453404" w14:paraId="747321A3" w14:textId="77777777" w:rsidTr="00863509">
        <w:trPr>
          <w:jc w:val="center"/>
        </w:trPr>
        <w:tc>
          <w:tcPr>
            <w:tcW w:w="3531" w:type="dxa"/>
            <w:tcBorders>
              <w:top w:val="nil"/>
              <w:left w:val="nil"/>
              <w:bottom w:val="nil"/>
              <w:right w:val="nil"/>
            </w:tcBorders>
            <w:hideMark/>
          </w:tcPr>
          <w:p w14:paraId="2AD2D35F" w14:textId="77777777" w:rsidR="00453404" w:rsidRPr="00453404" w:rsidRDefault="00453404" w:rsidP="00863509">
            <w:pPr>
              <w:tabs>
                <w:tab w:val="left" w:pos="360"/>
              </w:tabs>
              <w:rPr>
                <w:rFonts w:ascii="Arial" w:hAnsi="Arial" w:cs="Arial"/>
              </w:rPr>
            </w:pPr>
            <w:r w:rsidRPr="00453404">
              <w:rPr>
                <w:rFonts w:ascii="Arial" w:hAnsi="Arial" w:cs="Arial"/>
              </w:rPr>
              <w:t>Phosphorus</w:t>
            </w:r>
          </w:p>
        </w:tc>
        <w:tc>
          <w:tcPr>
            <w:tcW w:w="1198" w:type="dxa"/>
            <w:tcBorders>
              <w:top w:val="nil"/>
              <w:left w:val="nil"/>
              <w:bottom w:val="nil"/>
              <w:right w:val="nil"/>
            </w:tcBorders>
            <w:vAlign w:val="center"/>
          </w:tcPr>
          <w:p w14:paraId="75039B2E"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c>
          <w:tcPr>
            <w:tcW w:w="1212" w:type="dxa"/>
            <w:tcBorders>
              <w:top w:val="nil"/>
              <w:left w:val="nil"/>
              <w:bottom w:val="nil"/>
              <w:right w:val="nil"/>
            </w:tcBorders>
            <w:vAlign w:val="center"/>
          </w:tcPr>
          <w:p w14:paraId="26653257" w14:textId="77777777" w:rsidR="00453404" w:rsidRPr="00453404" w:rsidRDefault="00453404" w:rsidP="00863509">
            <w:pPr>
              <w:tabs>
                <w:tab w:val="left" w:pos="360"/>
              </w:tabs>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13490C8C" w14:textId="77777777" w:rsidR="00453404" w:rsidRPr="00453404" w:rsidRDefault="00453404" w:rsidP="00863509">
            <w:pPr>
              <w:tabs>
                <w:tab w:val="left" w:pos="360"/>
              </w:tabs>
              <w:jc w:val="right"/>
              <w:rPr>
                <w:rFonts w:ascii="Arial" w:hAnsi="Arial" w:cs="Arial"/>
              </w:rPr>
            </w:pPr>
            <w:r w:rsidRPr="00453404">
              <w:rPr>
                <w:rFonts w:ascii="Arial" w:hAnsi="Arial" w:cs="Arial"/>
              </w:rPr>
              <w:t>0.5</w:t>
            </w:r>
          </w:p>
        </w:tc>
      </w:tr>
      <w:tr w:rsidR="00453404" w:rsidRPr="00453404" w14:paraId="69B5B09E" w14:textId="77777777" w:rsidTr="00863509">
        <w:trPr>
          <w:jc w:val="center"/>
        </w:trPr>
        <w:tc>
          <w:tcPr>
            <w:tcW w:w="3531" w:type="dxa"/>
            <w:tcBorders>
              <w:top w:val="nil"/>
              <w:left w:val="nil"/>
              <w:bottom w:val="nil"/>
              <w:right w:val="nil"/>
            </w:tcBorders>
          </w:tcPr>
          <w:p w14:paraId="7FDE4EB1" w14:textId="77777777" w:rsidR="00453404" w:rsidRPr="00453404" w:rsidRDefault="00453404" w:rsidP="00863509">
            <w:pPr>
              <w:tabs>
                <w:tab w:val="left" w:pos="360"/>
              </w:tabs>
              <w:rPr>
                <w:rFonts w:ascii="Arial" w:hAnsi="Arial" w:cs="Arial"/>
              </w:rPr>
            </w:pPr>
            <w:r w:rsidRPr="00453404">
              <w:rPr>
                <w:rFonts w:ascii="Arial" w:hAnsi="Arial" w:cs="Arial"/>
              </w:rPr>
              <w:t>Ca/P</w:t>
            </w:r>
          </w:p>
        </w:tc>
        <w:tc>
          <w:tcPr>
            <w:tcW w:w="1198" w:type="dxa"/>
            <w:tcBorders>
              <w:top w:val="nil"/>
              <w:left w:val="nil"/>
              <w:bottom w:val="nil"/>
              <w:right w:val="nil"/>
            </w:tcBorders>
            <w:vAlign w:val="center"/>
          </w:tcPr>
          <w:p w14:paraId="0E7DCC79"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c>
          <w:tcPr>
            <w:tcW w:w="1212" w:type="dxa"/>
            <w:tcBorders>
              <w:top w:val="nil"/>
              <w:left w:val="nil"/>
              <w:bottom w:val="nil"/>
              <w:right w:val="nil"/>
            </w:tcBorders>
            <w:vAlign w:val="center"/>
          </w:tcPr>
          <w:p w14:paraId="0B19EE4A"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c>
          <w:tcPr>
            <w:tcW w:w="1211" w:type="dxa"/>
            <w:tcBorders>
              <w:top w:val="nil"/>
              <w:left w:val="nil"/>
              <w:bottom w:val="nil"/>
              <w:right w:val="nil"/>
            </w:tcBorders>
            <w:vAlign w:val="center"/>
          </w:tcPr>
          <w:p w14:paraId="7CD7466D"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r>
      <w:tr w:rsidR="00453404" w:rsidRPr="00453404" w14:paraId="55AD88E4" w14:textId="77777777" w:rsidTr="00863509">
        <w:trPr>
          <w:trHeight w:val="318"/>
          <w:jc w:val="center"/>
        </w:trPr>
        <w:tc>
          <w:tcPr>
            <w:tcW w:w="3531" w:type="dxa"/>
            <w:tcBorders>
              <w:top w:val="nil"/>
              <w:left w:val="nil"/>
              <w:bottom w:val="nil"/>
              <w:right w:val="nil"/>
            </w:tcBorders>
            <w:hideMark/>
          </w:tcPr>
          <w:p w14:paraId="7A458253" w14:textId="77777777" w:rsidR="00453404" w:rsidRPr="00453404" w:rsidRDefault="00453404" w:rsidP="00863509">
            <w:pPr>
              <w:tabs>
                <w:tab w:val="left" w:pos="360"/>
              </w:tabs>
              <w:rPr>
                <w:rFonts w:ascii="Arial" w:hAnsi="Arial" w:cs="Arial"/>
              </w:rPr>
            </w:pPr>
            <w:r w:rsidRPr="00453404">
              <w:rPr>
                <w:rFonts w:ascii="Arial" w:hAnsi="Arial" w:cs="Arial"/>
              </w:rPr>
              <w:t>Digestible energy (kcal/kg)</w:t>
            </w:r>
          </w:p>
        </w:tc>
        <w:tc>
          <w:tcPr>
            <w:tcW w:w="1198" w:type="dxa"/>
            <w:tcBorders>
              <w:top w:val="nil"/>
              <w:left w:val="nil"/>
              <w:bottom w:val="nil"/>
              <w:right w:val="nil"/>
            </w:tcBorders>
            <w:vAlign w:val="center"/>
          </w:tcPr>
          <w:p w14:paraId="57A59DB1" w14:textId="77777777" w:rsidR="00453404" w:rsidRPr="00453404" w:rsidRDefault="00453404" w:rsidP="00863509">
            <w:pPr>
              <w:tabs>
                <w:tab w:val="left" w:pos="360"/>
              </w:tabs>
              <w:jc w:val="right"/>
              <w:rPr>
                <w:rFonts w:ascii="Arial" w:hAnsi="Arial" w:cs="Arial"/>
              </w:rPr>
            </w:pPr>
            <w:r w:rsidRPr="00453404">
              <w:rPr>
                <w:rFonts w:ascii="Arial" w:hAnsi="Arial" w:cs="Arial"/>
              </w:rPr>
              <w:t>2,538.4</w:t>
            </w:r>
          </w:p>
        </w:tc>
        <w:tc>
          <w:tcPr>
            <w:tcW w:w="1212" w:type="dxa"/>
            <w:tcBorders>
              <w:top w:val="nil"/>
              <w:left w:val="nil"/>
              <w:bottom w:val="nil"/>
              <w:right w:val="nil"/>
            </w:tcBorders>
            <w:vAlign w:val="center"/>
          </w:tcPr>
          <w:p w14:paraId="079F6CBD" w14:textId="77777777" w:rsidR="00453404" w:rsidRPr="00453404" w:rsidRDefault="00453404" w:rsidP="00863509">
            <w:pPr>
              <w:tabs>
                <w:tab w:val="left" w:pos="360"/>
              </w:tabs>
              <w:jc w:val="right"/>
              <w:rPr>
                <w:rFonts w:ascii="Arial" w:hAnsi="Arial" w:cs="Arial"/>
              </w:rPr>
            </w:pPr>
            <w:r w:rsidRPr="00453404">
              <w:rPr>
                <w:rFonts w:ascii="Arial" w:hAnsi="Arial" w:cs="Arial"/>
              </w:rPr>
              <w:t>2,420.9</w:t>
            </w:r>
          </w:p>
        </w:tc>
        <w:tc>
          <w:tcPr>
            <w:tcW w:w="1211" w:type="dxa"/>
            <w:tcBorders>
              <w:top w:val="nil"/>
              <w:left w:val="nil"/>
              <w:bottom w:val="nil"/>
              <w:right w:val="nil"/>
            </w:tcBorders>
            <w:vAlign w:val="center"/>
          </w:tcPr>
          <w:p w14:paraId="0A1B558C" w14:textId="77777777" w:rsidR="00453404" w:rsidRPr="00453404" w:rsidRDefault="00453404" w:rsidP="00863509">
            <w:pPr>
              <w:tabs>
                <w:tab w:val="left" w:pos="360"/>
              </w:tabs>
              <w:jc w:val="right"/>
              <w:rPr>
                <w:rFonts w:ascii="Arial" w:hAnsi="Arial" w:cs="Arial"/>
              </w:rPr>
            </w:pPr>
            <w:r w:rsidRPr="00453404">
              <w:rPr>
                <w:rFonts w:ascii="Arial" w:hAnsi="Arial" w:cs="Arial"/>
              </w:rPr>
              <w:t>2,344.3</w:t>
            </w:r>
          </w:p>
        </w:tc>
      </w:tr>
      <w:tr w:rsidR="00453404" w:rsidRPr="00453404" w14:paraId="02ACBF90" w14:textId="77777777" w:rsidTr="00863509">
        <w:trPr>
          <w:trHeight w:val="318"/>
          <w:jc w:val="center"/>
        </w:trPr>
        <w:tc>
          <w:tcPr>
            <w:tcW w:w="3531" w:type="dxa"/>
            <w:tcBorders>
              <w:top w:val="nil"/>
              <w:left w:val="nil"/>
              <w:bottom w:val="single" w:sz="4" w:space="0" w:color="000000"/>
              <w:right w:val="nil"/>
            </w:tcBorders>
          </w:tcPr>
          <w:p w14:paraId="7D697308" w14:textId="77777777" w:rsidR="00453404" w:rsidRPr="00453404" w:rsidRDefault="00453404" w:rsidP="00863509">
            <w:pPr>
              <w:tabs>
                <w:tab w:val="left" w:pos="360"/>
              </w:tabs>
              <w:rPr>
                <w:rFonts w:ascii="Arial" w:hAnsi="Arial" w:cs="Arial"/>
              </w:rPr>
            </w:pPr>
            <w:r w:rsidRPr="00453404">
              <w:rPr>
                <w:rFonts w:ascii="Arial" w:hAnsi="Arial" w:cs="Arial"/>
              </w:rPr>
              <w:t>Digestible energy (MJ/kg)</w:t>
            </w:r>
          </w:p>
        </w:tc>
        <w:tc>
          <w:tcPr>
            <w:tcW w:w="1198" w:type="dxa"/>
            <w:tcBorders>
              <w:top w:val="nil"/>
              <w:left w:val="nil"/>
              <w:bottom w:val="single" w:sz="4" w:space="0" w:color="000000"/>
              <w:right w:val="nil"/>
            </w:tcBorders>
            <w:vAlign w:val="center"/>
          </w:tcPr>
          <w:p w14:paraId="516F02CD" w14:textId="77777777" w:rsidR="00453404" w:rsidRPr="00453404" w:rsidRDefault="00453404" w:rsidP="00863509">
            <w:pPr>
              <w:tabs>
                <w:tab w:val="left" w:pos="360"/>
              </w:tabs>
              <w:jc w:val="right"/>
              <w:rPr>
                <w:rFonts w:ascii="Arial" w:hAnsi="Arial" w:cs="Arial"/>
              </w:rPr>
            </w:pPr>
            <w:r w:rsidRPr="00453404">
              <w:rPr>
                <w:rFonts w:ascii="Arial" w:hAnsi="Arial" w:cs="Arial"/>
              </w:rPr>
              <w:t>10.7</w:t>
            </w:r>
          </w:p>
        </w:tc>
        <w:tc>
          <w:tcPr>
            <w:tcW w:w="1212" w:type="dxa"/>
            <w:tcBorders>
              <w:top w:val="nil"/>
              <w:left w:val="nil"/>
              <w:bottom w:val="single" w:sz="4" w:space="0" w:color="000000"/>
              <w:right w:val="nil"/>
            </w:tcBorders>
            <w:vAlign w:val="center"/>
          </w:tcPr>
          <w:p w14:paraId="2ACB46EB" w14:textId="77777777" w:rsidR="00453404" w:rsidRPr="00453404" w:rsidRDefault="00453404" w:rsidP="00863509">
            <w:pPr>
              <w:tabs>
                <w:tab w:val="left" w:pos="360"/>
              </w:tabs>
              <w:jc w:val="right"/>
              <w:rPr>
                <w:rFonts w:ascii="Arial" w:hAnsi="Arial" w:cs="Arial"/>
              </w:rPr>
            </w:pPr>
            <w:r w:rsidRPr="00453404">
              <w:rPr>
                <w:rFonts w:ascii="Arial" w:hAnsi="Arial" w:cs="Arial"/>
              </w:rPr>
              <w:t>10.2</w:t>
            </w:r>
          </w:p>
        </w:tc>
        <w:tc>
          <w:tcPr>
            <w:tcW w:w="1211" w:type="dxa"/>
            <w:tcBorders>
              <w:top w:val="nil"/>
              <w:left w:val="nil"/>
              <w:bottom w:val="single" w:sz="4" w:space="0" w:color="000000"/>
              <w:right w:val="nil"/>
            </w:tcBorders>
            <w:vAlign w:val="center"/>
          </w:tcPr>
          <w:p w14:paraId="536C740C" w14:textId="77777777" w:rsidR="00453404" w:rsidRPr="00453404" w:rsidRDefault="00453404" w:rsidP="00863509">
            <w:pPr>
              <w:tabs>
                <w:tab w:val="left" w:pos="360"/>
              </w:tabs>
              <w:jc w:val="right"/>
              <w:rPr>
                <w:rFonts w:ascii="Arial" w:hAnsi="Arial" w:cs="Arial"/>
              </w:rPr>
            </w:pPr>
            <w:r w:rsidRPr="00453404">
              <w:rPr>
                <w:rFonts w:ascii="Arial" w:hAnsi="Arial" w:cs="Arial"/>
              </w:rPr>
              <w:t>9.8</w:t>
            </w:r>
          </w:p>
        </w:tc>
      </w:tr>
    </w:tbl>
    <w:p w14:paraId="383DAA90" w14:textId="77777777" w:rsidR="00453404" w:rsidRDefault="00453404" w:rsidP="00453404">
      <w:pPr>
        <w:ind w:left="709" w:hanging="709"/>
        <w:jc w:val="both"/>
        <w:rPr>
          <w:rFonts w:ascii="Arial" w:hAnsi="Arial" w:cs="Arial"/>
          <w:i/>
          <w:iCs/>
          <w:sz w:val="18"/>
          <w:szCs w:val="18"/>
        </w:rPr>
      </w:pPr>
      <w:proofErr w:type="gramStart"/>
      <w:r w:rsidRPr="00453404">
        <w:rPr>
          <w:rFonts w:ascii="Arial" w:hAnsi="Arial" w:cs="Arial"/>
          <w:i/>
          <w:iCs/>
          <w:sz w:val="18"/>
          <w:szCs w:val="18"/>
        </w:rPr>
        <w:t>Note</w:t>
      </w:r>
      <w:r>
        <w:rPr>
          <w:rFonts w:ascii="Arial" w:hAnsi="Arial" w:cs="Arial"/>
          <w:i/>
          <w:iCs/>
          <w:sz w:val="18"/>
          <w:szCs w:val="18"/>
        </w:rPr>
        <w:t xml:space="preserve"> </w:t>
      </w:r>
      <w:r w:rsidRPr="00453404">
        <w:rPr>
          <w:rFonts w:ascii="Arial" w:hAnsi="Arial" w:cs="Arial"/>
          <w:i/>
          <w:iCs/>
          <w:sz w:val="18"/>
          <w:szCs w:val="18"/>
        </w:rPr>
        <w:t>:</w:t>
      </w:r>
      <w:proofErr w:type="gramEnd"/>
      <w:r w:rsidRPr="00453404">
        <w:rPr>
          <w:rFonts w:ascii="Arial" w:hAnsi="Arial" w:cs="Arial"/>
          <w:i/>
          <w:iCs/>
          <w:sz w:val="18"/>
          <w:szCs w:val="18"/>
        </w:rPr>
        <w:t xml:space="preserve"> </w:t>
      </w:r>
    </w:p>
    <w:p w14:paraId="30C53972" w14:textId="77777777" w:rsidR="00453404" w:rsidRPr="00453404" w:rsidRDefault="00453404" w:rsidP="00453404">
      <w:pPr>
        <w:ind w:left="142" w:hanging="142"/>
        <w:jc w:val="both"/>
        <w:rPr>
          <w:rFonts w:ascii="Arial" w:hAnsi="Arial" w:cs="Arial"/>
          <w:i/>
          <w:iCs/>
          <w:sz w:val="18"/>
          <w:szCs w:val="18"/>
        </w:rPr>
      </w:pPr>
      <w:r w:rsidRPr="00453404">
        <w:rPr>
          <w:rFonts w:ascii="Arial" w:hAnsi="Arial" w:cs="Arial"/>
          <w:i/>
          <w:iCs/>
          <w:sz w:val="18"/>
          <w:szCs w:val="18"/>
        </w:rPr>
        <w:t xml:space="preserve">* minerals and vitamins (/kg): Citric acid 9 mg; Propyl gallate; Mixture of aromatic substances; lives at 2,500,000 IU; vit D 3,250,000 IU; vit E 12,500 IU; vit, K 3 375 mg; vit B 1,500 mg; Choline chloride; 45,000 mg; lives B </w:t>
      </w:r>
      <w:proofErr w:type="gramStart"/>
      <w:r w:rsidRPr="00453404">
        <w:rPr>
          <w:rFonts w:ascii="Arial" w:hAnsi="Arial" w:cs="Arial"/>
          <w:i/>
          <w:iCs/>
          <w:sz w:val="18"/>
          <w:szCs w:val="18"/>
        </w:rPr>
        <w:t>2 ;</w:t>
      </w:r>
      <w:proofErr w:type="gramEnd"/>
      <w:r w:rsidRPr="00453404">
        <w:rPr>
          <w:rFonts w:ascii="Arial" w:hAnsi="Arial" w:cs="Arial"/>
          <w:i/>
          <w:iCs/>
          <w:sz w:val="18"/>
          <w:szCs w:val="18"/>
        </w:rPr>
        <w:t xml:space="preserve"> D- calcium </w:t>
      </w:r>
      <w:proofErr w:type="spellStart"/>
      <w:proofErr w:type="gramStart"/>
      <w:r w:rsidRPr="00453404">
        <w:rPr>
          <w:rFonts w:ascii="Arial" w:hAnsi="Arial" w:cs="Arial"/>
          <w:i/>
          <w:iCs/>
          <w:sz w:val="18"/>
          <w:szCs w:val="18"/>
        </w:rPr>
        <w:t>panthothenate</w:t>
      </w:r>
      <w:proofErr w:type="spellEnd"/>
      <w:r w:rsidRPr="00453404">
        <w:rPr>
          <w:rFonts w:ascii="Arial" w:hAnsi="Arial" w:cs="Arial"/>
          <w:i/>
          <w:iCs/>
          <w:sz w:val="18"/>
          <w:szCs w:val="18"/>
        </w:rPr>
        <w:t xml:space="preserve"> ;</w:t>
      </w:r>
      <w:proofErr w:type="gramEnd"/>
      <w:r w:rsidRPr="00453404">
        <w:rPr>
          <w:rFonts w:ascii="Arial" w:hAnsi="Arial" w:cs="Arial"/>
          <w:i/>
          <w:iCs/>
          <w:sz w:val="18"/>
          <w:szCs w:val="18"/>
        </w:rPr>
        <w:t xml:space="preserve"> lives B </w:t>
      </w:r>
      <w:proofErr w:type="gramStart"/>
      <w:r w:rsidRPr="00453404">
        <w:rPr>
          <w:rFonts w:ascii="Arial" w:hAnsi="Arial" w:cs="Arial"/>
          <w:i/>
          <w:iCs/>
          <w:sz w:val="18"/>
          <w:szCs w:val="18"/>
        </w:rPr>
        <w:t>6 ;</w:t>
      </w:r>
      <w:proofErr w:type="gramEnd"/>
      <w:r w:rsidRPr="00453404">
        <w:rPr>
          <w:rFonts w:ascii="Arial" w:hAnsi="Arial" w:cs="Arial"/>
          <w:i/>
          <w:iCs/>
          <w:sz w:val="18"/>
          <w:szCs w:val="18"/>
        </w:rPr>
        <w:t xml:space="preserve"> lives B </w:t>
      </w:r>
      <w:proofErr w:type="gramStart"/>
      <w:r w:rsidRPr="00453404">
        <w:rPr>
          <w:rFonts w:ascii="Arial" w:hAnsi="Arial" w:cs="Arial"/>
          <w:i/>
          <w:iCs/>
          <w:sz w:val="18"/>
          <w:szCs w:val="18"/>
        </w:rPr>
        <w:t>12 ;</w:t>
      </w:r>
      <w:proofErr w:type="gramEnd"/>
      <w:r w:rsidRPr="00453404">
        <w:rPr>
          <w:rFonts w:ascii="Arial" w:hAnsi="Arial" w:cs="Arial"/>
          <w:i/>
          <w:iCs/>
          <w:sz w:val="18"/>
          <w:szCs w:val="18"/>
        </w:rPr>
        <w:t xml:space="preserve"> Niacin / Niacinamide; Folic </w:t>
      </w:r>
      <w:proofErr w:type="gramStart"/>
      <w:r w:rsidRPr="00453404">
        <w:rPr>
          <w:rFonts w:ascii="Arial" w:hAnsi="Arial" w:cs="Arial"/>
          <w:i/>
          <w:iCs/>
          <w:sz w:val="18"/>
          <w:szCs w:val="18"/>
        </w:rPr>
        <w:t>acid ;</w:t>
      </w:r>
      <w:proofErr w:type="gramEnd"/>
      <w:r w:rsidRPr="00453404">
        <w:rPr>
          <w:rFonts w:ascii="Arial" w:hAnsi="Arial" w:cs="Arial"/>
          <w:i/>
          <w:iCs/>
          <w:sz w:val="18"/>
          <w:szCs w:val="18"/>
        </w:rPr>
        <w:t xml:space="preserve"> Biotin; Copper 2,000 mg; Iron 12,500 mg; Zinc 12,500 mg; Manganese 5,000 mg; Iodine 75 mg; Cobalt 25 mg; Selenium 25 mg; Support: calcium carbonate and magnesium oxide.</w:t>
      </w:r>
    </w:p>
    <w:p w14:paraId="1939A0CF" w14:textId="77777777" w:rsidR="00A464BB" w:rsidRPr="00453404" w:rsidRDefault="00453404" w:rsidP="00453404">
      <w:pPr>
        <w:ind w:left="142"/>
        <w:jc w:val="both"/>
        <w:rPr>
          <w:rFonts w:ascii="Arial" w:hAnsi="Arial" w:cs="Arial"/>
          <w:i/>
          <w:iCs/>
          <w:sz w:val="18"/>
          <w:szCs w:val="18"/>
        </w:rPr>
      </w:pPr>
      <w:r w:rsidRPr="00453404">
        <w:rPr>
          <w:rFonts w:ascii="Arial" w:hAnsi="Arial" w:cs="Arial"/>
          <w:i/>
          <w:iCs/>
          <w:sz w:val="18"/>
          <w:szCs w:val="18"/>
        </w:rPr>
        <w:t xml:space="preserve">**NDF: Neutral Detergent </w:t>
      </w:r>
      <w:proofErr w:type="spellStart"/>
      <w:r w:rsidRPr="00453404">
        <w:rPr>
          <w:rFonts w:ascii="Arial" w:hAnsi="Arial" w:cs="Arial"/>
          <w:i/>
          <w:iCs/>
          <w:sz w:val="18"/>
          <w:szCs w:val="18"/>
        </w:rPr>
        <w:t>Fibre</w:t>
      </w:r>
      <w:proofErr w:type="spellEnd"/>
      <w:r w:rsidRPr="00453404">
        <w:rPr>
          <w:rFonts w:ascii="Arial" w:hAnsi="Arial" w:cs="Arial"/>
          <w:i/>
          <w:iCs/>
          <w:sz w:val="18"/>
          <w:szCs w:val="18"/>
        </w:rPr>
        <w:t xml:space="preserve">; ADF: Acid Detergent </w:t>
      </w:r>
      <w:proofErr w:type="spellStart"/>
      <w:r w:rsidRPr="00453404">
        <w:rPr>
          <w:rFonts w:ascii="Arial" w:hAnsi="Arial" w:cs="Arial"/>
          <w:i/>
          <w:iCs/>
          <w:sz w:val="18"/>
          <w:szCs w:val="18"/>
        </w:rPr>
        <w:t>Fibre</w:t>
      </w:r>
      <w:proofErr w:type="spellEnd"/>
      <w:r w:rsidRPr="00453404">
        <w:rPr>
          <w:rFonts w:ascii="Arial" w:hAnsi="Arial" w:cs="Arial"/>
          <w:i/>
          <w:iCs/>
          <w:sz w:val="18"/>
          <w:szCs w:val="18"/>
        </w:rPr>
        <w:t xml:space="preserve">; ADL: Acid Detergent </w:t>
      </w:r>
      <w:proofErr w:type="spellStart"/>
      <w:r w:rsidRPr="00453404">
        <w:rPr>
          <w:rFonts w:ascii="Arial" w:hAnsi="Arial" w:cs="Arial"/>
          <w:i/>
          <w:iCs/>
          <w:sz w:val="18"/>
          <w:szCs w:val="18"/>
        </w:rPr>
        <w:t>Fibre</w:t>
      </w:r>
      <w:proofErr w:type="spellEnd"/>
    </w:p>
    <w:p w14:paraId="52DAE93C" w14:textId="77777777" w:rsidR="00A464BB" w:rsidRPr="00561B74" w:rsidRDefault="00A464BB" w:rsidP="00561B74">
      <w:pPr>
        <w:tabs>
          <w:tab w:val="left" w:pos="360"/>
        </w:tabs>
        <w:jc w:val="both"/>
        <w:rPr>
          <w:rFonts w:ascii="Arial" w:hAnsi="Arial" w:cs="Arial"/>
        </w:rPr>
      </w:pPr>
    </w:p>
    <w:p w14:paraId="333279F1" w14:textId="77777777" w:rsidR="00561B74" w:rsidRPr="00561B74" w:rsidRDefault="00561B74" w:rsidP="00561B74">
      <w:pPr>
        <w:tabs>
          <w:tab w:val="left" w:pos="360"/>
        </w:tabs>
        <w:jc w:val="both"/>
        <w:rPr>
          <w:rFonts w:ascii="Arial" w:hAnsi="Arial" w:cs="Arial"/>
        </w:rPr>
      </w:pPr>
      <w:r w:rsidRPr="00561B74">
        <w:rPr>
          <w:rFonts w:ascii="Arial" w:hAnsi="Arial" w:cs="Arial"/>
        </w:rPr>
        <w:t xml:space="preserve">After a 15-day adaptation phase to cages and diets, feed intake and nutrients digestibility during the growth (from weaning to 4 months of age) and fattening (from 4 to 6 months of age) stages were measured. The digestibility coefficients of dry matter, organic matter, proteins and </w:t>
      </w:r>
      <w:proofErr w:type="spellStart"/>
      <w:r w:rsidRPr="00561B74">
        <w:rPr>
          <w:rFonts w:ascii="Arial" w:hAnsi="Arial" w:cs="Arial"/>
        </w:rPr>
        <w:t>fibre</w:t>
      </w:r>
      <w:proofErr w:type="spellEnd"/>
      <w:r w:rsidRPr="00561B74">
        <w:rPr>
          <w:rFonts w:ascii="Arial" w:hAnsi="Arial" w:cs="Arial"/>
        </w:rPr>
        <w:t xml:space="preserve"> were determined according to </w:t>
      </w:r>
      <w:r w:rsidRPr="00561B74">
        <w:rPr>
          <w:rFonts w:ascii="Arial" w:hAnsi="Arial" w:cs="Arial"/>
        </w:rPr>
        <w:fldChar w:fldCharType="begin"/>
      </w:r>
      <w:r w:rsidRPr="00561B74">
        <w:rPr>
          <w:rFonts w:ascii="Arial" w:hAnsi="Arial" w:cs="Arial"/>
        </w:rPr>
        <w:instrText xml:space="preserve"> ADDIN EN.CITE &lt;EndNote&gt;&lt;Cite AuthorYear="1"&gt;&lt;Author&gt;EGRAN&lt;/Author&gt;&lt;Year&gt;2001&lt;/Year&gt;&lt;RecNum&gt;24&lt;/RecNum&gt;&lt;DisplayText&gt;EGRAN (2001)&lt;/DisplayText&gt;&lt;record&gt;&lt;rec-number&gt;24&lt;/rec-number&gt;&lt;foreign-keys&gt;&lt;key app="EN" db-id="95rwdpepzf52eae2e5dxxrxwasafevedepw0" timestamp="1773695714"&gt;24&lt;/key&gt;&lt;/foreign-keys&gt;&lt;ref-type name="Journal Article"&gt;17&lt;/ref-type&gt;&lt;contributors&gt;&lt;authors&gt;&lt;author&gt;EGRAN,&lt;/author&gt;&lt;/authors&gt;&lt;/contributors&gt;&lt;auth-address&gt;Station de recherches cunicoles&lt;/auth-address&gt;&lt;titles&gt;&lt;title&gt;Technical note: Attempts to harmonize chemical analyses of feeds and faeces, for rabbit feed evaluation&lt;/title&gt;&lt;secondary-title&gt;World Rabbit Science&lt;/secondary-title&gt;&lt;/titles&gt;&lt;periodical&gt;&lt;full-title&gt;World Rabbit Science&lt;/full-title&gt;&lt;/periodical&gt;&lt;pages&gt;57-64&lt;/pages&gt;&lt;volume&gt;9&lt;/volume&gt;&lt;number&gt;2&lt;/number&gt;&lt;keywords&gt;&lt;keyword&gt;ALIMENT POUR ANIMAUX&lt;/keyword&gt;&lt;/keywords&gt;&lt;dates&gt;&lt;year&gt;2001&lt;/year&gt;&lt;pub-dates&gt;&lt;date&gt;2001&lt;/date&gt;&lt;/pub-dates&gt;&lt;/dates&gt;&lt;isbn&gt;1257-5011&lt;/isbn&gt;&lt;call-num&gt;hal-02679125&lt;/call-num&gt;&lt;urls&gt;&lt;related-urls&gt;&lt;url&gt;https://hal.inrae.fr/hal-02679125&lt;/url&gt;&lt;/related-urls&gt;&lt;/urls&gt;&lt;electronic-resource-num&gt;10.4995/wrs.2001.446&lt;/electronic-resource-num&gt;&lt;remote-database-name&gt;Inra&amp;#xD;Agreenium&amp;#xD;Inrae&lt;/remote-database-name&gt;&lt;research-notes&gt;sans comité de lecture&lt;/research-notes&gt;&lt;language&gt;English&lt;/language&gt;&lt;/record&gt;&lt;/Cite&gt;&lt;/EndNote&gt;</w:instrText>
      </w:r>
      <w:r w:rsidRPr="00561B74">
        <w:rPr>
          <w:rFonts w:ascii="Arial" w:hAnsi="Arial" w:cs="Arial"/>
        </w:rPr>
        <w:fldChar w:fldCharType="separate"/>
      </w:r>
      <w:r w:rsidRPr="00561B74">
        <w:rPr>
          <w:rFonts w:ascii="Arial" w:hAnsi="Arial" w:cs="Arial"/>
        </w:rPr>
        <w:t>EGRAN (2001)</w:t>
      </w:r>
      <w:r w:rsidRPr="00561B74">
        <w:rPr>
          <w:rFonts w:ascii="Arial" w:hAnsi="Arial" w:cs="Arial"/>
        </w:rPr>
        <w:fldChar w:fldCharType="end"/>
      </w:r>
      <w:r w:rsidRPr="00561B74">
        <w:rPr>
          <w:rFonts w:ascii="Arial" w:hAnsi="Arial" w:cs="Arial"/>
        </w:rPr>
        <w:t>.</w:t>
      </w:r>
    </w:p>
    <w:p w14:paraId="327CCF8B" w14:textId="77777777" w:rsidR="007D01D8" w:rsidRDefault="00561B74" w:rsidP="00561B74">
      <w:pPr>
        <w:tabs>
          <w:tab w:val="left" w:pos="0"/>
        </w:tabs>
        <w:jc w:val="both"/>
        <w:rPr>
          <w:rFonts w:ascii="Arial" w:hAnsi="Arial" w:cs="Arial"/>
        </w:rPr>
      </w:pPr>
      <w:r w:rsidRPr="00561B74">
        <w:rPr>
          <w:rFonts w:ascii="Arial" w:hAnsi="Arial" w:cs="Arial"/>
        </w:rPr>
        <w:t>Morbidity and mortality checks were carried out daily on the animals. Animals’ live weights were checked once a week from weaning until 6 months of age. At the end of the feeding trial</w:t>
      </w:r>
      <w:r w:rsidR="007D01D8" w:rsidRPr="00D850FD">
        <w:rPr>
          <w:rFonts w:ascii="Arial" w:hAnsi="Arial" w:cs="Arial"/>
        </w:rPr>
        <w:t>, all 18 grasscutters (9 animals per dietary treatment) were slaughtered. Prior to slaughter, animals were stunned to minimize pain and stress before bleeding. Stunning, slaughtering, and handling procedures were performed in accordance with the recommendations of the AVMA Guidelines for the Euthanasia of Animals </w:t>
      </w:r>
    </w:p>
    <w:p w14:paraId="7932DBCA" w14:textId="77777777" w:rsidR="00561B74" w:rsidRPr="00561B74" w:rsidRDefault="00561B74" w:rsidP="00561B74">
      <w:pPr>
        <w:tabs>
          <w:tab w:val="left" w:pos="0"/>
        </w:tabs>
        <w:jc w:val="both"/>
        <w:rPr>
          <w:rFonts w:ascii="Arial" w:hAnsi="Arial" w:cs="Arial"/>
        </w:rPr>
      </w:pPr>
      <w:r w:rsidRPr="00561B74">
        <w:rPr>
          <w:rFonts w:ascii="Arial" w:hAnsi="Arial" w:cs="Arial"/>
        </w:rPr>
        <w:fldChar w:fldCharType="begin"/>
      </w:r>
      <w:r w:rsidRPr="00561B74">
        <w:rPr>
          <w:rFonts w:ascii="Arial" w:hAnsi="Arial" w:cs="Arial"/>
        </w:rPr>
        <w:instrText xml:space="preserve"> ADDIN EN.CITE &lt;EndNote&gt;&lt;Cite&gt;&lt;Author&gt;Leary&lt;/Author&gt;&lt;Year&gt;2020&lt;/Year&gt;&lt;RecNum&gt;21&lt;/RecNum&gt;&lt;DisplayText&gt;(Leary&lt;style face="italic"&gt; et al.&lt;/style&gt;, 2020)&lt;/DisplayText&gt;&lt;record&gt;&lt;rec-number&gt;21&lt;/rec-number&gt;&lt;foreign-keys&gt;&lt;key app="EN" db-id="95rwdpepzf52eae2e5dxxrxwasafevedepw0" timestamp="1773694397"&gt;21&lt;/key&gt;&lt;/foreign-keys&gt;&lt;ref-type name="Book"&gt;6&lt;/ref-type&gt;&lt;contributors&gt;&lt;authors&gt;&lt;author&gt;Leary, Steven&lt;/author&gt;&lt;author&gt;Underwood, Wendy&lt;/author&gt;&lt;author&gt;Anthony, Raymond&lt;/author&gt;&lt;author&gt;Cartner, Samuel&lt;/author&gt;&lt;author&gt;Grandin, Temple&lt;/author&gt;&lt;author&gt;Greenacre, Cheryl&lt;/author&gt;&lt;author&gt;Gwaltney-Brant, Sharon&lt;/author&gt;&lt;author&gt;McCrackin, Mary Ann&lt;/author&gt;&lt;author&gt;Meyer, Robert&lt;/author&gt;&lt;author&gt;Miller, David&lt;/author&gt;&lt;author&gt;Shearer, Jan&lt;/author&gt;&lt;author&gt;Turner, Tracy&lt;/author&gt;&lt;author&gt;Yanong, Roy&lt;/author&gt;&lt;/authors&gt;&lt;/contributors&gt;&lt;titles&gt;&lt;title&gt;AVMA guidelines for the euthanasia of animals: 2020 edition&lt;/title&gt;&lt;secondary-title&gt;Retrieved on March&lt;/secondary-title&gt;&lt;/titles&gt;&lt;periodical&gt;&lt;full-title&gt;Retrieved on March&lt;/full-title&gt;&lt;/periodical&gt;&lt;pages&gt;2020&lt;/pages&gt;&lt;volume&gt;2020&lt;/volume&gt;&lt;number&gt;30&lt;/number&gt;&lt;edition&gt;2020&lt;/edition&gt;&lt;section&gt;121&lt;/section&gt;&lt;dates&gt;&lt;year&gt;2020&lt;/year&gt;&lt;/dates&gt;&lt;urls&gt;&lt;related-urls&gt;&lt;url&gt;https://www.avma.org/sites/default/files/2020-02/Guidelines-on-Euthanasia-2020.pdf&lt;/url&gt;&lt;/related-urls&gt;&lt;/urls&gt;&lt;/record&gt;&lt;/Cite&gt;&lt;/EndNote&gt;</w:instrText>
      </w:r>
      <w:r w:rsidRPr="00561B74">
        <w:rPr>
          <w:rFonts w:ascii="Arial" w:hAnsi="Arial" w:cs="Arial"/>
        </w:rPr>
        <w:fldChar w:fldCharType="separate"/>
      </w:r>
      <w:r w:rsidRPr="00561B74">
        <w:rPr>
          <w:rFonts w:ascii="Arial" w:hAnsi="Arial" w:cs="Arial"/>
        </w:rPr>
        <w:t>(Leary et al., 2020)</w:t>
      </w:r>
      <w:r w:rsidRPr="00561B74">
        <w:rPr>
          <w:rFonts w:ascii="Arial" w:hAnsi="Arial" w:cs="Arial"/>
        </w:rPr>
        <w:fldChar w:fldCharType="end"/>
      </w:r>
      <w:r w:rsidRPr="00561B74">
        <w:rPr>
          <w:rFonts w:ascii="Arial" w:hAnsi="Arial" w:cs="Arial"/>
        </w:rPr>
        <w:t xml:space="preserve">. After slaughter, the weights (g) of the skin, the full digestive tract and the hot carcass were recorded. Then, the carcasses were stored in a cold room (2°C). After 24 hours, measurements of the lengths L1 (from the Atlas vertebra to the 7th lumbar vertebra) and L2 (from the 7th lumbar vertebra to the end of the ischium bone) were carried out. Each cold carcass was cut into three (3) pieces by cross sections, based on precise marks. These are: the front (1st cervical vertebra to the 7th thoracic vertebra), the saddle (from the 8th thoracic vertebra to the 6th lumbar vertebra) and the back </w:t>
      </w:r>
      <w:r w:rsidRPr="00561B74">
        <w:rPr>
          <w:rFonts w:ascii="Arial" w:hAnsi="Arial" w:cs="Arial"/>
        </w:rPr>
        <w:fldChar w:fldCharType="begin"/>
      </w:r>
      <w:r w:rsidRPr="00561B74">
        <w:rPr>
          <w:rFonts w:ascii="Arial" w:hAnsi="Arial" w:cs="Arial"/>
        </w:rPr>
        <w:instrText xml:space="preserve"> ADDIN EN.CITE &lt;EndNote&gt;&lt;Cite&gt;&lt;Author&gt;Blasco&lt;/Author&gt;&lt;Year&gt;1993&lt;/Year&gt;&lt;RecNum&gt;25&lt;/RecNum&gt;&lt;DisplayText&gt;(Blasco&lt;style face="italic"&gt; et al.&lt;/style&gt;, 1993)&lt;/DisplayText&gt;&lt;record&gt;&lt;rec-number&gt;25&lt;/rec-number&gt;&lt;foreign-keys&gt;&lt;key app="EN" db-id="95rwdpepzf52eae2e5dxxrxwasafevedepw0" timestamp="1773696022"&gt;25&lt;/key&gt;&lt;/foreign-keys&gt;&lt;ref-type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Science&lt;/secondary-title&gt;&lt;/titles&gt;&lt;periodical&gt;&lt;full-title&gt;World Rabbit Science&lt;/full-title&gt;&lt;/periodical&gt;&lt;pages&gt;93-99&lt;/pages&gt;&lt;volume&gt;4&lt;/volume&gt;&lt;number&gt;2&lt;/number&gt;&lt;section&gt;Papers&lt;/section&gt;&lt;dates&gt;&lt;year&gt;1993&lt;/year&gt;&lt;pub-dates&gt;&lt;date&gt;07/02&lt;/date&gt;&lt;/pub-dates&gt;&lt;/dates&gt;&lt;urls&gt;&lt;related-urls&gt;&lt;url&gt;https://polipapers.upv.es/index.php/wrs/article/view/278&lt;/url&gt;&lt;/related-urls&gt;&lt;/urls&gt;&lt;electronic-resource-num&gt;10.4995/wrs.1996.278&lt;/electronic-resource-num&gt;&lt;access-date&gt;2026/03/16&lt;/access-date&gt;&lt;/record&gt;&lt;/Cite&gt;&lt;/EndNote&gt;</w:instrText>
      </w:r>
      <w:r w:rsidRPr="00561B74">
        <w:rPr>
          <w:rFonts w:ascii="Arial" w:hAnsi="Arial" w:cs="Arial"/>
        </w:rPr>
        <w:fldChar w:fldCharType="separate"/>
      </w:r>
      <w:r w:rsidRPr="00561B74">
        <w:rPr>
          <w:rFonts w:ascii="Arial" w:hAnsi="Arial" w:cs="Arial"/>
        </w:rPr>
        <w:t>(Blasco et al., 1993)</w:t>
      </w:r>
      <w:r w:rsidRPr="00561B74">
        <w:rPr>
          <w:rFonts w:ascii="Arial" w:hAnsi="Arial" w:cs="Arial"/>
        </w:rPr>
        <w:fldChar w:fldCharType="end"/>
      </w:r>
      <w:r w:rsidRPr="00561B74">
        <w:rPr>
          <w:rFonts w:ascii="Arial" w:hAnsi="Arial" w:cs="Arial"/>
        </w:rPr>
        <w:t>.</w:t>
      </w:r>
    </w:p>
    <w:p w14:paraId="2F26BB7C" w14:textId="77777777" w:rsidR="00561B74" w:rsidRPr="00561B74" w:rsidRDefault="00561B74" w:rsidP="00561B74">
      <w:pPr>
        <w:tabs>
          <w:tab w:val="left" w:pos="0"/>
        </w:tabs>
        <w:jc w:val="both"/>
        <w:rPr>
          <w:rFonts w:ascii="Arial" w:hAnsi="Arial" w:cs="Arial"/>
        </w:rPr>
      </w:pPr>
      <w:r w:rsidRPr="00561B74">
        <w:rPr>
          <w:rFonts w:ascii="Arial" w:hAnsi="Arial" w:cs="Arial"/>
        </w:rPr>
        <w:t>In this study, the hot carcass was defined as the rest of the cane rat without offal (liver, heart, lungs, spleen, digestive viscera, skin) and urogenital organs (Table 2). As for the commercial carcass, it is obtained after separation of the front (at the level of the small round carpal bones and rear (between the lower end of the tibia and the calcaneus bone of the heel) sleeves from the cold carcass. The mathematical expressions of the cane rat carcass yield variables are given in Table 2.</w:t>
      </w:r>
    </w:p>
    <w:p w14:paraId="7BF35B7C" w14:textId="77777777" w:rsidR="00561B74" w:rsidRDefault="00561B74" w:rsidP="00441B6F">
      <w:pPr>
        <w:pStyle w:val="Body"/>
        <w:spacing w:after="0"/>
        <w:rPr>
          <w:rFonts w:ascii="Arial" w:hAnsi="Arial" w:cs="Arial"/>
        </w:rPr>
      </w:pPr>
    </w:p>
    <w:p w14:paraId="4209A346" w14:textId="77777777" w:rsidR="00F64B85" w:rsidRPr="00F64B85" w:rsidRDefault="00F64B85" w:rsidP="00F64B85">
      <w:pPr>
        <w:rPr>
          <w:rFonts w:ascii="Arial" w:hAnsi="Arial" w:cs="Arial"/>
          <w:b/>
          <w:bCs/>
        </w:rPr>
      </w:pPr>
      <w:r w:rsidRPr="00F64B85">
        <w:rPr>
          <w:rFonts w:ascii="Arial" w:hAnsi="Arial" w:cs="Arial"/>
          <w:b/>
          <w:bCs/>
        </w:rPr>
        <w:t>Table 2. Mathematical expressions of cane rat carcass yield variables</w:t>
      </w:r>
    </w:p>
    <w:p w14:paraId="06C99EC2" w14:textId="77777777" w:rsidR="00F64B85" w:rsidRPr="00F64B85" w:rsidRDefault="00F64B85" w:rsidP="00F64B85">
      <w:pPr>
        <w:rPr>
          <w:rFonts w:ascii="Arial" w:hAnsi="Arial" w:cs="Arial"/>
        </w:rPr>
      </w:pPr>
    </w:p>
    <w:tbl>
      <w:tblPr>
        <w:tblStyle w:val="PlainTable2"/>
        <w:tblW w:w="808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27"/>
        <w:gridCol w:w="5256"/>
      </w:tblGrid>
      <w:tr w:rsidR="00F64B85" w:rsidRPr="00F64B85" w14:paraId="43B6D7A2" w14:textId="77777777" w:rsidTr="00F64B85">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7" w:type="dxa"/>
            <w:tcBorders>
              <w:bottom w:val="none" w:sz="0" w:space="0" w:color="auto"/>
            </w:tcBorders>
            <w:vAlign w:val="center"/>
          </w:tcPr>
          <w:p w14:paraId="7FDC2248" w14:textId="77777777" w:rsidR="00F64B85" w:rsidRPr="00F64B85" w:rsidRDefault="00F64B85" w:rsidP="00863509">
            <w:pPr>
              <w:jc w:val="center"/>
              <w:rPr>
                <w:rFonts w:ascii="Arial" w:eastAsia="Times New Roman" w:hAnsi="Arial" w:cs="Arial"/>
                <w:sz w:val="20"/>
                <w:szCs w:val="20"/>
                <w:lang w:val="en-US"/>
              </w:rPr>
            </w:pPr>
            <w:r w:rsidRPr="00F64B85">
              <w:rPr>
                <w:rFonts w:ascii="Arial" w:eastAsia="Times New Roman" w:hAnsi="Arial" w:cs="Arial"/>
                <w:sz w:val="20"/>
                <w:szCs w:val="20"/>
                <w:lang w:val="en-US"/>
              </w:rPr>
              <w:t>Variables</w:t>
            </w:r>
          </w:p>
        </w:tc>
        <w:tc>
          <w:tcPr>
            <w:tcW w:w="5256" w:type="dxa"/>
            <w:tcBorders>
              <w:bottom w:val="none" w:sz="0" w:space="0" w:color="auto"/>
            </w:tcBorders>
            <w:vAlign w:val="center"/>
          </w:tcPr>
          <w:p w14:paraId="3B1C31FF" w14:textId="77777777" w:rsidR="00F64B85" w:rsidRPr="00F64B85" w:rsidRDefault="00F64B85" w:rsidP="008635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Formulas</w:t>
            </w:r>
          </w:p>
        </w:tc>
      </w:tr>
      <w:tr w:rsidR="00F64B85" w:rsidRPr="00F64B85" w14:paraId="087D4032" w14:textId="77777777" w:rsidTr="00F64B85">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8083" w:type="dxa"/>
            <w:gridSpan w:val="2"/>
            <w:tcBorders>
              <w:top w:val="none" w:sz="0" w:space="0" w:color="auto"/>
              <w:bottom w:val="single" w:sz="4" w:space="0" w:color="auto"/>
            </w:tcBorders>
          </w:tcPr>
          <w:p w14:paraId="587B2D14" w14:textId="77777777" w:rsidR="00F64B85" w:rsidRPr="00F64B85" w:rsidRDefault="00F64B85" w:rsidP="00863509">
            <w:pPr>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live weight)</w:t>
            </w:r>
          </w:p>
        </w:tc>
      </w:tr>
      <w:tr w:rsidR="00F64B85" w:rsidRPr="00F64B85" w14:paraId="3CD2FD3D" w14:textId="77777777" w:rsidTr="00F64B85">
        <w:trPr>
          <w:trHeight w:val="922"/>
          <w:jc w:val="center"/>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48146F2B"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Raw carcass yield</w:t>
            </w:r>
          </w:p>
          <w:p w14:paraId="52F99684"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Net carcass yield</w:t>
            </w:r>
          </w:p>
          <w:p w14:paraId="4C10343F"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Skin performance</w:t>
            </w:r>
          </w:p>
          <w:p w14:paraId="24B13D1D"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full digestive tract</w:t>
            </w:r>
          </w:p>
        </w:tc>
        <w:tc>
          <w:tcPr>
            <w:tcW w:w="5256" w:type="dxa"/>
            <w:tcBorders>
              <w:bottom w:val="nil"/>
            </w:tcBorders>
          </w:tcPr>
          <w:p w14:paraId="3E824E69"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Hot carcass weight / live weight</w:t>
            </w:r>
          </w:p>
          <w:p w14:paraId="2806F9EC"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Hot carcass weight / (live weight – full digestive tract)</w:t>
            </w:r>
          </w:p>
          <w:p w14:paraId="2EAE9C2A"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Skin weight / live weight</w:t>
            </w:r>
          </w:p>
          <w:p w14:paraId="7BA9D165"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Full digestive tract weight / live weight</w:t>
            </w:r>
          </w:p>
        </w:tc>
      </w:tr>
      <w:tr w:rsidR="00F64B85" w:rsidRPr="00F64B85" w14:paraId="40E152EA" w14:textId="77777777" w:rsidTr="00F64B8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827" w:type="dxa"/>
            <w:tcBorders>
              <w:top w:val="nil"/>
              <w:bottom w:val="none" w:sz="0" w:space="0" w:color="auto"/>
            </w:tcBorders>
          </w:tcPr>
          <w:p w14:paraId="0549D638"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lastRenderedPageBreak/>
              <w:t>Commercial carcass yield</w:t>
            </w:r>
          </w:p>
          <w:p w14:paraId="7CABD9A3"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the edible fraction</w:t>
            </w:r>
          </w:p>
        </w:tc>
        <w:tc>
          <w:tcPr>
            <w:tcW w:w="5256" w:type="dxa"/>
            <w:tcBorders>
              <w:top w:val="nil"/>
              <w:bottom w:val="none" w:sz="0" w:space="0" w:color="auto"/>
            </w:tcBorders>
            <w:vAlign w:val="center"/>
          </w:tcPr>
          <w:p w14:paraId="67C9445D"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 live weight</w:t>
            </w:r>
          </w:p>
          <w:p w14:paraId="2F509142" w14:textId="77777777" w:rsidR="00F64B85" w:rsidRPr="00F64B85" w:rsidRDefault="00F64B85" w:rsidP="00863509">
            <w:pPr>
              <w:tabs>
                <w:tab w:val="left" w:pos="360"/>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(Liver + front + saddle) / live weight</w:t>
            </w:r>
          </w:p>
        </w:tc>
      </w:tr>
      <w:tr w:rsidR="00F64B85" w:rsidRPr="00F64B85" w14:paraId="0FDEC4DA" w14:textId="77777777" w:rsidTr="00F64B85">
        <w:trPr>
          <w:trHeight w:val="227"/>
          <w:jc w:val="center"/>
        </w:trPr>
        <w:tc>
          <w:tcPr>
            <w:cnfStyle w:val="001000000000" w:firstRow="0" w:lastRow="0" w:firstColumn="1" w:lastColumn="0" w:oddVBand="0" w:evenVBand="0" w:oddHBand="0" w:evenHBand="0" w:firstRowFirstColumn="0" w:firstRowLastColumn="0" w:lastRowFirstColumn="0" w:lastRowLastColumn="0"/>
            <w:tcW w:w="8083" w:type="dxa"/>
            <w:gridSpan w:val="2"/>
          </w:tcPr>
          <w:p w14:paraId="1F36AEDB" w14:textId="77777777" w:rsidR="00F64B85" w:rsidRPr="00F64B85" w:rsidRDefault="00F64B85" w:rsidP="00863509">
            <w:pPr>
              <w:tabs>
                <w:tab w:val="left" w:pos="360"/>
              </w:tabs>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hot carcass)</w:t>
            </w:r>
          </w:p>
        </w:tc>
      </w:tr>
      <w:tr w:rsidR="00F64B85" w:rsidRPr="00F64B85" w14:paraId="6C1DF556" w14:textId="77777777" w:rsidTr="00F64B85">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vAlign w:val="center"/>
          </w:tcPr>
          <w:p w14:paraId="7032A8FF" w14:textId="77777777" w:rsidR="00F64B85" w:rsidRPr="00F64B85" w:rsidRDefault="00F64B85" w:rsidP="00F64B85">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Refrigeration losses</w:t>
            </w:r>
          </w:p>
        </w:tc>
        <w:tc>
          <w:tcPr>
            <w:tcW w:w="5256" w:type="dxa"/>
            <w:tcBorders>
              <w:top w:val="none" w:sz="0" w:space="0" w:color="auto"/>
              <w:bottom w:val="none" w:sz="0" w:space="0" w:color="auto"/>
            </w:tcBorders>
            <w:vAlign w:val="center"/>
          </w:tcPr>
          <w:p w14:paraId="628A3B9E" w14:textId="77777777" w:rsidR="00F64B85" w:rsidRPr="00F64B85" w:rsidRDefault="00F64B85" w:rsidP="00F64B85">
            <w:pPr>
              <w:tabs>
                <w:tab w:val="left" w:pos="360"/>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(hot carcass – cold carcass) / hot carcass weight</w:t>
            </w:r>
          </w:p>
        </w:tc>
      </w:tr>
      <w:tr w:rsidR="00F64B85" w:rsidRPr="00F64B85" w14:paraId="155BF53C" w14:textId="77777777" w:rsidTr="00F64B85">
        <w:trPr>
          <w:trHeight w:val="227"/>
          <w:jc w:val="center"/>
        </w:trPr>
        <w:tc>
          <w:tcPr>
            <w:cnfStyle w:val="001000000000" w:firstRow="0" w:lastRow="0" w:firstColumn="1" w:lastColumn="0" w:oddVBand="0" w:evenVBand="0" w:oddHBand="0" w:evenHBand="0" w:firstRowFirstColumn="0" w:firstRowLastColumn="0" w:lastRowFirstColumn="0" w:lastRowLastColumn="0"/>
            <w:tcW w:w="8083" w:type="dxa"/>
            <w:gridSpan w:val="2"/>
          </w:tcPr>
          <w:p w14:paraId="5459D562" w14:textId="77777777" w:rsidR="00F64B85" w:rsidRPr="00F64B85" w:rsidRDefault="00F64B85" w:rsidP="00863509">
            <w:pPr>
              <w:tabs>
                <w:tab w:val="left" w:pos="360"/>
              </w:tabs>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commercial carcass)</w:t>
            </w:r>
          </w:p>
        </w:tc>
      </w:tr>
      <w:tr w:rsidR="00F64B85" w:rsidRPr="00F64B85" w14:paraId="69CB86AC" w14:textId="77777777" w:rsidTr="00F64B85">
        <w:trPr>
          <w:cnfStyle w:val="000000100000" w:firstRow="0" w:lastRow="0" w:firstColumn="0" w:lastColumn="0" w:oddVBand="0" w:evenVBand="0" w:oddHBand="1" w:evenHBand="0"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tcPr>
          <w:p w14:paraId="03DBB01B"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edible organs</w:t>
            </w:r>
          </w:p>
          <w:p w14:paraId="1DFF9CDB"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Head performance</w:t>
            </w:r>
          </w:p>
          <w:p w14:paraId="72313501"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Forward performance</w:t>
            </w:r>
          </w:p>
          <w:p w14:paraId="64CB5116"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Saddle yield</w:t>
            </w:r>
          </w:p>
          <w:p w14:paraId="66F29E38"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Rear performance</w:t>
            </w:r>
          </w:p>
        </w:tc>
        <w:tc>
          <w:tcPr>
            <w:tcW w:w="5256" w:type="dxa"/>
            <w:tcBorders>
              <w:top w:val="none" w:sz="0" w:space="0" w:color="auto"/>
              <w:bottom w:val="none" w:sz="0" w:space="0" w:color="auto"/>
            </w:tcBorders>
            <w:vAlign w:val="center"/>
          </w:tcPr>
          <w:p w14:paraId="04ACB366"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(liver + kidneys) / commercial carcass weight</w:t>
            </w:r>
          </w:p>
          <w:p w14:paraId="706AF67E"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Head weight / commercial carcass weight</w:t>
            </w:r>
          </w:p>
          <w:p w14:paraId="527F2094"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Front weight / commercial carcass weight</w:t>
            </w:r>
          </w:p>
          <w:p w14:paraId="7211C1AD"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Saddle weight / commercial carcass weight</w:t>
            </w:r>
          </w:p>
          <w:p w14:paraId="2E4009FA"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Rear weight / commercial carcass weight</w:t>
            </w:r>
          </w:p>
        </w:tc>
      </w:tr>
    </w:tbl>
    <w:p w14:paraId="3FFA5FEF" w14:textId="77777777" w:rsidR="00F64B85" w:rsidRDefault="00F64B85" w:rsidP="00441B6F">
      <w:pPr>
        <w:pStyle w:val="Body"/>
        <w:spacing w:after="0"/>
        <w:rPr>
          <w:rFonts w:ascii="Arial" w:hAnsi="Arial" w:cs="Arial"/>
        </w:rPr>
      </w:pPr>
    </w:p>
    <w:p w14:paraId="033F1970" w14:textId="77777777" w:rsidR="00561B74" w:rsidRPr="00561B74" w:rsidRDefault="00561B74" w:rsidP="00561B74">
      <w:pPr>
        <w:pStyle w:val="Body"/>
        <w:spacing w:after="0"/>
        <w:rPr>
          <w:rFonts w:ascii="Arial" w:hAnsi="Arial" w:cs="Arial"/>
          <w:b/>
          <w:sz w:val="22"/>
          <w:szCs w:val="22"/>
        </w:rPr>
      </w:pPr>
      <w:r w:rsidRPr="00561B74">
        <w:rPr>
          <w:rFonts w:ascii="Arial" w:hAnsi="Arial" w:cs="Arial"/>
          <w:b/>
          <w:sz w:val="22"/>
        </w:rPr>
        <w:t>2.</w:t>
      </w:r>
      <w:r w:rsidR="00A464BB">
        <w:rPr>
          <w:rFonts w:ascii="Arial" w:hAnsi="Arial" w:cs="Arial"/>
          <w:b/>
          <w:sz w:val="22"/>
        </w:rPr>
        <w:t>3</w:t>
      </w:r>
      <w:r w:rsidRPr="00561B74">
        <w:rPr>
          <w:rFonts w:ascii="Arial" w:hAnsi="Arial" w:cs="Arial"/>
          <w:b/>
          <w:sz w:val="22"/>
        </w:rPr>
        <w:t xml:space="preserve"> </w:t>
      </w:r>
      <w:r w:rsidR="00A464BB">
        <w:rPr>
          <w:rFonts w:ascii="Arial" w:hAnsi="Arial" w:cs="Arial"/>
          <w:b/>
          <w:sz w:val="22"/>
        </w:rPr>
        <w:t>Chemical analyzes</w:t>
      </w:r>
      <w:r w:rsidRPr="00561B74">
        <w:rPr>
          <w:rFonts w:ascii="Arial" w:hAnsi="Arial" w:cs="Arial"/>
          <w:b/>
          <w:sz w:val="22"/>
        </w:rPr>
        <w:t xml:space="preserve"> </w:t>
      </w:r>
    </w:p>
    <w:p w14:paraId="26BF8759" w14:textId="77777777" w:rsidR="00561B74" w:rsidRDefault="00561B74" w:rsidP="00441B6F">
      <w:pPr>
        <w:pStyle w:val="Body"/>
        <w:spacing w:after="0"/>
        <w:rPr>
          <w:rFonts w:ascii="Arial" w:hAnsi="Arial" w:cs="Arial"/>
        </w:rPr>
      </w:pPr>
    </w:p>
    <w:p w14:paraId="1CB83AE0" w14:textId="77777777" w:rsidR="00453404" w:rsidRPr="00453404" w:rsidRDefault="00453404" w:rsidP="00453404">
      <w:pPr>
        <w:tabs>
          <w:tab w:val="left" w:pos="0"/>
        </w:tabs>
        <w:jc w:val="both"/>
        <w:rPr>
          <w:rFonts w:ascii="Arial" w:hAnsi="Arial" w:cs="Arial"/>
        </w:rPr>
      </w:pPr>
      <w:r w:rsidRPr="00453404">
        <w:rPr>
          <w:rFonts w:ascii="Arial" w:hAnsi="Arial" w:cs="Arial"/>
        </w:rPr>
        <w:t xml:space="preserve">The dry matter (DM) level (24 h at 103°C) was determined on feed, refusals, wasted feed and feces. Fibrous residues NDF (neutral detergent </w:t>
      </w:r>
      <w:proofErr w:type="spellStart"/>
      <w:r w:rsidRPr="00453404">
        <w:rPr>
          <w:rFonts w:ascii="Arial" w:hAnsi="Arial" w:cs="Arial"/>
        </w:rPr>
        <w:t>fibre</w:t>
      </w:r>
      <w:proofErr w:type="spellEnd"/>
      <w:r w:rsidRPr="00453404">
        <w:rPr>
          <w:rFonts w:ascii="Arial" w:hAnsi="Arial" w:cs="Arial"/>
        </w:rPr>
        <w:t xml:space="preserve">), ADF (acid detergent </w:t>
      </w:r>
      <w:proofErr w:type="spellStart"/>
      <w:r w:rsidRPr="00453404">
        <w:rPr>
          <w:rFonts w:ascii="Arial" w:hAnsi="Arial" w:cs="Arial"/>
        </w:rPr>
        <w:t>fibre</w:t>
      </w:r>
      <w:proofErr w:type="spellEnd"/>
      <w:r w:rsidRPr="00453404">
        <w:rPr>
          <w:rFonts w:ascii="Arial" w:hAnsi="Arial" w:cs="Arial"/>
        </w:rPr>
        <w:t xml:space="preserve">) and ADL (acid detergent lignin) were measured on diets and feces according to Van Soest et al. (1991) sequential method, with an alpha amylase pretreatment for feed samples. Gross energy (kcal/kg DM) was determined for feed and feces using a calorimeter </w:t>
      </w:r>
      <w:proofErr w:type="spellStart"/>
      <w:r w:rsidRPr="00453404">
        <w:rPr>
          <w:rFonts w:ascii="Arial" w:hAnsi="Arial" w:cs="Arial"/>
        </w:rPr>
        <w:t>adiabiatic</w:t>
      </w:r>
      <w:proofErr w:type="spellEnd"/>
      <w:r w:rsidRPr="00453404">
        <w:rPr>
          <w:rFonts w:ascii="Arial" w:hAnsi="Arial" w:cs="Arial"/>
        </w:rPr>
        <w:t xml:space="preserve"> (PARR 1281, Illinois, USA). The principle is based on determining the amount of heat released by a sample during complete combustion. Nitrogen content was determined for feed and feces according to the Dumas combustion method using a Leco autoanalyzer (FP-428 model, Leco Corporation, St Joseph, MI, USA) and converted to crude protein (CP = N x 6.25).</w:t>
      </w:r>
    </w:p>
    <w:p w14:paraId="62B7702D" w14:textId="77777777" w:rsidR="00453404" w:rsidRDefault="00453404" w:rsidP="00441B6F">
      <w:pPr>
        <w:pStyle w:val="Body"/>
        <w:spacing w:after="0"/>
        <w:rPr>
          <w:rFonts w:ascii="Arial" w:hAnsi="Arial" w:cs="Arial"/>
        </w:rPr>
      </w:pPr>
    </w:p>
    <w:p w14:paraId="32574F28" w14:textId="77777777" w:rsidR="00561B74" w:rsidRPr="00561B74" w:rsidRDefault="00561B74" w:rsidP="00561B74">
      <w:pPr>
        <w:pStyle w:val="Body"/>
        <w:spacing w:after="0"/>
        <w:rPr>
          <w:rFonts w:ascii="Arial" w:hAnsi="Arial" w:cs="Arial"/>
          <w:b/>
          <w:sz w:val="22"/>
          <w:szCs w:val="22"/>
        </w:rPr>
      </w:pPr>
      <w:r w:rsidRPr="00561B74">
        <w:rPr>
          <w:rFonts w:ascii="Arial" w:hAnsi="Arial" w:cs="Arial"/>
          <w:b/>
          <w:sz w:val="22"/>
        </w:rPr>
        <w:t>2.</w:t>
      </w:r>
      <w:r w:rsidR="00453404">
        <w:rPr>
          <w:rFonts w:ascii="Arial" w:hAnsi="Arial" w:cs="Arial"/>
          <w:b/>
          <w:sz w:val="22"/>
        </w:rPr>
        <w:t>4</w:t>
      </w:r>
      <w:r w:rsidRPr="00561B74">
        <w:rPr>
          <w:rFonts w:ascii="Arial" w:hAnsi="Arial" w:cs="Arial"/>
          <w:b/>
          <w:sz w:val="22"/>
        </w:rPr>
        <w:t xml:space="preserve"> </w:t>
      </w:r>
      <w:r w:rsidR="00453404">
        <w:rPr>
          <w:rFonts w:ascii="Arial" w:hAnsi="Arial" w:cs="Arial"/>
          <w:b/>
          <w:sz w:val="22"/>
        </w:rPr>
        <w:t>Statistical analyzes</w:t>
      </w:r>
      <w:r w:rsidRPr="00561B74">
        <w:rPr>
          <w:rFonts w:ascii="Arial" w:hAnsi="Arial" w:cs="Arial"/>
          <w:b/>
          <w:sz w:val="22"/>
        </w:rPr>
        <w:t xml:space="preserve"> </w:t>
      </w:r>
    </w:p>
    <w:p w14:paraId="5A847F15" w14:textId="77777777" w:rsidR="00561B74" w:rsidRDefault="00561B74" w:rsidP="00441B6F">
      <w:pPr>
        <w:pStyle w:val="Body"/>
        <w:spacing w:after="0"/>
        <w:rPr>
          <w:rFonts w:ascii="Arial" w:hAnsi="Arial" w:cs="Arial"/>
        </w:rPr>
      </w:pPr>
    </w:p>
    <w:p w14:paraId="280C2265" w14:textId="77777777" w:rsidR="00453404" w:rsidRPr="00453404" w:rsidRDefault="00453404" w:rsidP="00453404">
      <w:pPr>
        <w:autoSpaceDE w:val="0"/>
        <w:autoSpaceDN w:val="0"/>
        <w:adjustRightInd w:val="0"/>
        <w:jc w:val="both"/>
        <w:rPr>
          <w:rFonts w:ascii="Arial" w:hAnsi="Arial" w:cs="Arial"/>
        </w:rPr>
      </w:pPr>
      <w:r w:rsidRPr="00453404">
        <w:rPr>
          <w:rFonts w:ascii="Arial" w:hAnsi="Arial" w:cs="Arial"/>
        </w:rPr>
        <w:t xml:space="preserve">Data Analysis was carried out using </w:t>
      </w:r>
      <w:r w:rsidRPr="00453404">
        <w:rPr>
          <w:rFonts w:ascii="Arial" w:hAnsi="Arial" w:cs="Arial"/>
        </w:rPr>
        <w:fldChar w:fldCharType="begin"/>
      </w:r>
      <w:r w:rsidRPr="00453404">
        <w:rPr>
          <w:rFonts w:ascii="Arial" w:hAnsi="Arial" w:cs="Arial"/>
        </w:rPr>
        <w:instrText xml:space="preserve"> ADDIN EN.CITE &lt;EndNote&gt;&lt;Cite AuthorYear="1"&gt;&lt;Author&gt;R Development Core Team&lt;/Author&gt;&lt;Year&gt;2022&lt;/Year&gt;&lt;RecNum&gt;5&lt;/RecNum&gt;&lt;DisplayText&gt;R Development Core Team (2022)&lt;/DisplayText&gt;&lt;record&gt;&lt;rec-number&gt;5&lt;/rec-number&gt;&lt;foreign-keys&gt;&lt;key app="EN" db-id="95rwdpepzf52eae2e5dxxrxwasafevedepw0" timestamp="1773691987"&gt;5&lt;/key&gt;&lt;/foreign-keys&gt;&lt;ref-type name="Computer Program"&gt;9&lt;/ref-type&gt;&lt;contributors&gt;&lt;authors&gt;&lt;author&gt;R Development Core Team,&lt;/author&gt;&lt;/authors&gt;&lt;/contributors&gt;&lt;titles&gt;&lt;title&gt;R: A Language and Environment for Statistical Computing&lt;/title&gt;&lt;secondary-title&gt;R Foundation for Statistical Computing&lt;/secondary-title&gt;&lt;/titles&gt;&lt;dates&gt;&lt;year&gt;2022&lt;/year&gt;&lt;/dates&gt;&lt;pub-location&gt;Vienna, Austria&lt;/pub-location&gt;&lt;urls&gt;&lt;related-urls&gt;&lt;url&gt;http://www.R-project.org&lt;/url&gt;&lt;/related-urls&gt;&lt;/urls&gt;&lt;/record&gt;&lt;/Cite&gt;&lt;/EndNote&gt;</w:instrText>
      </w:r>
      <w:r w:rsidRPr="00453404">
        <w:rPr>
          <w:rFonts w:ascii="Arial" w:hAnsi="Arial" w:cs="Arial"/>
        </w:rPr>
        <w:fldChar w:fldCharType="separate"/>
      </w:r>
      <w:r w:rsidRPr="00453404">
        <w:rPr>
          <w:rFonts w:ascii="Arial" w:hAnsi="Arial" w:cs="Arial"/>
        </w:rPr>
        <w:t>R Development Core Team (2022)</w:t>
      </w:r>
      <w:r w:rsidRPr="00453404">
        <w:rPr>
          <w:rFonts w:ascii="Arial" w:hAnsi="Arial" w:cs="Arial"/>
        </w:rPr>
        <w:fldChar w:fldCharType="end"/>
      </w:r>
      <w:r w:rsidRPr="00453404">
        <w:rPr>
          <w:rFonts w:ascii="Arial" w:hAnsi="Arial" w:cs="Arial"/>
        </w:rPr>
        <w:t>. Average feed intake, daily gain, feed conversion ratio and carcass characteristics were compared using one-way analysis of variance (diet). Nutrients digestibility means were analyzed using two-way analysis of variance (diet and animal age). When a significant difference was identified, the means were compared using a Tukey test.</w:t>
      </w:r>
    </w:p>
    <w:p w14:paraId="74904764" w14:textId="77777777" w:rsidR="00790ADA" w:rsidRPr="00FB3A86" w:rsidRDefault="00790ADA" w:rsidP="00441B6F">
      <w:pPr>
        <w:pStyle w:val="Body"/>
        <w:spacing w:after="0"/>
        <w:rPr>
          <w:rFonts w:ascii="Arial" w:hAnsi="Arial" w:cs="Arial"/>
        </w:rPr>
      </w:pPr>
    </w:p>
    <w:p w14:paraId="5E0FCB33"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1EF357BE" w14:textId="77777777" w:rsidR="00790ADA" w:rsidRDefault="00790ADA" w:rsidP="00441B6F">
      <w:pPr>
        <w:pStyle w:val="Head1"/>
        <w:spacing w:after="0"/>
        <w:jc w:val="both"/>
        <w:rPr>
          <w:rFonts w:ascii="Arial" w:hAnsi="Arial" w:cs="Arial"/>
        </w:rPr>
      </w:pPr>
    </w:p>
    <w:p w14:paraId="7879E34B" w14:textId="77777777" w:rsidR="00DB72BE" w:rsidRDefault="00DB72BE" w:rsidP="00DB72BE">
      <w:pPr>
        <w:autoSpaceDE w:val="0"/>
        <w:autoSpaceDN w:val="0"/>
        <w:adjustRightInd w:val="0"/>
        <w:jc w:val="both"/>
        <w:rPr>
          <w:rFonts w:ascii="Arial" w:hAnsi="Arial" w:cs="Arial"/>
          <w:b/>
          <w:bCs/>
        </w:rPr>
      </w:pPr>
      <w:r w:rsidRPr="00DB72BE">
        <w:rPr>
          <w:rFonts w:ascii="Arial" w:hAnsi="Arial" w:cs="Arial"/>
          <w:b/>
          <w:bCs/>
        </w:rPr>
        <w:t xml:space="preserve">3.1 </w:t>
      </w:r>
      <w:r>
        <w:rPr>
          <w:rFonts w:ascii="Arial" w:hAnsi="Arial" w:cs="Arial"/>
          <w:b/>
          <w:bCs/>
        </w:rPr>
        <w:t>Results</w:t>
      </w:r>
    </w:p>
    <w:p w14:paraId="7711BB30" w14:textId="77777777" w:rsidR="00DB72BE" w:rsidRDefault="00DB72BE" w:rsidP="00DB72BE">
      <w:pPr>
        <w:autoSpaceDE w:val="0"/>
        <w:autoSpaceDN w:val="0"/>
        <w:adjustRightInd w:val="0"/>
        <w:jc w:val="both"/>
        <w:rPr>
          <w:rFonts w:ascii="Arial" w:hAnsi="Arial" w:cs="Arial"/>
          <w:b/>
          <w:bCs/>
        </w:rPr>
      </w:pPr>
    </w:p>
    <w:p w14:paraId="7E4725E2" w14:textId="77777777" w:rsidR="00DB72BE" w:rsidRPr="00DB72BE" w:rsidRDefault="00DB72BE" w:rsidP="00DB72BE">
      <w:pPr>
        <w:autoSpaceDE w:val="0"/>
        <w:autoSpaceDN w:val="0"/>
        <w:adjustRightInd w:val="0"/>
        <w:jc w:val="both"/>
        <w:rPr>
          <w:rFonts w:ascii="Arial" w:hAnsi="Arial" w:cs="Arial"/>
          <w:b/>
          <w:bCs/>
        </w:rPr>
      </w:pPr>
      <w:r>
        <w:rPr>
          <w:rFonts w:ascii="Arial" w:hAnsi="Arial" w:cs="Arial"/>
          <w:b/>
          <w:u w:val="single"/>
        </w:rPr>
        <w:t>3</w:t>
      </w:r>
      <w:r w:rsidRPr="00902823">
        <w:rPr>
          <w:rFonts w:ascii="Arial" w:hAnsi="Arial" w:cs="Arial"/>
          <w:b/>
          <w:u w:val="single"/>
        </w:rPr>
        <w:t xml:space="preserve">.1.1 </w:t>
      </w:r>
      <w:r w:rsidRPr="00DB72BE">
        <w:rPr>
          <w:rFonts w:ascii="Arial" w:hAnsi="Arial" w:cs="Arial"/>
          <w:b/>
          <w:u w:val="single"/>
        </w:rPr>
        <w:t>Animal Health</w:t>
      </w:r>
    </w:p>
    <w:p w14:paraId="0A853C47" w14:textId="77777777" w:rsidR="00DB72BE" w:rsidRPr="00DB72BE" w:rsidRDefault="00DB72BE" w:rsidP="0096124F">
      <w:pPr>
        <w:autoSpaceDE w:val="0"/>
        <w:autoSpaceDN w:val="0"/>
        <w:adjustRightInd w:val="0"/>
        <w:jc w:val="both"/>
        <w:rPr>
          <w:rFonts w:ascii="Arial" w:hAnsi="Arial" w:cs="Arial"/>
        </w:rPr>
      </w:pPr>
      <w:r w:rsidRPr="00DB72BE">
        <w:rPr>
          <w:rFonts w:ascii="Arial" w:hAnsi="Arial" w:cs="Arial"/>
        </w:rPr>
        <w:t>Throughout the experiment, no mortality or morbidity was observed on the animals whatever the diet.</w:t>
      </w:r>
    </w:p>
    <w:p w14:paraId="346615EF" w14:textId="77777777" w:rsidR="00DB72BE" w:rsidRPr="00DB72BE" w:rsidRDefault="00DB72BE" w:rsidP="00DB72BE">
      <w:pPr>
        <w:autoSpaceDE w:val="0"/>
        <w:autoSpaceDN w:val="0"/>
        <w:adjustRightInd w:val="0"/>
        <w:jc w:val="both"/>
        <w:rPr>
          <w:rFonts w:ascii="Arial" w:hAnsi="Arial" w:cs="Arial"/>
        </w:rPr>
      </w:pPr>
    </w:p>
    <w:p w14:paraId="4B6436C2" w14:textId="77777777" w:rsidR="00DB72BE" w:rsidRPr="00DB72BE" w:rsidRDefault="00DB72BE" w:rsidP="00DB72BE">
      <w:pPr>
        <w:autoSpaceDE w:val="0"/>
        <w:autoSpaceDN w:val="0"/>
        <w:adjustRightInd w:val="0"/>
        <w:jc w:val="both"/>
        <w:rPr>
          <w:rFonts w:ascii="Arial" w:hAnsi="Arial" w:cs="Arial"/>
          <w:b/>
          <w:u w:val="single"/>
        </w:rPr>
      </w:pPr>
      <w:bookmarkStart w:id="1" w:name="_Hlk162252743"/>
      <w:r w:rsidRPr="00DB72BE">
        <w:rPr>
          <w:rFonts w:ascii="Arial" w:hAnsi="Arial" w:cs="Arial"/>
          <w:b/>
          <w:u w:val="single"/>
        </w:rPr>
        <w:t>3.</w:t>
      </w:r>
      <w:r>
        <w:rPr>
          <w:rFonts w:ascii="Arial" w:hAnsi="Arial" w:cs="Arial"/>
          <w:b/>
          <w:u w:val="single"/>
        </w:rPr>
        <w:t>1.</w:t>
      </w:r>
      <w:r w:rsidRPr="00DB72BE">
        <w:rPr>
          <w:rFonts w:ascii="Arial" w:hAnsi="Arial" w:cs="Arial"/>
          <w:b/>
          <w:u w:val="single"/>
        </w:rPr>
        <w:t xml:space="preserve">2 Effect of Dietary </w:t>
      </w:r>
      <w:proofErr w:type="spellStart"/>
      <w:r w:rsidRPr="00DB72BE">
        <w:rPr>
          <w:rFonts w:ascii="Arial" w:hAnsi="Arial" w:cs="Arial"/>
          <w:b/>
          <w:u w:val="single"/>
        </w:rPr>
        <w:t>Fibre</w:t>
      </w:r>
      <w:proofErr w:type="spellEnd"/>
      <w:r w:rsidRPr="00DB72BE">
        <w:rPr>
          <w:rFonts w:ascii="Arial" w:hAnsi="Arial" w:cs="Arial"/>
          <w:b/>
          <w:u w:val="single"/>
        </w:rPr>
        <w:t xml:space="preserve"> Level </w:t>
      </w:r>
      <w:bookmarkEnd w:id="1"/>
      <w:r w:rsidRPr="00DB72BE">
        <w:rPr>
          <w:rFonts w:ascii="Arial" w:hAnsi="Arial" w:cs="Arial"/>
          <w:b/>
          <w:u w:val="single"/>
        </w:rPr>
        <w:t>on Feed Intake</w:t>
      </w:r>
    </w:p>
    <w:p w14:paraId="5E958E83" w14:textId="77777777" w:rsidR="00DB72BE" w:rsidRPr="00DB72BE" w:rsidRDefault="00DB72BE" w:rsidP="0096124F">
      <w:pPr>
        <w:autoSpaceDE w:val="0"/>
        <w:autoSpaceDN w:val="0"/>
        <w:adjustRightInd w:val="0"/>
        <w:jc w:val="both"/>
        <w:rPr>
          <w:rFonts w:ascii="Arial" w:hAnsi="Arial" w:cs="Arial"/>
        </w:rPr>
      </w:pPr>
      <w:r w:rsidRPr="00DB72BE">
        <w:rPr>
          <w:rFonts w:ascii="Arial" w:hAnsi="Arial" w:cs="Arial"/>
        </w:rPr>
        <w:t>Animals feed intake is presented in Table 3. During the growth phase (from weaning to 4 months of age), there was no significant difference between feed intake of the three diets (</w:t>
      </w:r>
      <w:r w:rsidRPr="00EE3FC1">
        <w:rPr>
          <w:rFonts w:ascii="Arial" w:hAnsi="Arial" w:cs="Arial"/>
          <w:i/>
          <w:iCs/>
        </w:rPr>
        <w:t>P</w:t>
      </w:r>
      <w:r w:rsidR="00EE3FC1" w:rsidRPr="00EE3FC1">
        <w:rPr>
          <w:rFonts w:ascii="Arial" w:hAnsi="Arial" w:cs="Arial"/>
          <w:i/>
          <w:iCs/>
        </w:rPr>
        <w:t>=</w:t>
      </w:r>
      <w:r w:rsidR="00EE3FC1">
        <w:rPr>
          <w:i/>
          <w:iCs/>
          <w:color w:val="000000" w:themeColor="text1"/>
          <w:szCs w:val="24"/>
        </w:rPr>
        <w:t>.65</w:t>
      </w:r>
      <w:r w:rsidRPr="00DB72BE">
        <w:rPr>
          <w:rFonts w:ascii="Arial" w:hAnsi="Arial" w:cs="Arial"/>
        </w:rPr>
        <w:t>). During the fattening phase (from 4 to 6 months of age), feed intake of the ADF21 diet was higher compared to the ADF17 and ADF19 diets (P</w:t>
      </w:r>
      <w:r w:rsidR="00EE3FC1">
        <w:rPr>
          <w:rFonts w:ascii="Arial" w:hAnsi="Arial" w:cs="Arial"/>
        </w:rPr>
        <w:t>=.02</w:t>
      </w:r>
      <w:r w:rsidRPr="00DB72BE">
        <w:rPr>
          <w:rFonts w:ascii="Arial" w:hAnsi="Arial" w:cs="Arial"/>
        </w:rPr>
        <w:t>). There was no significant difference between the last two diets for feed intake values. Over the entire duration of the trial, feed intake of the ADF21 diet was higher (+13%) than those of the other two diets (</w:t>
      </w:r>
      <w:r w:rsidRPr="00D35687">
        <w:rPr>
          <w:rFonts w:ascii="Arial" w:hAnsi="Arial" w:cs="Arial"/>
          <w:i/>
          <w:iCs/>
        </w:rPr>
        <w:t>P</w:t>
      </w:r>
      <w:r w:rsidR="00D35687" w:rsidRPr="00D35687">
        <w:rPr>
          <w:rFonts w:ascii="Arial" w:hAnsi="Arial" w:cs="Arial"/>
          <w:i/>
          <w:iCs/>
        </w:rPr>
        <w:t>=</w:t>
      </w:r>
      <w:r w:rsidR="00D35687" w:rsidRPr="00D35687">
        <w:rPr>
          <w:i/>
          <w:iCs/>
          <w:color w:val="000000" w:themeColor="text1"/>
          <w:szCs w:val="24"/>
        </w:rPr>
        <w:t>2</w:t>
      </w:r>
      <w:r w:rsidR="00D35687" w:rsidRPr="000B1219">
        <w:rPr>
          <w:i/>
          <w:color w:val="000000" w:themeColor="text1"/>
          <w:szCs w:val="24"/>
        </w:rPr>
        <w:t xml:space="preserve">.5 </w:t>
      </w:r>
      <w:r w:rsidR="00D35687" w:rsidRPr="000B1219">
        <w:rPr>
          <w:iCs/>
          <w:color w:val="000000" w:themeColor="text1"/>
          <w:szCs w:val="24"/>
        </w:rPr>
        <w:t xml:space="preserve">x </w:t>
      </w:r>
      <w:r w:rsidR="00D35687" w:rsidRPr="000B1219">
        <w:rPr>
          <w:i/>
          <w:color w:val="000000" w:themeColor="text1"/>
          <w:szCs w:val="24"/>
        </w:rPr>
        <w:t xml:space="preserve">10 </w:t>
      </w:r>
      <w:r w:rsidR="00D35687" w:rsidRPr="000B1219">
        <w:rPr>
          <w:i/>
          <w:color w:val="000000" w:themeColor="text1"/>
          <w:szCs w:val="24"/>
          <w:vertAlign w:val="superscript"/>
        </w:rPr>
        <w:t>-7</w:t>
      </w:r>
      <w:r w:rsidRPr="00DB72BE">
        <w:rPr>
          <w:rFonts w:ascii="Arial" w:hAnsi="Arial" w:cs="Arial"/>
        </w:rPr>
        <w:t>).</w:t>
      </w:r>
    </w:p>
    <w:p w14:paraId="2A890FDB" w14:textId="77777777" w:rsidR="00DB72BE" w:rsidRPr="00DB72BE" w:rsidRDefault="00DB72BE" w:rsidP="00DB72BE">
      <w:pPr>
        <w:autoSpaceDE w:val="0"/>
        <w:autoSpaceDN w:val="0"/>
        <w:adjustRightInd w:val="0"/>
        <w:jc w:val="both"/>
        <w:rPr>
          <w:rFonts w:ascii="Arial" w:hAnsi="Arial" w:cs="Arial"/>
        </w:rPr>
      </w:pPr>
    </w:p>
    <w:p w14:paraId="67321D59" w14:textId="77777777" w:rsidR="00DB72BE" w:rsidRPr="00DB72BE" w:rsidRDefault="00DB72BE" w:rsidP="00DB72BE">
      <w:pPr>
        <w:jc w:val="both"/>
        <w:rPr>
          <w:rFonts w:ascii="Arial" w:hAnsi="Arial" w:cs="Arial"/>
          <w:b/>
          <w:u w:val="single"/>
        </w:rPr>
      </w:pPr>
      <w:r w:rsidRPr="00DB72BE">
        <w:rPr>
          <w:rFonts w:ascii="Arial" w:hAnsi="Arial" w:cs="Arial"/>
          <w:b/>
          <w:u w:val="single"/>
        </w:rPr>
        <w:t xml:space="preserve">3.1.3. Effect of Dietary </w:t>
      </w:r>
      <w:proofErr w:type="spellStart"/>
      <w:r w:rsidRPr="00DB72BE">
        <w:rPr>
          <w:rFonts w:ascii="Arial" w:hAnsi="Arial" w:cs="Arial"/>
          <w:b/>
          <w:u w:val="single"/>
        </w:rPr>
        <w:t>Fibre</w:t>
      </w:r>
      <w:proofErr w:type="spellEnd"/>
      <w:r w:rsidRPr="00DB72BE">
        <w:rPr>
          <w:rFonts w:ascii="Arial" w:hAnsi="Arial" w:cs="Arial"/>
          <w:b/>
          <w:u w:val="single"/>
        </w:rPr>
        <w:t xml:space="preserve"> Level on Growth and Feed Conversion</w:t>
      </w:r>
    </w:p>
    <w:p w14:paraId="089CC28A" w14:textId="77777777" w:rsidR="00DB72BE" w:rsidRPr="00DB72BE" w:rsidRDefault="00DB72BE" w:rsidP="0096124F">
      <w:pPr>
        <w:jc w:val="both"/>
        <w:rPr>
          <w:rFonts w:ascii="Arial" w:hAnsi="Arial" w:cs="Arial"/>
        </w:rPr>
      </w:pPr>
      <w:r w:rsidRPr="00DB72BE">
        <w:rPr>
          <w:rFonts w:ascii="Arial" w:hAnsi="Arial" w:cs="Arial"/>
        </w:rPr>
        <w:t>Table 3 shows that the ADF21 diet resulted in animal weight gain reduction during the growth phase (-25</w:t>
      </w:r>
      <w:r w:rsidR="0096124F" w:rsidRPr="00DB72BE">
        <w:rPr>
          <w:rFonts w:ascii="Arial" w:hAnsi="Arial" w:cs="Arial"/>
        </w:rPr>
        <w:t>%</w:t>
      </w:r>
      <w:r w:rsidR="0096124F">
        <w:rPr>
          <w:rFonts w:ascii="Arial" w:hAnsi="Arial" w:cs="Arial"/>
        </w:rPr>
        <w:t>;</w:t>
      </w:r>
      <w:r w:rsidR="0096124F" w:rsidRPr="0096124F">
        <w:rPr>
          <w:rFonts w:ascii="Arial" w:hAnsi="Arial" w:cs="Arial"/>
          <w:i/>
          <w:iCs/>
        </w:rPr>
        <w:t xml:space="preserve"> P=.007</w:t>
      </w:r>
      <w:r w:rsidRPr="00DB72BE">
        <w:rPr>
          <w:rFonts w:ascii="Arial" w:hAnsi="Arial" w:cs="Arial"/>
        </w:rPr>
        <w:t>) and the fattening phase (-12.5%</w:t>
      </w:r>
      <w:r w:rsidR="0096124F">
        <w:rPr>
          <w:rFonts w:ascii="Arial" w:hAnsi="Arial" w:cs="Arial"/>
        </w:rPr>
        <w:t xml:space="preserve">; </w:t>
      </w:r>
      <w:r w:rsidR="0096124F" w:rsidRPr="0096124F">
        <w:rPr>
          <w:rFonts w:ascii="Arial" w:hAnsi="Arial" w:cs="Arial"/>
          <w:i/>
          <w:iCs/>
        </w:rPr>
        <w:t>P=.0</w:t>
      </w:r>
      <w:r w:rsidR="0096124F">
        <w:rPr>
          <w:rFonts w:ascii="Arial" w:hAnsi="Arial" w:cs="Arial"/>
          <w:i/>
          <w:iCs/>
        </w:rPr>
        <w:t>4</w:t>
      </w:r>
      <w:r w:rsidRPr="00DB72BE">
        <w:rPr>
          <w:rFonts w:ascii="Arial" w:hAnsi="Arial" w:cs="Arial"/>
        </w:rPr>
        <w:t xml:space="preserve">) compared to the </w:t>
      </w:r>
      <w:r w:rsidRPr="00DB72BE">
        <w:rPr>
          <w:rFonts w:ascii="Arial" w:hAnsi="Arial" w:cs="Arial"/>
        </w:rPr>
        <w:lastRenderedPageBreak/>
        <w:t xml:space="preserve">other diets. There was no significant difference between the weight gains achieved by the ADF17 and ADF19 diets. </w:t>
      </w:r>
    </w:p>
    <w:p w14:paraId="00DFEE7F" w14:textId="77777777" w:rsidR="00DB72BE" w:rsidRPr="00DB72BE" w:rsidRDefault="00DB72BE" w:rsidP="0096124F">
      <w:pPr>
        <w:jc w:val="both"/>
        <w:rPr>
          <w:rFonts w:ascii="Arial" w:hAnsi="Arial" w:cs="Arial"/>
        </w:rPr>
      </w:pPr>
      <w:r w:rsidRPr="00DB72BE">
        <w:rPr>
          <w:rFonts w:ascii="Arial" w:hAnsi="Arial" w:cs="Arial"/>
        </w:rPr>
        <w:t>For feed conversion ratio, the ADF21 diet gave the worst value compared to the other diets while there was no significant difference between the ADF17 and ADF19 diets</w:t>
      </w:r>
      <w:r w:rsidR="0096124F">
        <w:rPr>
          <w:rFonts w:ascii="Arial" w:hAnsi="Arial" w:cs="Arial"/>
        </w:rPr>
        <w:t xml:space="preserve"> (</w:t>
      </w:r>
      <w:r w:rsidR="0096124F" w:rsidRPr="0096124F">
        <w:rPr>
          <w:rFonts w:ascii="Arial" w:hAnsi="Arial" w:cs="Arial"/>
          <w:i/>
          <w:iCs/>
        </w:rPr>
        <w:t>P=.007</w:t>
      </w:r>
      <w:r w:rsidR="0096124F" w:rsidRPr="0096124F">
        <w:rPr>
          <w:rFonts w:ascii="Arial" w:hAnsi="Arial" w:cs="Arial"/>
        </w:rPr>
        <w:t>)</w:t>
      </w:r>
      <w:r w:rsidRPr="00DB72BE">
        <w:rPr>
          <w:rFonts w:ascii="Arial" w:hAnsi="Arial" w:cs="Arial"/>
        </w:rPr>
        <w:t>.</w:t>
      </w:r>
    </w:p>
    <w:p w14:paraId="29CD20C1" w14:textId="77777777" w:rsidR="00DB72BE" w:rsidRDefault="00DB72BE" w:rsidP="00DB72BE">
      <w:pPr>
        <w:jc w:val="both"/>
        <w:rPr>
          <w:rFonts w:ascii="Arial" w:hAnsi="Arial" w:cs="Arial"/>
        </w:rPr>
      </w:pPr>
    </w:p>
    <w:p w14:paraId="3D6E62CF" w14:textId="77777777" w:rsidR="0096124F" w:rsidRDefault="0096124F" w:rsidP="00C34B9B">
      <w:pPr>
        <w:jc w:val="both"/>
        <w:rPr>
          <w:rFonts w:ascii="Arial" w:hAnsi="Arial" w:cs="Arial"/>
          <w:b/>
          <w:bCs/>
        </w:rPr>
      </w:pPr>
      <w:r w:rsidRPr="00C34B9B">
        <w:rPr>
          <w:rFonts w:ascii="Arial" w:hAnsi="Arial" w:cs="Arial"/>
          <w:b/>
          <w:bCs/>
        </w:rPr>
        <w:t>Table 3. Animals zootechnical parameters at growth (weaning to 4 months) and fattening (4 to 6 months of age) stages according to diet</w:t>
      </w:r>
    </w:p>
    <w:p w14:paraId="4ED1643F" w14:textId="77777777" w:rsidR="00C34B9B" w:rsidRPr="00C34B9B" w:rsidRDefault="00C34B9B" w:rsidP="00C34B9B">
      <w:pPr>
        <w:jc w:val="both"/>
        <w:rPr>
          <w:rFonts w:ascii="Arial" w:hAnsi="Arial" w:cs="Arial"/>
          <w:b/>
          <w:bCs/>
        </w:rPr>
      </w:pPr>
    </w:p>
    <w:tbl>
      <w:tblPr>
        <w:tblStyle w:val="TableGrid"/>
        <w:tblW w:w="898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0"/>
        <w:gridCol w:w="2190"/>
        <w:gridCol w:w="992"/>
        <w:gridCol w:w="1134"/>
        <w:gridCol w:w="1134"/>
        <w:gridCol w:w="851"/>
        <w:gridCol w:w="1235"/>
      </w:tblGrid>
      <w:tr w:rsidR="0096124F" w:rsidRPr="00C34B9B" w14:paraId="5BA08DE8" w14:textId="77777777" w:rsidTr="00C34B9B">
        <w:trPr>
          <w:trHeight w:val="288"/>
          <w:jc w:val="center"/>
        </w:trPr>
        <w:tc>
          <w:tcPr>
            <w:tcW w:w="1450" w:type="dxa"/>
            <w:vMerge w:val="restart"/>
            <w:tcBorders>
              <w:top w:val="single" w:sz="4" w:space="0" w:color="auto"/>
              <w:left w:val="nil"/>
              <w:right w:val="nil"/>
            </w:tcBorders>
            <w:vAlign w:val="center"/>
          </w:tcPr>
          <w:p w14:paraId="51FF9A28"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Parameters</w:t>
            </w:r>
          </w:p>
        </w:tc>
        <w:tc>
          <w:tcPr>
            <w:tcW w:w="2190" w:type="dxa"/>
            <w:vMerge w:val="restart"/>
            <w:tcBorders>
              <w:top w:val="single" w:sz="4" w:space="0" w:color="auto"/>
              <w:left w:val="nil"/>
              <w:right w:val="nil"/>
            </w:tcBorders>
            <w:noWrap/>
            <w:vAlign w:val="center"/>
            <w:hideMark/>
          </w:tcPr>
          <w:p w14:paraId="55C9BF21"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Physiological stages</w:t>
            </w:r>
          </w:p>
        </w:tc>
        <w:tc>
          <w:tcPr>
            <w:tcW w:w="3260" w:type="dxa"/>
            <w:gridSpan w:val="3"/>
            <w:tcBorders>
              <w:top w:val="single" w:sz="4" w:space="0" w:color="auto"/>
              <w:left w:val="nil"/>
              <w:bottom w:val="single" w:sz="4" w:space="0" w:color="auto"/>
              <w:right w:val="nil"/>
            </w:tcBorders>
            <w:noWrap/>
            <w:hideMark/>
          </w:tcPr>
          <w:p w14:paraId="37B64395"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Diets</w:t>
            </w:r>
          </w:p>
        </w:tc>
        <w:tc>
          <w:tcPr>
            <w:tcW w:w="851" w:type="dxa"/>
            <w:vMerge w:val="restart"/>
            <w:tcBorders>
              <w:top w:val="single" w:sz="4" w:space="0" w:color="auto"/>
              <w:left w:val="nil"/>
              <w:right w:val="nil"/>
            </w:tcBorders>
            <w:vAlign w:val="center"/>
          </w:tcPr>
          <w:p w14:paraId="664B88DD"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SEM</w:t>
            </w:r>
          </w:p>
        </w:tc>
        <w:tc>
          <w:tcPr>
            <w:tcW w:w="1235" w:type="dxa"/>
            <w:vMerge w:val="restart"/>
            <w:tcBorders>
              <w:top w:val="single" w:sz="4" w:space="0" w:color="auto"/>
              <w:left w:val="nil"/>
              <w:right w:val="nil"/>
            </w:tcBorders>
            <w:vAlign w:val="center"/>
          </w:tcPr>
          <w:p w14:paraId="7ACE690A"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 value</w:t>
            </w:r>
          </w:p>
        </w:tc>
      </w:tr>
      <w:tr w:rsidR="00C34B9B" w:rsidRPr="00C34B9B" w14:paraId="3C02FA62" w14:textId="77777777" w:rsidTr="00C34B9B">
        <w:trPr>
          <w:trHeight w:val="315"/>
          <w:jc w:val="center"/>
        </w:trPr>
        <w:tc>
          <w:tcPr>
            <w:tcW w:w="1450" w:type="dxa"/>
            <w:vMerge/>
            <w:tcBorders>
              <w:left w:val="nil"/>
              <w:right w:val="nil"/>
            </w:tcBorders>
          </w:tcPr>
          <w:p w14:paraId="3970DF10" w14:textId="77777777" w:rsidR="0096124F" w:rsidRPr="00C34B9B" w:rsidRDefault="0096124F" w:rsidP="00C34B9B">
            <w:pPr>
              <w:jc w:val="both"/>
              <w:rPr>
                <w:rFonts w:ascii="Arial" w:eastAsia="Times New Roman" w:hAnsi="Arial" w:cs="Arial"/>
                <w:szCs w:val="20"/>
              </w:rPr>
            </w:pPr>
          </w:p>
        </w:tc>
        <w:tc>
          <w:tcPr>
            <w:tcW w:w="2190" w:type="dxa"/>
            <w:vMerge/>
            <w:tcBorders>
              <w:left w:val="nil"/>
              <w:right w:val="nil"/>
            </w:tcBorders>
            <w:vAlign w:val="center"/>
            <w:hideMark/>
          </w:tcPr>
          <w:p w14:paraId="3A2A443A" w14:textId="77777777" w:rsidR="0096124F" w:rsidRPr="00C34B9B" w:rsidRDefault="0096124F" w:rsidP="00C34B9B">
            <w:pPr>
              <w:jc w:val="both"/>
              <w:rPr>
                <w:rFonts w:ascii="Arial" w:eastAsia="Times New Roman" w:hAnsi="Arial" w:cs="Arial"/>
                <w:szCs w:val="20"/>
              </w:rPr>
            </w:pPr>
          </w:p>
        </w:tc>
        <w:tc>
          <w:tcPr>
            <w:tcW w:w="992" w:type="dxa"/>
            <w:tcBorders>
              <w:top w:val="single" w:sz="4" w:space="0" w:color="auto"/>
              <w:left w:val="nil"/>
              <w:bottom w:val="single" w:sz="4" w:space="0" w:color="auto"/>
              <w:right w:val="nil"/>
            </w:tcBorders>
            <w:noWrap/>
            <w:vAlign w:val="center"/>
            <w:hideMark/>
          </w:tcPr>
          <w:p w14:paraId="02882FA1"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17</w:t>
            </w:r>
          </w:p>
        </w:tc>
        <w:tc>
          <w:tcPr>
            <w:tcW w:w="1134" w:type="dxa"/>
            <w:tcBorders>
              <w:top w:val="single" w:sz="4" w:space="0" w:color="auto"/>
              <w:left w:val="nil"/>
              <w:bottom w:val="single" w:sz="4" w:space="0" w:color="auto"/>
              <w:right w:val="nil"/>
            </w:tcBorders>
            <w:noWrap/>
            <w:vAlign w:val="center"/>
            <w:hideMark/>
          </w:tcPr>
          <w:p w14:paraId="3D97DCB3"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19</w:t>
            </w:r>
          </w:p>
        </w:tc>
        <w:tc>
          <w:tcPr>
            <w:tcW w:w="1134" w:type="dxa"/>
            <w:tcBorders>
              <w:top w:val="single" w:sz="4" w:space="0" w:color="auto"/>
              <w:left w:val="nil"/>
              <w:bottom w:val="single" w:sz="4" w:space="0" w:color="auto"/>
              <w:right w:val="nil"/>
            </w:tcBorders>
            <w:noWrap/>
            <w:vAlign w:val="center"/>
            <w:hideMark/>
          </w:tcPr>
          <w:p w14:paraId="05FA9520"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21</w:t>
            </w:r>
          </w:p>
        </w:tc>
        <w:tc>
          <w:tcPr>
            <w:tcW w:w="851" w:type="dxa"/>
            <w:vMerge/>
            <w:tcBorders>
              <w:left w:val="nil"/>
              <w:right w:val="nil"/>
            </w:tcBorders>
          </w:tcPr>
          <w:p w14:paraId="7937ABC9" w14:textId="77777777" w:rsidR="0096124F" w:rsidRPr="00C34B9B" w:rsidRDefault="0096124F" w:rsidP="00C34B9B">
            <w:pPr>
              <w:jc w:val="both"/>
              <w:rPr>
                <w:rFonts w:ascii="Arial" w:eastAsia="Times New Roman" w:hAnsi="Arial" w:cs="Arial"/>
                <w:szCs w:val="20"/>
              </w:rPr>
            </w:pPr>
          </w:p>
        </w:tc>
        <w:tc>
          <w:tcPr>
            <w:tcW w:w="1235" w:type="dxa"/>
            <w:vMerge/>
            <w:tcBorders>
              <w:left w:val="nil"/>
              <w:right w:val="nil"/>
            </w:tcBorders>
          </w:tcPr>
          <w:p w14:paraId="67C642F1" w14:textId="77777777" w:rsidR="0096124F" w:rsidRPr="00C34B9B" w:rsidRDefault="0096124F" w:rsidP="00C34B9B">
            <w:pPr>
              <w:jc w:val="both"/>
              <w:rPr>
                <w:rFonts w:ascii="Arial" w:eastAsia="Times New Roman" w:hAnsi="Arial" w:cs="Arial"/>
                <w:szCs w:val="20"/>
              </w:rPr>
            </w:pPr>
          </w:p>
        </w:tc>
      </w:tr>
      <w:tr w:rsidR="00C34B9B" w:rsidRPr="00C34B9B" w14:paraId="0FD86DEA" w14:textId="77777777" w:rsidTr="00C34B9B">
        <w:trPr>
          <w:trHeight w:val="303"/>
          <w:jc w:val="center"/>
        </w:trPr>
        <w:tc>
          <w:tcPr>
            <w:tcW w:w="1450" w:type="dxa"/>
            <w:vMerge w:val="restart"/>
            <w:tcBorders>
              <w:top w:val="single" w:sz="4" w:space="0" w:color="auto"/>
              <w:left w:val="nil"/>
              <w:right w:val="nil"/>
            </w:tcBorders>
            <w:vAlign w:val="center"/>
          </w:tcPr>
          <w:p w14:paraId="594C4B7B"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 xml:space="preserve">Feed intake </w:t>
            </w:r>
          </w:p>
          <w:p w14:paraId="5EF88B44" w14:textId="77777777" w:rsidR="0096124F" w:rsidRPr="00C34B9B" w:rsidRDefault="0096124F" w:rsidP="00C34B9B">
            <w:pPr>
              <w:rPr>
                <w:rFonts w:ascii="Arial" w:eastAsia="Times New Roman" w:hAnsi="Arial" w:cs="Arial"/>
                <w:szCs w:val="20"/>
              </w:rPr>
            </w:pPr>
            <w:r w:rsidRPr="00C34B9B">
              <w:rPr>
                <w:rFonts w:ascii="Arial" w:hAnsi="Arial" w:cs="Arial"/>
                <w:szCs w:val="20"/>
              </w:rPr>
              <w:t>(g DM/d)</w:t>
            </w:r>
          </w:p>
        </w:tc>
        <w:tc>
          <w:tcPr>
            <w:tcW w:w="2190" w:type="dxa"/>
            <w:tcBorders>
              <w:top w:val="single" w:sz="4" w:space="0" w:color="auto"/>
              <w:left w:val="nil"/>
              <w:right w:val="nil"/>
            </w:tcBorders>
            <w:noWrap/>
            <w:vAlign w:val="center"/>
          </w:tcPr>
          <w:p w14:paraId="0003AAE4" w14:textId="77777777" w:rsidR="0096124F" w:rsidRPr="00C34B9B" w:rsidRDefault="0096124F" w:rsidP="00C34B9B">
            <w:pPr>
              <w:jc w:val="both"/>
              <w:rPr>
                <w:rFonts w:ascii="Arial" w:hAnsi="Arial" w:cs="Arial"/>
                <w:szCs w:val="20"/>
              </w:rPr>
            </w:pPr>
            <w:r w:rsidRPr="00C34B9B">
              <w:rPr>
                <w:rFonts w:ascii="Arial" w:hAnsi="Arial" w:cs="Arial"/>
                <w:szCs w:val="20"/>
              </w:rPr>
              <w:t>Growth</w:t>
            </w:r>
          </w:p>
        </w:tc>
        <w:tc>
          <w:tcPr>
            <w:tcW w:w="992" w:type="dxa"/>
            <w:tcBorders>
              <w:top w:val="single" w:sz="4" w:space="0" w:color="auto"/>
              <w:left w:val="nil"/>
              <w:right w:val="nil"/>
            </w:tcBorders>
            <w:noWrap/>
            <w:vAlign w:val="center"/>
          </w:tcPr>
          <w:p w14:paraId="27BF919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46.4</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7B423B5B"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47.4</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36EBFB5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48.0</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16173D9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w:t>
            </w:r>
          </w:p>
        </w:tc>
        <w:tc>
          <w:tcPr>
            <w:tcW w:w="1235" w:type="dxa"/>
            <w:tcBorders>
              <w:top w:val="single" w:sz="4" w:space="0" w:color="auto"/>
              <w:left w:val="nil"/>
            </w:tcBorders>
            <w:vAlign w:val="center"/>
          </w:tcPr>
          <w:p w14:paraId="14A16CD2" w14:textId="77777777" w:rsidR="0096124F" w:rsidRPr="00C34B9B" w:rsidRDefault="0096124F" w:rsidP="00C34B9B">
            <w:pPr>
              <w:jc w:val="both"/>
              <w:rPr>
                <w:rFonts w:ascii="Arial" w:eastAsia="Times New Roman" w:hAnsi="Arial" w:cs="Arial"/>
                <w:i/>
                <w:iCs/>
                <w:szCs w:val="20"/>
              </w:rPr>
            </w:pPr>
            <w:r w:rsidRPr="00C34B9B">
              <w:rPr>
                <w:rFonts w:ascii="Arial" w:eastAsia="Times New Roman" w:hAnsi="Arial" w:cs="Arial"/>
                <w:i/>
                <w:iCs/>
                <w:szCs w:val="20"/>
              </w:rPr>
              <w:t>.65</w:t>
            </w:r>
          </w:p>
        </w:tc>
      </w:tr>
      <w:tr w:rsidR="00C34B9B" w:rsidRPr="00C34B9B" w14:paraId="56DC4F50" w14:textId="77777777" w:rsidTr="00C34B9B">
        <w:trPr>
          <w:trHeight w:val="267"/>
          <w:jc w:val="center"/>
        </w:trPr>
        <w:tc>
          <w:tcPr>
            <w:tcW w:w="1450" w:type="dxa"/>
            <w:vMerge/>
            <w:tcBorders>
              <w:left w:val="nil"/>
              <w:right w:val="nil"/>
            </w:tcBorders>
            <w:vAlign w:val="center"/>
          </w:tcPr>
          <w:p w14:paraId="7CFD5144" w14:textId="77777777" w:rsidR="0096124F" w:rsidRPr="00C34B9B" w:rsidRDefault="0096124F" w:rsidP="00C34B9B">
            <w:pPr>
              <w:rPr>
                <w:rFonts w:ascii="Arial" w:eastAsia="Times New Roman" w:hAnsi="Arial" w:cs="Arial"/>
                <w:szCs w:val="20"/>
              </w:rPr>
            </w:pPr>
          </w:p>
        </w:tc>
        <w:tc>
          <w:tcPr>
            <w:tcW w:w="2190" w:type="dxa"/>
            <w:tcBorders>
              <w:top w:val="single" w:sz="4" w:space="0" w:color="auto"/>
              <w:left w:val="nil"/>
              <w:right w:val="nil"/>
            </w:tcBorders>
            <w:noWrap/>
            <w:vAlign w:val="center"/>
          </w:tcPr>
          <w:p w14:paraId="1D23A4CD" w14:textId="77777777" w:rsidR="0096124F" w:rsidRPr="00C34B9B" w:rsidRDefault="0096124F" w:rsidP="00C34B9B">
            <w:pPr>
              <w:jc w:val="both"/>
              <w:rPr>
                <w:rFonts w:ascii="Arial" w:hAnsi="Arial" w:cs="Arial"/>
                <w:szCs w:val="20"/>
              </w:rPr>
            </w:pPr>
            <w:r w:rsidRPr="00C34B9B">
              <w:rPr>
                <w:rFonts w:ascii="Arial" w:hAnsi="Arial" w:cs="Arial"/>
                <w:szCs w:val="20"/>
              </w:rPr>
              <w:t>Fattening</w:t>
            </w:r>
          </w:p>
        </w:tc>
        <w:tc>
          <w:tcPr>
            <w:tcW w:w="992" w:type="dxa"/>
            <w:tcBorders>
              <w:top w:val="single" w:sz="4" w:space="0" w:color="auto"/>
              <w:left w:val="nil"/>
              <w:right w:val="nil"/>
            </w:tcBorders>
            <w:noWrap/>
            <w:vAlign w:val="center"/>
          </w:tcPr>
          <w:p w14:paraId="7B76132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68.0</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7BC8BDD7"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73.8</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5F27CDD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79.3</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1510071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1.8</w:t>
            </w:r>
          </w:p>
        </w:tc>
        <w:tc>
          <w:tcPr>
            <w:tcW w:w="1235" w:type="dxa"/>
            <w:tcBorders>
              <w:top w:val="single" w:sz="4" w:space="0" w:color="auto"/>
              <w:left w:val="nil"/>
            </w:tcBorders>
            <w:vAlign w:val="center"/>
          </w:tcPr>
          <w:p w14:paraId="22EC1B34" w14:textId="77777777" w:rsidR="0096124F" w:rsidRPr="00C34B9B" w:rsidRDefault="0096124F" w:rsidP="00C34B9B">
            <w:pPr>
              <w:jc w:val="both"/>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2</w:t>
            </w:r>
          </w:p>
        </w:tc>
      </w:tr>
      <w:tr w:rsidR="00C34B9B" w:rsidRPr="00C34B9B" w14:paraId="624935BF" w14:textId="77777777" w:rsidTr="00C34B9B">
        <w:trPr>
          <w:trHeight w:val="454"/>
          <w:jc w:val="center"/>
        </w:trPr>
        <w:tc>
          <w:tcPr>
            <w:tcW w:w="1450" w:type="dxa"/>
            <w:vMerge/>
            <w:tcBorders>
              <w:left w:val="nil"/>
              <w:right w:val="nil"/>
            </w:tcBorders>
            <w:vAlign w:val="center"/>
          </w:tcPr>
          <w:p w14:paraId="5CDB9D75" w14:textId="77777777" w:rsidR="0096124F" w:rsidRPr="00C34B9B" w:rsidRDefault="0096124F" w:rsidP="00C34B9B">
            <w:pPr>
              <w:rPr>
                <w:rFonts w:ascii="Arial" w:eastAsia="Times New Roman" w:hAnsi="Arial" w:cs="Arial"/>
                <w:szCs w:val="20"/>
              </w:rPr>
            </w:pPr>
          </w:p>
        </w:tc>
        <w:tc>
          <w:tcPr>
            <w:tcW w:w="2190" w:type="dxa"/>
            <w:tcBorders>
              <w:top w:val="single" w:sz="4" w:space="0" w:color="auto"/>
              <w:left w:val="nil"/>
              <w:right w:val="nil"/>
            </w:tcBorders>
            <w:noWrap/>
            <w:vAlign w:val="center"/>
          </w:tcPr>
          <w:p w14:paraId="703472D5" w14:textId="77777777" w:rsidR="0096124F" w:rsidRPr="00C34B9B" w:rsidRDefault="0096124F" w:rsidP="00C34B9B">
            <w:pPr>
              <w:jc w:val="both"/>
              <w:rPr>
                <w:rFonts w:ascii="Arial" w:hAnsi="Arial" w:cs="Arial"/>
                <w:szCs w:val="20"/>
              </w:rPr>
            </w:pPr>
            <w:r w:rsidRPr="00C34B9B">
              <w:rPr>
                <w:rFonts w:ascii="Arial" w:hAnsi="Arial" w:cs="Arial"/>
                <w:szCs w:val="20"/>
              </w:rPr>
              <w:t>Average feed intake</w:t>
            </w:r>
          </w:p>
          <w:p w14:paraId="272653B6" w14:textId="77777777" w:rsidR="0096124F" w:rsidRPr="00C34B9B" w:rsidRDefault="0096124F" w:rsidP="00C34B9B">
            <w:pPr>
              <w:jc w:val="both"/>
              <w:rPr>
                <w:rFonts w:ascii="Arial" w:hAnsi="Arial" w:cs="Arial"/>
                <w:szCs w:val="20"/>
              </w:rPr>
            </w:pPr>
            <w:r w:rsidRPr="00C34B9B">
              <w:rPr>
                <w:rFonts w:ascii="Arial" w:hAnsi="Arial" w:cs="Arial"/>
                <w:szCs w:val="20"/>
              </w:rPr>
              <w:t>(From weaning to 6 months of age)</w:t>
            </w:r>
          </w:p>
        </w:tc>
        <w:tc>
          <w:tcPr>
            <w:tcW w:w="992" w:type="dxa"/>
            <w:tcBorders>
              <w:top w:val="single" w:sz="4" w:space="0" w:color="auto"/>
              <w:left w:val="nil"/>
              <w:right w:val="nil"/>
            </w:tcBorders>
            <w:noWrap/>
            <w:vAlign w:val="center"/>
          </w:tcPr>
          <w:p w14:paraId="04662A30"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57.3</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5E6D2856"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60.7</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1CB14E3A"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66.8</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5912B886"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1.7</w:t>
            </w:r>
          </w:p>
        </w:tc>
        <w:tc>
          <w:tcPr>
            <w:tcW w:w="1235" w:type="dxa"/>
            <w:tcBorders>
              <w:top w:val="single" w:sz="4" w:space="0" w:color="auto"/>
              <w:left w:val="nil"/>
            </w:tcBorders>
            <w:vAlign w:val="center"/>
          </w:tcPr>
          <w:p w14:paraId="3E3DC206" w14:textId="77777777" w:rsidR="0096124F" w:rsidRPr="00C34B9B" w:rsidRDefault="0096124F" w:rsidP="00C34B9B">
            <w:pPr>
              <w:jc w:val="both"/>
              <w:rPr>
                <w:rFonts w:ascii="Arial" w:eastAsia="Times New Roman" w:hAnsi="Arial" w:cs="Arial"/>
                <w:i/>
                <w:iCs/>
                <w:szCs w:val="20"/>
              </w:rPr>
            </w:pPr>
            <w:r w:rsidRPr="00C34B9B">
              <w:rPr>
                <w:rFonts w:ascii="Arial" w:hAnsi="Arial" w:cs="Arial"/>
                <w:i/>
                <w:iCs/>
                <w:szCs w:val="20"/>
              </w:rPr>
              <w:t xml:space="preserve">2.5 x 10 </w:t>
            </w:r>
            <w:r w:rsidRPr="00C34B9B">
              <w:rPr>
                <w:rFonts w:ascii="Arial" w:hAnsi="Arial" w:cs="Arial"/>
                <w:i/>
                <w:iCs/>
                <w:szCs w:val="20"/>
                <w:vertAlign w:val="superscript"/>
              </w:rPr>
              <w:t>-7</w:t>
            </w:r>
          </w:p>
        </w:tc>
      </w:tr>
      <w:tr w:rsidR="00C34B9B" w:rsidRPr="00C34B9B" w14:paraId="7DB2BA5A" w14:textId="77777777" w:rsidTr="00C34B9B">
        <w:trPr>
          <w:trHeight w:val="881"/>
          <w:jc w:val="center"/>
        </w:trPr>
        <w:tc>
          <w:tcPr>
            <w:tcW w:w="1450" w:type="dxa"/>
            <w:tcBorders>
              <w:top w:val="single" w:sz="4" w:space="0" w:color="auto"/>
              <w:left w:val="nil"/>
              <w:right w:val="nil"/>
            </w:tcBorders>
            <w:vAlign w:val="center"/>
          </w:tcPr>
          <w:p w14:paraId="2D9FCADC"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Animal live weight (g)</w:t>
            </w:r>
          </w:p>
        </w:tc>
        <w:tc>
          <w:tcPr>
            <w:tcW w:w="2190" w:type="dxa"/>
            <w:tcBorders>
              <w:top w:val="single" w:sz="4" w:space="0" w:color="auto"/>
              <w:left w:val="nil"/>
              <w:right w:val="nil"/>
            </w:tcBorders>
            <w:noWrap/>
          </w:tcPr>
          <w:p w14:paraId="66363808" w14:textId="77777777" w:rsidR="0096124F" w:rsidRPr="00C34B9B" w:rsidRDefault="0096124F" w:rsidP="00C34B9B">
            <w:pPr>
              <w:jc w:val="both"/>
              <w:rPr>
                <w:rFonts w:ascii="Arial" w:hAnsi="Arial" w:cs="Arial"/>
                <w:szCs w:val="20"/>
              </w:rPr>
            </w:pPr>
            <w:r w:rsidRPr="00C34B9B">
              <w:rPr>
                <w:rFonts w:ascii="Arial" w:hAnsi="Arial" w:cs="Arial"/>
                <w:szCs w:val="20"/>
              </w:rPr>
              <w:t>Weaning</w:t>
            </w:r>
          </w:p>
          <w:p w14:paraId="49106A24"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At 4 months of age</w:t>
            </w:r>
          </w:p>
          <w:p w14:paraId="15C4BBC0"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At 6 months of age</w:t>
            </w:r>
          </w:p>
        </w:tc>
        <w:tc>
          <w:tcPr>
            <w:tcW w:w="992" w:type="dxa"/>
            <w:tcBorders>
              <w:top w:val="single" w:sz="4" w:space="0" w:color="auto"/>
              <w:left w:val="nil"/>
              <w:right w:val="nil"/>
            </w:tcBorders>
            <w:noWrap/>
            <w:vAlign w:val="center"/>
          </w:tcPr>
          <w:p w14:paraId="376371F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386</w:t>
            </w:r>
            <w:r w:rsidRPr="00C34B9B">
              <w:rPr>
                <w:rFonts w:ascii="Arial" w:eastAsia="Times New Roman" w:hAnsi="Arial" w:cs="Arial"/>
                <w:szCs w:val="20"/>
                <w:vertAlign w:val="superscript"/>
              </w:rPr>
              <w:t>a</w:t>
            </w:r>
          </w:p>
          <w:p w14:paraId="7D17F9ED"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1551</w:t>
            </w:r>
            <w:r w:rsidRPr="00C34B9B">
              <w:rPr>
                <w:rFonts w:ascii="Arial" w:eastAsia="Times New Roman" w:hAnsi="Arial" w:cs="Arial"/>
                <w:szCs w:val="20"/>
                <w:vertAlign w:val="superscript"/>
              </w:rPr>
              <w:t>b​</w:t>
            </w:r>
          </w:p>
          <w:p w14:paraId="1BDBFA3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2497</w:t>
            </w:r>
            <w:r w:rsidRPr="00C34B9B">
              <w:rPr>
                <w:rFonts w:ascii="Arial" w:eastAsia="Times New Roman" w:hAnsi="Arial" w:cs="Arial"/>
                <w:szCs w:val="20"/>
                <w:vertAlign w:val="superscript"/>
              </w:rPr>
              <w:t>b</w:t>
            </w:r>
            <w:r w:rsidRPr="00C34B9B">
              <w:rPr>
                <w:rFonts w:ascii="Arial" w:eastAsia="Times New Roman" w:hAnsi="Arial" w:cs="Arial"/>
                <w:szCs w:val="20"/>
              </w:rPr>
              <w:t>​</w:t>
            </w:r>
          </w:p>
        </w:tc>
        <w:tc>
          <w:tcPr>
            <w:tcW w:w="1134" w:type="dxa"/>
            <w:tcBorders>
              <w:top w:val="single" w:sz="4" w:space="0" w:color="auto"/>
              <w:left w:val="nil"/>
              <w:right w:val="nil"/>
            </w:tcBorders>
            <w:noWrap/>
            <w:vAlign w:val="center"/>
          </w:tcPr>
          <w:p w14:paraId="611A4F2A"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391</w:t>
            </w:r>
            <w:r w:rsidRPr="00C34B9B">
              <w:rPr>
                <w:rFonts w:ascii="Arial" w:eastAsia="Times New Roman" w:hAnsi="Arial" w:cs="Arial"/>
                <w:szCs w:val="20"/>
                <w:vertAlign w:val="superscript"/>
              </w:rPr>
              <w:t>a</w:t>
            </w:r>
          </w:p>
          <w:p w14:paraId="495BF9E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1480</w:t>
            </w:r>
            <w:r w:rsidRPr="00C34B9B">
              <w:rPr>
                <w:rFonts w:ascii="Arial" w:eastAsia="Times New Roman" w:hAnsi="Arial" w:cs="Arial"/>
                <w:szCs w:val="20"/>
                <w:vertAlign w:val="superscript"/>
              </w:rPr>
              <w:t>ab</w:t>
            </w:r>
          </w:p>
          <w:p w14:paraId="688E6E6D"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2327</w:t>
            </w:r>
            <w:r w:rsidRPr="00C34B9B">
              <w:rPr>
                <w:rFonts w:ascii="Arial" w:eastAsia="Times New Roman" w:hAnsi="Arial" w:cs="Arial"/>
                <w:szCs w:val="20"/>
                <w:vertAlign w:val="superscript"/>
              </w:rPr>
              <w:t>ab</w:t>
            </w:r>
          </w:p>
        </w:tc>
        <w:tc>
          <w:tcPr>
            <w:tcW w:w="1134" w:type="dxa"/>
            <w:tcBorders>
              <w:top w:val="single" w:sz="4" w:space="0" w:color="auto"/>
              <w:left w:val="nil"/>
              <w:right w:val="nil"/>
            </w:tcBorders>
            <w:noWrap/>
            <w:vAlign w:val="center"/>
          </w:tcPr>
          <w:p w14:paraId="3B2F3A3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402</w:t>
            </w:r>
            <w:r w:rsidRPr="00C34B9B">
              <w:rPr>
                <w:rFonts w:ascii="Arial" w:eastAsia="Times New Roman" w:hAnsi="Arial" w:cs="Arial"/>
                <w:szCs w:val="20"/>
                <w:vertAlign w:val="superscript"/>
              </w:rPr>
              <w:t>a</w:t>
            </w:r>
          </w:p>
          <w:p w14:paraId="1DD8478A"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1238</w:t>
            </w:r>
            <w:r w:rsidRPr="00C34B9B">
              <w:rPr>
                <w:rFonts w:ascii="Arial" w:eastAsia="Times New Roman" w:hAnsi="Arial" w:cs="Arial"/>
                <w:szCs w:val="20"/>
                <w:vertAlign w:val="superscript"/>
              </w:rPr>
              <w:t>a</w:t>
            </w:r>
          </w:p>
          <w:p w14:paraId="0D3D3587"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2021</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003B3EF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46.9</w:t>
            </w:r>
          </w:p>
          <w:p w14:paraId="7BEAF85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70.4</w:t>
            </w:r>
          </w:p>
          <w:p w14:paraId="004642C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158.5</w:t>
            </w:r>
          </w:p>
        </w:tc>
        <w:tc>
          <w:tcPr>
            <w:tcW w:w="1235" w:type="dxa"/>
            <w:tcBorders>
              <w:top w:val="single" w:sz="4" w:space="0" w:color="auto"/>
              <w:left w:val="nil"/>
            </w:tcBorders>
            <w:vAlign w:val="center"/>
          </w:tcPr>
          <w:p w14:paraId="227CA96E"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.95</w:t>
            </w:r>
          </w:p>
          <w:p w14:paraId="237CB256"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4</w:t>
            </w:r>
          </w:p>
          <w:p w14:paraId="01D25926"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.04</w:t>
            </w:r>
          </w:p>
        </w:tc>
      </w:tr>
      <w:tr w:rsidR="00C34B9B" w:rsidRPr="00C34B9B" w14:paraId="15529CA5" w14:textId="77777777" w:rsidTr="00C34B9B">
        <w:trPr>
          <w:trHeight w:val="918"/>
          <w:jc w:val="center"/>
        </w:trPr>
        <w:tc>
          <w:tcPr>
            <w:tcW w:w="1450" w:type="dxa"/>
            <w:tcBorders>
              <w:top w:val="single" w:sz="4" w:space="0" w:color="auto"/>
              <w:left w:val="nil"/>
              <w:right w:val="nil"/>
            </w:tcBorders>
            <w:vAlign w:val="center"/>
          </w:tcPr>
          <w:p w14:paraId="4CA40DB3"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Average daily gain (g/d)</w:t>
            </w:r>
          </w:p>
        </w:tc>
        <w:tc>
          <w:tcPr>
            <w:tcW w:w="2190" w:type="dxa"/>
            <w:tcBorders>
              <w:top w:val="single" w:sz="4" w:space="0" w:color="auto"/>
              <w:left w:val="nil"/>
              <w:right w:val="nil"/>
            </w:tcBorders>
            <w:noWrap/>
          </w:tcPr>
          <w:p w14:paraId="4CAE784C" w14:textId="77777777" w:rsidR="0096124F" w:rsidRPr="00C34B9B" w:rsidRDefault="0096124F" w:rsidP="00C34B9B">
            <w:pPr>
              <w:jc w:val="both"/>
              <w:rPr>
                <w:rFonts w:ascii="Arial" w:hAnsi="Arial" w:cs="Arial"/>
                <w:szCs w:val="20"/>
              </w:rPr>
            </w:pPr>
            <w:r w:rsidRPr="00C34B9B">
              <w:rPr>
                <w:rFonts w:ascii="Arial" w:hAnsi="Arial" w:cs="Arial"/>
                <w:szCs w:val="20"/>
              </w:rPr>
              <w:t>Growth</w:t>
            </w:r>
          </w:p>
          <w:p w14:paraId="5C49E781" w14:textId="77777777" w:rsidR="0096124F" w:rsidRPr="00C34B9B" w:rsidRDefault="0096124F" w:rsidP="00C34B9B">
            <w:pPr>
              <w:jc w:val="both"/>
              <w:rPr>
                <w:rFonts w:ascii="Arial" w:hAnsi="Arial" w:cs="Arial"/>
                <w:szCs w:val="20"/>
              </w:rPr>
            </w:pPr>
            <w:r w:rsidRPr="00C34B9B">
              <w:rPr>
                <w:rFonts w:ascii="Arial" w:hAnsi="Arial" w:cs="Arial"/>
                <w:szCs w:val="20"/>
              </w:rPr>
              <w:t>Fattening</w:t>
            </w:r>
          </w:p>
          <w:p w14:paraId="1A432F49"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From weaning to 6 months of age</w:t>
            </w:r>
          </w:p>
        </w:tc>
        <w:tc>
          <w:tcPr>
            <w:tcW w:w="992" w:type="dxa"/>
            <w:tcBorders>
              <w:top w:val="single" w:sz="4" w:space="0" w:color="auto"/>
              <w:left w:val="nil"/>
              <w:right w:val="nil"/>
            </w:tcBorders>
            <w:noWrap/>
            <w:vAlign w:val="center"/>
          </w:tcPr>
          <w:p w14:paraId="1E79BAD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15.1</w:t>
            </w:r>
            <w:r w:rsidRPr="00C34B9B">
              <w:rPr>
                <w:rFonts w:ascii="Arial" w:eastAsia="Times New Roman" w:hAnsi="Arial" w:cs="Arial"/>
                <w:szCs w:val="20"/>
                <w:vertAlign w:val="superscript"/>
              </w:rPr>
              <w:t>b​</w:t>
            </w:r>
          </w:p>
          <w:p w14:paraId="3F00BFB7"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15.0</w:t>
            </w:r>
            <w:r w:rsidRPr="00C34B9B">
              <w:rPr>
                <w:rFonts w:ascii="Arial" w:eastAsia="Times New Roman" w:hAnsi="Arial" w:cs="Arial"/>
                <w:szCs w:val="20"/>
                <w:vertAlign w:val="superscript"/>
              </w:rPr>
              <w:t>b</w:t>
            </w:r>
            <w:r w:rsidRPr="00C34B9B">
              <w:rPr>
                <w:rFonts w:ascii="Arial" w:eastAsia="Times New Roman" w:hAnsi="Arial" w:cs="Arial"/>
                <w:szCs w:val="20"/>
              </w:rPr>
              <w:t>​</w:t>
            </w:r>
          </w:p>
          <w:p w14:paraId="1AC7968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15.1</w:t>
            </w:r>
            <w:r w:rsidRPr="00C34B9B">
              <w:rPr>
                <w:rFonts w:ascii="Arial" w:eastAsia="Times New Roman" w:hAnsi="Arial" w:cs="Arial"/>
                <w:szCs w:val="20"/>
                <w:vertAlign w:val="superscript"/>
              </w:rPr>
              <w:t>b​</w:t>
            </w:r>
          </w:p>
        </w:tc>
        <w:tc>
          <w:tcPr>
            <w:tcW w:w="1134" w:type="dxa"/>
            <w:tcBorders>
              <w:top w:val="single" w:sz="4" w:space="0" w:color="auto"/>
              <w:left w:val="nil"/>
              <w:right w:val="nil"/>
            </w:tcBorders>
            <w:noWrap/>
            <w:vAlign w:val="center"/>
          </w:tcPr>
          <w:p w14:paraId="75E600EB"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14.2</w:t>
            </w:r>
            <w:r w:rsidRPr="00C34B9B">
              <w:rPr>
                <w:rFonts w:ascii="Arial" w:eastAsia="Times New Roman" w:hAnsi="Arial" w:cs="Arial"/>
                <w:szCs w:val="20"/>
                <w:vertAlign w:val="superscript"/>
              </w:rPr>
              <w:t>b​</w:t>
            </w:r>
          </w:p>
          <w:p w14:paraId="13BE35B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13.4</w:t>
            </w:r>
            <w:r w:rsidRPr="00C34B9B">
              <w:rPr>
                <w:rFonts w:ascii="Arial" w:eastAsia="Times New Roman" w:hAnsi="Arial" w:cs="Arial"/>
                <w:szCs w:val="20"/>
                <w:vertAlign w:val="superscript"/>
              </w:rPr>
              <w:t>ab</w:t>
            </w:r>
          </w:p>
          <w:p w14:paraId="031EF77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13.8</w:t>
            </w:r>
            <w:r w:rsidRPr="00C34B9B">
              <w:rPr>
                <w:rFonts w:ascii="Arial" w:eastAsia="Times New Roman" w:hAnsi="Arial" w:cs="Arial"/>
                <w:szCs w:val="20"/>
                <w:vertAlign w:val="superscript"/>
              </w:rPr>
              <w:t>b</w:t>
            </w:r>
          </w:p>
        </w:tc>
        <w:tc>
          <w:tcPr>
            <w:tcW w:w="1134" w:type="dxa"/>
            <w:tcBorders>
              <w:top w:val="single" w:sz="4" w:space="0" w:color="auto"/>
              <w:left w:val="nil"/>
              <w:right w:val="nil"/>
            </w:tcBorders>
            <w:noWrap/>
            <w:vAlign w:val="center"/>
          </w:tcPr>
          <w:p w14:paraId="56081EC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10.9</w:t>
            </w:r>
            <w:r w:rsidRPr="00C34B9B">
              <w:rPr>
                <w:rFonts w:ascii="Arial" w:eastAsia="Times New Roman" w:hAnsi="Arial" w:cs="Arial"/>
                <w:szCs w:val="20"/>
                <w:vertAlign w:val="superscript"/>
              </w:rPr>
              <w:t>a​</w:t>
            </w:r>
          </w:p>
          <w:p w14:paraId="1091283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12.4</w:t>
            </w:r>
            <w:r w:rsidRPr="00C34B9B">
              <w:rPr>
                <w:rFonts w:ascii="Arial" w:eastAsia="Times New Roman" w:hAnsi="Arial" w:cs="Arial"/>
                <w:szCs w:val="20"/>
                <w:vertAlign w:val="superscript"/>
              </w:rPr>
              <w:t>a​</w:t>
            </w:r>
          </w:p>
          <w:p w14:paraId="2BBF81E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11.6</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6CE6FA77"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w:t>
            </w:r>
          </w:p>
          <w:p w14:paraId="7423A3FC"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1.0</w:t>
            </w:r>
          </w:p>
          <w:p w14:paraId="1656E50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0.8</w:t>
            </w:r>
          </w:p>
        </w:tc>
        <w:tc>
          <w:tcPr>
            <w:tcW w:w="1235" w:type="dxa"/>
            <w:tcBorders>
              <w:top w:val="single" w:sz="4" w:space="0" w:color="auto"/>
              <w:left w:val="nil"/>
            </w:tcBorders>
            <w:vAlign w:val="center"/>
          </w:tcPr>
          <w:p w14:paraId="1E9CCF01"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.007</w:t>
            </w:r>
          </w:p>
          <w:p w14:paraId="00BE1935"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4</w:t>
            </w:r>
          </w:p>
          <w:p w14:paraId="17D9B071"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3.6 x 10</w:t>
            </w:r>
            <w:r w:rsidRPr="00C34B9B">
              <w:rPr>
                <w:rFonts w:ascii="Arial" w:eastAsia="Times New Roman" w:hAnsi="Arial" w:cs="Arial"/>
                <w:i/>
                <w:iCs/>
                <w:szCs w:val="20"/>
                <w:vertAlign w:val="superscript"/>
              </w:rPr>
              <w:t xml:space="preserve"> -4</w:t>
            </w:r>
          </w:p>
        </w:tc>
      </w:tr>
      <w:tr w:rsidR="00C34B9B" w:rsidRPr="00C34B9B" w14:paraId="51714854" w14:textId="77777777" w:rsidTr="00C34B9B">
        <w:trPr>
          <w:trHeight w:val="794"/>
          <w:jc w:val="center"/>
        </w:trPr>
        <w:tc>
          <w:tcPr>
            <w:tcW w:w="1450" w:type="dxa"/>
            <w:tcBorders>
              <w:top w:val="single" w:sz="4" w:space="0" w:color="auto"/>
              <w:left w:val="nil"/>
              <w:right w:val="nil"/>
            </w:tcBorders>
            <w:vAlign w:val="center"/>
          </w:tcPr>
          <w:p w14:paraId="1D5030C2"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Feed conversion</w:t>
            </w:r>
          </w:p>
        </w:tc>
        <w:tc>
          <w:tcPr>
            <w:tcW w:w="2190" w:type="dxa"/>
            <w:tcBorders>
              <w:top w:val="single" w:sz="4" w:space="0" w:color="auto"/>
              <w:left w:val="nil"/>
              <w:right w:val="nil"/>
            </w:tcBorders>
            <w:noWrap/>
            <w:hideMark/>
          </w:tcPr>
          <w:p w14:paraId="286B5742"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Growth</w:t>
            </w:r>
          </w:p>
          <w:p w14:paraId="38FF59D4"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Fattening</w:t>
            </w:r>
          </w:p>
          <w:p w14:paraId="3725E9DA"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From weaning to 6 months of age</w:t>
            </w:r>
          </w:p>
        </w:tc>
        <w:tc>
          <w:tcPr>
            <w:tcW w:w="992" w:type="dxa"/>
            <w:tcBorders>
              <w:top w:val="single" w:sz="4" w:space="0" w:color="auto"/>
              <w:left w:val="nil"/>
              <w:right w:val="nil"/>
            </w:tcBorders>
            <w:noWrap/>
            <w:vAlign w:val="center"/>
            <w:hideMark/>
          </w:tcPr>
          <w:p w14:paraId="44892B7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2.83</w:t>
            </w:r>
            <w:r w:rsidRPr="00C34B9B">
              <w:rPr>
                <w:rFonts w:ascii="Arial" w:eastAsia="Times New Roman" w:hAnsi="Arial" w:cs="Arial"/>
                <w:szCs w:val="20"/>
                <w:vertAlign w:val="superscript"/>
              </w:rPr>
              <w:t>a​</w:t>
            </w:r>
          </w:p>
          <w:p w14:paraId="5D550A7C"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4.61</w:t>
            </w:r>
            <w:r w:rsidRPr="00C34B9B">
              <w:rPr>
                <w:rFonts w:ascii="Arial" w:eastAsia="Times New Roman" w:hAnsi="Arial" w:cs="Arial"/>
                <w:szCs w:val="20"/>
                <w:vertAlign w:val="superscript"/>
              </w:rPr>
              <w:t>a​</w:t>
            </w:r>
          </w:p>
          <w:p w14:paraId="22800EDD"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3.63</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hideMark/>
          </w:tcPr>
          <w:p w14:paraId="25C709A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3.27</w:t>
            </w:r>
            <w:r w:rsidRPr="00C34B9B">
              <w:rPr>
                <w:rFonts w:ascii="Arial" w:eastAsia="Times New Roman" w:hAnsi="Arial" w:cs="Arial"/>
                <w:szCs w:val="20"/>
                <w:vertAlign w:val="superscript"/>
              </w:rPr>
              <w:t>a​</w:t>
            </w:r>
          </w:p>
          <w:p w14:paraId="5FC93B0E"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5.71</w:t>
            </w:r>
            <w:r w:rsidRPr="00C34B9B">
              <w:rPr>
                <w:rFonts w:ascii="Arial" w:eastAsia="Times New Roman" w:hAnsi="Arial" w:cs="Arial"/>
                <w:szCs w:val="20"/>
                <w:vertAlign w:val="superscript"/>
              </w:rPr>
              <w:t>ab</w:t>
            </w:r>
          </w:p>
          <w:p w14:paraId="45EB728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4.37</w:t>
            </w:r>
            <w:r w:rsidRPr="00C34B9B">
              <w:rPr>
                <w:rFonts w:ascii="Arial" w:eastAsia="Times New Roman" w:hAnsi="Arial" w:cs="Arial"/>
                <w:szCs w:val="20"/>
                <w:vertAlign w:val="superscript"/>
              </w:rPr>
              <w:t>ab</w:t>
            </w:r>
          </w:p>
        </w:tc>
        <w:tc>
          <w:tcPr>
            <w:tcW w:w="1134" w:type="dxa"/>
            <w:tcBorders>
              <w:top w:val="single" w:sz="4" w:space="0" w:color="auto"/>
              <w:left w:val="nil"/>
              <w:right w:val="nil"/>
            </w:tcBorders>
            <w:noWrap/>
            <w:vAlign w:val="center"/>
            <w:hideMark/>
          </w:tcPr>
          <w:p w14:paraId="7496B60E"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4.18</w:t>
            </w:r>
            <w:r w:rsidRPr="00C34B9B">
              <w:rPr>
                <w:rFonts w:ascii="Arial" w:eastAsia="Times New Roman" w:hAnsi="Arial" w:cs="Arial"/>
                <w:szCs w:val="20"/>
                <w:vertAlign w:val="superscript"/>
              </w:rPr>
              <w:t>b</w:t>
            </w:r>
          </w:p>
          <w:p w14:paraId="54D33CA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6.14</w:t>
            </w:r>
            <w:r w:rsidRPr="00C34B9B">
              <w:rPr>
                <w:rFonts w:ascii="Arial" w:eastAsia="Times New Roman" w:hAnsi="Arial" w:cs="Arial"/>
                <w:szCs w:val="20"/>
                <w:vertAlign w:val="superscript"/>
              </w:rPr>
              <w:t>b</w:t>
            </w:r>
          </w:p>
          <w:p w14:paraId="46CBDA5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5.06</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15833FFA"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0.4</w:t>
            </w:r>
          </w:p>
          <w:p w14:paraId="673A1889"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0.5</w:t>
            </w:r>
          </w:p>
          <w:p w14:paraId="3ACC1AE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0.1</w:t>
            </w:r>
          </w:p>
        </w:tc>
        <w:tc>
          <w:tcPr>
            <w:tcW w:w="1235" w:type="dxa"/>
            <w:tcBorders>
              <w:top w:val="single" w:sz="4" w:space="0" w:color="auto"/>
              <w:left w:val="nil"/>
            </w:tcBorders>
            <w:vAlign w:val="center"/>
          </w:tcPr>
          <w:p w14:paraId="43302525"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.003</w:t>
            </w:r>
          </w:p>
          <w:p w14:paraId="290DDC80"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.002</w:t>
            </w:r>
          </w:p>
          <w:p w14:paraId="13D0EF19"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.007</w:t>
            </w:r>
          </w:p>
        </w:tc>
      </w:tr>
    </w:tbl>
    <w:p w14:paraId="01F0ABD7" w14:textId="77777777" w:rsidR="0096124F" w:rsidRPr="00C34B9B" w:rsidRDefault="0096124F" w:rsidP="00C34B9B">
      <w:pPr>
        <w:jc w:val="both"/>
        <w:rPr>
          <w:rFonts w:ascii="Arial" w:hAnsi="Arial" w:cs="Arial"/>
        </w:rPr>
      </w:pPr>
      <w:r w:rsidRPr="00C34B9B">
        <w:rPr>
          <w:rFonts w:ascii="Arial" w:hAnsi="Arial" w:cs="Arial"/>
        </w:rPr>
        <w:t xml:space="preserve">Note: ADF: Acid Detergent </w:t>
      </w:r>
      <w:proofErr w:type="spellStart"/>
      <w:r w:rsidRPr="00C34B9B">
        <w:rPr>
          <w:rFonts w:ascii="Arial" w:hAnsi="Arial" w:cs="Arial"/>
        </w:rPr>
        <w:t>Fibre</w:t>
      </w:r>
      <w:proofErr w:type="spellEnd"/>
      <w:r w:rsidRPr="00C34B9B">
        <w:rPr>
          <w:rFonts w:ascii="Arial" w:hAnsi="Arial" w:cs="Arial"/>
        </w:rPr>
        <w:t xml:space="preserve"> or lignocellulose; SEM: Standard error of the mean; </w:t>
      </w:r>
    </w:p>
    <w:p w14:paraId="08FD0B1C" w14:textId="77777777" w:rsidR="0096124F" w:rsidRPr="00C34B9B" w:rsidRDefault="0096124F" w:rsidP="00C34B9B">
      <w:pPr>
        <w:jc w:val="both"/>
        <w:rPr>
          <w:rFonts w:ascii="Arial" w:hAnsi="Arial" w:cs="Arial"/>
        </w:rPr>
      </w:pPr>
      <w:r w:rsidRPr="00C34B9B">
        <w:rPr>
          <w:rFonts w:ascii="Arial" w:hAnsi="Arial" w:cs="Arial"/>
        </w:rPr>
        <w:t>a, b: the values of a line having different superscript letters are different at the threshold of 5%</w:t>
      </w:r>
    </w:p>
    <w:p w14:paraId="6E9FE6E5" w14:textId="77777777" w:rsidR="0096124F" w:rsidRPr="00DB72BE" w:rsidRDefault="0096124F" w:rsidP="00DB72BE">
      <w:pPr>
        <w:jc w:val="both"/>
        <w:rPr>
          <w:rFonts w:ascii="Arial" w:hAnsi="Arial" w:cs="Arial"/>
        </w:rPr>
      </w:pPr>
    </w:p>
    <w:p w14:paraId="0769D918" w14:textId="77777777" w:rsidR="00DB72BE" w:rsidRPr="00DB72BE" w:rsidRDefault="00DB72BE" w:rsidP="00DB72BE">
      <w:pPr>
        <w:jc w:val="both"/>
        <w:rPr>
          <w:rFonts w:ascii="Arial" w:hAnsi="Arial" w:cs="Arial"/>
          <w:b/>
          <w:u w:val="single"/>
        </w:rPr>
      </w:pPr>
      <w:r w:rsidRPr="00DB72BE">
        <w:rPr>
          <w:rFonts w:ascii="Arial" w:hAnsi="Arial" w:cs="Arial"/>
          <w:b/>
          <w:u w:val="single"/>
        </w:rPr>
        <w:t xml:space="preserve">3.1.4. Effect of Dietary </w:t>
      </w:r>
      <w:proofErr w:type="spellStart"/>
      <w:r w:rsidRPr="00DB72BE">
        <w:rPr>
          <w:rFonts w:ascii="Arial" w:hAnsi="Arial" w:cs="Arial"/>
          <w:b/>
          <w:u w:val="single"/>
        </w:rPr>
        <w:t>Fibre</w:t>
      </w:r>
      <w:proofErr w:type="spellEnd"/>
      <w:r w:rsidRPr="00DB72BE">
        <w:rPr>
          <w:rFonts w:ascii="Arial" w:hAnsi="Arial" w:cs="Arial"/>
          <w:b/>
          <w:u w:val="single"/>
        </w:rPr>
        <w:t xml:space="preserve"> Level on Nutrient Digestibility</w:t>
      </w:r>
    </w:p>
    <w:p w14:paraId="02BA264B" w14:textId="77777777" w:rsidR="00DB72BE" w:rsidRPr="00DB72BE" w:rsidRDefault="00DB72BE" w:rsidP="0096124F">
      <w:pPr>
        <w:jc w:val="both"/>
        <w:rPr>
          <w:rFonts w:ascii="Arial" w:hAnsi="Arial" w:cs="Arial"/>
        </w:rPr>
      </w:pPr>
      <w:r w:rsidRPr="00DB72BE">
        <w:rPr>
          <w:rFonts w:ascii="Arial" w:hAnsi="Arial" w:cs="Arial"/>
        </w:rPr>
        <w:t xml:space="preserve">Table 4 presents the digestibility coefficients of feeds. For all nutrients, digestibility decreased with increasing in </w:t>
      </w:r>
      <w:proofErr w:type="spellStart"/>
      <w:r w:rsidRPr="00DB72BE">
        <w:rPr>
          <w:rFonts w:ascii="Arial" w:hAnsi="Arial" w:cs="Arial"/>
        </w:rPr>
        <w:t>fibre</w:t>
      </w:r>
      <w:proofErr w:type="spellEnd"/>
      <w:r w:rsidRPr="00DB72BE">
        <w:rPr>
          <w:rFonts w:ascii="Arial" w:hAnsi="Arial" w:cs="Arial"/>
        </w:rPr>
        <w:t xml:space="preserve"> content of the diet. Thus, cane rats digested better the diet containing 17% ADF, followed by the ADF 19 then ADF 21 feed.</w:t>
      </w:r>
    </w:p>
    <w:p w14:paraId="3A5BC40B" w14:textId="77777777" w:rsidR="00DB72BE" w:rsidRDefault="00DB72BE" w:rsidP="0096124F">
      <w:pPr>
        <w:jc w:val="both"/>
        <w:rPr>
          <w:rFonts w:ascii="Arial" w:hAnsi="Arial" w:cs="Arial"/>
        </w:rPr>
      </w:pPr>
      <w:r w:rsidRPr="00DB72BE">
        <w:rPr>
          <w:rFonts w:ascii="Arial" w:hAnsi="Arial" w:cs="Arial"/>
        </w:rPr>
        <w:t xml:space="preserve">Regarding the physiological stage, there was no significant difference between the growth and the fattening stages. The digestibility coefficients obtained were 70%, 64%, 88% and 31% respectively for dry matter (DM), organic matter (OM), crude protein (CP) and dietary </w:t>
      </w:r>
      <w:proofErr w:type="spellStart"/>
      <w:r w:rsidRPr="00DB72BE">
        <w:rPr>
          <w:rFonts w:ascii="Arial" w:hAnsi="Arial" w:cs="Arial"/>
        </w:rPr>
        <w:t>fibre</w:t>
      </w:r>
      <w:proofErr w:type="spellEnd"/>
      <w:r w:rsidRPr="00DB72BE">
        <w:rPr>
          <w:rFonts w:ascii="Arial" w:hAnsi="Arial" w:cs="Arial"/>
        </w:rPr>
        <w:t xml:space="preserve"> (ADF).</w:t>
      </w:r>
    </w:p>
    <w:p w14:paraId="6D7CA7B2" w14:textId="77777777" w:rsidR="0096124F" w:rsidRDefault="0096124F" w:rsidP="0096124F">
      <w:pPr>
        <w:jc w:val="both"/>
        <w:rPr>
          <w:rFonts w:ascii="Arial" w:hAnsi="Arial" w:cs="Arial"/>
        </w:rPr>
      </w:pPr>
    </w:p>
    <w:p w14:paraId="623A565E" w14:textId="77777777" w:rsidR="003E7E49" w:rsidRDefault="003E7E49" w:rsidP="003E7E49">
      <w:pPr>
        <w:pStyle w:val="Caption"/>
        <w:keepNext/>
        <w:spacing w:after="0"/>
        <w:rPr>
          <w:rFonts w:ascii="Arial" w:hAnsi="Arial" w:cs="Arial"/>
          <w:b/>
          <w:bCs/>
          <w:i w:val="0"/>
          <w:iCs w:val="0"/>
          <w:color w:val="000000" w:themeColor="text1"/>
          <w:sz w:val="20"/>
          <w:szCs w:val="20"/>
        </w:rPr>
      </w:pPr>
      <w:r w:rsidRPr="003E7E49">
        <w:rPr>
          <w:rFonts w:ascii="Arial" w:hAnsi="Arial" w:cs="Arial"/>
          <w:b/>
          <w:bCs/>
          <w:i w:val="0"/>
          <w:iCs w:val="0"/>
          <w:color w:val="000000" w:themeColor="text1"/>
          <w:sz w:val="20"/>
          <w:szCs w:val="20"/>
        </w:rPr>
        <w:t>Table 4. Apparent digestive coefficients (ADC) of nutrients according to diet and animals’ physiological stage</w:t>
      </w:r>
    </w:p>
    <w:p w14:paraId="731033FB" w14:textId="77777777" w:rsidR="003E7E49" w:rsidRPr="003E7E49" w:rsidRDefault="003E7E49" w:rsidP="003E7E49">
      <w:pPr>
        <w:rPr>
          <w:lang w:val="en"/>
        </w:rPr>
      </w:pPr>
    </w:p>
    <w:tbl>
      <w:tblPr>
        <w:tblStyle w:val="PlainTable2"/>
        <w:tblW w:w="10632" w:type="dxa"/>
        <w:jc w:val="center"/>
        <w:tblLayout w:type="fixed"/>
        <w:tblLook w:val="04A0" w:firstRow="1" w:lastRow="0" w:firstColumn="1" w:lastColumn="0" w:noHBand="0" w:noVBand="1"/>
      </w:tblPr>
      <w:tblGrid>
        <w:gridCol w:w="1275"/>
        <w:gridCol w:w="852"/>
        <w:gridCol w:w="850"/>
        <w:gridCol w:w="851"/>
        <w:gridCol w:w="850"/>
        <w:gridCol w:w="992"/>
        <w:gridCol w:w="1134"/>
        <w:gridCol w:w="851"/>
        <w:gridCol w:w="1276"/>
        <w:gridCol w:w="850"/>
        <w:gridCol w:w="851"/>
      </w:tblGrid>
      <w:tr w:rsidR="003E7E49" w:rsidRPr="00682CC1" w14:paraId="51A795D2" w14:textId="77777777" w:rsidTr="00863509">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275" w:type="dxa"/>
            <w:vMerge w:val="restart"/>
            <w:tcBorders>
              <w:top w:val="single" w:sz="12" w:space="0" w:color="auto"/>
            </w:tcBorders>
            <w:vAlign w:val="center"/>
          </w:tcPr>
          <w:p w14:paraId="4FA70A3C" w14:textId="77777777" w:rsidR="003E7E49" w:rsidRPr="00682CC1" w:rsidRDefault="003E7E49" w:rsidP="00863509">
            <w:pPr>
              <w:jc w:val="center"/>
              <w:rPr>
                <w:rFonts w:ascii="Arial" w:hAnsi="Arial" w:cs="Arial"/>
                <w:bCs w:val="0"/>
                <w:sz w:val="20"/>
                <w:szCs w:val="20"/>
              </w:rPr>
            </w:pPr>
            <w:r w:rsidRPr="00682CC1">
              <w:rPr>
                <w:rFonts w:ascii="Arial" w:hAnsi="Arial" w:cs="Arial"/>
                <w:bCs w:val="0"/>
                <w:sz w:val="20"/>
                <w:szCs w:val="20"/>
              </w:rPr>
              <w:t>Apparent Digestive Coefficient (ADC) %</w:t>
            </w:r>
          </w:p>
        </w:tc>
        <w:tc>
          <w:tcPr>
            <w:tcW w:w="2553" w:type="dxa"/>
            <w:gridSpan w:val="3"/>
            <w:tcBorders>
              <w:top w:val="single" w:sz="12" w:space="0" w:color="auto"/>
              <w:bottom w:val="single" w:sz="12" w:space="0" w:color="auto"/>
            </w:tcBorders>
            <w:vAlign w:val="center"/>
          </w:tcPr>
          <w:p w14:paraId="564088EC"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sz w:val="20"/>
                <w:szCs w:val="20"/>
              </w:rPr>
              <w:t>Diets</w:t>
            </w:r>
          </w:p>
        </w:tc>
        <w:tc>
          <w:tcPr>
            <w:tcW w:w="850" w:type="dxa"/>
            <w:vMerge w:val="restart"/>
            <w:tcBorders>
              <w:top w:val="single" w:sz="12" w:space="0" w:color="auto"/>
              <w:right w:val="single" w:sz="4" w:space="0" w:color="auto"/>
            </w:tcBorders>
            <w:vAlign w:val="center"/>
          </w:tcPr>
          <w:p w14:paraId="04D19982"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SEM</w:t>
            </w:r>
          </w:p>
        </w:tc>
        <w:tc>
          <w:tcPr>
            <w:tcW w:w="2126" w:type="dxa"/>
            <w:gridSpan w:val="2"/>
            <w:tcBorders>
              <w:top w:val="single" w:sz="12" w:space="0" w:color="auto"/>
              <w:left w:val="single" w:sz="4" w:space="0" w:color="auto"/>
              <w:bottom w:val="single" w:sz="12" w:space="0" w:color="auto"/>
              <w:right w:val="nil"/>
            </w:tcBorders>
            <w:vAlign w:val="center"/>
          </w:tcPr>
          <w:p w14:paraId="77FAC68C"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20"/>
                <w:szCs w:val="20"/>
              </w:rPr>
            </w:pPr>
            <w:r w:rsidRPr="00682CC1">
              <w:rPr>
                <w:rFonts w:ascii="Arial" w:hAnsi="Arial" w:cs="Arial"/>
                <w:bCs w:val="0"/>
                <w:sz w:val="20"/>
                <w:szCs w:val="20"/>
              </w:rPr>
              <w:t>Stages</w:t>
            </w:r>
          </w:p>
        </w:tc>
        <w:tc>
          <w:tcPr>
            <w:tcW w:w="851" w:type="dxa"/>
            <w:vMerge w:val="restart"/>
            <w:tcBorders>
              <w:top w:val="single" w:sz="12" w:space="0" w:color="auto"/>
              <w:left w:val="nil"/>
              <w:right w:val="single" w:sz="12" w:space="0" w:color="auto"/>
            </w:tcBorders>
            <w:vAlign w:val="center"/>
          </w:tcPr>
          <w:p w14:paraId="6A9FDD25"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SEM</w:t>
            </w:r>
          </w:p>
        </w:tc>
        <w:tc>
          <w:tcPr>
            <w:tcW w:w="2977" w:type="dxa"/>
            <w:gridSpan w:val="3"/>
            <w:tcBorders>
              <w:top w:val="single" w:sz="12" w:space="0" w:color="auto"/>
              <w:left w:val="single" w:sz="12" w:space="0" w:color="auto"/>
              <w:bottom w:val="single" w:sz="12" w:space="0" w:color="auto"/>
            </w:tcBorders>
            <w:vAlign w:val="center"/>
          </w:tcPr>
          <w:p w14:paraId="11F3D10D"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P</w:t>
            </w:r>
          </w:p>
        </w:tc>
      </w:tr>
      <w:tr w:rsidR="003E7E49" w:rsidRPr="00682CC1" w14:paraId="6C19DB99" w14:textId="77777777" w:rsidTr="00863509">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275" w:type="dxa"/>
            <w:vMerge/>
            <w:tcBorders>
              <w:bottom w:val="single" w:sz="12" w:space="0" w:color="auto"/>
            </w:tcBorders>
            <w:vAlign w:val="center"/>
          </w:tcPr>
          <w:p w14:paraId="252B78AD" w14:textId="77777777" w:rsidR="003E7E49" w:rsidRPr="00682CC1" w:rsidRDefault="003E7E49" w:rsidP="00863509">
            <w:pPr>
              <w:jc w:val="center"/>
              <w:rPr>
                <w:rFonts w:ascii="Arial" w:hAnsi="Arial" w:cs="Arial"/>
                <w:bCs w:val="0"/>
                <w:sz w:val="20"/>
                <w:szCs w:val="20"/>
              </w:rPr>
            </w:pPr>
          </w:p>
        </w:tc>
        <w:tc>
          <w:tcPr>
            <w:tcW w:w="852" w:type="dxa"/>
            <w:tcBorders>
              <w:top w:val="single" w:sz="12" w:space="0" w:color="auto"/>
              <w:bottom w:val="single" w:sz="12" w:space="0" w:color="auto"/>
            </w:tcBorders>
            <w:vAlign w:val="center"/>
          </w:tcPr>
          <w:p w14:paraId="0FC14118"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ADF17</w:t>
            </w:r>
          </w:p>
        </w:tc>
        <w:tc>
          <w:tcPr>
            <w:tcW w:w="850" w:type="dxa"/>
            <w:tcBorders>
              <w:top w:val="single" w:sz="12" w:space="0" w:color="auto"/>
              <w:bottom w:val="single" w:sz="12" w:space="0" w:color="auto"/>
            </w:tcBorders>
            <w:vAlign w:val="center"/>
          </w:tcPr>
          <w:p w14:paraId="03EAEAB2"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ADF19</w:t>
            </w:r>
          </w:p>
        </w:tc>
        <w:tc>
          <w:tcPr>
            <w:tcW w:w="851" w:type="dxa"/>
            <w:tcBorders>
              <w:top w:val="single" w:sz="12" w:space="0" w:color="auto"/>
              <w:bottom w:val="single" w:sz="12" w:space="0" w:color="auto"/>
            </w:tcBorders>
            <w:vAlign w:val="center"/>
          </w:tcPr>
          <w:p w14:paraId="663A723F"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ADF21</w:t>
            </w:r>
          </w:p>
        </w:tc>
        <w:tc>
          <w:tcPr>
            <w:tcW w:w="850" w:type="dxa"/>
            <w:vMerge/>
            <w:tcBorders>
              <w:bottom w:val="single" w:sz="12" w:space="0" w:color="auto"/>
              <w:right w:val="single" w:sz="4" w:space="0" w:color="auto"/>
            </w:tcBorders>
            <w:vAlign w:val="center"/>
          </w:tcPr>
          <w:p w14:paraId="6B3DD4F1"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p>
        </w:tc>
        <w:tc>
          <w:tcPr>
            <w:tcW w:w="992" w:type="dxa"/>
            <w:tcBorders>
              <w:top w:val="single" w:sz="12" w:space="0" w:color="auto"/>
              <w:left w:val="single" w:sz="4" w:space="0" w:color="auto"/>
              <w:bottom w:val="single" w:sz="12" w:space="0" w:color="auto"/>
            </w:tcBorders>
            <w:vAlign w:val="center"/>
          </w:tcPr>
          <w:p w14:paraId="3E1F1DA2"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Growth</w:t>
            </w:r>
          </w:p>
        </w:tc>
        <w:tc>
          <w:tcPr>
            <w:tcW w:w="1134" w:type="dxa"/>
            <w:tcBorders>
              <w:top w:val="single" w:sz="12" w:space="0" w:color="auto"/>
              <w:bottom w:val="single" w:sz="12" w:space="0" w:color="auto"/>
              <w:right w:val="nil"/>
            </w:tcBorders>
            <w:vAlign w:val="center"/>
          </w:tcPr>
          <w:p w14:paraId="4AC0A1E6"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Fattening</w:t>
            </w:r>
          </w:p>
        </w:tc>
        <w:tc>
          <w:tcPr>
            <w:tcW w:w="851" w:type="dxa"/>
            <w:vMerge/>
            <w:tcBorders>
              <w:left w:val="nil"/>
              <w:bottom w:val="single" w:sz="12" w:space="0" w:color="auto"/>
              <w:right w:val="single" w:sz="12" w:space="0" w:color="auto"/>
            </w:tcBorders>
            <w:vAlign w:val="center"/>
          </w:tcPr>
          <w:p w14:paraId="5B0FCA6C"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p>
        </w:tc>
        <w:tc>
          <w:tcPr>
            <w:tcW w:w="1276" w:type="dxa"/>
            <w:tcBorders>
              <w:top w:val="single" w:sz="12" w:space="0" w:color="auto"/>
              <w:left w:val="single" w:sz="12" w:space="0" w:color="auto"/>
              <w:bottom w:val="single" w:sz="12" w:space="0" w:color="auto"/>
            </w:tcBorders>
            <w:vAlign w:val="center"/>
          </w:tcPr>
          <w:p w14:paraId="07D57139"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Diet</w:t>
            </w:r>
          </w:p>
        </w:tc>
        <w:tc>
          <w:tcPr>
            <w:tcW w:w="850" w:type="dxa"/>
            <w:tcBorders>
              <w:top w:val="single" w:sz="12" w:space="0" w:color="auto"/>
              <w:bottom w:val="single" w:sz="12" w:space="0" w:color="auto"/>
            </w:tcBorders>
            <w:vAlign w:val="center"/>
          </w:tcPr>
          <w:p w14:paraId="22653EF9"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Stage</w:t>
            </w:r>
          </w:p>
        </w:tc>
        <w:tc>
          <w:tcPr>
            <w:tcW w:w="851" w:type="dxa"/>
            <w:tcBorders>
              <w:top w:val="single" w:sz="12" w:space="0" w:color="auto"/>
              <w:bottom w:val="single" w:sz="12" w:space="0" w:color="auto"/>
            </w:tcBorders>
            <w:vAlign w:val="center"/>
          </w:tcPr>
          <w:p w14:paraId="212D90D4"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Diet x Stage</w:t>
            </w:r>
          </w:p>
        </w:tc>
      </w:tr>
      <w:tr w:rsidR="003E7E49" w:rsidRPr="00682CC1" w14:paraId="70049519" w14:textId="77777777" w:rsidTr="003E7E49">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370A5A78"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Dry Matter</w:t>
            </w:r>
          </w:p>
        </w:tc>
        <w:tc>
          <w:tcPr>
            <w:tcW w:w="852" w:type="dxa"/>
            <w:tcBorders>
              <w:top w:val="single" w:sz="12" w:space="0" w:color="auto"/>
              <w:left w:val="nil"/>
              <w:bottom w:val="single" w:sz="12" w:space="0" w:color="auto"/>
              <w:right w:val="nil"/>
            </w:tcBorders>
            <w:vAlign w:val="center"/>
          </w:tcPr>
          <w:p w14:paraId="233D7800"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73.1</w:t>
            </w:r>
            <w:r w:rsidRPr="00682CC1">
              <w:rPr>
                <w:rFonts w:ascii="Arial" w:hAnsi="Arial" w:cs="Arial"/>
                <w:sz w:val="20"/>
                <w:szCs w:val="20"/>
                <w:vertAlign w:val="superscript"/>
              </w:rPr>
              <w:t xml:space="preserve">c </w:t>
            </w:r>
          </w:p>
        </w:tc>
        <w:tc>
          <w:tcPr>
            <w:tcW w:w="850" w:type="dxa"/>
            <w:tcBorders>
              <w:top w:val="single" w:sz="12" w:space="0" w:color="auto"/>
              <w:left w:val="nil"/>
              <w:bottom w:val="single" w:sz="12" w:space="0" w:color="auto"/>
              <w:right w:val="nil"/>
            </w:tcBorders>
            <w:vAlign w:val="center"/>
          </w:tcPr>
          <w:p w14:paraId="083159A4"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69.9</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1" w:type="dxa"/>
            <w:tcBorders>
              <w:top w:val="single" w:sz="12" w:space="0" w:color="auto"/>
              <w:left w:val="nil"/>
              <w:bottom w:val="single" w:sz="12" w:space="0" w:color="auto"/>
              <w:right w:val="nil"/>
            </w:tcBorders>
            <w:vAlign w:val="center"/>
          </w:tcPr>
          <w:p w14:paraId="6848A08C"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67.0</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45440F00"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0.9</w:t>
            </w:r>
          </w:p>
        </w:tc>
        <w:tc>
          <w:tcPr>
            <w:tcW w:w="992" w:type="dxa"/>
            <w:tcBorders>
              <w:top w:val="single" w:sz="12" w:space="0" w:color="auto"/>
              <w:left w:val="single" w:sz="4" w:space="0" w:color="auto"/>
              <w:bottom w:val="single" w:sz="12" w:space="0" w:color="auto"/>
              <w:right w:val="nil"/>
            </w:tcBorders>
            <w:vAlign w:val="center"/>
          </w:tcPr>
          <w:p w14:paraId="5F003B4E"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70.6</w:t>
            </w:r>
          </w:p>
        </w:tc>
        <w:tc>
          <w:tcPr>
            <w:tcW w:w="1134" w:type="dxa"/>
            <w:tcBorders>
              <w:top w:val="single" w:sz="12" w:space="0" w:color="auto"/>
              <w:left w:val="nil"/>
              <w:bottom w:val="single" w:sz="12" w:space="0" w:color="auto"/>
              <w:right w:val="nil"/>
            </w:tcBorders>
            <w:vAlign w:val="center"/>
          </w:tcPr>
          <w:p w14:paraId="26F0040B"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69.5</w:t>
            </w:r>
          </w:p>
        </w:tc>
        <w:tc>
          <w:tcPr>
            <w:tcW w:w="851" w:type="dxa"/>
            <w:tcBorders>
              <w:top w:val="single" w:sz="12" w:space="0" w:color="auto"/>
              <w:left w:val="nil"/>
              <w:bottom w:val="single" w:sz="12" w:space="0" w:color="auto"/>
              <w:right w:val="single" w:sz="12" w:space="0" w:color="auto"/>
            </w:tcBorders>
            <w:vAlign w:val="center"/>
          </w:tcPr>
          <w:p w14:paraId="60D7D244"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0.6</w:t>
            </w:r>
          </w:p>
        </w:tc>
        <w:tc>
          <w:tcPr>
            <w:tcW w:w="1276" w:type="dxa"/>
            <w:tcBorders>
              <w:top w:val="single" w:sz="12" w:space="0" w:color="auto"/>
              <w:left w:val="single" w:sz="12" w:space="0" w:color="auto"/>
              <w:bottom w:val="single" w:sz="12" w:space="0" w:color="auto"/>
            </w:tcBorders>
            <w:vAlign w:val="center"/>
          </w:tcPr>
          <w:p w14:paraId="52AA645A"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3.3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-6</w:t>
            </w:r>
          </w:p>
        </w:tc>
        <w:tc>
          <w:tcPr>
            <w:tcW w:w="850" w:type="dxa"/>
            <w:tcBorders>
              <w:top w:val="single" w:sz="12" w:space="0" w:color="auto"/>
              <w:left w:val="nil"/>
              <w:bottom w:val="single" w:sz="12" w:space="0" w:color="auto"/>
            </w:tcBorders>
            <w:vAlign w:val="center"/>
          </w:tcPr>
          <w:p w14:paraId="6DD8AEE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.3</w:t>
            </w:r>
            <w:r>
              <w:rPr>
                <w:rFonts w:ascii="Arial" w:hAnsi="Arial" w:cs="Arial"/>
                <w:i/>
                <w:sz w:val="20"/>
                <w:szCs w:val="20"/>
              </w:rPr>
              <w:t>8</w:t>
            </w:r>
          </w:p>
        </w:tc>
        <w:tc>
          <w:tcPr>
            <w:tcW w:w="851" w:type="dxa"/>
            <w:tcBorders>
              <w:top w:val="single" w:sz="12" w:space="0" w:color="auto"/>
              <w:left w:val="nil"/>
              <w:bottom w:val="single" w:sz="12" w:space="0" w:color="auto"/>
            </w:tcBorders>
            <w:vAlign w:val="center"/>
          </w:tcPr>
          <w:p w14:paraId="2CB9D3F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.11</w:t>
            </w:r>
          </w:p>
        </w:tc>
      </w:tr>
      <w:tr w:rsidR="003E7E49" w:rsidRPr="00682CC1" w14:paraId="7F4256EE" w14:textId="77777777" w:rsidTr="003E7E49">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7AD8C408"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lastRenderedPageBreak/>
              <w:t>Organic Matter</w:t>
            </w:r>
          </w:p>
        </w:tc>
        <w:tc>
          <w:tcPr>
            <w:tcW w:w="852" w:type="dxa"/>
            <w:tcBorders>
              <w:top w:val="single" w:sz="12" w:space="0" w:color="auto"/>
              <w:left w:val="nil"/>
              <w:bottom w:val="single" w:sz="12" w:space="0" w:color="auto"/>
              <w:right w:val="nil"/>
            </w:tcBorders>
            <w:vAlign w:val="center"/>
          </w:tcPr>
          <w:p w14:paraId="68E57318"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68.3</w:t>
            </w:r>
            <w:r w:rsidRPr="00682CC1">
              <w:rPr>
                <w:rFonts w:ascii="Arial" w:hAnsi="Arial" w:cs="Arial"/>
                <w:sz w:val="20"/>
                <w:szCs w:val="20"/>
                <w:vertAlign w:val="superscript"/>
              </w:rPr>
              <w:t>c</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nil"/>
            </w:tcBorders>
            <w:vAlign w:val="center"/>
          </w:tcPr>
          <w:p w14:paraId="457D5A3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64.6</w:t>
            </w:r>
            <w:r w:rsidRPr="00682CC1">
              <w:rPr>
                <w:rFonts w:ascii="Arial" w:eastAsia="Times New Roman" w:hAnsi="Arial" w:cs="Arial"/>
                <w:bCs/>
                <w:sz w:val="20"/>
                <w:szCs w:val="20"/>
                <w:vertAlign w:val="superscript"/>
                <w:lang w:eastAsia="fr-FR"/>
              </w:rPr>
              <w:t>b</w:t>
            </w:r>
          </w:p>
        </w:tc>
        <w:tc>
          <w:tcPr>
            <w:tcW w:w="851" w:type="dxa"/>
            <w:tcBorders>
              <w:top w:val="single" w:sz="12" w:space="0" w:color="auto"/>
              <w:left w:val="nil"/>
              <w:bottom w:val="single" w:sz="12" w:space="0" w:color="auto"/>
              <w:right w:val="nil"/>
            </w:tcBorders>
            <w:vAlign w:val="center"/>
          </w:tcPr>
          <w:p w14:paraId="74FB3C3B"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59.1</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6542A97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0.7</w:t>
            </w:r>
          </w:p>
        </w:tc>
        <w:tc>
          <w:tcPr>
            <w:tcW w:w="992" w:type="dxa"/>
            <w:tcBorders>
              <w:top w:val="single" w:sz="12" w:space="0" w:color="auto"/>
              <w:left w:val="single" w:sz="4" w:space="0" w:color="auto"/>
              <w:bottom w:val="single" w:sz="12" w:space="0" w:color="auto"/>
              <w:right w:val="nil"/>
            </w:tcBorders>
            <w:vAlign w:val="center"/>
          </w:tcPr>
          <w:p w14:paraId="496CABE0"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64.4</w:t>
            </w:r>
          </w:p>
        </w:tc>
        <w:tc>
          <w:tcPr>
            <w:tcW w:w="1134" w:type="dxa"/>
            <w:tcBorders>
              <w:top w:val="single" w:sz="12" w:space="0" w:color="auto"/>
              <w:left w:val="nil"/>
              <w:bottom w:val="single" w:sz="12" w:space="0" w:color="auto"/>
              <w:right w:val="nil"/>
            </w:tcBorders>
            <w:vAlign w:val="center"/>
          </w:tcPr>
          <w:p w14:paraId="690A8232"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63.6</w:t>
            </w:r>
          </w:p>
        </w:tc>
        <w:tc>
          <w:tcPr>
            <w:tcW w:w="851" w:type="dxa"/>
            <w:tcBorders>
              <w:top w:val="single" w:sz="12" w:space="0" w:color="auto"/>
              <w:left w:val="nil"/>
              <w:bottom w:val="single" w:sz="12" w:space="0" w:color="auto"/>
              <w:right w:val="single" w:sz="12" w:space="0" w:color="auto"/>
            </w:tcBorders>
            <w:vAlign w:val="center"/>
          </w:tcPr>
          <w:p w14:paraId="53319F7D"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0.4</w:t>
            </w:r>
          </w:p>
        </w:tc>
        <w:tc>
          <w:tcPr>
            <w:tcW w:w="1276" w:type="dxa"/>
            <w:tcBorders>
              <w:top w:val="single" w:sz="12" w:space="0" w:color="auto"/>
              <w:left w:val="single" w:sz="12" w:space="0" w:color="auto"/>
              <w:bottom w:val="single" w:sz="12" w:space="0" w:color="auto"/>
            </w:tcBorders>
            <w:vAlign w:val="center"/>
          </w:tcPr>
          <w:p w14:paraId="31C06AC2"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7.2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-12</w:t>
            </w:r>
          </w:p>
        </w:tc>
        <w:tc>
          <w:tcPr>
            <w:tcW w:w="850" w:type="dxa"/>
            <w:tcBorders>
              <w:top w:val="single" w:sz="12" w:space="0" w:color="auto"/>
              <w:left w:val="nil"/>
              <w:bottom w:val="single" w:sz="12" w:space="0" w:color="auto"/>
            </w:tcBorders>
            <w:vAlign w:val="center"/>
          </w:tcPr>
          <w:p w14:paraId="3DCC60FB"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w:t>
            </w:r>
            <w:r>
              <w:rPr>
                <w:rFonts w:ascii="Arial" w:hAnsi="Arial" w:cs="Arial"/>
                <w:i/>
                <w:sz w:val="20"/>
                <w:szCs w:val="20"/>
              </w:rPr>
              <w:t>60</w:t>
            </w:r>
          </w:p>
        </w:tc>
        <w:tc>
          <w:tcPr>
            <w:tcW w:w="851" w:type="dxa"/>
            <w:tcBorders>
              <w:top w:val="single" w:sz="12" w:space="0" w:color="auto"/>
              <w:left w:val="nil"/>
              <w:bottom w:val="single" w:sz="12" w:space="0" w:color="auto"/>
            </w:tcBorders>
            <w:vAlign w:val="center"/>
          </w:tcPr>
          <w:p w14:paraId="64B1421E"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w:t>
            </w:r>
            <w:r>
              <w:rPr>
                <w:rFonts w:ascii="Arial" w:hAnsi="Arial" w:cs="Arial"/>
                <w:i/>
                <w:sz w:val="20"/>
                <w:szCs w:val="20"/>
              </w:rPr>
              <w:t>10</w:t>
            </w:r>
          </w:p>
        </w:tc>
      </w:tr>
      <w:tr w:rsidR="003E7E49" w:rsidRPr="00682CC1" w14:paraId="710B7B2D" w14:textId="77777777" w:rsidTr="003E7E49">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2F0DE717"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Crude Protein</w:t>
            </w:r>
          </w:p>
        </w:tc>
        <w:tc>
          <w:tcPr>
            <w:tcW w:w="852" w:type="dxa"/>
            <w:tcBorders>
              <w:top w:val="single" w:sz="12" w:space="0" w:color="auto"/>
              <w:left w:val="nil"/>
              <w:bottom w:val="single" w:sz="12" w:space="0" w:color="auto"/>
              <w:right w:val="nil"/>
            </w:tcBorders>
            <w:vAlign w:val="center"/>
          </w:tcPr>
          <w:p w14:paraId="4367364C"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88.5</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nil"/>
            </w:tcBorders>
            <w:vAlign w:val="center"/>
          </w:tcPr>
          <w:p w14:paraId="699ACC63"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88.1</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1" w:type="dxa"/>
            <w:tcBorders>
              <w:top w:val="single" w:sz="12" w:space="0" w:color="auto"/>
              <w:left w:val="nil"/>
              <w:bottom w:val="single" w:sz="12" w:space="0" w:color="auto"/>
              <w:right w:val="nil"/>
            </w:tcBorders>
            <w:vAlign w:val="center"/>
          </w:tcPr>
          <w:p w14:paraId="729FD67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87</w:t>
            </w:r>
            <w:r w:rsidRPr="00682CC1">
              <w:rPr>
                <w:rFonts w:ascii="Arial" w:eastAsia="Times New Roman" w:hAnsi="Arial" w:cs="Arial"/>
                <w:bCs/>
                <w:sz w:val="20"/>
                <w:szCs w:val="20"/>
                <w:vertAlign w:val="superscript"/>
                <w:lang w:eastAsia="fr-FR"/>
              </w:rPr>
              <w:t>a</w:t>
            </w:r>
          </w:p>
        </w:tc>
        <w:tc>
          <w:tcPr>
            <w:tcW w:w="850" w:type="dxa"/>
            <w:tcBorders>
              <w:top w:val="single" w:sz="12" w:space="0" w:color="auto"/>
              <w:left w:val="nil"/>
              <w:bottom w:val="single" w:sz="12" w:space="0" w:color="auto"/>
              <w:right w:val="single" w:sz="4" w:space="0" w:color="auto"/>
            </w:tcBorders>
            <w:vAlign w:val="center"/>
          </w:tcPr>
          <w:p w14:paraId="78F29D24"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0.4</w:t>
            </w:r>
          </w:p>
        </w:tc>
        <w:tc>
          <w:tcPr>
            <w:tcW w:w="992" w:type="dxa"/>
            <w:tcBorders>
              <w:top w:val="single" w:sz="12" w:space="0" w:color="auto"/>
              <w:left w:val="single" w:sz="4" w:space="0" w:color="auto"/>
              <w:bottom w:val="single" w:sz="12" w:space="0" w:color="auto"/>
              <w:right w:val="nil"/>
            </w:tcBorders>
            <w:vAlign w:val="center"/>
          </w:tcPr>
          <w:p w14:paraId="0E836418"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88.2</w:t>
            </w:r>
          </w:p>
        </w:tc>
        <w:tc>
          <w:tcPr>
            <w:tcW w:w="1134" w:type="dxa"/>
            <w:tcBorders>
              <w:top w:val="single" w:sz="12" w:space="0" w:color="auto"/>
              <w:left w:val="nil"/>
              <w:bottom w:val="single" w:sz="12" w:space="0" w:color="auto"/>
              <w:right w:val="nil"/>
            </w:tcBorders>
            <w:vAlign w:val="center"/>
          </w:tcPr>
          <w:p w14:paraId="61A3A37D"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87.6</w:t>
            </w:r>
          </w:p>
        </w:tc>
        <w:tc>
          <w:tcPr>
            <w:tcW w:w="851" w:type="dxa"/>
            <w:tcBorders>
              <w:top w:val="single" w:sz="12" w:space="0" w:color="auto"/>
              <w:left w:val="nil"/>
              <w:bottom w:val="single" w:sz="12" w:space="0" w:color="auto"/>
              <w:right w:val="single" w:sz="12" w:space="0" w:color="auto"/>
            </w:tcBorders>
            <w:vAlign w:val="center"/>
          </w:tcPr>
          <w:p w14:paraId="5DC3EA25"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sidRPr="00682CC1">
              <w:rPr>
                <w:rFonts w:ascii="Arial" w:hAnsi="Arial" w:cs="Arial"/>
                <w:iCs/>
                <w:sz w:val="20"/>
                <w:szCs w:val="20"/>
              </w:rPr>
              <w:t>0.3</w:t>
            </w:r>
          </w:p>
        </w:tc>
        <w:tc>
          <w:tcPr>
            <w:tcW w:w="1276" w:type="dxa"/>
            <w:tcBorders>
              <w:top w:val="single" w:sz="12" w:space="0" w:color="auto"/>
              <w:left w:val="single" w:sz="12" w:space="0" w:color="auto"/>
              <w:bottom w:val="single" w:sz="12" w:space="0" w:color="auto"/>
            </w:tcBorders>
            <w:vAlign w:val="center"/>
          </w:tcPr>
          <w:p w14:paraId="3FFA7152"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0.001</w:t>
            </w:r>
          </w:p>
        </w:tc>
        <w:tc>
          <w:tcPr>
            <w:tcW w:w="850" w:type="dxa"/>
            <w:tcBorders>
              <w:top w:val="single" w:sz="12" w:space="0" w:color="auto"/>
              <w:left w:val="nil"/>
              <w:bottom w:val="single" w:sz="12" w:space="0" w:color="auto"/>
            </w:tcBorders>
            <w:vAlign w:val="center"/>
          </w:tcPr>
          <w:p w14:paraId="05DA358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.08</w:t>
            </w:r>
          </w:p>
        </w:tc>
        <w:tc>
          <w:tcPr>
            <w:tcW w:w="851" w:type="dxa"/>
            <w:tcBorders>
              <w:top w:val="single" w:sz="12" w:space="0" w:color="auto"/>
              <w:left w:val="nil"/>
              <w:bottom w:val="single" w:sz="12" w:space="0" w:color="auto"/>
            </w:tcBorders>
            <w:vAlign w:val="center"/>
          </w:tcPr>
          <w:p w14:paraId="1F4339C2"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.54</w:t>
            </w:r>
          </w:p>
        </w:tc>
      </w:tr>
      <w:tr w:rsidR="003E7E49" w:rsidRPr="00682CC1" w14:paraId="67B5863A" w14:textId="77777777" w:rsidTr="00E07E07">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608153EC"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 xml:space="preserve">Acid Detergent </w:t>
            </w:r>
            <w:proofErr w:type="spellStart"/>
            <w:r w:rsidRPr="00682CC1">
              <w:rPr>
                <w:rFonts w:ascii="Arial" w:hAnsi="Arial" w:cs="Arial"/>
                <w:b w:val="0"/>
                <w:sz w:val="20"/>
                <w:szCs w:val="20"/>
                <w:lang w:val="en-US"/>
              </w:rPr>
              <w:t>Fibre</w:t>
            </w:r>
            <w:proofErr w:type="spellEnd"/>
          </w:p>
        </w:tc>
        <w:tc>
          <w:tcPr>
            <w:tcW w:w="852" w:type="dxa"/>
            <w:tcBorders>
              <w:top w:val="single" w:sz="12" w:space="0" w:color="auto"/>
              <w:left w:val="nil"/>
              <w:bottom w:val="single" w:sz="12" w:space="0" w:color="auto"/>
              <w:right w:val="nil"/>
            </w:tcBorders>
            <w:vAlign w:val="center"/>
          </w:tcPr>
          <w:p w14:paraId="5C7D7833"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32.1</w:t>
            </w:r>
            <w:r w:rsidRPr="00682CC1">
              <w:rPr>
                <w:rFonts w:ascii="Arial" w:eastAsia="Times New Roman" w:hAnsi="Arial" w:cs="Arial"/>
                <w:bCs/>
                <w:sz w:val="20"/>
                <w:szCs w:val="20"/>
                <w:vertAlign w:val="superscript"/>
                <w:lang w:eastAsia="fr-FR"/>
              </w:rPr>
              <w:t>b</w:t>
            </w:r>
          </w:p>
        </w:tc>
        <w:tc>
          <w:tcPr>
            <w:tcW w:w="850" w:type="dxa"/>
            <w:tcBorders>
              <w:top w:val="single" w:sz="12" w:space="0" w:color="auto"/>
              <w:left w:val="nil"/>
              <w:bottom w:val="single" w:sz="12" w:space="0" w:color="auto"/>
              <w:right w:val="nil"/>
            </w:tcBorders>
            <w:vAlign w:val="center"/>
          </w:tcPr>
          <w:p w14:paraId="547912D8"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31.5</w:t>
            </w:r>
            <w:r w:rsidRPr="00682CC1">
              <w:rPr>
                <w:rFonts w:ascii="Arial" w:eastAsia="Times New Roman" w:hAnsi="Arial" w:cs="Arial"/>
                <w:bCs/>
                <w:sz w:val="20"/>
                <w:szCs w:val="20"/>
                <w:vertAlign w:val="superscript"/>
                <w:lang w:eastAsia="fr-FR"/>
              </w:rPr>
              <w:t>b</w:t>
            </w:r>
          </w:p>
        </w:tc>
        <w:tc>
          <w:tcPr>
            <w:tcW w:w="851" w:type="dxa"/>
            <w:tcBorders>
              <w:top w:val="single" w:sz="12" w:space="0" w:color="auto"/>
              <w:left w:val="nil"/>
              <w:bottom w:val="single" w:sz="12" w:space="0" w:color="auto"/>
              <w:right w:val="nil"/>
            </w:tcBorders>
            <w:vAlign w:val="center"/>
          </w:tcPr>
          <w:p w14:paraId="43D4CBE6"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29.1</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559F11D1"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0.3</w:t>
            </w:r>
          </w:p>
        </w:tc>
        <w:tc>
          <w:tcPr>
            <w:tcW w:w="992" w:type="dxa"/>
            <w:tcBorders>
              <w:top w:val="single" w:sz="12" w:space="0" w:color="auto"/>
              <w:left w:val="single" w:sz="4" w:space="0" w:color="auto"/>
              <w:bottom w:val="single" w:sz="12" w:space="0" w:color="auto"/>
              <w:right w:val="nil"/>
            </w:tcBorders>
            <w:vAlign w:val="center"/>
          </w:tcPr>
          <w:p w14:paraId="527B61E8"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30.9</w:t>
            </w:r>
          </w:p>
        </w:tc>
        <w:tc>
          <w:tcPr>
            <w:tcW w:w="1134" w:type="dxa"/>
            <w:tcBorders>
              <w:top w:val="single" w:sz="12" w:space="0" w:color="auto"/>
              <w:left w:val="nil"/>
              <w:bottom w:val="single" w:sz="12" w:space="0" w:color="auto"/>
              <w:right w:val="nil"/>
            </w:tcBorders>
            <w:vAlign w:val="center"/>
          </w:tcPr>
          <w:p w14:paraId="6267D918"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31.0</w:t>
            </w:r>
          </w:p>
        </w:tc>
        <w:tc>
          <w:tcPr>
            <w:tcW w:w="851" w:type="dxa"/>
            <w:tcBorders>
              <w:top w:val="single" w:sz="12" w:space="0" w:color="auto"/>
              <w:left w:val="nil"/>
              <w:bottom w:val="single" w:sz="12" w:space="0" w:color="auto"/>
              <w:right w:val="single" w:sz="12" w:space="0" w:color="auto"/>
            </w:tcBorders>
            <w:vAlign w:val="center"/>
          </w:tcPr>
          <w:p w14:paraId="4500696D"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0.1</w:t>
            </w:r>
          </w:p>
        </w:tc>
        <w:tc>
          <w:tcPr>
            <w:tcW w:w="1276" w:type="dxa"/>
            <w:tcBorders>
              <w:top w:val="single" w:sz="12" w:space="0" w:color="auto"/>
              <w:left w:val="single" w:sz="12" w:space="0" w:color="auto"/>
              <w:bottom w:val="single" w:sz="12" w:space="0" w:color="auto"/>
            </w:tcBorders>
            <w:vAlign w:val="center"/>
          </w:tcPr>
          <w:p w14:paraId="3BD9502B"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2.8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-9</w:t>
            </w:r>
          </w:p>
        </w:tc>
        <w:tc>
          <w:tcPr>
            <w:tcW w:w="850" w:type="dxa"/>
            <w:tcBorders>
              <w:top w:val="single" w:sz="12" w:space="0" w:color="auto"/>
              <w:left w:val="nil"/>
              <w:bottom w:val="single" w:sz="12" w:space="0" w:color="auto"/>
            </w:tcBorders>
            <w:vAlign w:val="center"/>
          </w:tcPr>
          <w:p w14:paraId="1AE545BC"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.96</w:t>
            </w:r>
          </w:p>
        </w:tc>
        <w:tc>
          <w:tcPr>
            <w:tcW w:w="851" w:type="dxa"/>
            <w:tcBorders>
              <w:top w:val="single" w:sz="12" w:space="0" w:color="auto"/>
              <w:left w:val="nil"/>
              <w:bottom w:val="single" w:sz="12" w:space="0" w:color="auto"/>
            </w:tcBorders>
            <w:vAlign w:val="center"/>
          </w:tcPr>
          <w:p w14:paraId="68B0F50B"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.89</w:t>
            </w:r>
          </w:p>
        </w:tc>
      </w:tr>
    </w:tbl>
    <w:p w14:paraId="39EB5A1A" w14:textId="77777777" w:rsidR="003E7E49" w:rsidRPr="003E7E49" w:rsidRDefault="003E7E49" w:rsidP="003E7E49">
      <w:pPr>
        <w:ind w:left="624" w:hanging="624"/>
        <w:rPr>
          <w:rFonts w:ascii="Arial" w:hAnsi="Arial" w:cs="Arial"/>
          <w:bCs/>
          <w:color w:val="000000" w:themeColor="text1"/>
          <w:sz w:val="18"/>
          <w:szCs w:val="18"/>
        </w:rPr>
      </w:pPr>
      <w:r w:rsidRPr="00682CC1">
        <w:rPr>
          <w:rFonts w:ascii="Arial" w:hAnsi="Arial" w:cs="Arial"/>
          <w:bCs/>
          <w:color w:val="000000" w:themeColor="text1"/>
          <w:sz w:val="18"/>
          <w:szCs w:val="18"/>
        </w:rPr>
        <w:t xml:space="preserve">Note: </w:t>
      </w:r>
      <w:r w:rsidRPr="00682CC1">
        <w:rPr>
          <w:rFonts w:ascii="Arial" w:hAnsi="Arial" w:cs="Arial"/>
          <w:color w:val="000000" w:themeColor="text1"/>
          <w:sz w:val="18"/>
          <w:szCs w:val="18"/>
        </w:rPr>
        <w:t xml:space="preserve">SEM: Standard error of the mean; </w:t>
      </w:r>
    </w:p>
    <w:p w14:paraId="14EC7B07" w14:textId="77777777" w:rsidR="0096124F" w:rsidRPr="003E7E49" w:rsidRDefault="003E7E49" w:rsidP="003E7E49">
      <w:pPr>
        <w:ind w:firstLine="624"/>
        <w:rPr>
          <w:rFonts w:ascii="Arial" w:hAnsi="Arial" w:cs="Arial"/>
          <w:sz w:val="18"/>
          <w:szCs w:val="18"/>
        </w:rPr>
      </w:pPr>
      <w:r w:rsidRPr="00682CC1">
        <w:rPr>
          <w:rFonts w:ascii="Arial" w:hAnsi="Arial" w:cs="Arial"/>
          <w:b/>
          <w:sz w:val="18"/>
          <w:szCs w:val="18"/>
          <w:vertAlign w:val="superscript"/>
        </w:rPr>
        <w:t>a, b, c</w:t>
      </w:r>
      <w:r w:rsidRPr="00682CC1">
        <w:rPr>
          <w:rFonts w:ascii="Arial" w:hAnsi="Arial" w:cs="Arial"/>
          <w:b/>
          <w:sz w:val="18"/>
          <w:szCs w:val="18"/>
        </w:rPr>
        <w:t xml:space="preserve">: </w:t>
      </w:r>
      <w:r w:rsidRPr="00682CC1">
        <w:rPr>
          <w:rFonts w:ascii="Arial" w:hAnsi="Arial" w:cs="Arial"/>
          <w:sz w:val="18"/>
          <w:szCs w:val="18"/>
        </w:rPr>
        <w:t>for a given factor, the values of a line having different superscript letters are different at the 5% threshold</w:t>
      </w:r>
    </w:p>
    <w:p w14:paraId="4F387E61" w14:textId="77777777" w:rsidR="00DB72BE" w:rsidRPr="00DB72BE" w:rsidRDefault="00DB72BE" w:rsidP="00DB72BE">
      <w:pPr>
        <w:jc w:val="both"/>
        <w:rPr>
          <w:rFonts w:ascii="Arial" w:hAnsi="Arial" w:cs="Arial"/>
        </w:rPr>
      </w:pPr>
    </w:p>
    <w:p w14:paraId="455529FA" w14:textId="77777777" w:rsidR="00DB72BE" w:rsidRPr="00DB72BE" w:rsidRDefault="00DB72BE" w:rsidP="00DB72BE">
      <w:pPr>
        <w:jc w:val="both"/>
        <w:rPr>
          <w:rFonts w:ascii="Arial" w:hAnsi="Arial" w:cs="Arial"/>
          <w:b/>
          <w:u w:val="single"/>
        </w:rPr>
      </w:pPr>
      <w:r w:rsidRPr="00DB72BE">
        <w:rPr>
          <w:rFonts w:ascii="Arial" w:hAnsi="Arial" w:cs="Arial"/>
          <w:b/>
          <w:u w:val="single"/>
        </w:rPr>
        <w:t xml:space="preserve">3.1.5. Effect of Dietary </w:t>
      </w:r>
      <w:proofErr w:type="spellStart"/>
      <w:r w:rsidRPr="00DB72BE">
        <w:rPr>
          <w:rFonts w:ascii="Arial" w:hAnsi="Arial" w:cs="Arial"/>
          <w:b/>
          <w:u w:val="single"/>
        </w:rPr>
        <w:t>Fibre</w:t>
      </w:r>
      <w:proofErr w:type="spellEnd"/>
      <w:r w:rsidRPr="00DB72BE">
        <w:rPr>
          <w:rFonts w:ascii="Arial" w:hAnsi="Arial" w:cs="Arial"/>
          <w:b/>
          <w:u w:val="single"/>
        </w:rPr>
        <w:t xml:space="preserve"> Level on Carcass Parameters</w:t>
      </w:r>
    </w:p>
    <w:p w14:paraId="6F383462" w14:textId="77777777" w:rsidR="00DB72BE" w:rsidRDefault="00DB72BE" w:rsidP="0096124F">
      <w:pPr>
        <w:jc w:val="both"/>
        <w:rPr>
          <w:rFonts w:ascii="Arial" w:hAnsi="Arial" w:cs="Arial"/>
        </w:rPr>
      </w:pPr>
      <w:r w:rsidRPr="00DB72BE">
        <w:rPr>
          <w:rFonts w:ascii="Arial" w:hAnsi="Arial" w:cs="Arial"/>
        </w:rPr>
        <w:t>Table 5 presents the data on the carcass yield variables. With the exception of a few parameters, animals fed diets containing 17 and 19% ADF recorded the best carcass yield variables compared to the ADF21 diet. Thus, for these two batches, the live weight, the weight of the hot carcass, the cold carcass, the commercial carcass, the liver, the front, the saddle and the rear were on average 2,412 g, 1503 g, 1491 g, 1404 g, 32.15 g, 376 g, 253 g and 562 g, respectively. The same applies to the raw carcass yield (62.28%), the cold carcass yield (61.77%), the commercial carcass yield (58.14%), the edible fraction yield (27.40%) and the percentage of hind limb meat (75.03%). However, the yield of the full digestive tract was higher in animals fed the most fibrous diet (ADF21).</w:t>
      </w:r>
    </w:p>
    <w:p w14:paraId="5A3E8843" w14:textId="77777777" w:rsidR="0096124F" w:rsidRDefault="0096124F" w:rsidP="0096124F">
      <w:pPr>
        <w:jc w:val="both"/>
        <w:rPr>
          <w:rFonts w:ascii="Arial" w:hAnsi="Arial" w:cs="Arial"/>
        </w:rPr>
      </w:pPr>
    </w:p>
    <w:p w14:paraId="2BFE6B80" w14:textId="77777777" w:rsidR="009678C2" w:rsidRPr="00682CC1" w:rsidRDefault="009678C2" w:rsidP="009678C2">
      <w:pPr>
        <w:pStyle w:val="Caption"/>
        <w:keepNext/>
        <w:spacing w:after="0"/>
        <w:rPr>
          <w:rFonts w:ascii="Arial" w:hAnsi="Arial" w:cs="Arial"/>
          <w:b/>
          <w:i w:val="0"/>
          <w:color w:val="000000" w:themeColor="text1"/>
          <w:sz w:val="20"/>
          <w:szCs w:val="20"/>
        </w:rPr>
      </w:pPr>
      <w:r w:rsidRPr="00682CC1">
        <w:rPr>
          <w:rFonts w:ascii="Arial" w:hAnsi="Arial" w:cs="Arial"/>
          <w:b/>
          <w:i w:val="0"/>
          <w:color w:val="000000" w:themeColor="text1"/>
          <w:sz w:val="20"/>
          <w:szCs w:val="20"/>
        </w:rPr>
        <w:t>Table 5. Carcass yield variables</w:t>
      </w:r>
    </w:p>
    <w:p w14:paraId="5A6EDC53" w14:textId="77777777" w:rsidR="009678C2" w:rsidRPr="00682CC1" w:rsidRDefault="009678C2" w:rsidP="009678C2"/>
    <w:tbl>
      <w:tblPr>
        <w:tblStyle w:val="GridTable4"/>
        <w:tblW w:w="7938" w:type="dxa"/>
        <w:jc w:val="center"/>
        <w:tblLook w:val="0600" w:firstRow="0" w:lastRow="0" w:firstColumn="0" w:lastColumn="0" w:noHBand="1" w:noVBand="1"/>
      </w:tblPr>
      <w:tblGrid>
        <w:gridCol w:w="2986"/>
        <w:gridCol w:w="980"/>
        <w:gridCol w:w="1134"/>
        <w:gridCol w:w="992"/>
        <w:gridCol w:w="717"/>
        <w:gridCol w:w="1129"/>
      </w:tblGrid>
      <w:tr w:rsidR="009678C2" w:rsidRPr="00682CC1" w14:paraId="4955994D" w14:textId="77777777" w:rsidTr="00E07E07">
        <w:trPr>
          <w:trHeight w:val="210"/>
          <w:jc w:val="center"/>
        </w:trPr>
        <w:tc>
          <w:tcPr>
            <w:tcW w:w="2986" w:type="dxa"/>
            <w:vMerge w:val="restart"/>
            <w:tcBorders>
              <w:top w:val="single" w:sz="12" w:space="0" w:color="auto"/>
              <w:left w:val="nil"/>
            </w:tcBorders>
            <w:vAlign w:val="center"/>
            <w:hideMark/>
          </w:tcPr>
          <w:p w14:paraId="6A073949" w14:textId="77777777" w:rsidR="009678C2" w:rsidRPr="00682CC1" w:rsidRDefault="009678C2" w:rsidP="00863509">
            <w:pPr>
              <w:jc w:val="center"/>
              <w:rPr>
                <w:rFonts w:ascii="Arial" w:hAnsi="Arial" w:cs="Arial"/>
                <w:b/>
                <w:bCs/>
                <w:color w:val="000000" w:themeColor="text1"/>
                <w:sz w:val="20"/>
                <w:szCs w:val="20"/>
              </w:rPr>
            </w:pPr>
            <w:proofErr w:type="spellStart"/>
            <w:r w:rsidRPr="00682CC1">
              <w:rPr>
                <w:rFonts w:ascii="Arial" w:hAnsi="Arial" w:cs="Arial"/>
                <w:b/>
                <w:bCs/>
                <w:color w:val="000000" w:themeColor="text1"/>
                <w:sz w:val="20"/>
                <w:szCs w:val="20"/>
              </w:rPr>
              <w:t>Carcass</w:t>
            </w:r>
            <w:proofErr w:type="spellEnd"/>
            <w:r w:rsidRPr="00682CC1">
              <w:rPr>
                <w:rFonts w:ascii="Arial" w:hAnsi="Arial" w:cs="Arial"/>
                <w:b/>
                <w:bCs/>
                <w:color w:val="000000" w:themeColor="text1"/>
                <w:sz w:val="20"/>
                <w:szCs w:val="20"/>
              </w:rPr>
              <w:t xml:space="preserve"> </w:t>
            </w:r>
            <w:proofErr w:type="spellStart"/>
            <w:r w:rsidRPr="00682CC1">
              <w:rPr>
                <w:rFonts w:ascii="Arial" w:hAnsi="Arial" w:cs="Arial"/>
                <w:b/>
                <w:bCs/>
                <w:color w:val="000000" w:themeColor="text1"/>
                <w:sz w:val="20"/>
                <w:szCs w:val="20"/>
              </w:rPr>
              <w:t>parameters</w:t>
            </w:r>
            <w:proofErr w:type="spellEnd"/>
          </w:p>
        </w:tc>
        <w:tc>
          <w:tcPr>
            <w:tcW w:w="3106" w:type="dxa"/>
            <w:gridSpan w:val="3"/>
            <w:tcBorders>
              <w:top w:val="single" w:sz="12" w:space="0" w:color="auto"/>
            </w:tcBorders>
            <w:vAlign w:val="center"/>
            <w:hideMark/>
          </w:tcPr>
          <w:p w14:paraId="322D9D42"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bCs/>
                <w:color w:val="000000" w:themeColor="text1"/>
                <w:sz w:val="20"/>
                <w:szCs w:val="20"/>
              </w:rPr>
              <w:t>Diets</w:t>
            </w:r>
          </w:p>
        </w:tc>
        <w:tc>
          <w:tcPr>
            <w:tcW w:w="717" w:type="dxa"/>
            <w:vMerge w:val="restart"/>
            <w:tcBorders>
              <w:top w:val="single" w:sz="12" w:space="0" w:color="auto"/>
            </w:tcBorders>
            <w:vAlign w:val="center"/>
          </w:tcPr>
          <w:p w14:paraId="1AF6AA7F" w14:textId="77777777" w:rsidR="009678C2" w:rsidRPr="00682CC1" w:rsidRDefault="009678C2" w:rsidP="00863509">
            <w:pPr>
              <w:jc w:val="center"/>
              <w:rPr>
                <w:rFonts w:ascii="Arial" w:hAnsi="Arial" w:cs="Arial"/>
                <w:b/>
                <w:bCs/>
                <w:i/>
                <w:color w:val="000000" w:themeColor="text1"/>
                <w:sz w:val="20"/>
                <w:szCs w:val="20"/>
              </w:rPr>
            </w:pPr>
            <w:r w:rsidRPr="00682CC1">
              <w:rPr>
                <w:rFonts w:ascii="Arial" w:hAnsi="Arial" w:cs="Arial"/>
                <w:b/>
                <w:bCs/>
                <w:i/>
                <w:color w:val="000000" w:themeColor="text1"/>
                <w:sz w:val="20"/>
                <w:szCs w:val="20"/>
              </w:rPr>
              <w:t>ESM</w:t>
            </w:r>
          </w:p>
        </w:tc>
        <w:tc>
          <w:tcPr>
            <w:tcW w:w="1129" w:type="dxa"/>
            <w:vMerge w:val="restart"/>
            <w:tcBorders>
              <w:top w:val="single" w:sz="12" w:space="0" w:color="auto"/>
              <w:right w:val="nil"/>
            </w:tcBorders>
            <w:vAlign w:val="center"/>
          </w:tcPr>
          <w:p w14:paraId="03F7827D" w14:textId="77777777" w:rsidR="009678C2" w:rsidRPr="00682CC1" w:rsidRDefault="009678C2" w:rsidP="00863509">
            <w:pPr>
              <w:jc w:val="center"/>
              <w:rPr>
                <w:rFonts w:ascii="Arial" w:hAnsi="Arial" w:cs="Arial"/>
                <w:b/>
                <w:bCs/>
                <w:i/>
                <w:color w:val="000000" w:themeColor="text1"/>
                <w:sz w:val="20"/>
                <w:szCs w:val="20"/>
              </w:rPr>
            </w:pPr>
            <w:r w:rsidRPr="00682CC1">
              <w:rPr>
                <w:rFonts w:ascii="Arial" w:hAnsi="Arial" w:cs="Arial"/>
                <w:b/>
                <w:bCs/>
                <w:i/>
                <w:color w:val="000000" w:themeColor="text1"/>
                <w:sz w:val="20"/>
                <w:szCs w:val="20"/>
              </w:rPr>
              <w:t>P value</w:t>
            </w:r>
          </w:p>
        </w:tc>
      </w:tr>
      <w:tr w:rsidR="009678C2" w:rsidRPr="00682CC1" w14:paraId="26C5BC98" w14:textId="77777777" w:rsidTr="00E07E07">
        <w:trPr>
          <w:trHeight w:val="283"/>
          <w:jc w:val="center"/>
        </w:trPr>
        <w:tc>
          <w:tcPr>
            <w:tcW w:w="2986" w:type="dxa"/>
            <w:vMerge/>
            <w:tcBorders>
              <w:left w:val="nil"/>
              <w:bottom w:val="single" w:sz="12" w:space="0" w:color="auto"/>
            </w:tcBorders>
            <w:hideMark/>
          </w:tcPr>
          <w:p w14:paraId="73E6F909" w14:textId="77777777" w:rsidR="009678C2" w:rsidRPr="00682CC1" w:rsidRDefault="009678C2" w:rsidP="00863509">
            <w:pPr>
              <w:rPr>
                <w:rFonts w:ascii="Arial" w:hAnsi="Arial" w:cs="Arial"/>
                <w:b/>
                <w:color w:val="000000" w:themeColor="text1"/>
                <w:sz w:val="20"/>
                <w:szCs w:val="20"/>
              </w:rPr>
            </w:pPr>
          </w:p>
        </w:tc>
        <w:tc>
          <w:tcPr>
            <w:tcW w:w="980" w:type="dxa"/>
            <w:tcBorders>
              <w:bottom w:val="single" w:sz="12" w:space="0" w:color="auto"/>
            </w:tcBorders>
            <w:vAlign w:val="center"/>
            <w:hideMark/>
          </w:tcPr>
          <w:p w14:paraId="7EECB4D8"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17</w:t>
            </w:r>
          </w:p>
        </w:tc>
        <w:tc>
          <w:tcPr>
            <w:tcW w:w="1134" w:type="dxa"/>
            <w:tcBorders>
              <w:bottom w:val="single" w:sz="12" w:space="0" w:color="auto"/>
            </w:tcBorders>
            <w:vAlign w:val="center"/>
            <w:hideMark/>
          </w:tcPr>
          <w:p w14:paraId="59E2B5EF"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19</w:t>
            </w:r>
          </w:p>
        </w:tc>
        <w:tc>
          <w:tcPr>
            <w:tcW w:w="992" w:type="dxa"/>
            <w:tcBorders>
              <w:bottom w:val="single" w:sz="12" w:space="0" w:color="auto"/>
            </w:tcBorders>
            <w:vAlign w:val="center"/>
            <w:hideMark/>
          </w:tcPr>
          <w:p w14:paraId="696A6837"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21</w:t>
            </w:r>
          </w:p>
        </w:tc>
        <w:tc>
          <w:tcPr>
            <w:tcW w:w="717" w:type="dxa"/>
            <w:vMerge/>
            <w:tcBorders>
              <w:bottom w:val="single" w:sz="12" w:space="0" w:color="auto"/>
            </w:tcBorders>
          </w:tcPr>
          <w:p w14:paraId="322CF061" w14:textId="77777777" w:rsidR="009678C2" w:rsidRPr="00682CC1" w:rsidRDefault="009678C2" w:rsidP="00863509">
            <w:pPr>
              <w:jc w:val="center"/>
              <w:rPr>
                <w:rFonts w:ascii="Arial" w:hAnsi="Arial" w:cs="Arial"/>
                <w:b/>
                <w:color w:val="000000" w:themeColor="text1"/>
                <w:sz w:val="20"/>
                <w:szCs w:val="20"/>
              </w:rPr>
            </w:pPr>
          </w:p>
        </w:tc>
        <w:tc>
          <w:tcPr>
            <w:tcW w:w="1129" w:type="dxa"/>
            <w:vMerge/>
            <w:tcBorders>
              <w:bottom w:val="single" w:sz="12" w:space="0" w:color="auto"/>
              <w:right w:val="nil"/>
            </w:tcBorders>
          </w:tcPr>
          <w:p w14:paraId="010E9062" w14:textId="77777777" w:rsidR="009678C2" w:rsidRPr="00682CC1" w:rsidRDefault="009678C2" w:rsidP="00863509">
            <w:pPr>
              <w:jc w:val="center"/>
              <w:rPr>
                <w:rFonts w:ascii="Arial" w:hAnsi="Arial" w:cs="Arial"/>
                <w:b/>
                <w:color w:val="000000" w:themeColor="text1"/>
                <w:sz w:val="20"/>
                <w:szCs w:val="20"/>
              </w:rPr>
            </w:pPr>
          </w:p>
        </w:tc>
      </w:tr>
      <w:tr w:rsidR="009678C2" w:rsidRPr="00682CC1" w14:paraId="1366D2B6" w14:textId="77777777" w:rsidTr="00E07E07">
        <w:trPr>
          <w:trHeight w:val="624"/>
          <w:jc w:val="center"/>
        </w:trPr>
        <w:tc>
          <w:tcPr>
            <w:tcW w:w="2986" w:type="dxa"/>
            <w:tcBorders>
              <w:top w:val="single" w:sz="12" w:space="0" w:color="auto"/>
              <w:left w:val="nil"/>
              <w:bottom w:val="single" w:sz="12" w:space="0" w:color="auto"/>
            </w:tcBorders>
          </w:tcPr>
          <w:p w14:paraId="0AE0E785"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Live weight (g)</w:t>
            </w:r>
          </w:p>
          <w:p w14:paraId="711E7F31"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Hot carcass weight (g)</w:t>
            </w:r>
          </w:p>
          <w:p w14:paraId="3A0260E4" w14:textId="77777777" w:rsidR="009678C2" w:rsidRPr="00682CC1" w:rsidRDefault="009678C2" w:rsidP="00863509">
            <w:pPr>
              <w:tabs>
                <w:tab w:val="left" w:pos="609"/>
              </w:tabs>
              <w:rPr>
                <w:rFonts w:ascii="Arial" w:hAnsi="Arial" w:cs="Arial"/>
                <w:bCs/>
                <w:color w:val="000000" w:themeColor="text1"/>
                <w:sz w:val="20"/>
                <w:szCs w:val="20"/>
              </w:rPr>
            </w:pPr>
            <w:r w:rsidRPr="00682CC1">
              <w:rPr>
                <w:rFonts w:ascii="Arial" w:hAnsi="Arial" w:cs="Arial"/>
                <w:bCs/>
                <w:color w:val="000000" w:themeColor="text1"/>
                <w:sz w:val="20"/>
                <w:szCs w:val="20"/>
              </w:rPr>
              <w:t xml:space="preserve">Cold </w:t>
            </w:r>
            <w:proofErr w:type="spellStart"/>
            <w:r w:rsidRPr="00682CC1">
              <w:rPr>
                <w:rFonts w:ascii="Arial" w:hAnsi="Arial" w:cs="Arial"/>
                <w:bCs/>
                <w:color w:val="000000" w:themeColor="text1"/>
                <w:sz w:val="20"/>
                <w:szCs w:val="20"/>
              </w:rPr>
              <w:t>carcass</w:t>
            </w:r>
            <w:proofErr w:type="spellEnd"/>
            <w:r w:rsidRPr="00682CC1">
              <w:rPr>
                <w:rFonts w:ascii="Arial" w:hAnsi="Arial" w:cs="Arial"/>
                <w:bCs/>
                <w:color w:val="000000" w:themeColor="text1"/>
                <w:sz w:val="20"/>
                <w:szCs w:val="20"/>
              </w:rPr>
              <w:t xml:space="preserve"> </w:t>
            </w:r>
            <w:proofErr w:type="spellStart"/>
            <w:r w:rsidRPr="00682CC1">
              <w:rPr>
                <w:rFonts w:ascii="Arial" w:hAnsi="Arial" w:cs="Arial"/>
                <w:bCs/>
                <w:color w:val="000000" w:themeColor="text1"/>
                <w:sz w:val="20"/>
                <w:szCs w:val="20"/>
              </w:rPr>
              <w:t>weight</w:t>
            </w:r>
            <w:proofErr w:type="spellEnd"/>
            <w:r w:rsidRPr="00682CC1">
              <w:rPr>
                <w:rFonts w:ascii="Arial" w:hAnsi="Arial" w:cs="Arial"/>
                <w:bCs/>
                <w:color w:val="000000" w:themeColor="text1"/>
                <w:sz w:val="20"/>
                <w:szCs w:val="20"/>
              </w:rPr>
              <w:t xml:space="preserve"> (g)</w:t>
            </w:r>
          </w:p>
        </w:tc>
        <w:tc>
          <w:tcPr>
            <w:tcW w:w="980" w:type="dxa"/>
            <w:tcBorders>
              <w:top w:val="single" w:sz="12" w:space="0" w:color="auto"/>
              <w:bottom w:val="single" w:sz="12" w:space="0" w:color="auto"/>
            </w:tcBorders>
          </w:tcPr>
          <w:p w14:paraId="084BE439"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2497</w:t>
            </w:r>
            <w:r w:rsidRPr="00682CC1">
              <w:rPr>
                <w:rFonts w:ascii="Arial" w:eastAsia="Times New Roman" w:hAnsi="Arial" w:cs="Arial"/>
                <w:bCs/>
                <w:color w:val="000000" w:themeColor="text1"/>
                <w:sz w:val="20"/>
                <w:szCs w:val="20"/>
                <w:vertAlign w:val="superscript"/>
                <w:lang w:eastAsia="fr-FR"/>
              </w:rPr>
              <w:t>b</w:t>
            </w:r>
            <w:r w:rsidRPr="00682CC1">
              <w:rPr>
                <w:rFonts w:ascii="Arial" w:eastAsia="Times New Roman" w:hAnsi="Arial" w:cs="Arial"/>
                <w:bCs/>
                <w:color w:val="000000" w:themeColor="text1"/>
                <w:sz w:val="20"/>
                <w:szCs w:val="20"/>
                <w:lang w:eastAsia="fr-FR"/>
              </w:rPr>
              <w:t xml:space="preserve"> </w:t>
            </w:r>
            <w:r w:rsidRPr="00682CC1">
              <w:rPr>
                <w:rFonts w:ascii="Arial" w:eastAsia="Times New Roman" w:hAnsi="Arial" w:cs="Arial"/>
                <w:color w:val="000000" w:themeColor="text1"/>
                <w:sz w:val="20"/>
                <w:szCs w:val="20"/>
                <w:lang w:eastAsia="fr-FR"/>
              </w:rPr>
              <w:t xml:space="preserve">  </w:t>
            </w:r>
          </w:p>
          <w:p w14:paraId="627F0691"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1582</w:t>
            </w:r>
            <w:r w:rsidRPr="00682CC1">
              <w:rPr>
                <w:rFonts w:ascii="Arial" w:eastAsia="Times New Roman" w:hAnsi="Arial" w:cs="Arial"/>
                <w:bCs/>
                <w:color w:val="000000" w:themeColor="text1"/>
                <w:sz w:val="20"/>
                <w:szCs w:val="20"/>
                <w:vertAlign w:val="superscript"/>
                <w:lang w:eastAsia="fr-FR"/>
              </w:rPr>
              <w:t>b</w:t>
            </w:r>
          </w:p>
          <w:p w14:paraId="3E2BDACB"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1569</w:t>
            </w:r>
            <w:r w:rsidRPr="00682CC1">
              <w:rPr>
                <w:rFonts w:ascii="Arial" w:eastAsia="Times New Roman" w:hAnsi="Arial" w:cs="Arial"/>
                <w:bCs/>
                <w:color w:val="000000" w:themeColor="text1"/>
                <w:sz w:val="20"/>
                <w:szCs w:val="20"/>
                <w:vertAlign w:val="superscript"/>
                <w:lang w:eastAsia="fr-FR"/>
              </w:rPr>
              <w:t>b</w:t>
            </w:r>
          </w:p>
        </w:tc>
        <w:tc>
          <w:tcPr>
            <w:tcW w:w="1134" w:type="dxa"/>
            <w:tcBorders>
              <w:top w:val="single" w:sz="12" w:space="0" w:color="auto"/>
              <w:bottom w:val="single" w:sz="12" w:space="0" w:color="auto"/>
            </w:tcBorders>
          </w:tcPr>
          <w:p w14:paraId="337569B9"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2327</w:t>
            </w:r>
            <w:r w:rsidRPr="00682CC1">
              <w:rPr>
                <w:rFonts w:ascii="Arial" w:eastAsia="Times New Roman" w:hAnsi="Arial" w:cs="Arial"/>
                <w:bCs/>
                <w:color w:val="000000" w:themeColor="text1"/>
                <w:sz w:val="20"/>
                <w:szCs w:val="20"/>
                <w:vertAlign w:val="superscript"/>
                <w:lang w:eastAsia="fr-FR"/>
              </w:rPr>
              <w:t>ab</w:t>
            </w:r>
            <w:r w:rsidRPr="00682CC1">
              <w:rPr>
                <w:rFonts w:ascii="Arial" w:eastAsia="Times New Roman" w:hAnsi="Arial" w:cs="Arial"/>
                <w:color w:val="000000" w:themeColor="text1"/>
                <w:sz w:val="20"/>
                <w:szCs w:val="20"/>
                <w:lang w:eastAsia="fr-FR"/>
              </w:rPr>
              <w:t xml:space="preserve">   </w:t>
            </w:r>
          </w:p>
          <w:p w14:paraId="3A65BF17"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1424</w:t>
            </w:r>
            <w:r w:rsidRPr="00682CC1">
              <w:rPr>
                <w:rFonts w:ascii="Arial" w:eastAsia="Times New Roman" w:hAnsi="Arial" w:cs="Arial"/>
                <w:bCs/>
                <w:color w:val="000000" w:themeColor="text1"/>
                <w:sz w:val="20"/>
                <w:szCs w:val="20"/>
                <w:vertAlign w:val="superscript"/>
                <w:lang w:eastAsia="fr-FR"/>
              </w:rPr>
              <w:t>ab</w:t>
            </w:r>
          </w:p>
          <w:p w14:paraId="6C60A9DF"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1413</w:t>
            </w:r>
            <w:r w:rsidRPr="00682CC1">
              <w:rPr>
                <w:rFonts w:ascii="Arial" w:eastAsia="Times New Roman" w:hAnsi="Arial" w:cs="Arial"/>
                <w:bCs/>
                <w:color w:val="000000" w:themeColor="text1"/>
                <w:sz w:val="20"/>
                <w:szCs w:val="20"/>
                <w:vertAlign w:val="superscript"/>
                <w:lang w:eastAsia="fr-FR"/>
              </w:rPr>
              <w:t>ab</w:t>
            </w:r>
          </w:p>
        </w:tc>
        <w:tc>
          <w:tcPr>
            <w:tcW w:w="992" w:type="dxa"/>
            <w:tcBorders>
              <w:top w:val="single" w:sz="12" w:space="0" w:color="auto"/>
              <w:bottom w:val="single" w:sz="12" w:space="0" w:color="auto"/>
            </w:tcBorders>
          </w:tcPr>
          <w:p w14:paraId="5361CC04"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2021</w:t>
            </w:r>
            <w:r w:rsidRPr="00682CC1">
              <w:rPr>
                <w:rFonts w:ascii="Arial" w:eastAsia="Times New Roman" w:hAnsi="Arial" w:cs="Arial"/>
                <w:bCs/>
                <w:color w:val="000000" w:themeColor="text1"/>
                <w:sz w:val="20"/>
                <w:szCs w:val="20"/>
                <w:vertAlign w:val="superscript"/>
                <w:lang w:eastAsia="fr-FR"/>
              </w:rPr>
              <w:t>a</w:t>
            </w:r>
          </w:p>
          <w:p w14:paraId="69DCA6F8"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1198</w:t>
            </w:r>
            <w:r w:rsidRPr="00682CC1">
              <w:rPr>
                <w:rFonts w:ascii="Arial" w:eastAsia="Times New Roman" w:hAnsi="Arial" w:cs="Arial"/>
                <w:bCs/>
                <w:color w:val="000000" w:themeColor="text1"/>
                <w:sz w:val="20"/>
                <w:szCs w:val="20"/>
                <w:vertAlign w:val="superscript"/>
                <w:lang w:eastAsia="fr-FR"/>
              </w:rPr>
              <w:t>a</w:t>
            </w:r>
          </w:p>
          <w:p w14:paraId="50FE590D"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1189</w:t>
            </w:r>
            <w:r w:rsidRPr="00682CC1">
              <w:rPr>
                <w:rFonts w:ascii="Arial" w:eastAsia="Times New Roman" w:hAnsi="Arial" w:cs="Arial"/>
                <w:bCs/>
                <w:color w:val="000000" w:themeColor="text1"/>
                <w:sz w:val="20"/>
                <w:szCs w:val="20"/>
                <w:vertAlign w:val="superscript"/>
                <w:lang w:eastAsia="fr-FR"/>
              </w:rPr>
              <w:t>a</w:t>
            </w:r>
          </w:p>
        </w:tc>
        <w:tc>
          <w:tcPr>
            <w:tcW w:w="717" w:type="dxa"/>
            <w:tcBorders>
              <w:top w:val="single" w:sz="12" w:space="0" w:color="auto"/>
              <w:bottom w:val="single" w:sz="12" w:space="0" w:color="auto"/>
            </w:tcBorders>
          </w:tcPr>
          <w:p w14:paraId="48AB2336"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158.5</w:t>
            </w:r>
          </w:p>
          <w:p w14:paraId="6872A02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97.1</w:t>
            </w:r>
          </w:p>
          <w:p w14:paraId="1076508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96.4</w:t>
            </w:r>
          </w:p>
        </w:tc>
        <w:tc>
          <w:tcPr>
            <w:tcW w:w="1129" w:type="dxa"/>
            <w:tcBorders>
              <w:top w:val="single" w:sz="12" w:space="0" w:color="auto"/>
              <w:bottom w:val="single" w:sz="12" w:space="0" w:color="auto"/>
              <w:right w:val="nil"/>
            </w:tcBorders>
          </w:tcPr>
          <w:p w14:paraId="25FC47E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.04</w:t>
            </w:r>
          </w:p>
          <w:p w14:paraId="5A5E276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6919874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tc>
      </w:tr>
      <w:tr w:rsidR="009678C2" w:rsidRPr="00682CC1" w14:paraId="02F5A7A2" w14:textId="77777777" w:rsidTr="00E07E07">
        <w:trPr>
          <w:trHeight w:val="1097"/>
          <w:jc w:val="center"/>
        </w:trPr>
        <w:tc>
          <w:tcPr>
            <w:tcW w:w="2986" w:type="dxa"/>
            <w:tcBorders>
              <w:top w:val="single" w:sz="12" w:space="0" w:color="auto"/>
              <w:left w:val="nil"/>
            </w:tcBorders>
          </w:tcPr>
          <w:p w14:paraId="6AAE3A86"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Raw carcass yield (%)</w:t>
            </w:r>
          </w:p>
          <w:p w14:paraId="39081F8A"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Net carcass yield (%)</w:t>
            </w:r>
          </w:p>
          <w:p w14:paraId="07AECA73"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color w:val="000000" w:themeColor="text1"/>
                <w:sz w:val="20"/>
                <w:szCs w:val="20"/>
                <w:lang w:val="en-US"/>
              </w:rPr>
              <w:t>Skin yield (%)</w:t>
            </w:r>
          </w:p>
          <w:p w14:paraId="57996508"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Yield of full digestive tract (%)</w:t>
            </w:r>
          </w:p>
          <w:p w14:paraId="32C5DA25"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Cold carcass yield (%)</w:t>
            </w:r>
          </w:p>
          <w:p w14:paraId="6B4E890B"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Refrigeration losses (%)</w:t>
            </w:r>
          </w:p>
          <w:p w14:paraId="3EEC4F67"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Commercial carcass weight (g)</w:t>
            </w:r>
          </w:p>
          <w:p w14:paraId="0AAEE52F"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Commercial carcass yield (%)</w:t>
            </w:r>
          </w:p>
          <w:p w14:paraId="729AE97A"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Edible fraction yield (%)</w:t>
            </w:r>
          </w:p>
          <w:p w14:paraId="3BFBF05F"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Yield of edible organs (%)</w:t>
            </w:r>
          </w:p>
          <w:p w14:paraId="4B413A83"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Head yield (%)</w:t>
            </w:r>
          </w:p>
          <w:p w14:paraId="206E90CE"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L1 (cm)</w:t>
            </w:r>
          </w:p>
          <w:p w14:paraId="4CB5E0D0"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L2 (cm)</w:t>
            </w:r>
          </w:p>
          <w:p w14:paraId="787E6B51" w14:textId="77777777" w:rsidR="009678C2" w:rsidRPr="00682CC1" w:rsidRDefault="009678C2" w:rsidP="00863509">
            <w:pPr>
              <w:tabs>
                <w:tab w:val="left" w:pos="609"/>
              </w:tabs>
              <w:rPr>
                <w:rFonts w:ascii="Arial" w:hAnsi="Arial" w:cs="Arial"/>
                <w:bCs/>
                <w:color w:val="000000" w:themeColor="text1"/>
                <w:sz w:val="20"/>
                <w:szCs w:val="20"/>
              </w:rPr>
            </w:pPr>
            <w:proofErr w:type="spellStart"/>
            <w:r w:rsidRPr="00682CC1">
              <w:rPr>
                <w:rFonts w:ascii="Arial" w:hAnsi="Arial" w:cs="Arial"/>
                <w:bCs/>
                <w:color w:val="000000" w:themeColor="text1"/>
                <w:sz w:val="20"/>
                <w:szCs w:val="20"/>
              </w:rPr>
              <w:t>Liver</w:t>
            </w:r>
            <w:proofErr w:type="spellEnd"/>
            <w:r w:rsidRPr="00682CC1">
              <w:rPr>
                <w:rFonts w:ascii="Arial" w:hAnsi="Arial" w:cs="Arial"/>
                <w:bCs/>
                <w:color w:val="000000" w:themeColor="text1"/>
                <w:sz w:val="20"/>
                <w:szCs w:val="20"/>
              </w:rPr>
              <w:t xml:space="preserve"> </w:t>
            </w:r>
            <w:proofErr w:type="spellStart"/>
            <w:r w:rsidRPr="00682CC1">
              <w:rPr>
                <w:rFonts w:ascii="Arial" w:hAnsi="Arial" w:cs="Arial"/>
                <w:bCs/>
                <w:color w:val="000000" w:themeColor="text1"/>
                <w:sz w:val="20"/>
                <w:szCs w:val="20"/>
              </w:rPr>
              <w:t>weight</w:t>
            </w:r>
            <w:proofErr w:type="spellEnd"/>
            <w:r w:rsidRPr="00682CC1">
              <w:rPr>
                <w:rFonts w:ascii="Arial" w:hAnsi="Arial" w:cs="Arial"/>
                <w:bCs/>
                <w:color w:val="000000" w:themeColor="text1"/>
                <w:sz w:val="20"/>
                <w:szCs w:val="20"/>
              </w:rPr>
              <w:t xml:space="preserve"> (g)</w:t>
            </w:r>
          </w:p>
        </w:tc>
        <w:tc>
          <w:tcPr>
            <w:tcW w:w="980" w:type="dxa"/>
            <w:tcBorders>
              <w:top w:val="single" w:sz="12" w:space="0" w:color="auto"/>
            </w:tcBorders>
          </w:tcPr>
          <w:p w14:paraId="24E807E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63.4</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7482E32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C524E8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C9A68D4"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14.0</w:t>
            </w:r>
            <w:r w:rsidRPr="00682CC1">
              <w:rPr>
                <w:rFonts w:ascii="Arial" w:eastAsia="Times New Roman" w:hAnsi="Arial" w:cs="Arial"/>
                <w:bCs/>
                <w:color w:val="000000" w:themeColor="text1"/>
                <w:sz w:val="20"/>
                <w:szCs w:val="20"/>
                <w:vertAlign w:val="superscript"/>
                <w:lang w:val="en-US" w:eastAsia="fr-FR"/>
              </w:rPr>
              <w:t>a</w:t>
            </w:r>
          </w:p>
          <w:p w14:paraId="2AB46F2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62.8</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6719C2E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255E7A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1475</w:t>
            </w:r>
            <w:r w:rsidRPr="00682CC1">
              <w:rPr>
                <w:rFonts w:ascii="Arial" w:eastAsia="Times New Roman" w:hAnsi="Arial" w:cs="Arial"/>
                <w:bCs/>
                <w:color w:val="000000" w:themeColor="text1"/>
                <w:sz w:val="20"/>
                <w:szCs w:val="20"/>
                <w:vertAlign w:val="superscript"/>
                <w:lang w:val="en-US" w:eastAsia="fr-FR"/>
              </w:rPr>
              <w:t>b</w:t>
            </w:r>
          </w:p>
          <w:p w14:paraId="14A61C6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59.1</w:t>
            </w:r>
            <w:r w:rsidRPr="00682CC1">
              <w:rPr>
                <w:rFonts w:ascii="Arial" w:eastAsia="Times New Roman" w:hAnsi="Arial" w:cs="Arial"/>
                <w:bCs/>
                <w:color w:val="000000" w:themeColor="text1"/>
                <w:sz w:val="20"/>
                <w:szCs w:val="20"/>
                <w:vertAlign w:val="superscript"/>
                <w:lang w:val="en-US" w:eastAsia="fr-FR"/>
              </w:rPr>
              <w:t>b</w:t>
            </w:r>
          </w:p>
          <w:p w14:paraId="439BC67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4A19045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CC954C7"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w:t>
            </w:r>
            <w:r w:rsidRPr="00682CC1">
              <w:rPr>
                <w:rFonts w:ascii="Arial" w:eastAsia="Times New Roman" w:hAnsi="Arial" w:cs="Arial"/>
                <w:bCs/>
                <w:color w:val="000000" w:themeColor="text1"/>
                <w:sz w:val="20"/>
                <w:szCs w:val="20"/>
                <w:vertAlign w:val="superscript"/>
                <w:lang w:val="en-US" w:eastAsia="fr-FR"/>
              </w:rPr>
              <w:t>a</w:t>
            </w:r>
          </w:p>
          <w:p w14:paraId="12C62CD7"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21.9</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57B2DFB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43D3E62"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33.2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1134" w:type="dxa"/>
            <w:tcBorders>
              <w:top w:val="single" w:sz="12" w:space="0" w:color="auto"/>
            </w:tcBorders>
          </w:tcPr>
          <w:p w14:paraId="3C8EF35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61.2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531A443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1B7FC9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16.7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A6254C4"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16.8</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295AE59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60.7</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1F263AB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8A6E05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1332</w:t>
            </w:r>
            <w:r w:rsidRPr="00682CC1">
              <w:rPr>
                <w:rFonts w:ascii="Arial" w:eastAsia="Times New Roman" w:hAnsi="Arial" w:cs="Arial"/>
                <w:bCs/>
                <w:color w:val="000000" w:themeColor="text1"/>
                <w:sz w:val="20"/>
                <w:szCs w:val="20"/>
                <w:vertAlign w:val="superscript"/>
                <w:lang w:val="en-US" w:eastAsia="fr-FR"/>
              </w:rPr>
              <w:t>ab</w:t>
            </w:r>
          </w:p>
          <w:p w14:paraId="54FA028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57.2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163F344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26.7</w:t>
            </w:r>
            <w:r w:rsidRPr="00682CC1">
              <w:rPr>
                <w:rFonts w:ascii="Arial" w:eastAsia="Times New Roman" w:hAnsi="Arial" w:cs="Arial"/>
                <w:bCs/>
                <w:color w:val="000000" w:themeColor="text1"/>
                <w:sz w:val="20"/>
                <w:szCs w:val="20"/>
                <w:vertAlign w:val="superscript"/>
                <w:lang w:val="en-US" w:eastAsia="fr-FR"/>
              </w:rPr>
              <w:t>ab</w:t>
            </w:r>
          </w:p>
          <w:p w14:paraId="11C6709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4D981E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75883B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21.5</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09C190F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7.0</w:t>
            </w:r>
            <w:r w:rsidRPr="00682CC1">
              <w:rPr>
                <w:rFonts w:ascii="Arial" w:eastAsia="Times New Roman" w:hAnsi="Arial" w:cs="Arial"/>
                <w:bCs/>
                <w:color w:val="000000" w:themeColor="text1"/>
                <w:sz w:val="20"/>
                <w:szCs w:val="20"/>
                <w:vertAlign w:val="superscript"/>
                <w:lang w:val="en-US" w:eastAsia="fr-FR"/>
              </w:rPr>
              <w:t>a</w:t>
            </w:r>
          </w:p>
          <w:p w14:paraId="61E3483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31.1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992" w:type="dxa"/>
            <w:tcBorders>
              <w:top w:val="single" w:sz="12" w:space="0" w:color="auto"/>
            </w:tcBorders>
          </w:tcPr>
          <w:p w14:paraId="67575DA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59.3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DB15F9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8ACB7A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16.5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50DC041"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19.1</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0B9567D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58.9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DBE527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96F710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1104</w:t>
            </w:r>
            <w:r w:rsidRPr="00682CC1">
              <w:rPr>
                <w:rFonts w:ascii="Arial" w:eastAsia="Times New Roman" w:hAnsi="Arial" w:cs="Arial"/>
                <w:b/>
                <w:color w:val="000000" w:themeColor="text1"/>
                <w:sz w:val="20"/>
                <w:szCs w:val="20"/>
                <w:vertAlign w:val="superscript"/>
                <w:lang w:val="en-US" w:eastAsia="fr-FR"/>
              </w:rPr>
              <w:t>a</w:t>
            </w:r>
          </w:p>
          <w:p w14:paraId="134F2D4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54.6</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F889E3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72A57E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E7B346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796141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19.4</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38D3A1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BFAD46E"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val="en-US" w:eastAsia="fr-FR"/>
              </w:rPr>
              <w:t>23.7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tc>
        <w:tc>
          <w:tcPr>
            <w:tcW w:w="717" w:type="dxa"/>
            <w:tcBorders>
              <w:top w:val="single" w:sz="12" w:space="0" w:color="auto"/>
            </w:tcBorders>
          </w:tcPr>
          <w:p w14:paraId="40B469C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644A239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0B44828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5E50DFC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5FA64BA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09B14ED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722B3E2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94.3</w:t>
            </w:r>
          </w:p>
          <w:p w14:paraId="7FFCAED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1BCC695D"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0BF2E6F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0.2</w:t>
            </w:r>
          </w:p>
          <w:p w14:paraId="00940EF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0.5</w:t>
            </w:r>
          </w:p>
          <w:p w14:paraId="4B0FD7A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39D0F00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1.0</w:t>
            </w:r>
          </w:p>
          <w:p w14:paraId="1F95BB2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1.6</w:t>
            </w:r>
          </w:p>
        </w:tc>
        <w:tc>
          <w:tcPr>
            <w:tcW w:w="1129" w:type="dxa"/>
            <w:tcBorders>
              <w:top w:val="single" w:sz="12" w:space="0" w:color="auto"/>
              <w:right w:val="nil"/>
            </w:tcBorders>
          </w:tcPr>
          <w:p w14:paraId="4E3982E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1.9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0F5F0F64"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w:t>
            </w:r>
            <w:r>
              <w:rPr>
                <w:rFonts w:ascii="Arial" w:eastAsia="Times New Roman" w:hAnsi="Arial" w:cs="Arial"/>
                <w:i/>
                <w:color w:val="000000" w:themeColor="text1"/>
                <w:sz w:val="20"/>
                <w:szCs w:val="20"/>
                <w:lang w:eastAsia="fr-FR"/>
              </w:rPr>
              <w:t>1</w:t>
            </w:r>
          </w:p>
          <w:p w14:paraId="4CDE2966"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01E6FF2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4.8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-5</w:t>
            </w:r>
          </w:p>
          <w:p w14:paraId="15D65CF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4.2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5BBA6B7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.7</w:t>
            </w:r>
            <w:r>
              <w:rPr>
                <w:rFonts w:ascii="Arial" w:eastAsia="Times New Roman" w:hAnsi="Arial" w:cs="Arial"/>
                <w:i/>
                <w:color w:val="000000" w:themeColor="text1"/>
                <w:sz w:val="20"/>
                <w:szCs w:val="20"/>
                <w:lang w:eastAsia="fr-FR"/>
              </w:rPr>
              <w:t>1</w:t>
            </w:r>
          </w:p>
          <w:p w14:paraId="19B9BA5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052EEDC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4.3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7464D86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w:t>
            </w:r>
            <w:r>
              <w:rPr>
                <w:rFonts w:ascii="Arial" w:eastAsia="Times New Roman" w:hAnsi="Arial" w:cs="Arial"/>
                <w:i/>
                <w:color w:val="000000" w:themeColor="text1"/>
                <w:sz w:val="20"/>
                <w:szCs w:val="20"/>
                <w:lang w:eastAsia="fr-FR"/>
              </w:rPr>
              <w:t>4</w:t>
            </w:r>
          </w:p>
          <w:p w14:paraId="5BCE39C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.56</w:t>
            </w:r>
          </w:p>
          <w:p w14:paraId="118BBC8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.24</w:t>
            </w:r>
          </w:p>
          <w:p w14:paraId="38CD093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2CE88D2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w:t>
            </w:r>
            <w:r>
              <w:rPr>
                <w:rFonts w:ascii="Arial" w:eastAsia="Times New Roman" w:hAnsi="Arial" w:cs="Arial"/>
                <w:i/>
                <w:color w:val="000000" w:themeColor="text1"/>
                <w:sz w:val="20"/>
                <w:szCs w:val="20"/>
                <w:lang w:eastAsia="fr-FR"/>
              </w:rPr>
              <w:t>7</w:t>
            </w:r>
          </w:p>
          <w:p w14:paraId="707CE8A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4.8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tc>
      </w:tr>
      <w:tr w:rsidR="009678C2" w:rsidRPr="00682CC1" w14:paraId="6F1B808D" w14:textId="77777777" w:rsidTr="00E07E07">
        <w:trPr>
          <w:trHeight w:val="2069"/>
          <w:jc w:val="center"/>
        </w:trPr>
        <w:tc>
          <w:tcPr>
            <w:tcW w:w="2986" w:type="dxa"/>
            <w:tcBorders>
              <w:left w:val="nil"/>
              <w:bottom w:val="single" w:sz="12" w:space="0" w:color="auto"/>
            </w:tcBorders>
          </w:tcPr>
          <w:p w14:paraId="252CB36A"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Spleen weight (g)</w:t>
            </w:r>
          </w:p>
          <w:p w14:paraId="3EEBC0E0"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Kidney weight (g)</w:t>
            </w:r>
          </w:p>
          <w:p w14:paraId="75533A46"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Front weight (g)</w:t>
            </w:r>
          </w:p>
          <w:p w14:paraId="14EF74A9"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Forward Yield (%)</w:t>
            </w:r>
          </w:p>
          <w:p w14:paraId="415B3A28"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Saddle weight (g)</w:t>
            </w:r>
          </w:p>
          <w:p w14:paraId="63D2E44D"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Saddle yield (%)</w:t>
            </w:r>
          </w:p>
          <w:p w14:paraId="2C8D3AA9"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Rear weight (g)</w:t>
            </w:r>
          </w:p>
          <w:p w14:paraId="41103352"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Rear Efficiency (%)</w:t>
            </w:r>
          </w:p>
          <w:p w14:paraId="258DA709" w14:textId="77777777" w:rsidR="009678C2" w:rsidRPr="00682CC1" w:rsidRDefault="009678C2" w:rsidP="00863509">
            <w:pPr>
              <w:tabs>
                <w:tab w:val="left" w:pos="609"/>
              </w:tabs>
              <w:rPr>
                <w:rFonts w:ascii="Arial" w:hAnsi="Arial" w:cs="Arial"/>
                <w:bCs/>
                <w:color w:val="000000" w:themeColor="text1"/>
                <w:sz w:val="20"/>
                <w:szCs w:val="20"/>
              </w:rPr>
            </w:pPr>
            <w:proofErr w:type="spellStart"/>
            <w:proofErr w:type="gramStart"/>
            <w:r w:rsidRPr="00682CC1">
              <w:rPr>
                <w:rFonts w:ascii="Arial" w:hAnsi="Arial" w:cs="Arial"/>
                <w:color w:val="000000" w:themeColor="text1"/>
                <w:sz w:val="20"/>
                <w:szCs w:val="20"/>
              </w:rPr>
              <w:t>limb</w:t>
            </w:r>
            <w:proofErr w:type="spellEnd"/>
            <w:proofErr w:type="gramEnd"/>
            <w:r w:rsidRPr="00682CC1">
              <w:rPr>
                <w:rFonts w:ascii="Arial" w:hAnsi="Arial" w:cs="Arial"/>
                <w:color w:val="000000" w:themeColor="text1"/>
                <w:sz w:val="20"/>
                <w:szCs w:val="20"/>
              </w:rPr>
              <w:t xml:space="preserve"> </w:t>
            </w:r>
            <w:proofErr w:type="spellStart"/>
            <w:r w:rsidRPr="00682CC1">
              <w:rPr>
                <w:rFonts w:ascii="Arial" w:hAnsi="Arial" w:cs="Arial"/>
                <w:bCs/>
                <w:color w:val="000000" w:themeColor="text1"/>
                <w:sz w:val="20"/>
                <w:szCs w:val="20"/>
              </w:rPr>
              <w:t>meat</w:t>
            </w:r>
            <w:proofErr w:type="spellEnd"/>
            <w:r w:rsidRPr="00682CC1">
              <w:rPr>
                <w:rFonts w:ascii="Arial" w:hAnsi="Arial" w:cs="Arial"/>
                <w:bCs/>
                <w:color w:val="000000" w:themeColor="text1"/>
                <w:sz w:val="20"/>
                <w:szCs w:val="20"/>
              </w:rPr>
              <w:t xml:space="preserve"> (%)</w:t>
            </w:r>
          </w:p>
        </w:tc>
        <w:tc>
          <w:tcPr>
            <w:tcW w:w="980" w:type="dxa"/>
            <w:tcBorders>
              <w:bottom w:val="single" w:sz="12" w:space="0" w:color="auto"/>
            </w:tcBorders>
          </w:tcPr>
          <w:p w14:paraId="464DBA5E"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3.0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EF3878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FA34F0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399.6</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471B016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27.1</w:t>
            </w:r>
            <w:r w:rsidRPr="00682CC1">
              <w:rPr>
                <w:rFonts w:ascii="Arial" w:eastAsia="Times New Roman" w:hAnsi="Arial" w:cs="Arial"/>
                <w:bCs/>
                <w:color w:val="000000" w:themeColor="text1"/>
                <w:sz w:val="20"/>
                <w:szCs w:val="20"/>
                <w:vertAlign w:val="superscript"/>
                <w:lang w:val="en-US" w:eastAsia="fr-FR"/>
              </w:rPr>
              <w:t>a</w:t>
            </w:r>
          </w:p>
          <w:p w14:paraId="72129C8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269.6</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r w:rsidRPr="00682CC1">
              <w:rPr>
                <w:rFonts w:ascii="Arial" w:eastAsia="Times New Roman" w:hAnsi="Arial" w:cs="Arial"/>
                <w:color w:val="000000" w:themeColor="text1"/>
                <w:sz w:val="20"/>
                <w:szCs w:val="20"/>
                <w:lang w:val="en-US" w:eastAsia="fr-FR"/>
              </w:rPr>
              <w:t xml:space="preserve"> </w:t>
            </w:r>
          </w:p>
          <w:p w14:paraId="4F0C7A8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18.3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CC66F6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601.3</w:t>
            </w:r>
            <w:r w:rsidRPr="00682CC1">
              <w:rPr>
                <w:rFonts w:ascii="Arial" w:eastAsia="Times New Roman" w:hAnsi="Arial" w:cs="Arial"/>
                <w:b/>
                <w:color w:val="000000" w:themeColor="text1"/>
                <w:sz w:val="20"/>
                <w:szCs w:val="20"/>
                <w:vertAlign w:val="superscript"/>
                <w:lang w:val="en-US" w:eastAsia="fr-FR"/>
              </w:rPr>
              <w:t>b</w:t>
            </w:r>
          </w:p>
          <w:p w14:paraId="53ABB54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D55505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74.9</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r w:rsidRPr="00682CC1">
              <w:rPr>
                <w:rFonts w:ascii="Arial" w:eastAsia="Times New Roman" w:hAnsi="Arial" w:cs="Arial"/>
                <w:color w:val="000000" w:themeColor="text1"/>
                <w:sz w:val="20"/>
                <w:szCs w:val="20"/>
                <w:lang w:val="en-US" w:eastAsia="fr-FR"/>
              </w:rPr>
              <w:t xml:space="preserve"> </w:t>
            </w:r>
          </w:p>
        </w:tc>
        <w:tc>
          <w:tcPr>
            <w:tcW w:w="1134" w:type="dxa"/>
            <w:tcBorders>
              <w:bottom w:val="single" w:sz="12" w:space="0" w:color="auto"/>
            </w:tcBorders>
          </w:tcPr>
          <w:p w14:paraId="4CF8B9C7"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2.9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CFBF7E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9627FB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353.2 </w:t>
            </w:r>
            <w:r w:rsidRPr="00682CC1">
              <w:rPr>
                <w:rFonts w:ascii="Arial" w:eastAsia="Times New Roman" w:hAnsi="Arial" w:cs="Arial"/>
                <w:bCs/>
                <w:color w:val="000000" w:themeColor="text1"/>
                <w:sz w:val="20"/>
                <w:szCs w:val="20"/>
                <w:vertAlign w:val="superscript"/>
                <w:lang w:val="en-US" w:eastAsia="fr-FR"/>
              </w:rPr>
              <w:t>ab</w:t>
            </w:r>
          </w:p>
          <w:p w14:paraId="02CA297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0A62EA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237.3 </w:t>
            </w:r>
            <w:r w:rsidRPr="00682CC1">
              <w:rPr>
                <w:rFonts w:ascii="Arial" w:eastAsia="Times New Roman" w:hAnsi="Arial" w:cs="Arial"/>
                <w:bCs/>
                <w:color w:val="000000" w:themeColor="text1"/>
                <w:sz w:val="20"/>
                <w:szCs w:val="20"/>
                <w:vertAlign w:val="superscript"/>
                <w:lang w:val="en-US" w:eastAsia="fr-FR"/>
              </w:rPr>
              <w:t>ab</w:t>
            </w:r>
          </w:p>
          <w:p w14:paraId="22585D6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17.9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304847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523.5</w:t>
            </w:r>
            <w:r w:rsidRPr="00682CC1">
              <w:rPr>
                <w:rFonts w:ascii="Arial" w:eastAsia="Times New Roman" w:hAnsi="Arial" w:cs="Arial"/>
                <w:bCs/>
                <w:color w:val="000000" w:themeColor="text1"/>
                <w:sz w:val="20"/>
                <w:szCs w:val="20"/>
                <w:vertAlign w:val="superscript"/>
                <w:lang w:val="en-US" w:eastAsia="fr-FR"/>
              </w:rPr>
              <w:t>ab</w:t>
            </w:r>
          </w:p>
          <w:p w14:paraId="4F59FA8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40.0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9EDFE1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75.1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992" w:type="dxa"/>
            <w:tcBorders>
              <w:bottom w:val="single" w:sz="12" w:space="0" w:color="auto"/>
            </w:tcBorders>
          </w:tcPr>
          <w:p w14:paraId="4A389BE8"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2.7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8C1E2E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12BA18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298.1 </w:t>
            </w:r>
            <w:r w:rsidRPr="00682CC1">
              <w:rPr>
                <w:rFonts w:ascii="Arial" w:eastAsia="Times New Roman" w:hAnsi="Arial" w:cs="Arial"/>
                <w:b/>
                <w:color w:val="000000" w:themeColor="text1"/>
                <w:sz w:val="20"/>
                <w:szCs w:val="20"/>
                <w:vertAlign w:val="superscript"/>
                <w:lang w:val="en-US" w:eastAsia="fr-FR"/>
              </w:rPr>
              <w:t>a</w:t>
            </w:r>
            <w:r w:rsidRPr="00682CC1">
              <w:rPr>
                <w:rFonts w:ascii="Arial" w:eastAsia="Times New Roman" w:hAnsi="Arial" w:cs="Arial"/>
                <w:color w:val="000000" w:themeColor="text1"/>
                <w:sz w:val="20"/>
                <w:szCs w:val="20"/>
                <w:lang w:val="en-US" w:eastAsia="fr-FR"/>
              </w:rPr>
              <w:t xml:space="preserve"> </w:t>
            </w:r>
          </w:p>
          <w:p w14:paraId="41E05C3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27.0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73F395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209.1</w:t>
            </w:r>
            <w:r w:rsidRPr="00682CC1">
              <w:rPr>
                <w:rFonts w:ascii="Arial" w:eastAsia="Times New Roman" w:hAnsi="Arial" w:cs="Arial"/>
                <w:b/>
                <w:color w:val="000000" w:themeColor="text1"/>
                <w:sz w:val="20"/>
                <w:szCs w:val="20"/>
                <w:vertAlign w:val="superscript"/>
                <w:lang w:val="en-US" w:eastAsia="fr-FR"/>
              </w:rPr>
              <w:t>a</w:t>
            </w:r>
            <w:r w:rsidRPr="00682CC1">
              <w:rPr>
                <w:rFonts w:ascii="Arial" w:eastAsia="Times New Roman" w:hAnsi="Arial" w:cs="Arial"/>
                <w:color w:val="000000" w:themeColor="text1"/>
                <w:sz w:val="20"/>
                <w:szCs w:val="20"/>
                <w:lang w:val="en-US" w:eastAsia="fr-FR"/>
              </w:rPr>
              <w:t xml:space="preserve"> </w:t>
            </w:r>
          </w:p>
          <w:p w14:paraId="2F88C79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19.0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D5E53D6"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432.7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6C2FA02"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39.1</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0FDDA3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72.3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tc>
        <w:tc>
          <w:tcPr>
            <w:tcW w:w="717" w:type="dxa"/>
            <w:tcBorders>
              <w:bottom w:val="single" w:sz="12" w:space="0" w:color="auto"/>
            </w:tcBorders>
          </w:tcPr>
          <w:p w14:paraId="35A978B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41893E01"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491C7C5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28.9</w:t>
            </w:r>
          </w:p>
          <w:p w14:paraId="64D9DBA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14CBB62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18.9</w:t>
            </w:r>
          </w:p>
          <w:p w14:paraId="66171FD9"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202DBE7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37.7</w:t>
            </w:r>
          </w:p>
          <w:p w14:paraId="15EFE37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1.1</w:t>
            </w:r>
          </w:p>
          <w:p w14:paraId="2EF74EF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0.5</w:t>
            </w:r>
          </w:p>
        </w:tc>
        <w:tc>
          <w:tcPr>
            <w:tcW w:w="1129" w:type="dxa"/>
            <w:tcBorders>
              <w:bottom w:val="single" w:sz="12" w:space="0" w:color="auto"/>
              <w:right w:val="nil"/>
            </w:tcBorders>
          </w:tcPr>
          <w:p w14:paraId="609C11D2" w14:textId="77777777" w:rsidR="009678C2" w:rsidRPr="00682CC1" w:rsidRDefault="009678C2" w:rsidP="00863509">
            <w:pPr>
              <w:jc w:val="right"/>
              <w:rPr>
                <w:rFonts w:ascii="Arial" w:eastAsia="Times New Roman" w:hAnsi="Arial" w:cs="Arial"/>
                <w:i/>
                <w:iCs/>
                <w:color w:val="000000" w:themeColor="text1"/>
                <w:sz w:val="20"/>
                <w:szCs w:val="20"/>
                <w:lang w:eastAsia="fr-FR"/>
              </w:rPr>
            </w:pPr>
            <w:r w:rsidRPr="00682CC1">
              <w:rPr>
                <w:rFonts w:ascii="Arial" w:eastAsia="Times New Roman" w:hAnsi="Arial" w:cs="Arial"/>
                <w:i/>
                <w:iCs/>
                <w:color w:val="000000" w:themeColor="text1"/>
                <w:sz w:val="20"/>
                <w:szCs w:val="20"/>
                <w:lang w:eastAsia="fr-FR"/>
              </w:rPr>
              <w:t>.52</w:t>
            </w:r>
          </w:p>
          <w:p w14:paraId="5E648DD0" w14:textId="77777777" w:rsidR="009678C2" w:rsidRPr="00682CC1" w:rsidRDefault="009678C2" w:rsidP="00863509">
            <w:pPr>
              <w:jc w:val="right"/>
              <w:rPr>
                <w:rFonts w:ascii="Arial" w:eastAsia="Times New Roman" w:hAnsi="Arial" w:cs="Arial"/>
                <w:i/>
                <w:iCs/>
                <w:color w:val="000000" w:themeColor="text1"/>
                <w:sz w:val="20"/>
                <w:szCs w:val="20"/>
                <w:lang w:eastAsia="fr-FR"/>
              </w:rPr>
            </w:pPr>
            <w:r w:rsidRPr="00682CC1">
              <w:rPr>
                <w:rFonts w:ascii="Arial" w:eastAsia="Times New Roman" w:hAnsi="Arial" w:cs="Arial"/>
                <w:i/>
                <w:iCs/>
                <w:color w:val="000000" w:themeColor="text1"/>
                <w:sz w:val="20"/>
                <w:szCs w:val="20"/>
                <w:lang w:eastAsia="fr-FR"/>
              </w:rPr>
              <w:t>.3</w:t>
            </w:r>
            <w:r>
              <w:rPr>
                <w:rFonts w:ascii="Arial" w:eastAsia="Times New Roman" w:hAnsi="Arial" w:cs="Arial"/>
                <w:i/>
                <w:iCs/>
                <w:color w:val="000000" w:themeColor="text1"/>
                <w:sz w:val="20"/>
                <w:szCs w:val="20"/>
                <w:lang w:eastAsia="fr-FR"/>
              </w:rPr>
              <w:t>4</w:t>
            </w:r>
          </w:p>
          <w:p w14:paraId="52A14D5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.02</w:t>
            </w:r>
          </w:p>
          <w:p w14:paraId="111FCD5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.6</w:t>
            </w:r>
            <w:r>
              <w:rPr>
                <w:rFonts w:ascii="Arial" w:eastAsia="Times New Roman" w:hAnsi="Arial" w:cs="Arial"/>
                <w:i/>
                <w:color w:val="000000" w:themeColor="text1"/>
                <w:sz w:val="20"/>
                <w:szCs w:val="20"/>
                <w:lang w:eastAsia="fr-FR"/>
              </w:rPr>
              <w:t>9</w:t>
            </w:r>
          </w:p>
          <w:p w14:paraId="0C15E6F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3F4B43F6"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.49</w:t>
            </w:r>
          </w:p>
          <w:p w14:paraId="457B1C3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5.2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-3</w:t>
            </w:r>
          </w:p>
          <w:p w14:paraId="1EF660B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.3</w:t>
            </w:r>
            <w:r>
              <w:rPr>
                <w:rFonts w:ascii="Arial" w:eastAsia="Times New Roman" w:hAnsi="Arial" w:cs="Arial"/>
                <w:i/>
                <w:color w:val="000000" w:themeColor="text1"/>
                <w:sz w:val="20"/>
                <w:szCs w:val="20"/>
                <w:lang w:eastAsia="fr-FR"/>
              </w:rPr>
              <w:t>1</w:t>
            </w:r>
          </w:p>
          <w:p w14:paraId="6CEA2F0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2.7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tc>
      </w:tr>
    </w:tbl>
    <w:p w14:paraId="0D1F8D0C" w14:textId="77777777" w:rsidR="009678C2" w:rsidRPr="00682CC1" w:rsidRDefault="009678C2" w:rsidP="009678C2">
      <w:pPr>
        <w:ind w:left="720" w:hanging="720"/>
        <w:rPr>
          <w:rFonts w:ascii="Arial" w:hAnsi="Arial" w:cs="Arial"/>
          <w:bCs/>
          <w:iCs/>
          <w:color w:val="000000" w:themeColor="text1"/>
          <w:sz w:val="18"/>
          <w:szCs w:val="18"/>
        </w:rPr>
      </w:pPr>
      <w:r w:rsidRPr="00682CC1">
        <w:rPr>
          <w:rFonts w:ascii="Arial" w:hAnsi="Arial" w:cs="Arial"/>
          <w:bCs/>
          <w:color w:val="000000" w:themeColor="text1"/>
          <w:sz w:val="18"/>
          <w:szCs w:val="18"/>
        </w:rPr>
        <w:lastRenderedPageBreak/>
        <w:t xml:space="preserve">Note: </w:t>
      </w:r>
      <w:r w:rsidRPr="00682CC1">
        <w:rPr>
          <w:rFonts w:ascii="Arial" w:hAnsi="Arial" w:cs="Arial"/>
          <w:color w:val="000000" w:themeColor="text1"/>
          <w:sz w:val="18"/>
          <w:szCs w:val="18"/>
        </w:rPr>
        <w:t xml:space="preserve">L1: From the Atlas vertebra to the </w:t>
      </w:r>
      <w:r w:rsidRPr="00682CC1">
        <w:rPr>
          <w:rFonts w:ascii="Arial" w:hAnsi="Arial" w:cs="Arial"/>
          <w:bCs/>
          <w:iCs/>
          <w:color w:val="000000" w:themeColor="text1"/>
          <w:sz w:val="18"/>
          <w:szCs w:val="18"/>
          <w:vertAlign w:val="superscript"/>
        </w:rPr>
        <w:t xml:space="preserve">7th </w:t>
      </w:r>
      <w:r w:rsidRPr="00682CC1">
        <w:rPr>
          <w:rFonts w:ascii="Arial" w:hAnsi="Arial" w:cs="Arial"/>
          <w:bCs/>
          <w:iCs/>
          <w:color w:val="000000" w:themeColor="text1"/>
          <w:sz w:val="18"/>
          <w:szCs w:val="18"/>
        </w:rPr>
        <w:t xml:space="preserve">lumbar vertebra; L2: From the 7th </w:t>
      </w:r>
      <w:r w:rsidRPr="00682CC1">
        <w:rPr>
          <w:rFonts w:ascii="Arial" w:hAnsi="Arial" w:cs="Arial"/>
          <w:bCs/>
          <w:iCs/>
          <w:color w:val="000000" w:themeColor="text1"/>
          <w:sz w:val="18"/>
          <w:szCs w:val="18"/>
          <w:vertAlign w:val="superscript"/>
        </w:rPr>
        <w:t xml:space="preserve">lumbar </w:t>
      </w:r>
      <w:r w:rsidRPr="00682CC1">
        <w:rPr>
          <w:rFonts w:ascii="Arial" w:hAnsi="Arial" w:cs="Arial"/>
          <w:bCs/>
          <w:iCs/>
          <w:color w:val="000000" w:themeColor="text1"/>
          <w:sz w:val="18"/>
          <w:szCs w:val="18"/>
        </w:rPr>
        <w:t>vertebra to the end of the ischium bone;</w:t>
      </w:r>
    </w:p>
    <w:p w14:paraId="0E72C786" w14:textId="77777777" w:rsidR="009678C2" w:rsidRPr="00682CC1" w:rsidRDefault="009678C2" w:rsidP="009678C2">
      <w:pPr>
        <w:ind w:firstLine="709"/>
        <w:rPr>
          <w:rFonts w:ascii="Arial" w:hAnsi="Arial" w:cs="Arial"/>
          <w:bCs/>
          <w:iCs/>
          <w:color w:val="000000" w:themeColor="text1"/>
          <w:sz w:val="18"/>
          <w:szCs w:val="18"/>
        </w:rPr>
      </w:pPr>
      <w:r w:rsidRPr="00682CC1">
        <w:rPr>
          <w:rFonts w:ascii="Arial" w:hAnsi="Arial" w:cs="Arial"/>
          <w:color w:val="000000" w:themeColor="text1"/>
          <w:sz w:val="18"/>
          <w:szCs w:val="18"/>
        </w:rPr>
        <w:t>SEM: Standard Error of the Mean</w:t>
      </w:r>
    </w:p>
    <w:p w14:paraId="645D2210" w14:textId="77777777" w:rsidR="0096124F" w:rsidRPr="009678C2" w:rsidRDefault="009678C2" w:rsidP="009678C2">
      <w:pPr>
        <w:ind w:firstLine="720"/>
        <w:rPr>
          <w:rFonts w:ascii="Arial" w:hAnsi="Arial" w:cs="Arial"/>
          <w:color w:val="000000" w:themeColor="text1"/>
          <w:sz w:val="18"/>
          <w:szCs w:val="18"/>
        </w:rPr>
      </w:pPr>
      <w:proofErr w:type="gramStart"/>
      <w:r w:rsidRPr="00682CC1">
        <w:rPr>
          <w:rFonts w:ascii="Arial" w:hAnsi="Arial" w:cs="Arial"/>
          <w:b/>
          <w:sz w:val="18"/>
          <w:szCs w:val="18"/>
          <w:vertAlign w:val="superscript"/>
        </w:rPr>
        <w:t>a ,</w:t>
      </w:r>
      <w:proofErr w:type="gramEnd"/>
      <w:r w:rsidRPr="00682CC1">
        <w:rPr>
          <w:rFonts w:ascii="Arial" w:hAnsi="Arial" w:cs="Arial"/>
          <w:b/>
          <w:sz w:val="18"/>
          <w:szCs w:val="18"/>
          <w:vertAlign w:val="superscript"/>
        </w:rPr>
        <w:t xml:space="preserve"> </w:t>
      </w:r>
      <w:proofErr w:type="gramStart"/>
      <w:r w:rsidRPr="00682CC1">
        <w:rPr>
          <w:rFonts w:ascii="Arial" w:hAnsi="Arial" w:cs="Arial"/>
          <w:b/>
          <w:sz w:val="18"/>
          <w:szCs w:val="18"/>
          <w:vertAlign w:val="superscript"/>
        </w:rPr>
        <w:t xml:space="preserve">b </w:t>
      </w:r>
      <w:r w:rsidRPr="00682CC1">
        <w:rPr>
          <w:rFonts w:ascii="Arial" w:hAnsi="Arial" w:cs="Arial"/>
          <w:b/>
          <w:sz w:val="18"/>
          <w:szCs w:val="18"/>
        </w:rPr>
        <w:t>:</w:t>
      </w:r>
      <w:proofErr w:type="gramEnd"/>
      <w:r w:rsidRPr="00682CC1">
        <w:rPr>
          <w:rFonts w:ascii="Arial" w:hAnsi="Arial" w:cs="Arial"/>
          <w:b/>
          <w:sz w:val="18"/>
          <w:szCs w:val="18"/>
        </w:rPr>
        <w:t xml:space="preserve"> </w:t>
      </w:r>
      <w:r w:rsidRPr="00682CC1">
        <w:rPr>
          <w:rFonts w:ascii="Arial" w:hAnsi="Arial" w:cs="Arial"/>
          <w:sz w:val="18"/>
          <w:szCs w:val="18"/>
        </w:rPr>
        <w:t>the values of a line having different superscript letters are different at the threshold of 5%</w:t>
      </w:r>
    </w:p>
    <w:p w14:paraId="63F0BD77" w14:textId="77777777" w:rsidR="0096124F" w:rsidRPr="00DB72BE" w:rsidRDefault="0096124F" w:rsidP="0096124F">
      <w:pPr>
        <w:jc w:val="both"/>
        <w:rPr>
          <w:rFonts w:ascii="Arial" w:hAnsi="Arial" w:cs="Arial"/>
        </w:rPr>
      </w:pPr>
    </w:p>
    <w:p w14:paraId="25A16F86" w14:textId="77777777" w:rsidR="00DB72BE" w:rsidRPr="00DB72BE" w:rsidRDefault="00DB72BE" w:rsidP="00DB72BE">
      <w:pPr>
        <w:jc w:val="both"/>
        <w:rPr>
          <w:rFonts w:ascii="Arial" w:hAnsi="Arial" w:cs="Arial"/>
          <w:b/>
          <w:bCs/>
        </w:rPr>
      </w:pPr>
      <w:r w:rsidRPr="00DB72BE">
        <w:rPr>
          <w:rFonts w:ascii="Arial" w:hAnsi="Arial" w:cs="Arial"/>
          <w:b/>
          <w:bCs/>
        </w:rPr>
        <w:t>3.</w:t>
      </w:r>
      <w:r>
        <w:rPr>
          <w:rFonts w:ascii="Arial" w:hAnsi="Arial" w:cs="Arial"/>
          <w:b/>
          <w:bCs/>
        </w:rPr>
        <w:t>2</w:t>
      </w:r>
      <w:r w:rsidRPr="00DB72BE">
        <w:rPr>
          <w:rFonts w:ascii="Arial" w:hAnsi="Arial" w:cs="Arial"/>
          <w:b/>
          <w:bCs/>
        </w:rPr>
        <w:t xml:space="preserve">. </w:t>
      </w:r>
      <w:r>
        <w:rPr>
          <w:rFonts w:ascii="Arial" w:hAnsi="Arial" w:cs="Arial"/>
          <w:b/>
          <w:bCs/>
        </w:rPr>
        <w:t>Discussion</w:t>
      </w:r>
    </w:p>
    <w:p w14:paraId="3D4033BB" w14:textId="77777777" w:rsidR="00DB72BE" w:rsidRDefault="00DB72BE" w:rsidP="00441B6F">
      <w:pPr>
        <w:pStyle w:val="Head1"/>
        <w:spacing w:after="0"/>
        <w:jc w:val="both"/>
        <w:rPr>
          <w:rFonts w:ascii="Arial" w:hAnsi="Arial" w:cs="Arial"/>
        </w:rPr>
      </w:pPr>
    </w:p>
    <w:p w14:paraId="630D74C8" w14:textId="77777777" w:rsidR="00DB72BE" w:rsidRPr="00DB72BE" w:rsidRDefault="00DB72BE" w:rsidP="00DB72BE">
      <w:pPr>
        <w:jc w:val="both"/>
        <w:rPr>
          <w:rFonts w:ascii="Arial" w:hAnsi="Arial" w:cs="Arial"/>
        </w:rPr>
      </w:pPr>
      <w:r w:rsidRPr="00DB72BE">
        <w:rPr>
          <w:rFonts w:ascii="Arial" w:hAnsi="Arial" w:cs="Arial"/>
        </w:rPr>
        <w:t xml:space="preserve">From the beginning to the end of the experiment, no mortality was recorded in the three groups of animals. This result confirms that the range of </w:t>
      </w:r>
      <w:proofErr w:type="spellStart"/>
      <w:r w:rsidRPr="00DB72BE">
        <w:rPr>
          <w:rFonts w:ascii="Arial" w:hAnsi="Arial" w:cs="Arial"/>
        </w:rPr>
        <w:t>fibre</w:t>
      </w:r>
      <w:proofErr w:type="spellEnd"/>
      <w:r w:rsidRPr="00DB72BE">
        <w:rPr>
          <w:rFonts w:ascii="Arial" w:hAnsi="Arial" w:cs="Arial"/>
        </w:rPr>
        <w:t xml:space="preserve"> levels considered in this study is favorable to good digestive health of young cane rat.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noted several cases of morbidity and mortality of young cane rats for diets containing less than 12% ADF. Indeed, the enzymatic hydrolysis of </w:t>
      </w:r>
      <w:proofErr w:type="spellStart"/>
      <w:r w:rsidRPr="00DB72BE">
        <w:rPr>
          <w:rFonts w:ascii="Arial" w:hAnsi="Arial" w:cs="Arial"/>
        </w:rPr>
        <w:t>fibres</w:t>
      </w:r>
      <w:proofErr w:type="spellEnd"/>
      <w:r w:rsidRPr="00DB72BE">
        <w:rPr>
          <w:rFonts w:ascii="Arial" w:hAnsi="Arial" w:cs="Arial"/>
        </w:rPr>
        <w:t xml:space="preserve"> produces metabolites which influence the environment through a prebiotic effect. </w:t>
      </w:r>
      <w:proofErr w:type="spellStart"/>
      <w:r w:rsidRPr="00DB72BE">
        <w:rPr>
          <w:rFonts w:ascii="Arial" w:hAnsi="Arial" w:cs="Arial"/>
        </w:rPr>
        <w:t>Fibres</w:t>
      </w:r>
      <w:proofErr w:type="spellEnd"/>
      <w:r w:rsidRPr="00DB72BE">
        <w:rPr>
          <w:rFonts w:ascii="Arial" w:hAnsi="Arial" w:cs="Arial"/>
        </w:rPr>
        <w:t xml:space="preserve"> create advantageous conditions for non-pathogenic microorganisms while limiting the proliferation of pathogenic microorganisms </w:t>
      </w:r>
      <w:r w:rsidRPr="00DB72BE">
        <w:rPr>
          <w:rFonts w:ascii="Arial" w:hAnsi="Arial" w:cs="Arial"/>
        </w:rPr>
        <w:fldChar w:fldCharType="begin"/>
      </w:r>
      <w:r w:rsidRPr="00DB72BE">
        <w:rPr>
          <w:rFonts w:ascii="Arial" w:hAnsi="Arial" w:cs="Arial"/>
        </w:rPr>
        <w:instrText xml:space="preserve"> ADDIN EN.CITE &lt;EndNote&gt;&lt;Cite&gt;&lt;Author&gt;Lu&lt;/Author&gt;&lt;Year&gt;2016&lt;/Year&gt;&lt;RecNum&gt;226&lt;/RecNum&gt;&lt;DisplayText&gt;(Lu&lt;style face="italic"&gt; et al.&lt;/style&gt;, 2016)&lt;/DisplayText&gt;&lt;record&gt;&lt;rec-number&gt;226&lt;/rec-number&gt;&lt;foreign-keys&gt;&lt;key app="EN" db-id="dpparrfel2902nedxxjp925z9ttze0pa295e" timestamp="0"&gt;226&lt;/key&gt;&lt;/foreign-keys&gt;&lt;ref-type name="Journal Article"&gt;17&lt;/ref-type&gt;&lt;contributors&gt;&lt;authors&gt;&lt;author&gt;Lu, H.&lt;/author&gt;&lt;author&gt;Preynat, A.&lt;/author&gt;&lt;author&gt;Geraert, P. A.&lt;/author&gt;&lt;author&gt;Adeola, O.&lt;/author&gt;&lt;author&gt;Ajuwon, K. M.&lt;/author&gt;&lt;/authors&gt;&lt;/contributors&gt;&lt;titles&gt;&lt;title&gt;Effects of dietary supplementation of exogenous multi-enzyme mixture containing carbohydrases and phytase on growth performance, energy and nutrient digestibility, and selected mucosal gene expression in the small intestine of weanling pigs fed nutrient deficient diets&lt;/title&gt;&lt;secondary-title&gt;Can. J. Anim. Sci.&lt;/secondary-title&gt;&lt;/titles&gt;&lt;pages&gt;243</w:instrText>
      </w:r>
      <w:r w:rsidRPr="00DB72BE">
        <w:rPr>
          <w:rFonts w:ascii="Cambria Math" w:hAnsi="Cambria Math" w:cs="Cambria Math"/>
        </w:rPr>
        <w:instrText>‑</w:instrText>
      </w:r>
      <w:r w:rsidRPr="00DB72BE">
        <w:rPr>
          <w:rFonts w:ascii="Arial" w:hAnsi="Arial" w:cs="Arial"/>
        </w:rPr>
        <w:instrText>251&lt;/pages&gt;&lt;volume&gt;96&lt;/volume&gt;&lt;dates&gt;&lt;year&gt;2016&lt;/year&gt;&lt;/dates&gt;&lt;urls&gt;&lt;/urls&gt;&lt;/record&gt;&lt;/Cite&gt;&lt;/EndNote&gt;</w:instrText>
      </w:r>
      <w:r w:rsidRPr="00DB72BE">
        <w:rPr>
          <w:rFonts w:ascii="Arial" w:hAnsi="Arial" w:cs="Arial"/>
        </w:rPr>
        <w:fldChar w:fldCharType="separate"/>
      </w:r>
      <w:r w:rsidRPr="00DB72BE">
        <w:rPr>
          <w:rFonts w:ascii="Arial" w:hAnsi="Arial" w:cs="Arial"/>
        </w:rPr>
        <w:t>(Lu et al., 2016)</w:t>
      </w:r>
      <w:r w:rsidRPr="00DB72BE">
        <w:rPr>
          <w:rFonts w:ascii="Arial" w:hAnsi="Arial" w:cs="Arial"/>
        </w:rPr>
        <w:fldChar w:fldCharType="end"/>
      </w:r>
      <w:r w:rsidRPr="00DB72BE">
        <w:rPr>
          <w:rFonts w:ascii="Arial" w:hAnsi="Arial" w:cs="Arial"/>
        </w:rPr>
        <w:t xml:space="preserve">. The health of the animal is thus improved. </w:t>
      </w:r>
      <w:r w:rsidRPr="00DB72BE">
        <w:rPr>
          <w:rFonts w:ascii="Arial" w:hAnsi="Arial" w:cs="Arial"/>
        </w:rPr>
        <w:fldChar w:fldCharType="begin"/>
      </w:r>
      <w:r w:rsidRPr="00DB72BE">
        <w:rPr>
          <w:rFonts w:ascii="Arial" w:hAnsi="Arial" w:cs="Arial"/>
        </w:rPr>
        <w:instrText xml:space="preserve"> ADDIN EN.CITE &lt;EndNote&gt;&lt;Cite AuthorYear="1"&gt;&lt;Author&gt;Rao&lt;/Author&gt;&lt;Year&gt;2024&lt;/Year&gt;&lt;RecNum&gt;13&lt;/RecNum&gt;&lt;DisplayText&gt;Rao&lt;style face="italic"&gt; et al.&lt;/style&gt; (2024)&lt;/DisplayText&gt;&lt;record&gt;&lt;rec-number&gt;13&lt;/rec-number&gt;&lt;foreign-keys&gt;&lt;key app="EN" db-id="95rwdpepzf52eae2e5dxxrxwasafevedepw0" timestamp="1773693189"&gt;13&lt;/key&gt;&lt;/foreign-keys&gt;&lt;ref-type name="Journal Article"&gt;17&lt;/ref-type&gt;&lt;contributors&gt;&lt;authors&gt;&lt;author&gt;Rao, Zhiyong&lt;/author&gt;&lt;author&gt;Li, Yue&lt;/author&gt;&lt;author&gt;Yang, Xiaopeng&lt;/author&gt;&lt;author&gt;Guo, Yongpeng&lt;/author&gt;&lt;author&gt;Zhang, Wei&lt;/author&gt;&lt;author&gt;Wang, Zhixiang&lt;/author&gt;&lt;/authors&gt;&lt;/contributors&gt;&lt;titles&gt;&lt;title&gt;Diet xylo-oligosaccharide supplementation improves growth performance, immune function, and intestinal health of broilers&lt;/title&gt;&lt;secondary-title&gt;Animal Nutrition&lt;/secondary-title&gt;&lt;/titles&gt;&lt;periodical&gt;&lt;full-title&gt;Animal Nutrition&lt;/full-title&gt;&lt;/periodical&gt;&lt;pages&gt;165-176&lt;/pages&gt;&lt;volume&gt;17&lt;/volume&gt;&lt;keywords&gt;&lt;keyword&gt;Xylo-oligosaccharide&lt;/keyword&gt;&lt;keyword&gt;Growth performance&lt;/keyword&gt;&lt;keyword&gt;Intestinal health&lt;/keyword&gt;&lt;keyword&gt;Immunity&lt;/keyword&gt;&lt;keyword&gt;Broiler&lt;/keyword&gt;&lt;/keywords&gt;&lt;dates&gt;&lt;year&gt;2024&lt;/year&gt;&lt;pub-dates&gt;&lt;date&gt;2024/06/01/&lt;/date&gt;&lt;/pub-dates&gt;&lt;/dates&gt;&lt;isbn&gt;2405-6545&lt;/isbn&gt;&lt;urls&gt;&lt;related-urls&gt;&lt;url&gt;https://www.sciencedirect.com/science/article/pii/S2405654524000088&lt;/url&gt;&lt;/related-urls&gt;&lt;/urls&gt;&lt;electronic-resource-num&gt;10.1016/j.aninu.2024.01.004&lt;/electronic-resource-num&gt;&lt;/record&gt;&lt;/Cite&gt;&lt;/EndNote&gt;</w:instrText>
      </w:r>
      <w:r w:rsidRPr="00DB72BE">
        <w:rPr>
          <w:rFonts w:ascii="Arial" w:hAnsi="Arial" w:cs="Arial"/>
        </w:rPr>
        <w:fldChar w:fldCharType="separate"/>
      </w:r>
      <w:r w:rsidRPr="00DB72BE">
        <w:rPr>
          <w:rFonts w:ascii="Arial" w:hAnsi="Arial" w:cs="Arial"/>
        </w:rPr>
        <w:t>Rao et al. (2024)</w:t>
      </w:r>
      <w:r w:rsidRPr="00DB72BE">
        <w:rPr>
          <w:rFonts w:ascii="Arial" w:hAnsi="Arial" w:cs="Arial"/>
        </w:rPr>
        <w:fldChar w:fldCharType="end"/>
      </w:r>
      <w:r w:rsidRPr="00DB72BE">
        <w:rPr>
          <w:rFonts w:ascii="Arial" w:hAnsi="Arial" w:cs="Arial"/>
        </w:rPr>
        <w:t xml:space="preserve"> found that dietary supplementation with xylo-oligosaccharides (XOS), metabolites derived from </w:t>
      </w:r>
      <w:proofErr w:type="spellStart"/>
      <w:r w:rsidRPr="00DB72BE">
        <w:rPr>
          <w:rFonts w:ascii="Arial" w:hAnsi="Arial" w:cs="Arial"/>
        </w:rPr>
        <w:t>xylan</w:t>
      </w:r>
      <w:proofErr w:type="spellEnd"/>
      <w:r w:rsidRPr="00DB72BE">
        <w:rPr>
          <w:rFonts w:ascii="Arial" w:hAnsi="Arial" w:cs="Arial"/>
        </w:rPr>
        <w:t xml:space="preserve"> hydrolysis, improves growth performance, gut health and exerts positive effects on immune parameters in broilers. </w:t>
      </w:r>
    </w:p>
    <w:p w14:paraId="1646136C" w14:textId="77777777" w:rsidR="00DB72BE" w:rsidRPr="00DB72BE" w:rsidRDefault="00DB72BE" w:rsidP="00DB72BE">
      <w:pPr>
        <w:jc w:val="both"/>
        <w:rPr>
          <w:rFonts w:ascii="Arial" w:hAnsi="Arial" w:cs="Arial"/>
        </w:rPr>
      </w:pPr>
      <w:r w:rsidRPr="00DB72BE">
        <w:rPr>
          <w:rFonts w:ascii="Arial" w:hAnsi="Arial" w:cs="Arial"/>
        </w:rPr>
        <w:t xml:space="preserve">The cane rat increased its feed intake when the </w:t>
      </w:r>
      <w:proofErr w:type="spellStart"/>
      <w:r w:rsidRPr="00DB72BE">
        <w:rPr>
          <w:rFonts w:ascii="Arial" w:hAnsi="Arial" w:cs="Arial"/>
        </w:rPr>
        <w:t>fibre</w:t>
      </w:r>
      <w:proofErr w:type="spellEnd"/>
      <w:r w:rsidRPr="00DB72BE">
        <w:rPr>
          <w:rFonts w:ascii="Arial" w:hAnsi="Arial" w:cs="Arial"/>
        </w:rPr>
        <w:t xml:space="preserve"> level increased in the diet. The increase in feed intake with the increase in the </w:t>
      </w:r>
      <w:proofErr w:type="spellStart"/>
      <w:r w:rsidRPr="00DB72BE">
        <w:rPr>
          <w:rFonts w:ascii="Arial" w:hAnsi="Arial" w:cs="Arial"/>
        </w:rPr>
        <w:t>fibre</w:t>
      </w:r>
      <w:proofErr w:type="spellEnd"/>
      <w:r w:rsidRPr="00DB72BE">
        <w:rPr>
          <w:rFonts w:ascii="Arial" w:hAnsi="Arial" w:cs="Arial"/>
        </w:rPr>
        <w:t xml:space="preserve"> level in the diet is justified by the reduction in digestible energy. When the feed contains enough energy and low </w:t>
      </w:r>
      <w:proofErr w:type="spellStart"/>
      <w:r w:rsidRPr="00DB72BE">
        <w:rPr>
          <w:rFonts w:ascii="Arial" w:hAnsi="Arial" w:cs="Arial"/>
        </w:rPr>
        <w:t>fibre</w:t>
      </w:r>
      <w:proofErr w:type="spellEnd"/>
      <w:r w:rsidRPr="00DB72BE">
        <w:rPr>
          <w:rFonts w:ascii="Arial" w:hAnsi="Arial" w:cs="Arial"/>
        </w:rPr>
        <w:t xml:space="preserve"> content, animals consume little feed to meet their energy needs. If necessary, they increase their feed intake to compensate for the low energy concentration of the feed </w:t>
      </w:r>
      <w:r w:rsidRPr="00DB72BE">
        <w:rPr>
          <w:rFonts w:ascii="Arial" w:hAnsi="Arial" w:cs="Arial"/>
        </w:rPr>
        <w:fldChar w:fldCharType="begin">
          <w:fldData xml:space="preserve">PEVuZE5vdGU+PENpdGU+PEF1dGhvcj5HaWRlbm5lPC9BdXRob3I+PFllYXI+MjAxOTwvWWVhcj48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=
</w:fldData>
        </w:fldChar>
      </w:r>
      <w:r w:rsidRPr="00DB72BE">
        <w:rPr>
          <w:rFonts w:ascii="Arial" w:hAnsi="Arial" w:cs="Arial"/>
        </w:rPr>
        <w:instrText xml:space="preserve"> ADDIN EN.CITE </w:instrText>
      </w:r>
      <w:r w:rsidRPr="00DB72BE">
        <w:rPr>
          <w:rFonts w:ascii="Arial" w:hAnsi="Arial" w:cs="Arial"/>
        </w:rPr>
        <w:fldChar w:fldCharType="begin">
          <w:fldData xml:space="preserve">PEVuZE5vdGU+PENpdGU+PEF1dGhvcj5HaWRlbm5lPC9BdXRob3I+PFllYXI+MjAxOTwvWWVhcj48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=
</w:fldData>
        </w:fldChar>
      </w:r>
      <w:r w:rsidRPr="00DB72BE">
        <w:rPr>
          <w:rFonts w:ascii="Arial" w:hAnsi="Arial" w:cs="Arial"/>
        </w:rPr>
        <w:instrText xml:space="preserve"> ADDIN EN.CITE.DATA </w:instrText>
      </w:r>
      <w:r w:rsidRPr="00DB72BE">
        <w:rPr>
          <w:rFonts w:ascii="Arial" w:hAnsi="Arial" w:cs="Arial"/>
        </w:rPr>
      </w:r>
      <w:r w:rsidRPr="00DB72BE">
        <w:rPr>
          <w:rFonts w:ascii="Arial" w:hAnsi="Arial" w:cs="Arial"/>
        </w:rPr>
        <w:fldChar w:fldCharType="end"/>
      </w:r>
      <w:r w:rsidRPr="00DB72BE">
        <w:rPr>
          <w:rFonts w:ascii="Arial" w:hAnsi="Arial" w:cs="Arial"/>
        </w:rPr>
      </w:r>
      <w:r w:rsidRPr="00DB72BE">
        <w:rPr>
          <w:rFonts w:ascii="Arial" w:hAnsi="Arial" w:cs="Arial"/>
        </w:rPr>
        <w:fldChar w:fldCharType="separate"/>
      </w:r>
      <w:r w:rsidRPr="00DB72BE">
        <w:rPr>
          <w:rFonts w:ascii="Arial" w:hAnsi="Arial" w:cs="Arial"/>
        </w:rPr>
        <w:t>(Mandey et al., 2017; Gidenne et al., 2019; Lee et al., 2024)</w:t>
      </w:r>
      <w:r w:rsidRPr="00DB72BE">
        <w:rPr>
          <w:rFonts w:ascii="Arial" w:hAnsi="Arial" w:cs="Arial"/>
        </w:rPr>
        <w:fldChar w:fldCharType="end"/>
      </w:r>
      <w:r w:rsidRPr="00DB72BE">
        <w:rPr>
          <w:rFonts w:ascii="Arial" w:hAnsi="Arial" w:cs="Arial"/>
        </w:rPr>
        <w:t xml:space="preserve">. The feed intake values recorded in this study are similar to those obtained by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In addition, they are lower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AuthorYear="1"&gt;&lt;Author&gt;Alla&lt;/Author&gt;&lt;Year&gt;2017&lt;/Year&gt;&lt;RecNum&gt;3&lt;/RecNum&gt;&lt;DisplayText&gt;Alla&lt;style face="italic"&gt; et al.&lt;/style&gt; (2017)&lt;/DisplayText&gt;&lt;record&gt;&lt;rec-number&gt;3&lt;/rec-number&gt;&lt;foreign-keys&gt;&lt;key app="EN" db-id="95rwdpepzf52eae2e5dxxrxwasafevedepw0" timestamp="1773691577"&gt;3&lt;/key&gt;&lt;/foreign-keys&gt;&lt;ref-type name="Journal Article"&gt;17&lt;/ref-type&gt;&lt;contributors&gt;&lt;authors&gt;&lt;author&gt;Alla, Konan Jean Bedel&lt;/author&gt;&lt;author&gt;Yapi, Yapo Magloire&lt;/author&gt;&lt;author&gt;Kimsé, Moussa&lt;/author&gt;&lt;author&gt;Soro, Dofara&lt;/author&gt;&lt;author&gt;Yapi, Jean Noel&lt;/author&gt;&lt;author&gt;Otchoumou, Atcho&lt;/author&gt;&lt;/authors&gt;&lt;/contributors&gt;&lt;titles&gt;&lt;title&gt;&lt;style face="normal" font="default" size="100%"&gt;Determination Du Niveau De Fibres Dans L&amp;apos;aliment Granule Chez L&amp;apos;aulacodine (&lt;/style&gt;&lt;style face="italic" font="default" size="100%"&gt;Thryonomys Swinderianus&lt;/style&gt;&lt;style face="normal" font="default" size="100%"&gt;, Temminck 1827): Impacts Sur Les Performances Zootechniques&lt;/style&gt;&lt;/title&gt;&lt;secondary-title&gt;European Scientific Journal&lt;/secondary-title&gt;&lt;/titles&gt;&lt;periodical&gt;&lt;full-title&gt;European Scientific Journal&lt;/full-title&gt;&lt;/periodical&gt;&lt;pages&gt;212-226&lt;/pages&gt;&lt;volume&gt;13&lt;/volume&gt;&lt;number&gt;9&lt;/number&gt;&lt;dates&gt;&lt;year&gt;2017&lt;/year&gt;&lt;/dates&gt;&lt;isbn&gt;1857-7881&lt;/isbn&gt;&lt;urls&gt;&lt;/urls&gt;&lt;electronic-resource-num&gt;10.19044/esj.2017.v13n9p212&lt;/electronic-resource-num&gt;&lt;/record&gt;&lt;/Cite&gt;&lt;/EndNote&gt;</w:instrText>
      </w:r>
      <w:r w:rsidRPr="00DB72BE">
        <w:rPr>
          <w:rFonts w:ascii="Arial" w:hAnsi="Arial" w:cs="Arial"/>
        </w:rPr>
        <w:fldChar w:fldCharType="separate"/>
      </w:r>
      <w:r w:rsidRPr="00DB72BE">
        <w:rPr>
          <w:rFonts w:ascii="Arial" w:hAnsi="Arial" w:cs="Arial"/>
        </w:rPr>
        <w:t>Alla et al. (2017)</w:t>
      </w:r>
      <w:r w:rsidRPr="00DB72BE">
        <w:rPr>
          <w:rFonts w:ascii="Arial" w:hAnsi="Arial" w:cs="Arial"/>
        </w:rPr>
        <w:fldChar w:fldCharType="end"/>
      </w:r>
      <w:r w:rsidRPr="00DB72BE">
        <w:rPr>
          <w:rFonts w:ascii="Arial" w:hAnsi="Arial" w:cs="Arial"/>
        </w:rPr>
        <w:t xml:space="preserve"> (111 to 119 g). This author used pelleted feeds containing more </w:t>
      </w:r>
      <w:proofErr w:type="spellStart"/>
      <w:r w:rsidRPr="00DB72BE">
        <w:rPr>
          <w:rFonts w:ascii="Arial" w:hAnsi="Arial" w:cs="Arial"/>
        </w:rPr>
        <w:t>fibre</w:t>
      </w:r>
      <w:proofErr w:type="spellEnd"/>
      <w:r w:rsidRPr="00DB72BE">
        <w:rPr>
          <w:rFonts w:ascii="Arial" w:hAnsi="Arial" w:cs="Arial"/>
        </w:rPr>
        <w:t xml:space="preserve"> (22 to 24% ADF) than in this study. </w:t>
      </w:r>
    </w:p>
    <w:p w14:paraId="1963C5E4" w14:textId="77777777" w:rsidR="00DB72BE" w:rsidRPr="00DB72BE" w:rsidRDefault="00DB72BE" w:rsidP="00DB72BE">
      <w:pPr>
        <w:jc w:val="both"/>
        <w:rPr>
          <w:rFonts w:ascii="Arial" w:hAnsi="Arial" w:cs="Arial"/>
        </w:rPr>
      </w:pPr>
      <w:r w:rsidRPr="00DB72BE">
        <w:rPr>
          <w:rFonts w:ascii="Arial" w:hAnsi="Arial" w:cs="Arial"/>
        </w:rPr>
        <w:t xml:space="preserve">Nutrient digestibility decreased with increasing </w:t>
      </w:r>
      <w:proofErr w:type="spellStart"/>
      <w:r w:rsidRPr="00DB72BE">
        <w:rPr>
          <w:rFonts w:ascii="Arial" w:hAnsi="Arial" w:cs="Arial"/>
        </w:rPr>
        <w:t>fibre</w:t>
      </w:r>
      <w:proofErr w:type="spellEnd"/>
      <w:r w:rsidRPr="00DB72BE">
        <w:rPr>
          <w:rFonts w:ascii="Arial" w:hAnsi="Arial" w:cs="Arial"/>
        </w:rPr>
        <w:t xml:space="preserve"> levels in the feed. Indeed, the structure of the </w:t>
      </w:r>
      <w:proofErr w:type="spellStart"/>
      <w:r w:rsidRPr="00DB72BE">
        <w:rPr>
          <w:rFonts w:ascii="Arial" w:hAnsi="Arial" w:cs="Arial"/>
        </w:rPr>
        <w:t>fibres</w:t>
      </w:r>
      <w:proofErr w:type="spellEnd"/>
      <w:r w:rsidRPr="00DB72BE">
        <w:rPr>
          <w:rFonts w:ascii="Arial" w:hAnsi="Arial" w:cs="Arial"/>
        </w:rPr>
        <w:t xml:space="preserve"> reduces the access of substrates to digestive enzymes through an encapsulation effect. Also, increasing the level of </w:t>
      </w:r>
      <w:proofErr w:type="spellStart"/>
      <w:r w:rsidRPr="00DB72BE">
        <w:rPr>
          <w:rFonts w:ascii="Arial" w:hAnsi="Arial" w:cs="Arial"/>
        </w:rPr>
        <w:t>fibre</w:t>
      </w:r>
      <w:proofErr w:type="spellEnd"/>
      <w:r w:rsidRPr="00DB72BE">
        <w:rPr>
          <w:rFonts w:ascii="Arial" w:hAnsi="Arial" w:cs="Arial"/>
        </w:rPr>
        <w:t xml:space="preserve"> accelerates digestive transit and accentuates enzymatic secretions in the digestive tract during digestion. This increase in transit causes an endogenous loss of some nutrients; thus, affecting their digestibility </w:t>
      </w:r>
      <w:r w:rsidRPr="00DB72BE">
        <w:rPr>
          <w:rFonts w:ascii="Arial" w:hAnsi="Arial" w:cs="Arial"/>
        </w:rPr>
        <w:fldChar w:fldCharType="begin"/>
      </w:r>
      <w:r w:rsidRPr="00DB72BE">
        <w:rPr>
          <w:rFonts w:ascii="Arial" w:hAnsi="Arial" w:cs="Arial"/>
        </w:rPr>
        <w:instrText xml:space="preserve"> ADDIN EN.CITE &lt;EndNote&gt;&lt;Cite&gt;&lt;Author&gt;Bedford&lt;/Author&gt;&lt;Year&gt;2024&lt;/Year&gt;&lt;RecNum&gt;4&lt;/RecNum&gt;&lt;DisplayText&gt;(Bedford&lt;style face="italic"&gt; et al.&lt;/style&gt;, 2024)&lt;/DisplayText&gt;&lt;record&gt;&lt;rec-number&gt;4&lt;/rec-number&gt;&lt;foreign-keys&gt;&lt;key app="EN" db-id="95rwdpepzf52eae2e5dxxrxwasafevedepw0" timestamp="1773691876"&gt;4&lt;/key&gt;&lt;/foreign-keys&gt;&lt;ref-type name="Journal Article"&gt;17&lt;/ref-type&gt;&lt;contributors&gt;&lt;authors&gt;&lt;author&gt;Bedford, Michael R.&lt;/author&gt;&lt;author&gt;Svihus, Birger&lt;/author&gt;&lt;author&gt;Cowieson, Aaron J.&lt;/author&gt;&lt;/authors&gt;&lt;/contributors&gt;&lt;titles&gt;&lt;title&gt;Dietary fibre effects and the interplay with exogenous carbohydrases in poultry nutrition&lt;/title&gt;&lt;secondary-title&gt;Animal Nutrition&lt;/secondary-title&gt;&lt;/titles&gt;&lt;periodical&gt;&lt;full-title&gt;Animal Nutrition&lt;/full-title&gt;&lt;/periodical&gt;&lt;pages&gt;231-240&lt;/pages&gt;&lt;volume&gt;16&lt;/volume&gt;&lt;keywords&gt;&lt;keyword&gt;Fibre&lt;/keyword&gt;&lt;keyword&gt;Carbohydrase&lt;/keyword&gt;&lt;keyword&gt;Nutrition&lt;/keyword&gt;&lt;keyword&gt;Microbiome&lt;/keyword&gt;&lt;keyword&gt;Gastro-intestinal development&lt;/keyword&gt;&lt;keyword&gt;Feed&lt;/keyword&gt;&lt;/keywords&gt;&lt;dates&gt;&lt;year&gt;2024&lt;/year&gt;&lt;pub-dates&gt;&lt;date&gt;2024/03/01/&lt;/date&gt;&lt;/pub-dates&gt;&lt;/dates&gt;&lt;isbn&gt;2405-6545&lt;/isbn&gt;&lt;urls&gt;&lt;related-urls&gt;&lt;url&gt;https://www.sciencedirect.com/science/article/pii/S2405654523001440&lt;/url&gt;&lt;/related-urls&gt;&lt;/urls&gt;&lt;electronic-resource-num&gt;10.1016/j.aninu.2023.09.007&lt;/electronic-resource-num&gt;&lt;/record&gt;&lt;/Cite&gt;&lt;/EndNote&gt;</w:instrText>
      </w:r>
      <w:r w:rsidRPr="00DB72BE">
        <w:rPr>
          <w:rFonts w:ascii="Arial" w:hAnsi="Arial" w:cs="Arial"/>
        </w:rPr>
        <w:fldChar w:fldCharType="separate"/>
      </w:r>
      <w:r w:rsidRPr="00DB72BE">
        <w:rPr>
          <w:rFonts w:ascii="Arial" w:hAnsi="Arial" w:cs="Arial"/>
        </w:rPr>
        <w:t>(Bedford et al., 2024)</w:t>
      </w:r>
      <w:r w:rsidRPr="00DB72BE">
        <w:rPr>
          <w:rFonts w:ascii="Arial" w:hAnsi="Arial" w:cs="Arial"/>
        </w:rPr>
        <w:fldChar w:fldCharType="end"/>
      </w:r>
      <w:r w:rsidRPr="00DB72BE">
        <w:rPr>
          <w:rFonts w:ascii="Arial" w:hAnsi="Arial" w:cs="Arial"/>
        </w:rPr>
        <w:t xml:space="preserve">. This observation is in agreement with the remarks made by other authors in the cane rat </w:t>
      </w:r>
      <w:r w:rsidRPr="00DB72BE">
        <w:rPr>
          <w:rFonts w:ascii="Arial" w:hAnsi="Arial" w:cs="Arial"/>
        </w:rPr>
        <w:fldChar w:fldCharType="begin"/>
      </w:r>
      <w:r w:rsidRPr="00DB72BE">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the rabbit </w:t>
      </w:r>
      <w:r w:rsidRPr="00DB72BE">
        <w:rPr>
          <w:rFonts w:ascii="Arial" w:hAnsi="Arial" w:cs="Arial"/>
        </w:rPr>
        <w:fldChar w:fldCharType="begin"/>
      </w:r>
      <w:r w:rsidRPr="00DB72BE">
        <w:rPr>
          <w:rFonts w:ascii="Arial" w:hAnsi="Arial" w:cs="Arial"/>
        </w:rPr>
        <w:instrText xml:space="preserve"> ADDIN EN.CITE &lt;EndNote&gt;&lt;Cite&gt;&lt;Author&gt;Chen&lt;/Author&gt;&lt;Year&gt;2019&lt;/Year&gt;&lt;RecNum&gt;27&lt;/RecNum&gt;&lt;DisplayText&gt;(Chen&lt;style face="italic"&gt; et al.&lt;/style&gt;, 2019)&lt;/DisplayText&gt;&lt;record&gt;&lt;rec-number&gt;27&lt;/rec-number&gt;&lt;foreign-keys&gt;&lt;key app="EN" db-id="95rwdpepzf52eae2e5dxxrxwasafevedepw0" timestamp="1773699030"&gt;27&lt;/key&gt;&lt;/foreign-keys&gt;&lt;ref-type name="Journal Article"&gt;17&lt;/ref-type&gt;&lt;contributors&gt;&lt;authors&gt;&lt;author&gt;Chen, Shi-Yi&lt;/author&gt;&lt;author&gt;Deng, Feilong&lt;/author&gt;&lt;author&gt;Jia, Xianbo&lt;/author&gt;&lt;author&gt;Liu, Hanzhong&lt;/author&gt;&lt;author&gt;Zhang, Gong-Wei&lt;/author&gt;&lt;author&gt;Lai, Song-Jia&lt;/author&gt;&lt;/authors&gt;&lt;/contributors&gt;&lt;titles&gt;&lt;title&gt;Gut microbiota profiling with differential tolerance against the reduced dietary fibre level in rabbit&lt;/title&gt;&lt;secondary-title&gt;Scientific Reports&lt;/secondary-title&gt;&lt;/titles&gt;&lt;periodical&gt;&lt;full-title&gt;Scientific Reports&lt;/full-title&gt;&lt;/periodical&gt;&lt;pages&gt;288&lt;/pages&gt;&lt;volume&gt;9&lt;/volume&gt;&lt;number&gt;1&lt;/number&gt;&lt;dates&gt;&lt;year&gt;2019&lt;/year&gt;&lt;pub-dates&gt;&lt;date&gt;2019/01/22&lt;/date&gt;&lt;/pub-dates&gt;&lt;/dates&gt;&lt;isbn&gt;2045-2322&lt;/isbn&gt;&lt;urls&gt;&lt;related-urls&gt;&lt;url&gt;https://doi.org/10.1038/s41598-018-36534-6&lt;/url&gt;&lt;/related-urls&gt;&lt;/urls&gt;&lt;electronic-resource-num&gt;10.1038/s41598-018-36534-6&lt;/electronic-resource-num&gt;&lt;/record&gt;&lt;/Cite&gt;&lt;/EndNote&gt;</w:instrText>
      </w:r>
      <w:r w:rsidRPr="00DB72BE">
        <w:rPr>
          <w:rFonts w:ascii="Arial" w:hAnsi="Arial" w:cs="Arial"/>
        </w:rPr>
        <w:fldChar w:fldCharType="separate"/>
      </w:r>
      <w:r w:rsidRPr="00DB72BE">
        <w:rPr>
          <w:rFonts w:ascii="Arial" w:hAnsi="Arial" w:cs="Arial"/>
        </w:rPr>
        <w:t>(Chen et al., 2019)</w:t>
      </w:r>
      <w:r w:rsidRPr="00DB72BE">
        <w:rPr>
          <w:rFonts w:ascii="Arial" w:hAnsi="Arial" w:cs="Arial"/>
        </w:rPr>
        <w:fldChar w:fldCharType="end"/>
      </w:r>
      <w:r w:rsidRPr="00DB72BE">
        <w:rPr>
          <w:rFonts w:ascii="Arial" w:hAnsi="Arial" w:cs="Arial"/>
        </w:rPr>
        <w:t xml:space="preserve">, the chicken  </w:t>
      </w:r>
      <w:r w:rsidRPr="00DB72BE">
        <w:rPr>
          <w:rFonts w:ascii="Arial" w:hAnsi="Arial" w:cs="Arial"/>
        </w:rPr>
        <w:fldChar w:fldCharType="begin"/>
      </w:r>
      <w:r w:rsidRPr="00DB72BE">
        <w:rPr>
          <w:rFonts w:ascii="Arial" w:hAnsi="Arial" w:cs="Arial"/>
        </w:rPr>
        <w:instrText xml:space="preserve"> ADDIN EN.CITE &lt;EndNote&gt;&lt;Cite&gt;&lt;Author&gt;Jha&lt;/Author&gt;&lt;Year&gt;2021&lt;/Year&gt;&lt;RecNum&gt;8&lt;/RecNum&gt;&lt;DisplayText&gt;(Jha&lt;style face="italic"&gt; et al.&lt;/style&gt;, 2021)&lt;/DisplayText&gt;&lt;record&gt;&lt;rec-number&gt;8&lt;/rec-number&gt;&lt;foreign-keys&gt;&lt;key app="EN" db-id="95rwdpepzf52eae2e5dxxrxwasafevedepw0" timestamp="1773692264"&gt;8&lt;/key&gt;&lt;/foreign-keys&gt;&lt;ref-type name="Journal Article"&gt;17&lt;/ref-type&gt;&lt;contributors&gt;&lt;authors&gt;&lt;author&gt;Jha, Rajesh&lt;/author&gt;&lt;author&gt;Mishra, Pravin&lt;/author&gt;&lt;/authors&gt;&lt;/contributors&gt;&lt;titles&gt;&lt;title&gt;Dietary fiber in poultry nutrition and their effects on nutrient utilization, performance, gut health, and on the environment: a review&lt;/title&gt;&lt;secondary-title&gt;Journal of Animal Science and Biotechnology&lt;/secondary-title&gt;&lt;/titles&gt;&lt;periodical&gt;&lt;full-title&gt;Journal of Animal Science and Biotechnology&lt;/full-title&gt;&lt;/periodical&gt;&lt;pages&gt;51&lt;/pages&gt;&lt;volume&gt;12&lt;/volume&gt;&lt;number&gt;1&lt;/number&gt;&lt;dates&gt;&lt;year&gt;2021&lt;/year&gt;&lt;pub-dates&gt;&lt;date&gt;2021/04/19&lt;/date&gt;&lt;/pub-dates&gt;&lt;/dates&gt;&lt;isbn&gt;2049-1891&lt;/isbn&gt;&lt;urls&gt;&lt;related-urls&gt;&lt;url&gt;https://doi.org/10.1186/s40104-021-00576-0&lt;/url&gt;&lt;/related-urls&gt;&lt;/urls&gt;&lt;electronic-resource-num&gt;10.1186/s40104-021-00576-0&lt;/electronic-resource-num&gt;&lt;/record&gt;&lt;/Cite&gt;&lt;/EndNote&gt;</w:instrText>
      </w:r>
      <w:r w:rsidRPr="00DB72BE">
        <w:rPr>
          <w:rFonts w:ascii="Arial" w:hAnsi="Arial" w:cs="Arial"/>
        </w:rPr>
        <w:fldChar w:fldCharType="separate"/>
      </w:r>
      <w:r w:rsidRPr="00DB72BE">
        <w:rPr>
          <w:rFonts w:ascii="Arial" w:hAnsi="Arial" w:cs="Arial"/>
        </w:rPr>
        <w:t>(Jha et al., 2021)</w:t>
      </w:r>
      <w:r w:rsidRPr="00DB72BE">
        <w:rPr>
          <w:rFonts w:ascii="Arial" w:hAnsi="Arial" w:cs="Arial"/>
        </w:rPr>
        <w:fldChar w:fldCharType="end"/>
      </w:r>
      <w:r w:rsidRPr="00DB72BE">
        <w:rPr>
          <w:rFonts w:ascii="Arial" w:hAnsi="Arial" w:cs="Arial"/>
        </w:rPr>
        <w:t xml:space="preserve"> and the pig </w:t>
      </w:r>
      <w:r w:rsidRPr="00DB72BE">
        <w:rPr>
          <w:rFonts w:ascii="Arial" w:hAnsi="Arial" w:cs="Arial"/>
        </w:rPr>
        <w:fldChar w:fldCharType="begin"/>
      </w:r>
      <w:r w:rsidRPr="00DB72BE">
        <w:rPr>
          <w:rFonts w:ascii="Arial" w:hAnsi="Arial" w:cs="Arial"/>
        </w:rPr>
        <w:instrText xml:space="preserve"> ADDIN EN.CITE &lt;EndNote&gt;&lt;Cite&gt;&lt;Author&gt;Han&lt;/Author&gt;&lt;Year&gt;2023&lt;/Year&gt;&lt;RecNum&gt;17&lt;/RecNum&gt;&lt;DisplayText&gt;(Han&lt;style face="italic"&gt; et al.&lt;/style&gt;, 2023)&lt;/DisplayText&gt;&lt;record&gt;&lt;rec-number&gt;17&lt;/rec-number&gt;&lt;foreign-keys&gt;&lt;key app="EN" db-id="95rwdpepzf52eae2e5dxxrxwasafevedepw0" timestamp="1773693749"&gt;17&lt;/key&gt;&lt;/foreign-keys&gt;&lt;ref-type name="Journal Article"&gt;17&lt;/ref-type&gt;&lt;contributors&gt;&lt;authors&gt;&lt;author&gt;Han, Xuebing&lt;/author&gt;&lt;author&gt;Ma, Yong&lt;/author&gt;&lt;author&gt;Ding, Sujuan&lt;/author&gt;&lt;author&gt;Fang, Jun&lt;/author&gt;&lt;author&gt;Liu, Gang&lt;/author&gt;&lt;/authors&gt;&lt;/contributors&gt;&lt;titles&gt;&lt;title&gt;Regulation of dietary fiber on intestinal microorganisms and its effects on animal health&lt;/title&gt;&lt;secondary-title&gt;Animal Nutrition&lt;/secondary-title&gt;&lt;/titles&gt;&lt;periodical&gt;&lt;full-title&gt;Animal Nutrition&lt;/full-title&gt;&lt;/periodical&gt;&lt;pages&gt;356-369&lt;/pages&gt;&lt;volume&gt;14&lt;/volume&gt;&lt;keywords&gt;&lt;keyword&gt;Dietary fiber&lt;/keyword&gt;&lt;keyword&gt;Short-chain fatty acid&lt;/keyword&gt;&lt;keyword&gt;Intestinal microorganism&lt;/keyword&gt;&lt;keyword&gt;Inflammation&lt;/keyword&gt;&lt;keyword&gt;Pig&lt;/keyword&gt;&lt;keyword&gt;Lactation performance&lt;/keyword&gt;&lt;/keywords&gt;&lt;dates&gt;&lt;year&gt;2023&lt;/year&gt;&lt;pub-dates&gt;&lt;date&gt;2023/09/01/&lt;/date&gt;&lt;/pub-dates&gt;&lt;/dates&gt;&lt;isbn&gt;2405-6545&lt;/isbn&gt;&lt;urls&gt;&lt;related-urls&gt;&lt;url&gt;https://www.sciencedirect.com/science/article/pii/S2405654523000756&lt;/url&gt;&lt;/related-urls&gt;&lt;/urls&gt;&lt;electronic-resource-num&gt;10.1016/j.aninu.2023.06.004&lt;/electronic-resource-num&gt;&lt;/record&gt;&lt;/Cite&gt;&lt;/EndNote&gt;</w:instrText>
      </w:r>
      <w:r w:rsidRPr="00DB72BE">
        <w:rPr>
          <w:rFonts w:ascii="Arial" w:hAnsi="Arial" w:cs="Arial"/>
        </w:rPr>
        <w:fldChar w:fldCharType="separate"/>
      </w:r>
      <w:r w:rsidRPr="00DB72BE">
        <w:rPr>
          <w:rFonts w:ascii="Arial" w:hAnsi="Arial" w:cs="Arial"/>
        </w:rPr>
        <w:t>(Han et al., 2023</w:t>
      </w:r>
      <w:r w:rsidR="00946F73">
        <w:rPr>
          <w:rFonts w:ascii="Arial" w:hAnsi="Arial" w:cs="Arial"/>
        </w:rPr>
        <w:t xml:space="preserve"> ; </w:t>
      </w:r>
      <w:r w:rsidR="00946F73" w:rsidRPr="00DB72BE">
        <w:rPr>
          <w:rFonts w:ascii="Arial" w:hAnsi="Arial" w:cs="Arial"/>
        </w:rPr>
        <w:t>Zhang et al., 2024</w:t>
      </w:r>
      <w:r w:rsidRPr="00DB72BE">
        <w:rPr>
          <w:rFonts w:ascii="Arial" w:hAnsi="Arial" w:cs="Arial"/>
        </w:rPr>
        <w:t>)</w:t>
      </w:r>
      <w:r w:rsidRPr="00DB72BE">
        <w:rPr>
          <w:rFonts w:ascii="Arial" w:hAnsi="Arial" w:cs="Arial"/>
        </w:rPr>
        <w:fldChar w:fldCharType="end"/>
      </w:r>
      <w:r w:rsidRPr="00DB72BE">
        <w:rPr>
          <w:rFonts w:ascii="Arial" w:hAnsi="Arial" w:cs="Arial"/>
        </w:rPr>
        <w:t>.</w:t>
      </w:r>
    </w:p>
    <w:p w14:paraId="23AB8363" w14:textId="77777777" w:rsidR="00DB72BE" w:rsidRPr="00DB72BE" w:rsidRDefault="00DB72BE" w:rsidP="00DB72BE">
      <w:pPr>
        <w:jc w:val="both"/>
        <w:rPr>
          <w:rFonts w:ascii="Arial" w:hAnsi="Arial" w:cs="Arial"/>
        </w:rPr>
      </w:pPr>
      <w:r w:rsidRPr="00DB72BE">
        <w:rPr>
          <w:rFonts w:ascii="Arial" w:hAnsi="Arial" w:cs="Arial"/>
        </w:rPr>
        <w:t xml:space="preserve">Animals that consumed feeds containing 17 and 19% ADF recorded the best growth rate compared to the ADF21 diet. This result can be explained by the reduction of nutrients digestibility in the ADF 21 diet, and the loss of some nutrients, particularly amino acids </w:t>
      </w:r>
      <w:r w:rsidRPr="00DB72BE">
        <w:rPr>
          <w:rFonts w:ascii="Arial" w:hAnsi="Arial" w:cs="Arial"/>
        </w:rPr>
        <w:fldChar w:fldCharType="begin"/>
      </w:r>
      <w:r w:rsidRPr="00DB72BE">
        <w:rPr>
          <w:rFonts w:ascii="Arial" w:hAnsi="Arial" w:cs="Arial"/>
        </w:rPr>
        <w:instrText xml:space="preserve"> ADDIN EN.CITE &lt;EndNote&gt;&lt;Cite&gt;&lt;Author&gt;Bedford&lt;/Author&gt;&lt;Year&gt;2024&lt;/Year&gt;&lt;RecNum&gt;4&lt;/RecNum&gt;&lt;DisplayText&gt;(Bedford&lt;style face="italic"&gt; et al.&lt;/style&gt;, 2024)&lt;/DisplayText&gt;&lt;record&gt;&lt;rec-number&gt;4&lt;/rec-number&gt;&lt;foreign-keys&gt;&lt;key app="EN" db-id="95rwdpepzf52eae2e5dxxrxwasafevedepw0" timestamp="1773691876"&gt;4&lt;/key&gt;&lt;/foreign-keys&gt;&lt;ref-type name="Journal Article"&gt;17&lt;/ref-type&gt;&lt;contributors&gt;&lt;authors&gt;&lt;author&gt;Bedford, Michael R.&lt;/author&gt;&lt;author&gt;Svihus, Birger&lt;/author&gt;&lt;author&gt;Cowieson, Aaron J.&lt;/author&gt;&lt;/authors&gt;&lt;/contributors&gt;&lt;titles&gt;&lt;title&gt;Dietary fibre effects and the interplay with exogenous carbohydrases in poultry nutrition&lt;/title&gt;&lt;secondary-title&gt;Animal Nutrition&lt;/secondary-title&gt;&lt;/titles&gt;&lt;periodical&gt;&lt;full-title&gt;Animal Nutrition&lt;/full-title&gt;&lt;/periodical&gt;&lt;pages&gt;231-240&lt;/pages&gt;&lt;volume&gt;16&lt;/volume&gt;&lt;keywords&gt;&lt;keyword&gt;Fibre&lt;/keyword&gt;&lt;keyword&gt;Carbohydrase&lt;/keyword&gt;&lt;keyword&gt;Nutrition&lt;/keyword&gt;&lt;keyword&gt;Microbiome&lt;/keyword&gt;&lt;keyword&gt;Gastro-intestinal development&lt;/keyword&gt;&lt;keyword&gt;Feed&lt;/keyword&gt;&lt;/keywords&gt;&lt;dates&gt;&lt;year&gt;2024&lt;/year&gt;&lt;pub-dates&gt;&lt;date&gt;2024/03/01/&lt;/date&gt;&lt;/pub-dates&gt;&lt;/dates&gt;&lt;isbn&gt;2405-6545&lt;/isbn&gt;&lt;urls&gt;&lt;related-urls&gt;&lt;url&gt;https://www.sciencedirect.com/science/article/pii/S2405654523001440&lt;/url&gt;&lt;/related-urls&gt;&lt;/urls&gt;&lt;electronic-resource-num&gt;10.1016/j.aninu.2023.09.007&lt;/electronic-resource-num&gt;&lt;/record&gt;&lt;/Cite&gt;&lt;/EndNote&gt;</w:instrText>
      </w:r>
      <w:r w:rsidRPr="00DB72BE">
        <w:rPr>
          <w:rFonts w:ascii="Arial" w:hAnsi="Arial" w:cs="Arial"/>
        </w:rPr>
        <w:fldChar w:fldCharType="separate"/>
      </w:r>
      <w:r w:rsidRPr="00DB72BE">
        <w:rPr>
          <w:rFonts w:ascii="Arial" w:hAnsi="Arial" w:cs="Arial"/>
        </w:rPr>
        <w:t>(Bedford et al., 2024)</w:t>
      </w:r>
      <w:r w:rsidRPr="00DB72BE">
        <w:rPr>
          <w:rFonts w:ascii="Arial" w:hAnsi="Arial" w:cs="Arial"/>
        </w:rPr>
        <w:fldChar w:fldCharType="end"/>
      </w:r>
      <w:r w:rsidRPr="00DB72BE">
        <w:rPr>
          <w:rFonts w:ascii="Arial" w:hAnsi="Arial" w:cs="Arial"/>
        </w:rPr>
        <w:t xml:space="preserve">. </w:t>
      </w:r>
    </w:p>
    <w:p w14:paraId="05DC325A" w14:textId="77777777" w:rsidR="00DB72BE" w:rsidRPr="00DB72BE" w:rsidRDefault="00DB72BE" w:rsidP="00DB72BE">
      <w:pPr>
        <w:jc w:val="both"/>
        <w:rPr>
          <w:rFonts w:ascii="Arial" w:hAnsi="Arial" w:cs="Arial"/>
        </w:rPr>
      </w:pPr>
      <w:r w:rsidRPr="00DB72BE">
        <w:rPr>
          <w:rFonts w:ascii="Arial" w:hAnsi="Arial" w:cs="Arial"/>
        </w:rPr>
        <w:t xml:space="preserve">The weights and ADG recorded in this study are similar to those reported by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However, our results are higher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AuthorYear="1"&gt;&lt;Author&gt;Aizoun&lt;/Author&gt;&lt;Year&gt;2017&lt;/Year&gt;&lt;RecNum&gt;2&lt;/RecNum&gt;&lt;DisplayText&gt;Aizoun&lt;style face="italic"&gt; et al.&lt;/style&gt; (2017)&lt;/DisplayText&gt;&lt;record&gt;&lt;rec-number&gt;2&lt;/rec-number&gt;&lt;foreign-keys&gt;&lt;key app="EN" db-id="95rwdpepzf52eae2e5dxxrxwasafevedepw0" timestamp="1773691319"&gt;2&lt;/key&gt;&lt;/foreign-keys&gt;&lt;ref-type name="Journal Article"&gt;17&lt;/ref-type&gt;&lt;contributors&gt;&lt;authors&gt;&lt;author&gt;Aizoun, FF&lt;/author&gt;&lt;author&gt;Pomalegni, SCB&lt;/author&gt;&lt;author&gt;Gbemavo, CDSJ&lt;/author&gt;&lt;author&gt;Farougou, S&lt;/author&gt;&lt;author&gt;Youssao, AKI&lt;/author&gt;&lt;author&gt;Mensah, GA&lt;/author&gt;&lt;/authors&gt;&lt;/contributors&gt;&lt;titles&gt;&lt;title&gt;Comparaison des performances de croissance chez l’aulacode d’élevage nourri avec trois types de rations alimentaires à base de fourrages, produits et sous-produits de maïs&lt;/title&gt;&lt;secondary-title&gt;Journal of Animal &amp;amp; Plant Sciences&lt;/secondary-title&gt;&lt;/titles&gt;&lt;periodical&gt;&lt;full-title&gt;Journal of Animal &amp;amp; Plant Sciences&lt;/full-title&gt;&lt;/periodical&gt;&lt;pages&gt;5168-5180&lt;/pages&gt;&lt;volume&gt;32&lt;/volume&gt;&lt;number&gt;2&lt;/number&gt;&lt;dates&gt;&lt;year&gt;2017&lt;/year&gt;&lt;/dates&gt;&lt;isbn&gt;2071-7024&lt;/isbn&gt;&lt;urls&gt;&lt;/urls&gt;&lt;/record&gt;&lt;/Cite&gt;&lt;/EndNote&gt;</w:instrText>
      </w:r>
      <w:r w:rsidRPr="00DB72BE">
        <w:rPr>
          <w:rFonts w:ascii="Arial" w:hAnsi="Arial" w:cs="Arial"/>
        </w:rPr>
        <w:fldChar w:fldCharType="separate"/>
      </w:r>
      <w:r w:rsidRPr="00DB72BE">
        <w:rPr>
          <w:rFonts w:ascii="Arial" w:hAnsi="Arial" w:cs="Arial"/>
        </w:rPr>
        <w:t>Aizoun et al. (2017)</w:t>
      </w:r>
      <w:r w:rsidRPr="00DB72BE">
        <w:rPr>
          <w:rFonts w:ascii="Arial" w:hAnsi="Arial" w:cs="Arial"/>
        </w:rPr>
        <w:fldChar w:fldCharType="end"/>
      </w:r>
      <w:r w:rsidRPr="00DB72BE">
        <w:rPr>
          <w:rFonts w:ascii="Arial" w:hAnsi="Arial" w:cs="Arial"/>
        </w:rPr>
        <w:t xml:space="preserve">. Indeed, growth performance is influenced by parameters intrinsic and extrinsic to the animal </w:t>
      </w:r>
      <w:r w:rsidRPr="00DB72BE">
        <w:rPr>
          <w:rFonts w:ascii="Arial" w:hAnsi="Arial" w:cs="Arial"/>
        </w:rPr>
        <w:fldChar w:fldCharType="begin"/>
      </w:r>
      <w:r w:rsidRPr="00DB72BE">
        <w:rPr>
          <w:rFonts w:ascii="Arial" w:hAnsi="Arial" w:cs="Arial"/>
        </w:rPr>
        <w:instrText xml:space="preserve"> ADDIN EN.CITE &lt;EndNote&gt;&lt;Cite&gt;&lt;Author&gt;Birolo&lt;/Author&gt;&lt;Year&gt;2022&lt;/Year&gt;&lt;RecNum&gt;16&lt;/RecNum&gt;&lt;DisplayText&gt;(Birolo&lt;style face="italic"&gt; et al.&lt;/style&gt;, 2022)&lt;/DisplayText&gt;&lt;record&gt;&lt;rec-number&gt;16&lt;/rec-number&gt;&lt;foreign-keys&gt;&lt;key app="EN" db-id="95rwdpepzf52eae2e5dxxrxwasafevedepw0" timestamp="1773693666"&gt;16&lt;/key&gt;&lt;/foreign-keys&gt;&lt;ref-type name="Journal Article"&gt;17&lt;/ref-type&gt;&lt;contributors&gt;&lt;authors&gt;&lt;author&gt;Birolo, Marco&lt;/author&gt;&lt;author&gt;Xiccato, Gerolamo&lt;/author&gt;&lt;author&gt;Bordignon, Francesco&lt;/author&gt;&lt;author&gt;Dabbou, Sihem&lt;/author&gt;&lt;author&gt;Zuffellato, Andrea&lt;/author&gt;&lt;author&gt;Trocino, Angela&lt;/author&gt;&lt;/authors&gt;&lt;/contributors&gt;&lt;titles&gt;&lt;title&gt;Growth Performance, Digestive Efficiency, and Meat Quality of Two Commercial Crossbred Rabbits Fed Diets Differing in Energy and Protein Levels&lt;/title&gt;&lt;secondary-title&gt;Animals&lt;/secondary-title&gt;&lt;/titles&gt;&lt;periodical&gt;&lt;full-title&gt;Animals&lt;/full-title&gt;&lt;/periodical&gt;&lt;pages&gt;2427&lt;/pages&gt;&lt;volume&gt;12&lt;/volume&gt;&lt;number&gt;18&lt;/number&gt;&lt;dates&gt;&lt;year&gt;2022&lt;/year&gt;&lt;/dates&gt;&lt;isbn&gt;2076-2615&lt;/isbn&gt;&lt;accession-num&gt;doi:10.3390/ani12182427&lt;/accession-num&gt;&lt;urls&gt;&lt;related-urls&gt;&lt;url&gt;https://www.mdpi.com/2076-2615/12/18/2427&lt;/url&gt;&lt;/related-urls&gt;&lt;/urls&gt;&lt;electronic-resource-num&gt;10.3390/ani12182427&lt;/electronic-resource-num&gt;&lt;/record&gt;&lt;/Cite&gt;&lt;/EndNote&gt;</w:instrText>
      </w:r>
      <w:r w:rsidRPr="00DB72BE">
        <w:rPr>
          <w:rFonts w:ascii="Arial" w:hAnsi="Arial" w:cs="Arial"/>
        </w:rPr>
        <w:fldChar w:fldCharType="separate"/>
      </w:r>
      <w:r w:rsidRPr="00DB72BE">
        <w:rPr>
          <w:rFonts w:ascii="Arial" w:hAnsi="Arial" w:cs="Arial"/>
        </w:rPr>
        <w:t>(Birolo et al., 2022)</w:t>
      </w:r>
      <w:r w:rsidRPr="00DB72BE">
        <w:rPr>
          <w:rFonts w:ascii="Arial" w:hAnsi="Arial" w:cs="Arial"/>
        </w:rPr>
        <w:fldChar w:fldCharType="end"/>
      </w:r>
      <w:r w:rsidRPr="00DB72BE">
        <w:rPr>
          <w:rFonts w:ascii="Arial" w:hAnsi="Arial" w:cs="Arial"/>
        </w:rPr>
        <w:t xml:space="preserve">. In addition, it should be specified that weaned cane rats used by </w:t>
      </w:r>
      <w:bookmarkStart w:id="2" w:name="_Hlk529194132"/>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AuthorYear="1"&gt;&lt;Author&gt;Aizoun&lt;/Author&gt;&lt;Year&gt;2017&lt;/Year&gt;&lt;RecNum&gt;2&lt;/RecNum&gt;&lt;DisplayText&gt;Aizoun&lt;style face="italic"&gt; et al.&lt;/style&gt; (2017)&lt;/DisplayText&gt;&lt;record&gt;&lt;rec-number&gt;2&lt;/rec-number&gt;&lt;foreign-keys&gt;&lt;key app="EN" db-id="95rwdpepzf52eae2e5dxxrxwasafevedepw0" timestamp="1773691319"&gt;2&lt;/key&gt;&lt;/foreign-keys&gt;&lt;ref-type name="Journal Article"&gt;17&lt;/ref-type&gt;&lt;contributors&gt;&lt;authors&gt;&lt;author&gt;Aizoun, FF&lt;/author&gt;&lt;author&gt;Pomalegni, SCB&lt;/author&gt;&lt;author&gt;Gbemavo, CDSJ&lt;/author&gt;&lt;author&gt;Farougou, S&lt;/author&gt;&lt;author&gt;Youssao, AKI&lt;/author&gt;&lt;author&gt;Mensah, GA&lt;/author&gt;&lt;/authors&gt;&lt;/contributors&gt;&lt;titles&gt;&lt;title&gt;Comparaison des performances de croissance chez l’aulacode d’élevage nourri avec trois types de rations alimentaires à base de fourrages, produits et sous-produits de maïs&lt;/title&gt;&lt;secondary-title&gt;Journal of Animal &amp;amp; Plant Sciences&lt;/secondary-title&gt;&lt;/titles&gt;&lt;periodical&gt;&lt;full-title&gt;Journal of Animal &amp;amp; Plant Sciences&lt;/full-title&gt;&lt;/periodical&gt;&lt;pages&gt;5168-5180&lt;/pages&gt;&lt;volume&gt;32&lt;/volume&gt;&lt;number&gt;2&lt;/number&gt;&lt;dates&gt;&lt;year&gt;2017&lt;/year&gt;&lt;/dates&gt;&lt;isbn&gt;2071-7024&lt;/isbn&gt;&lt;urls&gt;&lt;/urls&gt;&lt;/record&gt;&lt;/Cite&gt;&lt;/EndNote&gt;</w:instrText>
      </w:r>
      <w:r w:rsidRPr="00DB72BE">
        <w:rPr>
          <w:rFonts w:ascii="Arial" w:hAnsi="Arial" w:cs="Arial"/>
        </w:rPr>
        <w:fldChar w:fldCharType="separate"/>
      </w:r>
      <w:r w:rsidRPr="00DB72BE">
        <w:rPr>
          <w:rFonts w:ascii="Arial" w:hAnsi="Arial" w:cs="Arial"/>
        </w:rPr>
        <w:t>Aizoun et al. (2017)</w:t>
      </w:r>
      <w:r w:rsidRPr="00DB72BE">
        <w:rPr>
          <w:rFonts w:ascii="Arial" w:hAnsi="Arial" w:cs="Arial"/>
        </w:rPr>
        <w:fldChar w:fldCharType="end"/>
      </w:r>
      <w:r w:rsidRPr="00DB72BE">
        <w:rPr>
          <w:rFonts w:ascii="Arial" w:hAnsi="Arial" w:cs="Arial"/>
        </w:rPr>
        <w:t xml:space="preserve"> were fed mash feed compared to those in this study (pelleted diet).</w:t>
      </w:r>
      <w:bookmarkEnd w:id="2"/>
      <w:r w:rsidRPr="00DB72BE">
        <w:rPr>
          <w:rFonts w:ascii="Arial" w:hAnsi="Arial" w:cs="Arial"/>
        </w:rPr>
        <w:t xml:space="preserve"> </w:t>
      </w:r>
    </w:p>
    <w:p w14:paraId="6B8461D0" w14:textId="77777777" w:rsidR="00DB72BE" w:rsidRPr="00DB72BE" w:rsidRDefault="00DB72BE" w:rsidP="00DB72BE">
      <w:pPr>
        <w:jc w:val="both"/>
        <w:rPr>
          <w:rFonts w:ascii="Arial" w:hAnsi="Arial" w:cs="Arial"/>
        </w:rPr>
      </w:pPr>
      <w:r w:rsidRPr="00DB72BE">
        <w:rPr>
          <w:rFonts w:ascii="Arial" w:hAnsi="Arial" w:cs="Arial"/>
        </w:rPr>
        <w:t xml:space="preserve">Animals feed themselves to meet their nutritional needs and obtain good production (meat, milk, eggs, etc.). This fact is reflected in feed conversion ratio which was better with ADF 17 and ADF 19 diets throughout the trial. Regarding the growth stage, the feed conversion ratios obtained in this study are similar to those obtained by </w:t>
      </w:r>
      <w:r w:rsidRPr="00DB72BE">
        <w:rPr>
          <w:rFonts w:ascii="Arial" w:hAnsi="Arial" w:cs="Arial"/>
        </w:rPr>
        <w:fldChar w:fldCharType="begin"/>
      </w:r>
      <w:r w:rsidRPr="00DB72BE">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They are better than those obtained by </w:t>
      </w:r>
      <w:r w:rsidRPr="00DB72BE">
        <w:rPr>
          <w:rFonts w:ascii="Arial" w:hAnsi="Arial" w:cs="Arial"/>
        </w:rPr>
        <w:fldChar w:fldCharType="begin"/>
      </w:r>
      <w:r w:rsidRPr="00DB72BE">
        <w:rPr>
          <w:rFonts w:ascii="Arial" w:hAnsi="Arial" w:cs="Arial"/>
        </w:rPr>
        <w:instrText xml:space="preserve"> ADDIN EN.CITE &lt;EndNote&gt;&lt;Cite AuthorYear="1"&gt;&lt;Author&gt;Nyameasem&lt;/Author&gt;&lt;Year&gt;2018&lt;/Year&gt;&lt;RecNum&gt;12&lt;/RecNum&gt;&lt;DisplayText&gt;Nyameasem&lt;style face="italic"&gt; et al.&lt;/style&gt; (2018)&lt;/DisplayText&gt;&lt;record&gt;&lt;rec-number&gt;12&lt;/rec-number&gt;&lt;foreign-keys&gt;&lt;key app="EN" db-id="95rwdpepzf52eae2e5dxxrxwasafevedepw0" timestamp="1773693051"&gt;12&lt;/key&gt;&lt;/foreign-keys&gt;&lt;ref-type name="Journal Article"&gt;17&lt;/ref-type&gt;&lt;contributors&gt;&lt;authors&gt;&lt;author&gt;Nyameasem, J. K.&lt;/author&gt;&lt;author&gt;Akoloh, M.&lt;/author&gt;&lt;author&gt;Adu, E. K.&lt;/author&gt;&lt;/authors&gt;&lt;/contributors&gt;&lt;titles&gt;&lt;title&gt;Effects of protein content on feed intake and performance of grasscutters fed diets containing forage meal&lt;/title&gt;&lt;secondary-title&gt;Animal Production Science&lt;/secondary-title&gt;&lt;/titles&gt;&lt;periodical&gt;&lt;full-title&gt;Animal Production Science&lt;/full-title&gt;&lt;/periodical&gt;&lt;pages&gt;314-318&lt;/pages&gt;&lt;volume&gt;59&lt;/volume&gt;&lt;number&gt;2&lt;/number&gt;&lt;dates&gt;&lt;year&gt;2018&lt;/year&gt;&lt;/dates&gt;&lt;isbn&gt;1836-0939&lt;/isbn&gt;&lt;urls&gt;&lt;related-urls&gt;&lt;url&gt;https://doi.org/10.1071/AN15889&lt;/url&gt;&lt;/related-urls&gt;&lt;/urls&gt;&lt;electronic-resource-num&gt;10.1071/an15889&lt;/electronic-resource-num&gt;&lt;access-date&gt;3/16/2026&lt;/access-date&gt;&lt;/record&gt;&lt;/Cite&gt;&lt;/EndNote&gt;</w:instrText>
      </w:r>
      <w:r w:rsidRPr="00DB72BE">
        <w:rPr>
          <w:rFonts w:ascii="Arial" w:hAnsi="Arial" w:cs="Arial"/>
        </w:rPr>
        <w:fldChar w:fldCharType="separate"/>
      </w:r>
      <w:r w:rsidRPr="00DB72BE">
        <w:rPr>
          <w:rFonts w:ascii="Arial" w:hAnsi="Arial" w:cs="Arial"/>
        </w:rPr>
        <w:t>Nyameasem et al. (2018)</w:t>
      </w:r>
      <w:r w:rsidRPr="00DB72BE">
        <w:rPr>
          <w:rFonts w:ascii="Arial" w:hAnsi="Arial" w:cs="Arial"/>
        </w:rPr>
        <w:fldChar w:fldCharType="end"/>
      </w:r>
      <w:r w:rsidRPr="00DB72BE">
        <w:rPr>
          <w:rFonts w:ascii="Arial" w:hAnsi="Arial" w:cs="Arial"/>
        </w:rPr>
        <w:t xml:space="preserve">. They obtained values ranging from 4.1 to 7.2. Indeed, these authors used pelleted feeds with </w:t>
      </w:r>
      <w:proofErr w:type="spellStart"/>
      <w:r w:rsidRPr="00DB72BE">
        <w:rPr>
          <w:rFonts w:ascii="Arial" w:hAnsi="Arial" w:cs="Arial"/>
        </w:rPr>
        <w:t>fibre</w:t>
      </w:r>
      <w:proofErr w:type="spellEnd"/>
      <w:r w:rsidRPr="00DB72BE">
        <w:rPr>
          <w:rFonts w:ascii="Arial" w:hAnsi="Arial" w:cs="Arial"/>
        </w:rPr>
        <w:t xml:space="preserve"> levels between 9 and 9.5% crude </w:t>
      </w:r>
      <w:proofErr w:type="spellStart"/>
      <w:r w:rsidRPr="00DB72BE">
        <w:rPr>
          <w:rFonts w:ascii="Arial" w:hAnsi="Arial" w:cs="Arial"/>
        </w:rPr>
        <w:t>fibre</w:t>
      </w:r>
      <w:proofErr w:type="spellEnd"/>
      <w:r w:rsidRPr="00DB72BE">
        <w:rPr>
          <w:rFonts w:ascii="Arial" w:hAnsi="Arial" w:cs="Arial"/>
        </w:rPr>
        <w:t xml:space="preserve"> (half of the crude fiber level used in our study).</w:t>
      </w:r>
    </w:p>
    <w:p w14:paraId="50A94E77" w14:textId="77777777" w:rsidR="00E053D0" w:rsidRDefault="00DB72BE" w:rsidP="00E07E07">
      <w:pPr>
        <w:jc w:val="both"/>
        <w:rPr>
          <w:rFonts w:ascii="Arial" w:hAnsi="Arial" w:cs="Arial"/>
        </w:rPr>
      </w:pPr>
      <w:r w:rsidRPr="00DB72BE">
        <w:rPr>
          <w:rFonts w:ascii="Arial" w:hAnsi="Arial" w:cs="Arial"/>
        </w:rPr>
        <w:t xml:space="preserve">Although the carcass yields determined in this study are identical and lower respectively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AuthorYear="1"&gt;&lt;Author&gt;Marani&lt;/Author&gt;&lt;Year&gt;2018&lt;/Year&gt;&lt;RecNum&gt;11&lt;/RecNum&gt;&lt;DisplayText&gt;Marani (2018)&lt;/DisplayText&gt;&lt;record&gt;&lt;rec-number&gt;11&lt;/rec-number&gt;&lt;foreign-keys&gt;&lt;key app="EN" db-id="95rwdpepzf52eae2e5dxxrxwasafevedepw0" timestamp="1773692863"&gt;11&lt;/key&gt;&lt;/foreign-keys&gt;&lt;ref-type name="Journal Article"&gt;17&lt;/ref-type&gt;&lt;contributors&gt;&lt;authors&gt;&lt;author&gt;Marani, Swallah Abdul Majid&lt;/author&gt;&lt;/authors&gt;&lt;/contributors&gt;&lt;titles&gt;&lt;title&gt;&lt;style face="normal" font="default" size="100%"&gt;Effects of pelleted feed on the performance of the grasscutter (&lt;/style&gt;&lt;style face="italic" font="default" size="100%"&gt;Thryonomys swinderianus&lt;/style&gt;&lt;style face="normal" font="default" size="100%"&gt;)&lt;/style&gt;&lt;/title&gt;&lt;secondary-title&gt;Journal of Agricultural Science and Food Research&lt;/secondary-title&gt;&lt;/titles&gt;&lt;periodical&gt;&lt;full-title&gt;Journal of Agricultural Science and Food Research&lt;/full-title&gt;&lt;/periodical&gt;&lt;pages&gt;2000218&lt;/pages&gt;&lt;volume&gt;9&lt;/volume&gt;&lt;number&gt;2&lt;/number&gt;&lt;dates&gt;&lt;year&gt;2018&lt;/year&gt;&lt;/dates&gt;&lt;urls&gt;&lt;/urls&gt;&lt;/record&gt;&lt;/Cite&gt;&lt;/EndNote&gt;</w:instrText>
      </w:r>
      <w:r w:rsidRPr="00DB72BE">
        <w:rPr>
          <w:rFonts w:ascii="Arial" w:hAnsi="Arial" w:cs="Arial"/>
        </w:rPr>
        <w:fldChar w:fldCharType="separate"/>
      </w:r>
      <w:r w:rsidRPr="00DB72BE">
        <w:rPr>
          <w:rFonts w:ascii="Arial" w:hAnsi="Arial" w:cs="Arial"/>
        </w:rPr>
        <w:t>Marani (2018)</w:t>
      </w:r>
      <w:r w:rsidRPr="00DB72BE">
        <w:rPr>
          <w:rFonts w:ascii="Arial" w:hAnsi="Arial" w:cs="Arial"/>
        </w:rPr>
        <w:fldChar w:fldCharType="end"/>
      </w:r>
      <w:r w:rsidRPr="00DB72BE">
        <w:rPr>
          <w:rFonts w:ascii="Arial" w:hAnsi="Arial" w:cs="Arial"/>
        </w:rPr>
        <w:t xml:space="preserve"> and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AuthorYear="1"&gt;&lt;Author&gt;Aizoun&lt;/Author&gt;&lt;Year&gt;2016&lt;/Year&gt;&lt;RecNum&gt;1&lt;/RecNum&gt;&lt;DisplayText&gt;Aizoun&lt;style face="italic"&gt; et al.&lt;/style&gt; (2016)&lt;/DisplayText&gt;&lt;record&gt;&lt;rec-number&gt;1&lt;/rec-number&gt;&lt;foreign-keys&gt;&lt;key app="EN" db-id="95rwdpepzf52eae2e5dxxrxwasafevedepw0" timestamp="1773691011"&gt;1&lt;/key&gt;&lt;/foreign-keys&gt;&lt;ref-type name="Journal Article"&gt;17&lt;/ref-type&gt;&lt;contributors&gt;&lt;authors&gt;&lt;author&gt;Aizoun, FF&lt;/author&gt;&lt;author&gt;Pomalegni, SCB&lt;/author&gt;&lt;author&gt;Gbemavo, CDSJ&lt;/author&gt;&lt;author&gt;Youssao, AKI&lt;/author&gt;&lt;author&gt;Farougou, S&lt;/author&gt;&lt;author&gt;Mensah, GA&lt;/author&gt;&lt;/authors&gt;&lt;/contributors&gt;&lt;titles&gt;&lt;title&gt;&lt;style face="normal" font="default" size="100%"&gt;Characteristics of the carcass and nutritional values of breed grasscutter meat (&lt;/style&gt;&lt;style face="italic" font="default" size="100%"&gt;Thryonomys swinderianus&lt;/style&gt;&lt;style face="normal" font="default" size="100%"&gt;) fed with pellets in Benin&lt;/style&gt;&lt;/title&gt;&lt;secondary-title&gt;International Journal of Advanced Research&lt;/secondary-title&gt;&lt;/titles&gt;&lt;periodical&gt;&lt;full-title&gt;International Journal of Advanced Research&lt;/full-title&gt;&lt;/periodical&gt;&lt;pages&gt;816-825&lt;/pages&gt;&lt;volume&gt;4&lt;/volume&gt;&lt;number&gt;12&lt;/number&gt;&lt;dates&gt;&lt;year&gt;2016&lt;/year&gt;&lt;/dates&gt;&lt;isbn&gt;2320-5407&lt;/isbn&gt;&lt;urls&gt;&lt;related-urls&gt;&lt;url&gt;http://dx.doi.org/10.21474/IJAR01/2463 &lt;/url&gt;&lt;/related-urls&gt;&lt;/urls&gt;&lt;electronic-resource-num&gt;10.21474/IJAR01/2463&lt;/electronic-resource-num&gt;&lt;/record&gt;&lt;/Cite&gt;&lt;/EndNote&gt;</w:instrText>
      </w:r>
      <w:r w:rsidRPr="00DB72BE">
        <w:rPr>
          <w:rFonts w:ascii="Arial" w:hAnsi="Arial" w:cs="Arial"/>
        </w:rPr>
        <w:fldChar w:fldCharType="separate"/>
      </w:r>
      <w:r w:rsidRPr="00DB72BE">
        <w:rPr>
          <w:rFonts w:ascii="Arial" w:hAnsi="Arial" w:cs="Arial"/>
        </w:rPr>
        <w:t>Aizoun et al. (2016)</w:t>
      </w:r>
      <w:r w:rsidRPr="00DB72BE">
        <w:rPr>
          <w:rFonts w:ascii="Arial" w:hAnsi="Arial" w:cs="Arial"/>
        </w:rPr>
        <w:fldChar w:fldCharType="end"/>
      </w:r>
      <w:r w:rsidRPr="00DB72BE">
        <w:rPr>
          <w:rFonts w:ascii="Arial" w:hAnsi="Arial" w:cs="Arial"/>
        </w:rPr>
        <w:t xml:space="preserve">. Our results remain better than those reported by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AuthorYear="1"&gt;&lt;Author&gt;Aizoun&lt;/Author&gt;&lt;Year&gt;2016&lt;/Year&gt;&lt;RecNum&gt;1&lt;/RecNum&gt;&lt;DisplayText&gt;Aizoun&lt;style face="italic"&gt; et al.&lt;/style&gt; (2016)&lt;/DisplayText&gt;&lt;record&gt;&lt;rec-number&gt;1&lt;/rec-number&gt;&lt;foreign-keys&gt;&lt;key app="EN" db-id="95rwdpepzf52eae2e5dxxrxwasafevedepw0" timestamp="1773691011"&gt;1&lt;/key&gt;&lt;/foreign-keys&gt;&lt;ref-type name="Journal Article"&gt;17&lt;/ref-type&gt;&lt;contributors&gt;&lt;authors&gt;&lt;author&gt;Aizoun, FF&lt;/author&gt;&lt;author&gt;Pomalegni, SCB&lt;/author&gt;&lt;author&gt;Gbemavo, CDSJ&lt;/author&gt;&lt;author&gt;Youssao, AKI&lt;/author&gt;&lt;author&gt;Farougou, S&lt;/author&gt;&lt;author&gt;Mensah, GA&lt;/author&gt;&lt;/authors&gt;&lt;/contributors&gt;&lt;titles&gt;&lt;title&gt;&lt;style face="normal" font="default" size="100%"&gt;Characteristics of the carcass and nutritional values of breed grasscutter meat (&lt;/style&gt;&lt;style face="italic" font="default" size="100%"&gt;Thryonomys swinderianus&lt;/style&gt;&lt;style face="normal" font="default" size="100%"&gt;) fed with pellets in Benin&lt;/style&gt;&lt;/title&gt;&lt;secondary-title&gt;International Journal of Advanced Research&lt;/secondary-title&gt;&lt;/titles&gt;&lt;periodical&gt;&lt;full-title&gt;International Journal of Advanced Research&lt;/full-title&gt;&lt;/periodical&gt;&lt;pages&gt;816-825&lt;/pages&gt;&lt;volume&gt;4&lt;/volume&gt;&lt;number&gt;12&lt;/number&gt;&lt;dates&gt;&lt;year&gt;2016&lt;/year&gt;&lt;/dates&gt;&lt;isbn&gt;2320-5407&lt;/isbn&gt;&lt;urls&gt;&lt;related-urls&gt;&lt;url&gt;http://dx.doi.org/10.21474/IJAR01/2463 &lt;/url&gt;&lt;/related-urls&gt;&lt;/urls&gt;&lt;electronic-resource-num&gt;10.21474/IJAR01/2463&lt;/electronic-resource-num&gt;&lt;/record&gt;&lt;/Cite&gt;&lt;/EndNote&gt;</w:instrText>
      </w:r>
      <w:r w:rsidRPr="00DB72BE">
        <w:rPr>
          <w:rFonts w:ascii="Arial" w:hAnsi="Arial" w:cs="Arial"/>
        </w:rPr>
        <w:fldChar w:fldCharType="separate"/>
      </w:r>
      <w:r w:rsidRPr="00DB72BE">
        <w:rPr>
          <w:rFonts w:ascii="Arial" w:hAnsi="Arial" w:cs="Arial"/>
        </w:rPr>
        <w:t>Aizoun et al. (2016)</w:t>
      </w:r>
      <w:r w:rsidRPr="00DB72BE">
        <w:rPr>
          <w:rFonts w:ascii="Arial" w:hAnsi="Arial" w:cs="Arial"/>
        </w:rPr>
        <w:fldChar w:fldCharType="end"/>
      </w:r>
      <w:r w:rsidRPr="00DB72BE">
        <w:rPr>
          <w:rFonts w:ascii="Arial" w:hAnsi="Arial" w:cs="Arial"/>
        </w:rPr>
        <w:t xml:space="preserve">. Indeed, in the definition of the carcass yield, </w:t>
      </w:r>
      <w:r w:rsidRPr="00DB72BE">
        <w:rPr>
          <w:rFonts w:ascii="Arial" w:hAnsi="Arial" w:cs="Arial"/>
        </w:rPr>
        <w:lastRenderedPageBreak/>
        <w:t xml:space="preserve">these authors took into account the skin of the cane rat which represents 17% of the live weight. This was not the case in our study. </w:t>
      </w:r>
      <w:bookmarkStart w:id="3" w:name="_Hlk529194908"/>
      <w:r w:rsidRPr="00DB72BE">
        <w:rPr>
          <w:rFonts w:ascii="Arial" w:hAnsi="Arial" w:cs="Arial"/>
        </w:rPr>
        <w:t xml:space="preserve">Also, the yield of the full digestive tract was higher with the most fibrous ration (ADF21). These findings would be linked on to the </w:t>
      </w:r>
      <w:proofErr w:type="spellStart"/>
      <w:r w:rsidRPr="00DB72BE">
        <w:rPr>
          <w:rFonts w:ascii="Arial" w:hAnsi="Arial" w:cs="Arial"/>
        </w:rPr>
        <w:t>fibre</w:t>
      </w:r>
      <w:proofErr w:type="spellEnd"/>
      <w:r w:rsidRPr="00DB72BE">
        <w:rPr>
          <w:rFonts w:ascii="Arial" w:hAnsi="Arial" w:cs="Arial"/>
        </w:rPr>
        <w:t xml:space="preserve"> content of the pelleted feed used. </w:t>
      </w:r>
      <w:bookmarkEnd w:id="3"/>
      <w:r w:rsidRPr="00DB72BE">
        <w:rPr>
          <w:rFonts w:ascii="Arial" w:hAnsi="Arial" w:cs="Arial"/>
        </w:rPr>
        <w:t xml:space="preserve">In fact, </w:t>
      </w:r>
      <w:proofErr w:type="spellStart"/>
      <w:r w:rsidRPr="00DB72BE">
        <w:rPr>
          <w:rFonts w:ascii="Arial" w:hAnsi="Arial" w:cs="Arial"/>
        </w:rPr>
        <w:t>fibres</w:t>
      </w:r>
      <w:proofErr w:type="spellEnd"/>
      <w:r w:rsidRPr="00DB72BE">
        <w:rPr>
          <w:rFonts w:ascii="Arial" w:hAnsi="Arial" w:cs="Arial"/>
        </w:rPr>
        <w:t xml:space="preserve"> have an abrasive effect on the animal's intestinal mucosa. This action stimulates the development of the digestive system; thus, increasing the weight of the viscera </w:t>
      </w:r>
      <w:r w:rsidRPr="00DB72BE">
        <w:rPr>
          <w:rFonts w:ascii="Arial" w:hAnsi="Arial" w:cs="Arial"/>
        </w:rPr>
        <w:fldChar w:fldCharType="begin">
          <w:fldData xml:space="preserve">PEVuZE5vdGU+PENpdGU+PEF1dGhvcj5KaGE8L0F1dGhvcj48WWVhcj4yMDIxPC9ZZWFyPjxSZWNO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</w:fldData>
        </w:fldChar>
      </w:r>
      <w:r w:rsidRPr="00DB72BE">
        <w:rPr>
          <w:rFonts w:ascii="Arial" w:hAnsi="Arial" w:cs="Arial"/>
        </w:rPr>
        <w:instrText xml:space="preserve"> ADDIN EN.CITE </w:instrText>
      </w:r>
      <w:r w:rsidRPr="00DB72BE">
        <w:rPr>
          <w:rFonts w:ascii="Arial" w:hAnsi="Arial" w:cs="Arial"/>
        </w:rPr>
        <w:fldChar w:fldCharType="begin">
          <w:fldData xml:space="preserve">PEVuZE5vdGU+PENpdGU+PEF1dGhvcj5KaGE8L0F1dGhvcj48WWVhcj4yMDIxPC9ZZWFyPjxSZWNO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</w:fldData>
        </w:fldChar>
      </w:r>
      <w:r w:rsidRPr="00DB72BE">
        <w:rPr>
          <w:rFonts w:ascii="Arial" w:hAnsi="Arial" w:cs="Arial"/>
        </w:rPr>
        <w:instrText xml:space="preserve"> ADDIN EN.CITE.DATA </w:instrText>
      </w:r>
      <w:r w:rsidRPr="00DB72BE">
        <w:rPr>
          <w:rFonts w:ascii="Arial" w:hAnsi="Arial" w:cs="Arial"/>
        </w:rPr>
      </w:r>
      <w:r w:rsidRPr="00DB72BE">
        <w:rPr>
          <w:rFonts w:ascii="Arial" w:hAnsi="Arial" w:cs="Arial"/>
        </w:rPr>
        <w:fldChar w:fldCharType="end"/>
      </w:r>
      <w:r w:rsidRPr="00DB72BE">
        <w:rPr>
          <w:rFonts w:ascii="Arial" w:hAnsi="Arial" w:cs="Arial"/>
        </w:rPr>
      </w:r>
      <w:r w:rsidRPr="00DB72BE">
        <w:rPr>
          <w:rFonts w:ascii="Arial" w:hAnsi="Arial" w:cs="Arial"/>
        </w:rPr>
        <w:fldChar w:fldCharType="separate"/>
      </w:r>
      <w:r w:rsidRPr="00DB72BE">
        <w:rPr>
          <w:rFonts w:ascii="Arial" w:hAnsi="Arial" w:cs="Arial"/>
        </w:rPr>
        <w:t>(Jha et al., 2021; Tejeda et al., 2021)</w:t>
      </w:r>
      <w:r w:rsidRPr="00DB72BE">
        <w:rPr>
          <w:rFonts w:ascii="Arial" w:hAnsi="Arial" w:cs="Arial"/>
        </w:rPr>
        <w:fldChar w:fldCharType="end"/>
      </w:r>
      <w:r w:rsidRPr="00DB72BE">
        <w:rPr>
          <w:rFonts w:ascii="Arial" w:hAnsi="Arial" w:cs="Arial"/>
        </w:rPr>
        <w:t xml:space="preserve">. Furthermore, refrigeration losses did not vary depending on the diets. This fact could be explained by the non-variation in the post-mortem pH of the carcasses; as the rise in muscle pH leads to an increase in the meat's water retention capacity </w:t>
      </w:r>
      <w:r w:rsidRPr="00DB72BE">
        <w:rPr>
          <w:rFonts w:ascii="Arial" w:hAnsi="Arial" w:cs="Arial"/>
        </w:rPr>
        <w:fldChar w:fldCharType="begin"/>
      </w:r>
      <w:r w:rsidRPr="00DB72BE">
        <w:rPr>
          <w:rFonts w:ascii="Arial" w:hAnsi="Arial" w:cs="Arial"/>
        </w:rPr>
        <w:instrText xml:space="preserve"> ADDIN EN.CITE &lt;EndNote&gt;&lt;Cite&gt;&lt;Author&gt;Zhang&lt;/Author&gt;&lt;Year&gt;2023&lt;/Year&gt;&lt;RecNum&gt;18&lt;/RecNum&gt;&lt;DisplayText&gt;(Zhang&lt;style face="italic"&gt; et al.&lt;/style&gt;, 2023)&lt;/DisplayText&gt;&lt;record&gt;&lt;rec-number&gt;18&lt;/rec-number&gt;&lt;foreign-keys&gt;&lt;key app="EN" db-id="95rwdpepzf52eae2e5dxxrxwasafevedepw0" timestamp="1773693951"&gt;18&lt;/key&gt;&lt;/foreign-keys&gt;&lt;ref-type name="Journal Article"&gt;17&lt;/ref-type&gt;&lt;contributors&gt;&lt;authors&gt;&lt;author&gt;Zhang, Handan&lt;/author&gt;&lt;author&gt;Cao, Yungang&lt;/author&gt;&lt;author&gt;Dong, Xinling&lt;/author&gt;&lt;author&gt;Li, Xia&lt;/author&gt;&lt;author&gt;Zhang, Chunhui&lt;/author&gt;&lt;/authors&gt;&lt;/contributors&gt;&lt;titles&gt;&lt;title&gt;Effect of different postmortem ageing conditions on physicochemical properties, structure and water-holding capacity of pork&lt;/title&gt;&lt;secondary-title&gt;International Journal of Food Science &amp;amp; Technology&lt;/secondary-title&gt;&lt;/titles&gt;&lt;periodical&gt;&lt;full-title&gt;International Journal of Food Science &amp;amp; Technology&lt;/full-title&gt;&lt;/periodical&gt;&lt;pages&gt;1662-1672&lt;/pages&gt;&lt;volume&gt;58&lt;/volume&gt;&lt;number&gt;3&lt;/number&gt;&lt;keywords&gt;&lt;keyword&gt;Pork&lt;/keyword&gt;&lt;keyword&gt;postmortem ageing temperature&lt;/keyword&gt;&lt;keyword&gt;protein–water interaction&lt;/keyword&gt;&lt;keyword&gt;secondary structure&lt;/keyword&gt;&lt;keyword&gt;water-holding capacity&lt;/keyword&gt;&lt;/keywords&gt;&lt;dates&gt;&lt;year&gt;2023&lt;/year&gt;&lt;pub-dates&gt;&lt;date&gt;2023/03/01&lt;/date&gt;&lt;/pub-dates&gt;&lt;/dates&gt;&lt;publisher&gt;John Wiley &amp;amp; Sons, Ltd&lt;/publisher&gt;&lt;isbn&gt;0950-5423&lt;/isbn&gt;&lt;urls&gt;&lt;related-urls&gt;&lt;url&gt;https://doi.org/10.1111/ijfs.16182&lt;/url&gt;&lt;/related-urls&gt;&lt;/urls&gt;&lt;electronic-resource-num&gt;10.1111/ijfs.16182&lt;/electronic-resource-num&gt;&lt;access-date&gt;2026/03/16&lt;/access-date&gt;&lt;/record&gt;&lt;/Cite&gt;&lt;/EndNote&gt;</w:instrText>
      </w:r>
      <w:r w:rsidRPr="00DB72BE">
        <w:rPr>
          <w:rFonts w:ascii="Arial" w:hAnsi="Arial" w:cs="Arial"/>
        </w:rPr>
        <w:fldChar w:fldCharType="separate"/>
      </w:r>
      <w:r w:rsidRPr="00DB72BE">
        <w:rPr>
          <w:rFonts w:ascii="Arial" w:hAnsi="Arial" w:cs="Arial"/>
        </w:rPr>
        <w:t>(Zhang et al., 2023)</w:t>
      </w:r>
      <w:r w:rsidRPr="00DB72BE">
        <w:rPr>
          <w:rFonts w:ascii="Arial" w:hAnsi="Arial" w:cs="Arial"/>
        </w:rPr>
        <w:fldChar w:fldCharType="end"/>
      </w:r>
      <w:r w:rsidRPr="00DB72BE">
        <w:rPr>
          <w:rFonts w:ascii="Arial" w:hAnsi="Arial" w:cs="Arial"/>
        </w:rPr>
        <w:t>.</w:t>
      </w:r>
    </w:p>
    <w:p w14:paraId="0A340646" w14:textId="77777777" w:rsidR="00790ADA" w:rsidRPr="00FB3A86" w:rsidRDefault="00790ADA" w:rsidP="00441B6F">
      <w:pPr>
        <w:pStyle w:val="Body"/>
        <w:spacing w:after="0"/>
        <w:rPr>
          <w:rFonts w:ascii="Arial" w:hAnsi="Arial" w:cs="Arial"/>
        </w:rPr>
      </w:pPr>
    </w:p>
    <w:p w14:paraId="08E15325"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73F7042" w14:textId="77777777" w:rsidR="00790ADA" w:rsidRPr="00FB3A86" w:rsidRDefault="00790ADA" w:rsidP="00441B6F">
      <w:pPr>
        <w:pStyle w:val="ConcHead"/>
        <w:spacing w:after="0"/>
        <w:jc w:val="both"/>
        <w:rPr>
          <w:rFonts w:ascii="Arial" w:hAnsi="Arial" w:cs="Arial"/>
        </w:rPr>
      </w:pPr>
    </w:p>
    <w:p w14:paraId="2D26CA85" w14:textId="77777777" w:rsidR="00EA092B" w:rsidRPr="006D7042" w:rsidRDefault="00EA092B" w:rsidP="00EA092B">
      <w:pPr>
        <w:spacing w:before="100" w:beforeAutospacing="1" w:after="100" w:afterAutospacing="1"/>
        <w:rPr>
          <w:rFonts w:ascii="Times New Roman" w:hAnsi="Times New Roman"/>
          <w:sz w:val="24"/>
          <w:szCs w:val="24"/>
        </w:rPr>
      </w:pPr>
      <w:r w:rsidRPr="006D7042">
        <w:rPr>
          <w:rFonts w:ascii="Times New Roman" w:hAnsi="Times New Roman"/>
          <w:sz w:val="24"/>
          <w:szCs w:val="24"/>
        </w:rPr>
        <w:t xml:space="preserve">The study showed that dietary </w:t>
      </w:r>
      <w:proofErr w:type="spellStart"/>
      <w:r w:rsidRPr="006D7042">
        <w:rPr>
          <w:rFonts w:ascii="Times New Roman" w:hAnsi="Times New Roman"/>
          <w:sz w:val="24"/>
          <w:szCs w:val="24"/>
        </w:rPr>
        <w:t>fibre</w:t>
      </w:r>
      <w:proofErr w:type="spellEnd"/>
      <w:r w:rsidRPr="006D7042">
        <w:rPr>
          <w:rFonts w:ascii="Times New Roman" w:hAnsi="Times New Roman"/>
          <w:sz w:val="24"/>
          <w:szCs w:val="24"/>
        </w:rPr>
        <w:t xml:space="preserve"> level influenced feed intake, growth performance, nutrient digestibility and carcass characteristics in young cane rats fed complete pelleted diets. No mortality or morbidity occurred across the tested diets, suggesting that 17–21% ADF was compatible with digestive health under the experimental conditions. However, the 21% ADF diet increased feed intake and reduced growth performance, feed efficiency and several carcass-yield traits. Diets containing 17% and 19% ADF produced better feed conversion, average daily gain and carcass outcomes. Therefore, the suitable </w:t>
      </w:r>
      <w:proofErr w:type="spellStart"/>
      <w:r w:rsidRPr="006D7042">
        <w:rPr>
          <w:rFonts w:ascii="Times New Roman" w:hAnsi="Times New Roman"/>
          <w:sz w:val="24"/>
          <w:szCs w:val="24"/>
        </w:rPr>
        <w:t>fibre</w:t>
      </w:r>
      <w:proofErr w:type="spellEnd"/>
      <w:r w:rsidRPr="006D7042">
        <w:rPr>
          <w:rFonts w:ascii="Times New Roman" w:hAnsi="Times New Roman"/>
          <w:sz w:val="24"/>
          <w:szCs w:val="24"/>
        </w:rPr>
        <w:t xml:space="preserve"> level for young cane rats during growth and fattening appears to be between 17% and 19% ADF.</w:t>
      </w:r>
    </w:p>
    <w:p w14:paraId="2824264D" w14:textId="77777777" w:rsidR="00EE3FC1" w:rsidRDefault="00EE3FC1" w:rsidP="00441B6F">
      <w:pPr>
        <w:pStyle w:val="Body"/>
        <w:spacing w:after="0"/>
        <w:rPr>
          <w:rFonts w:ascii="Arial" w:hAnsi="Arial" w:cs="Arial"/>
        </w:rPr>
      </w:pPr>
    </w:p>
    <w:p w14:paraId="0DDE0D2D" w14:textId="77777777" w:rsidR="00790ADA" w:rsidRPr="00FB3A86" w:rsidRDefault="00790ADA" w:rsidP="00441B6F">
      <w:pPr>
        <w:pStyle w:val="Body"/>
        <w:spacing w:after="0"/>
        <w:rPr>
          <w:rFonts w:ascii="Arial" w:hAnsi="Arial" w:cs="Arial"/>
        </w:rPr>
      </w:pPr>
    </w:p>
    <w:p w14:paraId="518A4612" w14:textId="77777777" w:rsidR="00315186" w:rsidRPr="00315186" w:rsidRDefault="00315186" w:rsidP="00441B6F"/>
    <w:p w14:paraId="40AF0551"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156BDA08" w14:textId="77777777" w:rsidR="00860000" w:rsidRDefault="00860000" w:rsidP="00441B6F">
      <w:pPr>
        <w:pStyle w:val="ReferHead"/>
        <w:spacing w:after="0"/>
        <w:jc w:val="both"/>
        <w:rPr>
          <w:rFonts w:ascii="Arial" w:hAnsi="Arial" w:cs="Arial"/>
        </w:rPr>
      </w:pPr>
    </w:p>
    <w:p w14:paraId="65982412" w14:textId="77777777" w:rsidR="00371FB6" w:rsidRDefault="000B3138" w:rsidP="000B3138">
      <w:pPr>
        <w:tabs>
          <w:tab w:val="left" w:pos="4962"/>
        </w:tabs>
        <w:rPr>
          <w:rFonts w:ascii="Arial" w:hAnsi="Arial" w:cs="Arial"/>
        </w:rPr>
      </w:pPr>
      <w:r w:rsidRPr="000B3138">
        <w:rPr>
          <w:rFonts w:ascii="Arial" w:hAnsi="Arial" w:cs="Arial"/>
        </w:rPr>
        <w:t>The authors declare no potential conflicts of interest</w:t>
      </w:r>
    </w:p>
    <w:p w14:paraId="18ACA51A" w14:textId="77777777" w:rsidR="000B3138" w:rsidRDefault="000B3138" w:rsidP="000B3138">
      <w:pPr>
        <w:tabs>
          <w:tab w:val="left" w:pos="4962"/>
        </w:tabs>
        <w:rPr>
          <w:rFonts w:ascii="Arial" w:hAnsi="Arial" w:cs="Arial"/>
        </w:rPr>
      </w:pPr>
    </w:p>
    <w:p w14:paraId="52A48DFD" w14:textId="77777777" w:rsidR="00860000" w:rsidRDefault="00860000" w:rsidP="00441B6F">
      <w:pPr>
        <w:pStyle w:val="ReferHead"/>
        <w:spacing w:after="0"/>
        <w:jc w:val="both"/>
        <w:rPr>
          <w:rFonts w:ascii="Arial" w:hAnsi="Arial" w:cs="Arial"/>
        </w:rPr>
      </w:pPr>
    </w:p>
    <w:p w14:paraId="2920A19F" w14:textId="77777777" w:rsidR="00EA092B" w:rsidRPr="000839CE" w:rsidRDefault="00EA092B" w:rsidP="00EA092B">
      <w:pPr>
        <w:rPr>
          <w:rFonts w:ascii="Times New Roman" w:hAnsi="Times New Roman"/>
          <w:b/>
        </w:rPr>
      </w:pPr>
      <w:r w:rsidRPr="000839CE">
        <w:rPr>
          <w:rFonts w:ascii="Times New Roman" w:hAnsi="Times New Roman"/>
          <w:b/>
        </w:rPr>
        <w:t>Declaration of AI Use</w:t>
      </w:r>
    </w:p>
    <w:p w14:paraId="63E52880" w14:textId="77777777" w:rsidR="00EA092B" w:rsidRPr="000839CE" w:rsidRDefault="00EA092B" w:rsidP="00EA092B">
      <w:pPr>
        <w:rPr>
          <w:rFonts w:ascii="Times New Roman" w:hAnsi="Times New Roman"/>
        </w:rPr>
      </w:pPr>
    </w:p>
    <w:p w14:paraId="694FAB3C" w14:textId="77777777" w:rsidR="00EA092B" w:rsidRPr="000839CE" w:rsidRDefault="00EA092B" w:rsidP="00EA092B">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8492515" w14:textId="77777777" w:rsidR="00EA092B" w:rsidRDefault="00EA092B" w:rsidP="00441B6F">
      <w:pPr>
        <w:pStyle w:val="ReferHead"/>
        <w:spacing w:after="0"/>
        <w:jc w:val="both"/>
        <w:rPr>
          <w:rFonts w:ascii="Arial" w:hAnsi="Arial" w:cs="Arial"/>
        </w:rPr>
      </w:pPr>
    </w:p>
    <w:p w14:paraId="0DE80D03"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1A47E75C" w14:textId="77777777" w:rsidR="00790ADA" w:rsidRDefault="00790ADA" w:rsidP="00441B6F">
      <w:pPr>
        <w:pStyle w:val="ReferHead"/>
        <w:spacing w:after="0"/>
        <w:jc w:val="both"/>
        <w:rPr>
          <w:rFonts w:ascii="Arial" w:hAnsi="Arial" w:cs="Arial"/>
        </w:rPr>
      </w:pPr>
    </w:p>
    <w:p w14:paraId="538381E6" w14:textId="77777777" w:rsidR="00337D2C" w:rsidRPr="0058355B" w:rsidRDefault="00337D2C" w:rsidP="00337D2C">
      <w:pPr>
        <w:pStyle w:val="EndNoteBibliography"/>
        <w:spacing w:after="0"/>
        <w:ind w:left="720" w:hanging="720"/>
        <w:rPr>
          <w:rFonts w:ascii="Arial" w:hAnsi="Arial" w:cs="Arial"/>
          <w:sz w:val="20"/>
          <w:szCs w:val="20"/>
        </w:rPr>
      </w:pPr>
      <w:r w:rsidRPr="0058355B">
        <w:rPr>
          <w:rFonts w:ascii="Arial" w:hAnsi="Arial" w:cs="Arial"/>
          <w:sz w:val="20"/>
          <w:szCs w:val="20"/>
        </w:rPr>
        <w:t xml:space="preserve">Teye, M., Fuseini, A., &amp; Odoi, F. N. A. (2020). Consumer acceptance, Carcass and sensory characteristics of meats of farmed and wild cane rats (Thryonomys swinderianus). Scientific African, 8, e00461. </w:t>
      </w:r>
      <w:hyperlink r:id="rId14" w:history="1">
        <w:r w:rsidRPr="0058355B">
          <w:rPr>
            <w:rStyle w:val="Hyperlink"/>
            <w:rFonts w:ascii="Arial" w:hAnsi="Arial" w:cs="Arial"/>
            <w:sz w:val="20"/>
            <w:szCs w:val="20"/>
          </w:rPr>
          <w:t>https://doi.org/10.1016/j.sciaf.2020.e00461</w:t>
        </w:r>
      </w:hyperlink>
      <w:r w:rsidRPr="0058355B">
        <w:rPr>
          <w:rFonts w:ascii="Arial" w:hAnsi="Arial" w:cs="Arial"/>
          <w:sz w:val="20"/>
          <w:szCs w:val="20"/>
        </w:rPr>
        <w:t xml:space="preserve"> </w:t>
      </w:r>
    </w:p>
    <w:p w14:paraId="771B2759" w14:textId="77777777" w:rsidR="00337D2C" w:rsidRPr="0058355B" w:rsidRDefault="00337D2C" w:rsidP="00337D2C">
      <w:pPr>
        <w:pStyle w:val="EndNoteBibliography"/>
        <w:spacing w:after="0"/>
        <w:ind w:left="720" w:hanging="720"/>
        <w:rPr>
          <w:rFonts w:ascii="Arial" w:hAnsi="Arial" w:cs="Arial"/>
          <w:sz w:val="20"/>
          <w:szCs w:val="20"/>
        </w:rPr>
      </w:pPr>
      <w:r w:rsidRPr="0058355B">
        <w:rPr>
          <w:rFonts w:ascii="Arial" w:hAnsi="Arial" w:cs="Arial"/>
          <w:sz w:val="20"/>
          <w:szCs w:val="20"/>
        </w:rPr>
        <w:t xml:space="preserve">Mandey, J., Kowel, Y., Regar, M., &amp; Leke, J. (2017). Effect of different level of energy and crude fiber from sawdust in diets on carcass quality of broiler. Journal of the </w:t>
      </w:r>
      <w:r w:rsidRPr="0058355B">
        <w:rPr>
          <w:rFonts w:ascii="Arial" w:hAnsi="Arial" w:cs="Arial"/>
          <w:sz w:val="20"/>
          <w:szCs w:val="20"/>
        </w:rPr>
        <w:lastRenderedPageBreak/>
        <w:t xml:space="preserve">Indonesian Tropical Animal Agriculture 42(4), 240–246. </w:t>
      </w:r>
      <w:hyperlink r:id="rId15" w:history="1">
        <w:r w:rsidRPr="0058355B">
          <w:rPr>
            <w:rStyle w:val="Hyperlink"/>
            <w:rFonts w:ascii="Arial" w:hAnsi="Arial" w:cs="Arial"/>
            <w:sz w:val="20"/>
            <w:szCs w:val="20"/>
          </w:rPr>
          <w:t>https://doi.org/10.14710/jitaa.42.4.240-246</w:t>
        </w:r>
      </w:hyperlink>
      <w:r w:rsidRPr="0058355B">
        <w:rPr>
          <w:rFonts w:ascii="Arial" w:hAnsi="Arial" w:cs="Arial"/>
          <w:sz w:val="20"/>
          <w:szCs w:val="20"/>
        </w:rPr>
        <w:t xml:space="preserve"> </w:t>
      </w:r>
    </w:p>
    <w:p w14:paraId="67C17685" w14:textId="77777777" w:rsidR="00337D2C" w:rsidRPr="00337D2C" w:rsidRDefault="00337D2C" w:rsidP="00337D2C">
      <w:pPr>
        <w:pStyle w:val="EndNoteBibliography"/>
        <w:spacing w:after="0"/>
        <w:ind w:left="720" w:hanging="720"/>
        <w:rPr>
          <w:rFonts w:ascii="Arial" w:hAnsi="Arial" w:cs="Arial"/>
          <w:sz w:val="20"/>
          <w:szCs w:val="20"/>
          <w:lang w:val="fr-CI"/>
        </w:rPr>
      </w:pPr>
      <w:r w:rsidRPr="0058355B">
        <w:rPr>
          <w:rFonts w:ascii="Arial" w:hAnsi="Arial" w:cs="Arial"/>
          <w:sz w:val="20"/>
          <w:szCs w:val="20"/>
        </w:rPr>
        <w:t xml:space="preserve">Nyameasem, J. K., Akoloh, M., &amp; Adu, E. K. (2018). Effects of protein content on feed intake and performance of grasscutters fed diets containing forage meal. </w:t>
      </w:r>
      <w:r w:rsidRPr="00337D2C">
        <w:rPr>
          <w:rFonts w:ascii="Arial" w:hAnsi="Arial" w:cs="Arial"/>
          <w:sz w:val="20"/>
          <w:szCs w:val="20"/>
          <w:lang w:val="fr-CI"/>
        </w:rPr>
        <w:t xml:space="preserve">Animal Production Science, 59(2), 314–318. </w:t>
      </w:r>
      <w:hyperlink r:id="rId16" w:history="1">
        <w:r w:rsidRPr="00337D2C">
          <w:rPr>
            <w:rStyle w:val="Hyperlink"/>
            <w:rFonts w:ascii="Arial" w:hAnsi="Arial" w:cs="Arial"/>
            <w:sz w:val="20"/>
            <w:szCs w:val="20"/>
            <w:lang w:val="fr-CI"/>
          </w:rPr>
          <w:t>https://doi.org/10.1071/an15889</w:t>
        </w:r>
      </w:hyperlink>
      <w:r w:rsidRPr="00337D2C">
        <w:rPr>
          <w:rFonts w:ascii="Arial" w:hAnsi="Arial" w:cs="Arial"/>
          <w:sz w:val="20"/>
          <w:szCs w:val="20"/>
          <w:lang w:val="fr-CI"/>
        </w:rPr>
        <w:t xml:space="preserve"> </w:t>
      </w:r>
    </w:p>
    <w:p w14:paraId="03ECA975" w14:textId="77777777" w:rsidR="00337D2C" w:rsidRPr="0058355B" w:rsidRDefault="00337D2C" w:rsidP="00337D2C">
      <w:pPr>
        <w:pStyle w:val="EndNoteBibliography"/>
        <w:spacing w:after="0"/>
        <w:ind w:left="720" w:hanging="720"/>
        <w:rPr>
          <w:rFonts w:ascii="Arial" w:hAnsi="Arial" w:cs="Arial"/>
          <w:sz w:val="20"/>
          <w:szCs w:val="20"/>
        </w:rPr>
      </w:pPr>
      <w:r w:rsidRPr="00337D2C">
        <w:rPr>
          <w:rFonts w:ascii="Arial" w:hAnsi="Arial" w:cs="Arial"/>
          <w:sz w:val="20"/>
          <w:szCs w:val="20"/>
          <w:lang w:val="fr-CI"/>
        </w:rPr>
        <w:t xml:space="preserve">Yapi, Y. M., Enjalbert, F., &amp; Gidenne, T. (2021). </w:t>
      </w:r>
      <w:r w:rsidRPr="0058355B">
        <w:rPr>
          <w:rFonts w:ascii="Arial" w:hAnsi="Arial" w:cs="Arial"/>
          <w:sz w:val="20"/>
          <w:szCs w:val="20"/>
        </w:rPr>
        <w:t xml:space="preserve">Dietary fibre level influence on young cane rat </w:t>
      </w:r>
      <w:r w:rsidRPr="0058355B">
        <w:rPr>
          <w:rFonts w:ascii="Arial" w:hAnsi="Arial" w:cs="Arial"/>
          <w:i/>
          <w:sz w:val="20"/>
          <w:szCs w:val="20"/>
        </w:rPr>
        <w:t>Thryonomys swinderianus</w:t>
      </w:r>
      <w:r w:rsidRPr="0058355B">
        <w:rPr>
          <w:rFonts w:ascii="Arial" w:hAnsi="Arial" w:cs="Arial"/>
          <w:sz w:val="20"/>
          <w:szCs w:val="20"/>
        </w:rPr>
        <w:t xml:space="preserve"> growth and digestive health. African Zoology, 56(1), 10–16. </w:t>
      </w:r>
      <w:hyperlink r:id="rId17" w:history="1">
        <w:r w:rsidRPr="0058355B">
          <w:rPr>
            <w:rStyle w:val="Hyperlink"/>
            <w:rFonts w:ascii="Arial" w:hAnsi="Arial" w:cs="Arial"/>
            <w:sz w:val="20"/>
            <w:szCs w:val="20"/>
          </w:rPr>
          <w:t>https://doi.org/doi:10.1080/15627020.2020.1842803</w:t>
        </w:r>
      </w:hyperlink>
      <w:r w:rsidRPr="0058355B">
        <w:rPr>
          <w:rFonts w:ascii="Arial" w:hAnsi="Arial" w:cs="Arial"/>
          <w:sz w:val="20"/>
          <w:szCs w:val="20"/>
        </w:rPr>
        <w:t xml:space="preserve"> </w:t>
      </w:r>
    </w:p>
    <w:p w14:paraId="292D9884" w14:textId="77777777" w:rsidR="00337D2C" w:rsidRPr="0058355B" w:rsidRDefault="00337D2C" w:rsidP="00337D2C">
      <w:pPr>
        <w:pStyle w:val="EndNoteBibliography"/>
        <w:spacing w:after="0"/>
        <w:ind w:left="720" w:hanging="720"/>
        <w:rPr>
          <w:rFonts w:ascii="Arial" w:hAnsi="Arial" w:cs="Arial"/>
          <w:sz w:val="20"/>
          <w:szCs w:val="20"/>
        </w:rPr>
      </w:pPr>
      <w:r w:rsidRPr="0058355B">
        <w:rPr>
          <w:rFonts w:ascii="Arial" w:hAnsi="Arial" w:cs="Arial"/>
          <w:sz w:val="20"/>
          <w:szCs w:val="20"/>
        </w:rPr>
        <w:t>Marani, S. A. M. (2018). Effects of pelleted feed on the performance of the grasscutter (</w:t>
      </w:r>
      <w:r w:rsidRPr="0058355B">
        <w:rPr>
          <w:rFonts w:ascii="Arial" w:hAnsi="Arial" w:cs="Arial"/>
          <w:i/>
          <w:sz w:val="20"/>
          <w:szCs w:val="20"/>
        </w:rPr>
        <w:t>Thryonomys swinderianus</w:t>
      </w:r>
      <w:r w:rsidRPr="0058355B">
        <w:rPr>
          <w:rFonts w:ascii="Arial" w:hAnsi="Arial" w:cs="Arial"/>
          <w:sz w:val="20"/>
          <w:szCs w:val="20"/>
        </w:rPr>
        <w:t xml:space="preserve">). Journal of Agricultural Science and Food Research, 9(2), 2000218. </w:t>
      </w:r>
    </w:p>
    <w:p w14:paraId="5540BD78" w14:textId="77777777" w:rsidR="00A51212" w:rsidRPr="00A51212" w:rsidRDefault="00A51212" w:rsidP="00A51212">
      <w:pPr>
        <w:pStyle w:val="EndNoteBibliography"/>
        <w:spacing w:after="0"/>
        <w:ind w:left="720" w:hanging="720"/>
        <w:rPr>
          <w:rFonts w:ascii="Arial" w:hAnsi="Arial" w:cs="Arial"/>
          <w:sz w:val="20"/>
          <w:szCs w:val="20"/>
          <w:lang w:val="fr-CI"/>
        </w:rPr>
      </w:pPr>
      <w:r w:rsidRPr="0058355B">
        <w:rPr>
          <w:rFonts w:ascii="Arial" w:hAnsi="Arial" w:cs="Arial"/>
          <w:sz w:val="20"/>
          <w:szCs w:val="20"/>
        </w:rPr>
        <w:t xml:space="preserve">Chen, S.-Y., Deng, F., Jia, X., Liu, H., Zhang, G.-W., &amp; Lai, S.-J. (2019). Gut microbiota profiling with differential tolerance against the reduced dietary fibre level in rabbit. </w:t>
      </w:r>
      <w:r w:rsidRPr="00A51212">
        <w:rPr>
          <w:rFonts w:ascii="Arial" w:hAnsi="Arial" w:cs="Arial"/>
          <w:sz w:val="20"/>
          <w:szCs w:val="20"/>
          <w:lang w:val="fr-CI"/>
        </w:rPr>
        <w:t xml:space="preserve">Scientific Reports, 9(1), 288. </w:t>
      </w:r>
      <w:hyperlink r:id="rId18" w:history="1">
        <w:r w:rsidRPr="00A51212">
          <w:rPr>
            <w:rStyle w:val="Hyperlink"/>
            <w:rFonts w:ascii="Arial" w:hAnsi="Arial" w:cs="Arial"/>
            <w:sz w:val="20"/>
            <w:szCs w:val="20"/>
            <w:lang w:val="fr-CI"/>
          </w:rPr>
          <w:t>https://doi.org/10.1038/s41598-018-36534-6</w:t>
        </w:r>
      </w:hyperlink>
      <w:r w:rsidRPr="00A51212">
        <w:rPr>
          <w:rFonts w:ascii="Arial" w:hAnsi="Arial" w:cs="Arial"/>
          <w:sz w:val="20"/>
          <w:szCs w:val="20"/>
          <w:lang w:val="fr-CI"/>
        </w:rPr>
        <w:t xml:space="preserve"> </w:t>
      </w:r>
    </w:p>
    <w:p w14:paraId="2FB1834E" w14:textId="77777777" w:rsidR="00A51212" w:rsidRPr="00A51212" w:rsidRDefault="00A51212" w:rsidP="00A51212">
      <w:pPr>
        <w:pStyle w:val="EndNoteBibliography"/>
        <w:spacing w:after="0"/>
        <w:ind w:left="720" w:hanging="720"/>
        <w:rPr>
          <w:rFonts w:ascii="Arial" w:hAnsi="Arial" w:cs="Arial"/>
          <w:sz w:val="20"/>
          <w:szCs w:val="20"/>
          <w:lang w:val="fr-CI"/>
        </w:rPr>
      </w:pPr>
      <w:r w:rsidRPr="00A51212">
        <w:rPr>
          <w:rFonts w:ascii="Arial" w:hAnsi="Arial" w:cs="Arial"/>
          <w:sz w:val="20"/>
          <w:szCs w:val="20"/>
          <w:lang w:val="fr-CI"/>
        </w:rPr>
        <w:t xml:space="preserve">Gidenne, T., Garreau, H., Maertens, L., &amp; Drouilhet, L. (2019). Efficacité alimentaire en cuniculture : voies d'améliorations, impacts technico-économiques et environnementaux. INRAE Productions Animales, 32(3), 431–444. </w:t>
      </w:r>
      <w:hyperlink r:id="rId19" w:history="1">
        <w:r w:rsidRPr="00A51212">
          <w:rPr>
            <w:rStyle w:val="Hyperlink"/>
            <w:rFonts w:ascii="Arial" w:hAnsi="Arial" w:cs="Arial"/>
            <w:sz w:val="20"/>
            <w:szCs w:val="20"/>
            <w:lang w:val="fr-CI"/>
          </w:rPr>
          <w:t>https://doi.org/10.20870/productions-animales.2019.32.3.2946</w:t>
        </w:r>
      </w:hyperlink>
      <w:r w:rsidRPr="00A51212">
        <w:rPr>
          <w:rFonts w:ascii="Arial" w:hAnsi="Arial" w:cs="Arial"/>
          <w:sz w:val="20"/>
          <w:szCs w:val="20"/>
          <w:lang w:val="fr-CI"/>
        </w:rPr>
        <w:t xml:space="preserve"> </w:t>
      </w:r>
    </w:p>
    <w:p w14:paraId="48071197" w14:textId="77777777" w:rsidR="00A51212" w:rsidRPr="0058355B" w:rsidRDefault="00A51212" w:rsidP="00A51212">
      <w:pPr>
        <w:pStyle w:val="EndNoteBibliography"/>
        <w:spacing w:after="0"/>
        <w:ind w:left="720" w:hanging="720"/>
        <w:rPr>
          <w:rFonts w:ascii="Arial" w:hAnsi="Arial" w:cs="Arial"/>
          <w:sz w:val="20"/>
          <w:szCs w:val="20"/>
        </w:rPr>
      </w:pPr>
      <w:r w:rsidRPr="00A51212">
        <w:rPr>
          <w:rFonts w:ascii="Arial" w:hAnsi="Arial" w:cs="Arial"/>
          <w:sz w:val="20"/>
          <w:szCs w:val="20"/>
          <w:lang w:val="fr-CI"/>
        </w:rPr>
        <w:t>Alla, K. J. B., Yapi, Y. M., Kimsé, M., Soro, D., Yapi, J. N., &amp; Otchoumou, A. (2017). Determination Du Niveau De Fibres Dans L'aliment Granule Chez L'aulacodine (</w:t>
      </w:r>
      <w:r w:rsidRPr="00A51212">
        <w:rPr>
          <w:rFonts w:ascii="Arial" w:hAnsi="Arial" w:cs="Arial"/>
          <w:i/>
          <w:sz w:val="20"/>
          <w:szCs w:val="20"/>
          <w:lang w:val="fr-CI"/>
        </w:rPr>
        <w:t>Thryonomys Swinderianus</w:t>
      </w:r>
      <w:r w:rsidRPr="00A51212">
        <w:rPr>
          <w:rFonts w:ascii="Arial" w:hAnsi="Arial" w:cs="Arial"/>
          <w:sz w:val="20"/>
          <w:szCs w:val="20"/>
          <w:lang w:val="fr-CI"/>
        </w:rPr>
        <w:t xml:space="preserve">, Temminck 1827): Impacts Sur Les Performances Zootechniques. </w:t>
      </w:r>
      <w:r w:rsidRPr="0058355B">
        <w:rPr>
          <w:rFonts w:ascii="Arial" w:hAnsi="Arial" w:cs="Arial"/>
          <w:sz w:val="20"/>
          <w:szCs w:val="20"/>
        </w:rPr>
        <w:t xml:space="preserve">European Scientific Journal, 13(9), 212–226. </w:t>
      </w:r>
      <w:hyperlink r:id="rId20" w:history="1">
        <w:r w:rsidRPr="0058355B">
          <w:rPr>
            <w:rStyle w:val="Hyperlink"/>
            <w:rFonts w:ascii="Arial" w:hAnsi="Arial" w:cs="Arial"/>
            <w:sz w:val="20"/>
            <w:szCs w:val="20"/>
          </w:rPr>
          <w:t>https://doi.org/10.19044/esj.2017.v13n9p212</w:t>
        </w:r>
      </w:hyperlink>
      <w:r w:rsidRPr="0058355B">
        <w:rPr>
          <w:rFonts w:ascii="Arial" w:hAnsi="Arial" w:cs="Arial"/>
          <w:sz w:val="20"/>
          <w:szCs w:val="20"/>
        </w:rPr>
        <w:t xml:space="preserve"> </w:t>
      </w:r>
    </w:p>
    <w:p w14:paraId="523AA7EB"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Van Soest, P. J., Robertson, J. B., &amp; Lewis, B. A. (1991). Methods for Dietary Fiber, Neutral Detergent Fiber, and Nonstarch Polysaccharides in Relation to Animal Nutrition. Journal of Dairy Science, 74(10), 3583–3597. </w:t>
      </w:r>
      <w:hyperlink r:id="rId21" w:history="1">
        <w:r w:rsidRPr="0058355B">
          <w:rPr>
            <w:rStyle w:val="Hyperlink"/>
            <w:rFonts w:ascii="Arial" w:hAnsi="Arial" w:cs="Arial"/>
            <w:sz w:val="20"/>
            <w:szCs w:val="20"/>
          </w:rPr>
          <w:t>https://doi.org/10.3168/jds.S0022-0302(91)78551-2</w:t>
        </w:r>
      </w:hyperlink>
      <w:r w:rsidRPr="0058355B">
        <w:rPr>
          <w:rFonts w:ascii="Arial" w:hAnsi="Arial" w:cs="Arial"/>
          <w:sz w:val="20"/>
          <w:szCs w:val="20"/>
        </w:rPr>
        <w:t xml:space="preserve"> </w:t>
      </w:r>
    </w:p>
    <w:p w14:paraId="2F48C8F3"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EGRAN. (2001). Technical note: Attempts to harmonize chemical analyses of feeds and faeces, for rabbit feed evaluation. World Rabbit Science, 9(2), 57–64. </w:t>
      </w:r>
      <w:hyperlink r:id="rId22" w:history="1">
        <w:r w:rsidRPr="0058355B">
          <w:rPr>
            <w:rStyle w:val="Hyperlink"/>
            <w:rFonts w:ascii="Arial" w:hAnsi="Arial" w:cs="Arial"/>
            <w:sz w:val="20"/>
            <w:szCs w:val="20"/>
          </w:rPr>
          <w:t>https://doi.org/10.4995/wrs.2001.446</w:t>
        </w:r>
      </w:hyperlink>
      <w:r w:rsidRPr="0058355B">
        <w:rPr>
          <w:rFonts w:ascii="Arial" w:hAnsi="Arial" w:cs="Arial"/>
          <w:sz w:val="20"/>
          <w:szCs w:val="20"/>
        </w:rPr>
        <w:t xml:space="preserve"> </w:t>
      </w:r>
    </w:p>
    <w:p w14:paraId="1651DF4E"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Leary, S., Underwood, W., Anthony, R., Cartner, S., Grandin, T., Greenacre, C., Gwaltney-Brant, S., McCrackin, M. A., Meyer, R., Miller, D., Shearer, J., Turner, T., &amp; Yanong, R. (2020). AVMA guidelines for the euthanasia of animals: 2020 edition (2020 ed., Vol. 2020)</w:t>
      </w:r>
      <w:r w:rsidRPr="0058355B">
        <w:rPr>
          <w:rFonts w:ascii="Arial" w:hAnsi="Arial" w:cs="Arial"/>
          <w:i/>
          <w:sz w:val="20"/>
          <w:szCs w:val="20"/>
        </w:rPr>
        <w:t xml:space="preserve">. </w:t>
      </w:r>
      <w:hyperlink r:id="rId23" w:history="1">
        <w:r w:rsidRPr="0058355B">
          <w:rPr>
            <w:rStyle w:val="Hyperlink"/>
            <w:rFonts w:ascii="Arial" w:hAnsi="Arial" w:cs="Arial"/>
            <w:sz w:val="20"/>
            <w:szCs w:val="20"/>
          </w:rPr>
          <w:t>https://www.avma.org/sites/default/files/2020-02/Guidelines-on-Euthanasia-2020.pdf</w:t>
        </w:r>
      </w:hyperlink>
      <w:r w:rsidRPr="0058355B">
        <w:rPr>
          <w:rFonts w:ascii="Arial" w:hAnsi="Arial" w:cs="Arial"/>
          <w:sz w:val="20"/>
          <w:szCs w:val="20"/>
        </w:rPr>
        <w:t xml:space="preserve"> </w:t>
      </w:r>
    </w:p>
    <w:p w14:paraId="5DF082AF"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Blasco, A., &amp; Ouhayoun, J. (1993). Harmonization of criteria and terminology in rabbit meat research. Revised proposal. World Rabbit Science, 4(2), 93–99. </w:t>
      </w:r>
      <w:hyperlink r:id="rId24" w:history="1">
        <w:r w:rsidRPr="0058355B">
          <w:rPr>
            <w:rStyle w:val="Hyperlink"/>
            <w:rFonts w:ascii="Arial" w:hAnsi="Arial" w:cs="Arial"/>
            <w:sz w:val="20"/>
            <w:szCs w:val="20"/>
          </w:rPr>
          <w:t>https://doi.org/10.4995/wrs.1996.278</w:t>
        </w:r>
      </w:hyperlink>
      <w:r w:rsidRPr="0058355B">
        <w:rPr>
          <w:rFonts w:ascii="Arial" w:hAnsi="Arial" w:cs="Arial"/>
          <w:sz w:val="20"/>
          <w:szCs w:val="20"/>
        </w:rPr>
        <w:t xml:space="preserve"> </w:t>
      </w:r>
    </w:p>
    <w:p w14:paraId="6ED25B1F"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R Development Core Team. (2022). </w:t>
      </w:r>
      <w:r w:rsidRPr="0058355B">
        <w:rPr>
          <w:rFonts w:ascii="Arial" w:hAnsi="Arial" w:cs="Arial"/>
          <w:i/>
          <w:sz w:val="20"/>
          <w:szCs w:val="20"/>
        </w:rPr>
        <w:t xml:space="preserve">R: A Language and Environment for Statistical Computing. </w:t>
      </w:r>
      <w:r w:rsidRPr="0058355B">
        <w:rPr>
          <w:rFonts w:ascii="Arial" w:hAnsi="Arial" w:cs="Arial"/>
          <w:sz w:val="20"/>
          <w:szCs w:val="20"/>
        </w:rPr>
        <w:t xml:space="preserve">In </w:t>
      </w:r>
      <w:r w:rsidRPr="0058355B">
        <w:rPr>
          <w:rFonts w:ascii="Arial" w:hAnsi="Arial" w:cs="Arial"/>
          <w:i/>
          <w:sz w:val="20"/>
          <w:szCs w:val="20"/>
        </w:rPr>
        <w:t>R Foundation for Statistical Computing</w:t>
      </w:r>
      <w:r w:rsidRPr="0058355B">
        <w:rPr>
          <w:rFonts w:ascii="Arial" w:hAnsi="Arial" w:cs="Arial"/>
          <w:sz w:val="20"/>
          <w:szCs w:val="20"/>
        </w:rPr>
        <w:t xml:space="preserve"> </w:t>
      </w:r>
      <w:hyperlink r:id="rId25" w:history="1">
        <w:r w:rsidRPr="0058355B">
          <w:rPr>
            <w:rStyle w:val="Hyperlink"/>
            <w:rFonts w:ascii="Arial" w:hAnsi="Arial" w:cs="Arial"/>
            <w:sz w:val="20"/>
            <w:szCs w:val="20"/>
          </w:rPr>
          <w:t>http://www.R-project.org</w:t>
        </w:r>
      </w:hyperlink>
    </w:p>
    <w:p w14:paraId="16FEB584"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Lu, H., Preynat, A., Geraert, P. A., Adeola, O., &amp; Ajuwon, K. M. (2016). Effects of dietary supplementation of exogenous multi-enzyme mixture containing carbohydrases and phytase on growth performance, energy and nutrient digestibility, and selected mucosal gene expression in the small intestine of weanling pigs fed nutrient deficient diets. Can. J. Anim. Sci., 96, 243</w:t>
      </w:r>
      <w:r w:rsidRPr="0058355B">
        <w:rPr>
          <w:rFonts w:ascii="Cambria Math" w:hAnsi="Cambria Math" w:cs="Cambria Math"/>
          <w:sz w:val="20"/>
          <w:szCs w:val="20"/>
        </w:rPr>
        <w:t>‑</w:t>
      </w:r>
      <w:r w:rsidRPr="0058355B">
        <w:rPr>
          <w:rFonts w:ascii="Arial" w:hAnsi="Arial" w:cs="Arial"/>
          <w:sz w:val="20"/>
          <w:szCs w:val="20"/>
        </w:rPr>
        <w:t xml:space="preserve">251. </w:t>
      </w:r>
    </w:p>
    <w:p w14:paraId="4486492B"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Rao, Z., Li, Y., Yang, X., Guo, Y., Zhang, W., &amp; Wang, Z. (2024). Diet xylo-oligosaccharide supplementation improves growth performance, immune function, and intestinal health of broilers. Animal Nutrition, 17, 165–176. </w:t>
      </w:r>
      <w:hyperlink r:id="rId26" w:history="1">
        <w:r w:rsidRPr="0058355B">
          <w:rPr>
            <w:rStyle w:val="Hyperlink"/>
            <w:rFonts w:ascii="Arial" w:hAnsi="Arial" w:cs="Arial"/>
            <w:sz w:val="20"/>
            <w:szCs w:val="20"/>
          </w:rPr>
          <w:t>https://doi.org/10.1016/j.aninu.2024.01.004</w:t>
        </w:r>
      </w:hyperlink>
      <w:r w:rsidRPr="0058355B">
        <w:rPr>
          <w:rFonts w:ascii="Arial" w:hAnsi="Arial" w:cs="Arial"/>
          <w:sz w:val="20"/>
          <w:szCs w:val="20"/>
        </w:rPr>
        <w:t xml:space="preserve"> </w:t>
      </w:r>
    </w:p>
    <w:p w14:paraId="6EB1C3A5"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Lee, W.-D., Kim, H.-J., Kim, H.-s., Hong, E.-C., Kim, C.-H., Kang, H.-K., Byun, S. J., &amp; Son, J. (2024). Dietary energy levels affect productivity, meat quality, blood variables, energy efficiency and welfare indicators in broilers under welfare rearing conditions. </w:t>
      </w:r>
      <w:r w:rsidRPr="0058355B">
        <w:rPr>
          <w:rFonts w:ascii="Arial" w:hAnsi="Arial" w:cs="Arial"/>
          <w:sz w:val="20"/>
          <w:szCs w:val="20"/>
        </w:rPr>
        <w:lastRenderedPageBreak/>
        <w:t xml:space="preserve">Italian Journal of Animal Science, 23(1), 1325–1335. </w:t>
      </w:r>
      <w:hyperlink r:id="rId27" w:history="1">
        <w:r w:rsidRPr="0058355B">
          <w:rPr>
            <w:rStyle w:val="Hyperlink"/>
            <w:rFonts w:ascii="Arial" w:hAnsi="Arial" w:cs="Arial"/>
            <w:sz w:val="20"/>
            <w:szCs w:val="20"/>
          </w:rPr>
          <w:t>https://doi.org/10.1080/1828051X.2024.2398175</w:t>
        </w:r>
      </w:hyperlink>
      <w:r w:rsidRPr="0058355B">
        <w:rPr>
          <w:rFonts w:ascii="Arial" w:hAnsi="Arial" w:cs="Arial"/>
          <w:sz w:val="20"/>
          <w:szCs w:val="20"/>
        </w:rPr>
        <w:t xml:space="preserve"> </w:t>
      </w:r>
    </w:p>
    <w:p w14:paraId="34AB86A8" w14:textId="77777777" w:rsidR="00A51212" w:rsidRPr="00A51212" w:rsidRDefault="00A51212" w:rsidP="00A51212">
      <w:pPr>
        <w:pStyle w:val="EndNoteBibliography"/>
        <w:spacing w:after="0"/>
        <w:ind w:left="720" w:hanging="720"/>
        <w:rPr>
          <w:rFonts w:ascii="Arial" w:hAnsi="Arial" w:cs="Arial"/>
          <w:sz w:val="20"/>
          <w:szCs w:val="20"/>
          <w:lang w:val="fr-CI"/>
        </w:rPr>
      </w:pPr>
      <w:r w:rsidRPr="0058355B">
        <w:rPr>
          <w:rFonts w:ascii="Arial" w:hAnsi="Arial" w:cs="Arial"/>
          <w:sz w:val="20"/>
          <w:szCs w:val="20"/>
        </w:rPr>
        <w:t xml:space="preserve">Bedford, M. R., Svihus, B., &amp; Cowieson, A. J. (2024). Dietary fibre effects and the interplay with exogenous carbohydrases in poultry nutrition. </w:t>
      </w:r>
      <w:r w:rsidRPr="00A51212">
        <w:rPr>
          <w:rFonts w:ascii="Arial" w:hAnsi="Arial" w:cs="Arial"/>
          <w:sz w:val="20"/>
          <w:szCs w:val="20"/>
          <w:lang w:val="fr-CI"/>
        </w:rPr>
        <w:t xml:space="preserve">Animal Nutrition, 16, 231–240. </w:t>
      </w:r>
      <w:hyperlink r:id="rId28" w:history="1">
        <w:r w:rsidRPr="00A51212">
          <w:rPr>
            <w:rStyle w:val="Hyperlink"/>
            <w:rFonts w:ascii="Arial" w:hAnsi="Arial" w:cs="Arial"/>
            <w:sz w:val="20"/>
            <w:szCs w:val="20"/>
            <w:lang w:val="fr-CI"/>
          </w:rPr>
          <w:t>https://doi.org/10.1016/j.aninu.2023.09.007</w:t>
        </w:r>
      </w:hyperlink>
      <w:r w:rsidRPr="00A51212">
        <w:rPr>
          <w:rFonts w:ascii="Arial" w:hAnsi="Arial" w:cs="Arial"/>
          <w:sz w:val="20"/>
          <w:szCs w:val="20"/>
          <w:lang w:val="fr-CI"/>
        </w:rPr>
        <w:t xml:space="preserve"> </w:t>
      </w:r>
    </w:p>
    <w:p w14:paraId="33599C4B" w14:textId="77777777" w:rsidR="00A51212" w:rsidRPr="0058355B" w:rsidRDefault="00A51212" w:rsidP="00A51212">
      <w:pPr>
        <w:pStyle w:val="EndNoteBibliography"/>
        <w:spacing w:after="0"/>
        <w:ind w:left="720" w:hanging="720"/>
        <w:rPr>
          <w:rFonts w:ascii="Arial" w:hAnsi="Arial" w:cs="Arial"/>
          <w:sz w:val="20"/>
          <w:szCs w:val="20"/>
        </w:rPr>
      </w:pPr>
      <w:r w:rsidRPr="00A51212">
        <w:rPr>
          <w:rFonts w:ascii="Arial" w:hAnsi="Arial" w:cs="Arial"/>
          <w:sz w:val="20"/>
          <w:szCs w:val="20"/>
          <w:lang w:val="fr-CI"/>
        </w:rPr>
        <w:t xml:space="preserve">Jha, R., &amp; Mishra, P. (2021). </w:t>
      </w:r>
      <w:r w:rsidRPr="0058355B">
        <w:rPr>
          <w:rFonts w:ascii="Arial" w:hAnsi="Arial" w:cs="Arial"/>
          <w:sz w:val="20"/>
          <w:szCs w:val="20"/>
        </w:rPr>
        <w:t xml:space="preserve">Dietary fiber in poultry nutrition and their effects on nutrient utilization, performance, gut health, and on the environment: a review. Journal of Animal Science and Biotechnology, 12(1), 51. </w:t>
      </w:r>
      <w:hyperlink r:id="rId29" w:history="1">
        <w:r w:rsidRPr="0058355B">
          <w:rPr>
            <w:rStyle w:val="Hyperlink"/>
            <w:rFonts w:ascii="Arial" w:hAnsi="Arial" w:cs="Arial"/>
            <w:sz w:val="20"/>
            <w:szCs w:val="20"/>
          </w:rPr>
          <w:t>https://doi.org/10.1186/s40104-021-00576-0</w:t>
        </w:r>
      </w:hyperlink>
      <w:r w:rsidRPr="0058355B">
        <w:rPr>
          <w:rFonts w:ascii="Arial" w:hAnsi="Arial" w:cs="Arial"/>
          <w:sz w:val="20"/>
          <w:szCs w:val="20"/>
        </w:rPr>
        <w:t xml:space="preserve"> </w:t>
      </w:r>
    </w:p>
    <w:p w14:paraId="0FCDCB1B"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Han, X., Ma, Y., Ding, S., Fang, J., &amp; Liu, G. (2023). Regulation of dietary fiber on intestinal microorganisms and its effects on animal health. Animal Nutrition, 14, 356–369. </w:t>
      </w:r>
      <w:hyperlink r:id="rId30" w:history="1">
        <w:r w:rsidRPr="0058355B">
          <w:rPr>
            <w:rStyle w:val="Hyperlink"/>
            <w:rFonts w:ascii="Arial" w:hAnsi="Arial" w:cs="Arial"/>
            <w:sz w:val="20"/>
            <w:szCs w:val="20"/>
          </w:rPr>
          <w:t>https://doi.org/10.1016/j.aninu.2023.06.004</w:t>
        </w:r>
      </w:hyperlink>
      <w:r w:rsidRPr="0058355B">
        <w:rPr>
          <w:rFonts w:ascii="Arial" w:hAnsi="Arial" w:cs="Arial"/>
          <w:sz w:val="20"/>
          <w:szCs w:val="20"/>
        </w:rPr>
        <w:t xml:space="preserve"> </w:t>
      </w:r>
    </w:p>
    <w:p w14:paraId="64F586D3" w14:textId="77777777" w:rsidR="00337D2C" w:rsidRDefault="00A51212" w:rsidP="00CF2A3C">
      <w:pPr>
        <w:pStyle w:val="EndNoteBibliography"/>
        <w:spacing w:after="0"/>
        <w:ind w:left="720" w:hanging="720"/>
        <w:rPr>
          <w:rFonts w:ascii="Arial" w:hAnsi="Arial" w:cs="Arial"/>
          <w:color w:val="000000" w:themeColor="text1"/>
          <w:sz w:val="20"/>
          <w:szCs w:val="20"/>
        </w:rPr>
      </w:pPr>
      <w:r w:rsidRPr="0058355B">
        <w:rPr>
          <w:rFonts w:ascii="Arial" w:hAnsi="Arial" w:cs="Arial"/>
          <w:sz w:val="20"/>
          <w:szCs w:val="20"/>
        </w:rPr>
        <w:t xml:space="preserve">Zhang, H., Cao, Y., Dong, X., Li, X., &amp; Zhang, C. (2023). Effect of different postmortem ageing conditions on physicochemical properties, structure and water-holding capacity of pork. International Journal of Food Science &amp; Technology, 58(3), 1662–1672. </w:t>
      </w:r>
      <w:hyperlink r:id="rId31" w:history="1">
        <w:r w:rsidRPr="0058355B">
          <w:rPr>
            <w:rStyle w:val="Hyperlink"/>
            <w:rFonts w:ascii="Arial" w:hAnsi="Arial" w:cs="Arial"/>
            <w:sz w:val="20"/>
            <w:szCs w:val="20"/>
          </w:rPr>
          <w:t>https://doi.org/10.1111/ijfs.16182</w:t>
        </w:r>
      </w:hyperlink>
    </w:p>
    <w:p w14:paraId="3A423973"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Aizoun, F., Pomalegni, S., Gbemavo, C., Farougou, S., Youssao, A., &amp; Mensah, G. (2017). </w:t>
      </w:r>
      <w:r w:rsidRPr="00A51212">
        <w:rPr>
          <w:rFonts w:ascii="Arial" w:hAnsi="Arial" w:cs="Arial"/>
          <w:sz w:val="20"/>
          <w:szCs w:val="20"/>
          <w:lang w:val="fr-CI"/>
        </w:rPr>
        <w:t xml:space="preserve">Comparaison des performances de croissance chez l’aulacode d’élevage nourri avec trois types de rations alimentaires à base de fourrages, produits et sous-produits de maïs. </w:t>
      </w:r>
      <w:r w:rsidRPr="0058355B">
        <w:rPr>
          <w:rFonts w:ascii="Arial" w:hAnsi="Arial" w:cs="Arial"/>
          <w:sz w:val="20"/>
          <w:szCs w:val="20"/>
        </w:rPr>
        <w:t xml:space="preserve">Journal of Animal &amp; Plant Sciences, 32(2), 5168–5180. </w:t>
      </w:r>
    </w:p>
    <w:p w14:paraId="19A2C0BA"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Birolo, M., Xiccato, G., Bordignon, F., Dabbou, S., Zuffellato, A., &amp; Trocino, A. (2022). Growth Performance, Digestive Efficiency, and Meat Quality of Two Commercial Crossbred Rabbits Fed Diets Differing in Energy and Protein Levels. Animals, 12(18), 2427. </w:t>
      </w:r>
      <w:hyperlink r:id="rId32" w:history="1">
        <w:r w:rsidRPr="0058355B">
          <w:rPr>
            <w:rStyle w:val="Hyperlink"/>
            <w:rFonts w:ascii="Arial" w:hAnsi="Arial" w:cs="Arial"/>
            <w:sz w:val="20"/>
            <w:szCs w:val="20"/>
          </w:rPr>
          <w:t>https://doi.org/10.3390/ani12182427</w:t>
        </w:r>
      </w:hyperlink>
      <w:r w:rsidRPr="0058355B">
        <w:rPr>
          <w:rFonts w:ascii="Arial" w:hAnsi="Arial" w:cs="Arial"/>
          <w:sz w:val="20"/>
          <w:szCs w:val="20"/>
        </w:rPr>
        <w:t xml:space="preserve"> </w:t>
      </w:r>
    </w:p>
    <w:p w14:paraId="13C87225" w14:textId="77777777" w:rsidR="00A51212" w:rsidRPr="0058355B"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Aizoun, F., Pomalegni, S., Gbemavo, C., Youssao, A., Farougou, S., &amp; Mensah, G. (2016). Characteristics of the carcass and nutritional values of breed grasscutter meat (</w:t>
      </w:r>
      <w:r w:rsidRPr="0058355B">
        <w:rPr>
          <w:rFonts w:ascii="Arial" w:hAnsi="Arial" w:cs="Arial"/>
          <w:i/>
          <w:sz w:val="20"/>
          <w:szCs w:val="20"/>
        </w:rPr>
        <w:t>Thryonomys swinderianus</w:t>
      </w:r>
      <w:r w:rsidRPr="0058355B">
        <w:rPr>
          <w:rFonts w:ascii="Arial" w:hAnsi="Arial" w:cs="Arial"/>
          <w:sz w:val="20"/>
          <w:szCs w:val="20"/>
        </w:rPr>
        <w:t xml:space="preserve">) fed with pellets in Benin. International Journal of Advanced Research, 4(12), 816–825. </w:t>
      </w:r>
      <w:hyperlink r:id="rId33" w:history="1">
        <w:r w:rsidRPr="0058355B">
          <w:rPr>
            <w:rStyle w:val="Hyperlink"/>
            <w:rFonts w:ascii="Arial" w:hAnsi="Arial" w:cs="Arial"/>
            <w:sz w:val="20"/>
            <w:szCs w:val="20"/>
          </w:rPr>
          <w:t>https://doi.org/10.21474/IJAR01/2463</w:t>
        </w:r>
      </w:hyperlink>
      <w:r w:rsidRPr="0058355B">
        <w:rPr>
          <w:rFonts w:ascii="Arial" w:hAnsi="Arial" w:cs="Arial"/>
          <w:sz w:val="20"/>
          <w:szCs w:val="20"/>
        </w:rPr>
        <w:t xml:space="preserve"> </w:t>
      </w:r>
    </w:p>
    <w:p w14:paraId="0BCFAF5D" w14:textId="77777777" w:rsidR="00790ADA" w:rsidRPr="00A51212" w:rsidRDefault="00A51212" w:rsidP="00A51212">
      <w:pPr>
        <w:pStyle w:val="EndNoteBibliography"/>
        <w:spacing w:after="0"/>
        <w:ind w:left="720" w:hanging="720"/>
        <w:rPr>
          <w:rFonts w:ascii="Arial" w:hAnsi="Arial" w:cs="Arial"/>
          <w:sz w:val="20"/>
          <w:szCs w:val="20"/>
        </w:rPr>
      </w:pPr>
      <w:r w:rsidRPr="0058355B">
        <w:rPr>
          <w:rFonts w:ascii="Arial" w:hAnsi="Arial" w:cs="Arial"/>
          <w:sz w:val="20"/>
          <w:szCs w:val="20"/>
        </w:rPr>
        <w:t xml:space="preserve">Tejeda, O. J., &amp; Kim, W. K. (2021). Role of Dietary Fiber in Poultry Nutrition. Animals, 11(2), 461. </w:t>
      </w:r>
      <w:hyperlink r:id="rId34" w:history="1">
        <w:r w:rsidRPr="0058355B">
          <w:rPr>
            <w:rStyle w:val="Hyperlink"/>
            <w:rFonts w:ascii="Arial" w:hAnsi="Arial" w:cs="Arial"/>
            <w:sz w:val="20"/>
            <w:szCs w:val="20"/>
          </w:rPr>
          <w:t>https://doi.org/10.3390/ani11020461</w:t>
        </w:r>
      </w:hyperlink>
      <w:r w:rsidRPr="0058355B">
        <w:rPr>
          <w:rFonts w:ascii="Arial" w:hAnsi="Arial" w:cs="Arial"/>
          <w:sz w:val="20"/>
          <w:szCs w:val="20"/>
        </w:rPr>
        <w:t xml:space="preserve"> </w:t>
      </w:r>
    </w:p>
    <w:p w14:paraId="398745EC" w14:textId="77777777" w:rsidR="004D4277" w:rsidRPr="00FB3A86" w:rsidRDefault="004D4277" w:rsidP="00441B6F">
      <w:pPr>
        <w:pStyle w:val="Appendix"/>
        <w:spacing w:after="0"/>
        <w:jc w:val="both"/>
        <w:rPr>
          <w:rFonts w:ascii="Arial" w:hAnsi="Arial" w:cs="Arial"/>
          <w:b w:val="0"/>
        </w:rPr>
        <w:sectPr w:rsidR="004D4277" w:rsidRPr="00FB3A86" w:rsidSect="00EA092B">
          <w:headerReference w:type="even" r:id="rId35"/>
          <w:headerReference w:type="default" r:id="rId36"/>
          <w:footerReference w:type="default" r:id="rId37"/>
          <w:headerReference w:type="first" r:id="rId38"/>
          <w:type w:val="continuous"/>
          <w:pgSz w:w="12240" w:h="15840"/>
          <w:pgMar w:top="1440" w:right="2016" w:bottom="2016" w:left="2016" w:header="720" w:footer="1123" w:gutter="0"/>
          <w:cols w:space="720"/>
          <w:docGrid w:linePitch="272"/>
        </w:sectPr>
      </w:pPr>
    </w:p>
    <w:p w14:paraId="15923EFC" w14:textId="77777777" w:rsidR="00B01FCD" w:rsidRPr="00FB3A86" w:rsidRDefault="00B01FCD" w:rsidP="00441B6F">
      <w:pPr>
        <w:pStyle w:val="Appendix"/>
        <w:spacing w:after="0"/>
        <w:jc w:val="both"/>
        <w:rPr>
          <w:rFonts w:ascii="Arial" w:hAnsi="Arial" w:cs="Arial"/>
          <w:b w:val="0"/>
        </w:rPr>
      </w:pPr>
    </w:p>
    <w:sectPr w:rsidR="00B01FCD" w:rsidRPr="00FB3A86" w:rsidSect="00EA092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0AAD" w14:textId="77777777" w:rsidR="00BB5C31" w:rsidRDefault="00BB5C31" w:rsidP="00C37E61">
      <w:r>
        <w:separator/>
      </w:r>
    </w:p>
  </w:endnote>
  <w:endnote w:type="continuationSeparator" w:id="0">
    <w:p w14:paraId="2DBF1FF3" w14:textId="77777777" w:rsidR="00BB5C31" w:rsidRDefault="00BB5C3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242E" w14:textId="77777777" w:rsidR="00F06F6E" w:rsidRDefault="00F06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B788" w14:textId="6E5BC8D7" w:rsidR="00C37E61" w:rsidRPr="00EA092B" w:rsidRDefault="008666F9" w:rsidP="00EA092B">
    <w:pPr>
      <w:pStyle w:val="Footer"/>
    </w:pPr>
    <w:r w:rsidRPr="00EA092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89680" w14:textId="025EC3C8" w:rsidR="00754C9A" w:rsidRPr="00F06F6E" w:rsidRDefault="00754C9A" w:rsidP="00F06F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94A9"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4F66B" w14:textId="77777777" w:rsidR="00BB5C31" w:rsidRDefault="00BB5C31" w:rsidP="00C37E61">
      <w:r>
        <w:separator/>
      </w:r>
    </w:p>
  </w:footnote>
  <w:footnote w:type="continuationSeparator" w:id="0">
    <w:p w14:paraId="260304DA" w14:textId="77777777" w:rsidR="00BB5C31" w:rsidRDefault="00BB5C3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A888" w14:textId="27B6813A" w:rsidR="00F06F6E" w:rsidRDefault="00F06F6E">
    <w:pPr>
      <w:pStyle w:val="Header"/>
    </w:pPr>
    <w:r>
      <w:rPr>
        <w:noProof/>
      </w:rPr>
      <w:pict w14:anchorId="292912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2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17F4" w14:textId="572ED1B3" w:rsidR="00F06F6E" w:rsidRDefault="00F06F6E">
    <w:pPr>
      <w:pStyle w:val="Header"/>
    </w:pPr>
    <w:r>
      <w:rPr>
        <w:noProof/>
      </w:rPr>
      <w:pict w14:anchorId="19AB2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C70B" w14:textId="1C1CFEBC" w:rsidR="00296529" w:rsidRPr="00296529" w:rsidRDefault="00F06F6E" w:rsidP="00296529">
    <w:pPr>
      <w:ind w:left="2160"/>
      <w:jc w:val="center"/>
      <w:rPr>
        <w:rFonts w:ascii="Times New Roman" w:eastAsia="Calibri" w:hAnsi="Times New Roman"/>
        <w:i/>
        <w:sz w:val="18"/>
        <w:szCs w:val="22"/>
      </w:rPr>
    </w:pPr>
    <w:r>
      <w:rPr>
        <w:noProof/>
      </w:rPr>
      <w:pict w14:anchorId="38CC9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2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C88B8E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42B445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AE8F107"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5738153"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B34F04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8F34E5A"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78DA" w14:textId="33EE4E05" w:rsidR="00F06F6E" w:rsidRDefault="00F06F6E">
    <w:pPr>
      <w:pStyle w:val="Header"/>
    </w:pPr>
    <w:r>
      <w:rPr>
        <w:noProof/>
      </w:rPr>
      <w:pict w14:anchorId="22E12F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2"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8AF3F9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9356" w14:textId="47832CB9" w:rsidR="00F06F6E" w:rsidRDefault="00F06F6E">
    <w:pPr>
      <w:pStyle w:val="Header"/>
    </w:pPr>
    <w:r>
      <w:rPr>
        <w:noProof/>
      </w:rPr>
      <w:pict w14:anchorId="50116C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3"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AC9AF9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CE1A" w14:textId="4C23EE3D" w:rsidR="00F06F6E" w:rsidRPr="00296529" w:rsidRDefault="00F06F6E" w:rsidP="00296529">
    <w:pPr>
      <w:ind w:left="2160"/>
      <w:jc w:val="center"/>
      <w:rPr>
        <w:rFonts w:ascii="Times New Roman" w:eastAsia="Calibri" w:hAnsi="Times New Roman"/>
        <w:i/>
        <w:sz w:val="18"/>
        <w:szCs w:val="22"/>
      </w:rPr>
    </w:pPr>
    <w:r>
      <w:rPr>
        <w:noProof/>
      </w:rPr>
      <w:pict w14:anchorId="3A258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1"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564E530C">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FF36DA6" w14:textId="77777777" w:rsidR="00F06F6E" w:rsidRPr="00296529" w:rsidRDefault="00F06F6E"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8C2479B" w14:textId="77777777" w:rsidR="00F06F6E" w:rsidRPr="00296529" w:rsidRDefault="00F06F6E"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041D808" w14:textId="77777777" w:rsidR="00F06F6E" w:rsidRPr="00296529" w:rsidRDefault="00F06F6E"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90972C3" w14:textId="77777777" w:rsidR="00F06F6E" w:rsidRDefault="00F06F6E"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A848419" w14:textId="77777777" w:rsidR="00F06F6E" w:rsidRDefault="00F06F6E"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8CC8415" w14:textId="77777777" w:rsidR="00F06F6E" w:rsidRDefault="00F06F6E">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115133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3676855">
    <w:abstractNumId w:val="15"/>
  </w:num>
  <w:num w:numId="3" w16cid:durableId="1326979978">
    <w:abstractNumId w:val="23"/>
  </w:num>
  <w:num w:numId="4" w16cid:durableId="83807801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31875469">
    <w:abstractNumId w:val="7"/>
  </w:num>
  <w:num w:numId="6" w16cid:durableId="1775058355">
    <w:abstractNumId w:val="6"/>
  </w:num>
  <w:num w:numId="7" w16cid:durableId="1607542593">
    <w:abstractNumId w:val="1"/>
  </w:num>
  <w:num w:numId="8" w16cid:durableId="2132626188">
    <w:abstractNumId w:val="12"/>
  </w:num>
  <w:num w:numId="9" w16cid:durableId="159123887">
    <w:abstractNumId w:val="25"/>
  </w:num>
  <w:num w:numId="10" w16cid:durableId="1500196499">
    <w:abstractNumId w:val="2"/>
  </w:num>
  <w:num w:numId="11" w16cid:durableId="191649849">
    <w:abstractNumId w:val="18"/>
  </w:num>
  <w:num w:numId="12" w16cid:durableId="1353991000">
    <w:abstractNumId w:val="3"/>
  </w:num>
  <w:num w:numId="13" w16cid:durableId="1459568879">
    <w:abstractNumId w:val="17"/>
  </w:num>
  <w:num w:numId="14" w16cid:durableId="1523350786">
    <w:abstractNumId w:val="8"/>
  </w:num>
  <w:num w:numId="15" w16cid:durableId="1209075507">
    <w:abstractNumId w:val="21"/>
  </w:num>
  <w:num w:numId="16" w16cid:durableId="951936005">
    <w:abstractNumId w:val="5"/>
  </w:num>
  <w:num w:numId="17" w16cid:durableId="1081290925">
    <w:abstractNumId w:val="22"/>
  </w:num>
  <w:num w:numId="18" w16cid:durableId="1835342707">
    <w:abstractNumId w:val="14"/>
  </w:num>
  <w:num w:numId="19" w16cid:durableId="183061368">
    <w:abstractNumId w:val="28"/>
  </w:num>
  <w:num w:numId="20" w16cid:durableId="1281180142">
    <w:abstractNumId w:val="11"/>
  </w:num>
  <w:num w:numId="21" w16cid:durableId="63336017">
    <w:abstractNumId w:val="9"/>
  </w:num>
  <w:num w:numId="22" w16cid:durableId="1184439539">
    <w:abstractNumId w:val="13"/>
  </w:num>
  <w:num w:numId="23" w16cid:durableId="1943107481">
    <w:abstractNumId w:val="19"/>
  </w:num>
  <w:num w:numId="24" w16cid:durableId="1800604861">
    <w:abstractNumId w:val="26"/>
  </w:num>
  <w:num w:numId="25" w16cid:durableId="908687146">
    <w:abstractNumId w:val="4"/>
  </w:num>
  <w:num w:numId="26" w16cid:durableId="1361779563">
    <w:abstractNumId w:val="16"/>
  </w:num>
  <w:num w:numId="27" w16cid:durableId="863515850">
    <w:abstractNumId w:val="20"/>
  </w:num>
  <w:num w:numId="28" w16cid:durableId="1753428934">
    <w:abstractNumId w:val="27"/>
  </w:num>
  <w:num w:numId="29" w16cid:durableId="1231115357">
    <w:abstractNumId w:val="24"/>
  </w:num>
  <w:num w:numId="30" w16cid:durableId="1167555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B3138"/>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37D2C"/>
    <w:rsid w:val="003512C2"/>
    <w:rsid w:val="00371FB6"/>
    <w:rsid w:val="003763C1"/>
    <w:rsid w:val="00376BBE"/>
    <w:rsid w:val="0039224F"/>
    <w:rsid w:val="003A43A4"/>
    <w:rsid w:val="003A6C03"/>
    <w:rsid w:val="003A7E18"/>
    <w:rsid w:val="003C4C86"/>
    <w:rsid w:val="003C6258"/>
    <w:rsid w:val="003E2904"/>
    <w:rsid w:val="003E7E49"/>
    <w:rsid w:val="00401927"/>
    <w:rsid w:val="0041027F"/>
    <w:rsid w:val="00412475"/>
    <w:rsid w:val="00423789"/>
    <w:rsid w:val="00440F43"/>
    <w:rsid w:val="00441B6F"/>
    <w:rsid w:val="0044598B"/>
    <w:rsid w:val="00446221"/>
    <w:rsid w:val="00450E62"/>
    <w:rsid w:val="00453404"/>
    <w:rsid w:val="004539DB"/>
    <w:rsid w:val="00471A80"/>
    <w:rsid w:val="004D305E"/>
    <w:rsid w:val="004D4277"/>
    <w:rsid w:val="004F0635"/>
    <w:rsid w:val="00502516"/>
    <w:rsid w:val="00505F06"/>
    <w:rsid w:val="00506828"/>
    <w:rsid w:val="0053056E"/>
    <w:rsid w:val="00554FDA"/>
    <w:rsid w:val="00561B74"/>
    <w:rsid w:val="0058355B"/>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A0C0D"/>
    <w:rsid w:val="007D01D8"/>
    <w:rsid w:val="007D2288"/>
    <w:rsid w:val="007D4D7A"/>
    <w:rsid w:val="007E088F"/>
    <w:rsid w:val="007F7B32"/>
    <w:rsid w:val="00804BC2"/>
    <w:rsid w:val="0081431A"/>
    <w:rsid w:val="0083216F"/>
    <w:rsid w:val="00860000"/>
    <w:rsid w:val="00863BD3"/>
    <w:rsid w:val="008641ED"/>
    <w:rsid w:val="008666F9"/>
    <w:rsid w:val="00866D66"/>
    <w:rsid w:val="008671C6"/>
    <w:rsid w:val="00875803"/>
    <w:rsid w:val="008B459E"/>
    <w:rsid w:val="008E13AE"/>
    <w:rsid w:val="008E1506"/>
    <w:rsid w:val="008E710C"/>
    <w:rsid w:val="008F69D6"/>
    <w:rsid w:val="00902823"/>
    <w:rsid w:val="00915CA6"/>
    <w:rsid w:val="00927834"/>
    <w:rsid w:val="00946F73"/>
    <w:rsid w:val="009500A6"/>
    <w:rsid w:val="00957C18"/>
    <w:rsid w:val="0096124F"/>
    <w:rsid w:val="009659BA"/>
    <w:rsid w:val="009678C2"/>
    <w:rsid w:val="00983011"/>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464BB"/>
    <w:rsid w:val="00A47500"/>
    <w:rsid w:val="00A51212"/>
    <w:rsid w:val="00A51431"/>
    <w:rsid w:val="00A539AD"/>
    <w:rsid w:val="00A94063"/>
    <w:rsid w:val="00AA6219"/>
    <w:rsid w:val="00AA74E0"/>
    <w:rsid w:val="00AB703F"/>
    <w:rsid w:val="00AC6BB8"/>
    <w:rsid w:val="00AD2102"/>
    <w:rsid w:val="00AE008F"/>
    <w:rsid w:val="00B01FCD"/>
    <w:rsid w:val="00B1776C"/>
    <w:rsid w:val="00B52583"/>
    <w:rsid w:val="00B52896"/>
    <w:rsid w:val="00B95236"/>
    <w:rsid w:val="00B96BD9"/>
    <w:rsid w:val="00BA1B01"/>
    <w:rsid w:val="00BA2641"/>
    <w:rsid w:val="00BB37AA"/>
    <w:rsid w:val="00BB5C31"/>
    <w:rsid w:val="00BC53A0"/>
    <w:rsid w:val="00BE62AD"/>
    <w:rsid w:val="00BF121F"/>
    <w:rsid w:val="00BF1F80"/>
    <w:rsid w:val="00C03D45"/>
    <w:rsid w:val="00C166EF"/>
    <w:rsid w:val="00C17EB0"/>
    <w:rsid w:val="00C264B0"/>
    <w:rsid w:val="00C27F5F"/>
    <w:rsid w:val="00C30A0F"/>
    <w:rsid w:val="00C3283D"/>
    <w:rsid w:val="00C34B9B"/>
    <w:rsid w:val="00C37E61"/>
    <w:rsid w:val="00C70F1B"/>
    <w:rsid w:val="00C71A47"/>
    <w:rsid w:val="00C7464C"/>
    <w:rsid w:val="00C85588"/>
    <w:rsid w:val="00CD6755"/>
    <w:rsid w:val="00CD6856"/>
    <w:rsid w:val="00CE0089"/>
    <w:rsid w:val="00CE793C"/>
    <w:rsid w:val="00CF193C"/>
    <w:rsid w:val="00CF2A3C"/>
    <w:rsid w:val="00D173F1"/>
    <w:rsid w:val="00D35687"/>
    <w:rsid w:val="00D74CB0"/>
    <w:rsid w:val="00D8295D"/>
    <w:rsid w:val="00DB72BE"/>
    <w:rsid w:val="00DC2A65"/>
    <w:rsid w:val="00DE15F0"/>
    <w:rsid w:val="00DE5663"/>
    <w:rsid w:val="00DE78AA"/>
    <w:rsid w:val="00E053D0"/>
    <w:rsid w:val="00E07E07"/>
    <w:rsid w:val="00E15994"/>
    <w:rsid w:val="00E3114E"/>
    <w:rsid w:val="00E31A70"/>
    <w:rsid w:val="00E35B02"/>
    <w:rsid w:val="00E66496"/>
    <w:rsid w:val="00E66B35"/>
    <w:rsid w:val="00E66E10"/>
    <w:rsid w:val="00E769F6"/>
    <w:rsid w:val="00E83268"/>
    <w:rsid w:val="00E8407C"/>
    <w:rsid w:val="00E84F3C"/>
    <w:rsid w:val="00EA012C"/>
    <w:rsid w:val="00EA092B"/>
    <w:rsid w:val="00EC6A55"/>
    <w:rsid w:val="00ED0288"/>
    <w:rsid w:val="00ED27B2"/>
    <w:rsid w:val="00EE3FC1"/>
    <w:rsid w:val="00EE52CB"/>
    <w:rsid w:val="00EF581D"/>
    <w:rsid w:val="00EF7FD8"/>
    <w:rsid w:val="00F06F59"/>
    <w:rsid w:val="00F06F6E"/>
    <w:rsid w:val="00F17988"/>
    <w:rsid w:val="00F469F0"/>
    <w:rsid w:val="00F53273"/>
    <w:rsid w:val="00F64B85"/>
    <w:rsid w:val="00F755E4"/>
    <w:rsid w:val="00F77D02"/>
    <w:rsid w:val="00FB3A86"/>
    <w:rsid w:val="00FD36C8"/>
    <w:rsid w:val="00FE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599537C8"/>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Caption">
    <w:name w:val="caption"/>
    <w:basedOn w:val="Normal"/>
    <w:next w:val="Normal"/>
    <w:uiPriority w:val="35"/>
    <w:unhideWhenUsed/>
    <w:qFormat/>
    <w:rsid w:val="00453404"/>
    <w:pPr>
      <w:spacing w:after="200"/>
      <w:jc w:val="both"/>
    </w:pPr>
    <w:rPr>
      <w:rFonts w:ascii="Times New Roman" w:eastAsiaTheme="minorHAnsi" w:hAnsi="Times New Roman" w:cstheme="minorBidi"/>
      <w:i/>
      <w:iCs/>
      <w:color w:val="1F497D" w:themeColor="text2"/>
      <w:sz w:val="18"/>
      <w:szCs w:val="18"/>
      <w:lang w:val="en"/>
    </w:rPr>
  </w:style>
  <w:style w:type="table" w:styleId="PlainTable2">
    <w:name w:val="Plain Table 2"/>
    <w:basedOn w:val="TableNormal"/>
    <w:uiPriority w:val="42"/>
    <w:rsid w:val="00F64B85"/>
    <w:rPr>
      <w:rFonts w:asciiTheme="minorHAnsi" w:eastAsiaTheme="minorHAnsi" w:hAnsiTheme="minorHAnsi" w:cstheme="minorBidi"/>
      <w:sz w:val="22"/>
      <w:szCs w:val="22"/>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
    <w:name w:val="Grid Table 4"/>
    <w:basedOn w:val="TableNormal"/>
    <w:uiPriority w:val="49"/>
    <w:rsid w:val="009678C2"/>
    <w:rPr>
      <w:rFonts w:asciiTheme="minorHAnsi" w:eastAsiaTheme="minorHAnsi" w:hAnsiTheme="minorHAnsi" w:cstheme="minorBidi"/>
      <w:kern w:val="2"/>
      <w:sz w:val="24"/>
      <w:szCs w:val="24"/>
      <w:lang w:val="fr-C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ar"/>
    <w:rsid w:val="00CF2A3C"/>
    <w:pPr>
      <w:spacing w:line="259" w:lineRule="auto"/>
      <w:jc w:val="center"/>
    </w:pPr>
    <w:rPr>
      <w:rFonts w:ascii="Times New Roman" w:eastAsiaTheme="minorHAnsi" w:hAnsi="Times New Roman"/>
      <w:noProof/>
      <w:sz w:val="24"/>
      <w:szCs w:val="22"/>
      <w:lang w:val="en"/>
    </w:rPr>
  </w:style>
  <w:style w:type="character" w:customStyle="1" w:styleId="EndNoteBibliographyTitleCar">
    <w:name w:val="EndNote Bibliography Title Car"/>
    <w:basedOn w:val="DefaultParagraphFont"/>
    <w:link w:val="EndNoteBibliographyTitle"/>
    <w:rsid w:val="00CF2A3C"/>
    <w:rPr>
      <w:rFonts w:eastAsiaTheme="minorHAnsi"/>
      <w:noProof/>
      <w:sz w:val="24"/>
      <w:szCs w:val="22"/>
      <w:lang w:val="en"/>
    </w:rPr>
  </w:style>
  <w:style w:type="paragraph" w:customStyle="1" w:styleId="EndNoteBibliography">
    <w:name w:val="EndNote Bibliography"/>
    <w:basedOn w:val="Normal"/>
    <w:link w:val="EndNoteBibliographyCar"/>
    <w:rsid w:val="00CF2A3C"/>
    <w:pPr>
      <w:spacing w:after="160"/>
      <w:jc w:val="both"/>
    </w:pPr>
    <w:rPr>
      <w:rFonts w:ascii="Times New Roman" w:eastAsiaTheme="minorHAnsi" w:hAnsi="Times New Roman"/>
      <w:noProof/>
      <w:sz w:val="24"/>
      <w:szCs w:val="22"/>
      <w:lang w:val="en"/>
    </w:rPr>
  </w:style>
  <w:style w:type="character" w:customStyle="1" w:styleId="EndNoteBibliographyCar">
    <w:name w:val="EndNote Bibliography Car"/>
    <w:basedOn w:val="DefaultParagraphFont"/>
    <w:link w:val="EndNoteBibliography"/>
    <w:rsid w:val="00CF2A3C"/>
    <w:rPr>
      <w:rFonts w:eastAsiaTheme="minorHAnsi"/>
      <w:noProof/>
      <w:sz w:val="24"/>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38/s41598-018-36534-6" TargetMode="External"/><Relationship Id="rId26" Type="http://schemas.openxmlformats.org/officeDocument/2006/relationships/hyperlink" Target="https://doi.org/10.1016/j.aninu.2024.01.004" TargetMode="External"/><Relationship Id="rId39" Type="http://schemas.openxmlformats.org/officeDocument/2006/relationships/fontTable" Target="fontTable.xml"/><Relationship Id="rId21" Type="http://schemas.openxmlformats.org/officeDocument/2006/relationships/hyperlink" Target="https://doi.org/10.3168/jds.S0022-0302(91)78551-2" TargetMode="External"/><Relationship Id="rId34" Type="http://schemas.openxmlformats.org/officeDocument/2006/relationships/hyperlink" Target="https://doi.org/10.3390/ani1102046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doi:10.1080/15627020.2020.1842803" TargetMode="External"/><Relationship Id="rId25" Type="http://schemas.openxmlformats.org/officeDocument/2006/relationships/hyperlink" Target="http://www.R-project.org" TargetMode="External"/><Relationship Id="rId33" Type="http://schemas.openxmlformats.org/officeDocument/2006/relationships/hyperlink" Target="https://doi.org/10.21474/IJAR01/2463"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doi.org/10.1071/an15889" TargetMode="External"/><Relationship Id="rId20" Type="http://schemas.openxmlformats.org/officeDocument/2006/relationships/hyperlink" Target="https://doi.org/10.19044/esj.2017.v13n9p212" TargetMode="External"/><Relationship Id="rId29" Type="http://schemas.openxmlformats.org/officeDocument/2006/relationships/hyperlink" Target="https://doi.org/10.1186/s40104-021-005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4995/wrs.1996.278" TargetMode="External"/><Relationship Id="rId32" Type="http://schemas.openxmlformats.org/officeDocument/2006/relationships/hyperlink" Target="https://doi.org/10.3390/ani12182427"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4710/jitaa.42.4.240-246" TargetMode="External"/><Relationship Id="rId23" Type="http://schemas.openxmlformats.org/officeDocument/2006/relationships/hyperlink" Target="https://www.avma.org/sites/default/files/2020-02/Guidelines-on-Euthanasia-2020.pdf" TargetMode="External"/><Relationship Id="rId28" Type="http://schemas.openxmlformats.org/officeDocument/2006/relationships/hyperlink" Target="https://doi.org/10.1016/j.aninu.2023.09.007"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doi.org/10.20870/productions-animales.2019.32.3.2946" TargetMode="External"/><Relationship Id="rId31" Type="http://schemas.openxmlformats.org/officeDocument/2006/relationships/hyperlink" Target="https://doi.org/10.1111/ijfs.1618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sciaf.2020.e00461" TargetMode="External"/><Relationship Id="rId22" Type="http://schemas.openxmlformats.org/officeDocument/2006/relationships/hyperlink" Target="https://doi.org/10.4995/wrs.2001.446" TargetMode="External"/><Relationship Id="rId27" Type="http://schemas.openxmlformats.org/officeDocument/2006/relationships/hyperlink" Target="https://doi.org/10.1080/1828051X.2024.2398175" TargetMode="External"/><Relationship Id="rId30" Type="http://schemas.openxmlformats.org/officeDocument/2006/relationships/hyperlink" Target="https://doi.org/10.1016/j.aninu.2023.06.004"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216</TotalTime>
  <Pages>10</Pages>
  <Words>10436</Words>
  <Characters>59491</Characters>
  <Application>Microsoft Office Word</Application>
  <DocSecurity>0</DocSecurity>
  <Lines>495</Lines>
  <Paragraphs>139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69788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17</cp:revision>
  <cp:lastPrinted>1999-07-06T11:00:00Z</cp:lastPrinted>
  <dcterms:created xsi:type="dcterms:W3CDTF">2014-10-25T14:34:00Z</dcterms:created>
  <dcterms:modified xsi:type="dcterms:W3CDTF">2026-07-31T12:13:00Z</dcterms:modified>
</cp:coreProperties>
</file>