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7D427" w14:textId="77777777" w:rsidR="00D67B09" w:rsidRPr="006D641C" w:rsidRDefault="00D67B09" w:rsidP="00D67B09">
      <w:pPr>
        <w:pStyle w:val="Author"/>
        <w:outlineLvl w:val="0"/>
        <w:rPr>
          <w:rFonts w:ascii="Arial" w:hAnsi="Arial" w:cs="Arial"/>
          <w:bCs/>
          <w:i/>
          <w:iCs/>
          <w:kern w:val="28"/>
          <w:sz w:val="36"/>
          <w:u w:val="single"/>
        </w:rPr>
      </w:pPr>
      <w:bookmarkStart w:id="0" w:name="Xebba7bf932d176cb6aa8d343ad1f55fdc87cd04"/>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2187A0EA" w14:textId="77777777" w:rsidR="00E932E0" w:rsidRDefault="00000000">
      <w:pPr>
        <w:pStyle w:val="ManuscriptTitle"/>
      </w:pPr>
      <w:r>
        <w:t>Chemical Migration from Plastic Bottled-Water Containers under Environmental Stress: A Critical Review of Toxicological Mechanisms, Ecological Effects and Clinical Health Implications</w:t>
      </w:r>
    </w:p>
    <w:p w14:paraId="6B34E2F9" w14:textId="77777777" w:rsidR="00E932E0" w:rsidRDefault="00000000">
      <w:pPr>
        <w:keepNext/>
        <w:spacing w:after="60"/>
      </w:pPr>
      <w:r>
        <w:rPr>
          <w:b/>
          <w:bCs/>
          <w:sz w:val="24"/>
        </w:rPr>
        <w:t>Abstract</w:t>
      </w:r>
    </w:p>
    <w:p w14:paraId="66F46154" w14:textId="77777777" w:rsidR="00E932E0" w:rsidRDefault="00000000">
      <w:pPr>
        <w:pStyle w:val="BodyText"/>
        <w:spacing w:after="100" w:line="259" w:lineRule="auto"/>
        <w:jc w:val="both"/>
      </w:pPr>
      <w:r>
        <w:rPr>
          <w:sz w:val="21"/>
        </w:rPr>
        <w:t xml:space="preserve">Plastic bottled water is a complex exposure system in which the bottle body, closure, processing history, water chemistry and post-production environment can all influence the transfer of chemicals and particles into the contained water. This critical narrative review evaluates evidence on migration from polyethylene terephthalate (PET) bottles and relevant closure or reusable-bottle polymers under thermal, photochemical, temporal and mechanical stress, and integrates that evidence with toxicological, ecological and clinical-health literature. Literature published from 1 January 2000 to 22 June 2026 was examined using multidisciplinary scholarly sources, citation searching and authoritative drinking-water guidance. The most reproducible stress-dependent signal in PET systems is increased antimony migration with rising temperature and contact time, although concentrations vary substantially by bottle composition, water matrix and experimental conditions. Carbonyls, PET-related degradation products and other non-intentionally added substances also show condition-dependent migration. Reports of phthalates, bisphenols and estrogenic activity require more cautious source attribution because these compounds are not necessarily intrinsic to the PET polymer and may arise from closures, recycled feedstock, processing, environmental contamination or other package components. Mechanical opening and closing can generate particles at the cap-neck interface, while modern nano-analytical methods detect far more small particles than earlier microscopy-based studies, making cross-study concentration comparisons highly method-dependent. Mechanistic evidence supports oxidative stress, inflammation, endocrine </w:t>
      </w:r>
      <w:proofErr w:type="spellStart"/>
      <w:r>
        <w:rPr>
          <w:sz w:val="21"/>
        </w:rPr>
        <w:t>signalling</w:t>
      </w:r>
      <w:proofErr w:type="spellEnd"/>
      <w:r>
        <w:rPr>
          <w:sz w:val="21"/>
        </w:rPr>
        <w:t xml:space="preserve"> and organelle disturbance for selected chemicals or micro- and </w:t>
      </w:r>
      <w:proofErr w:type="spellStart"/>
      <w:r>
        <w:rPr>
          <w:sz w:val="21"/>
        </w:rPr>
        <w:t>nanoplastics</w:t>
      </w:r>
      <w:proofErr w:type="spellEnd"/>
      <w:r>
        <w:rPr>
          <w:sz w:val="21"/>
        </w:rPr>
        <w:t>, but these findings are dominated by in vitro and animal models and often use doses that are difficult to map onto ordinary bottled-water intake. Human biomonitoring confirms internal exposure to plastic particles from multiple environmental pathways, yet no clinical study establishes bottled water as a causal source of human disease. Ecological evidence indicates that weathered plastic can release biologically active chemical mixtures, but toxicity is strongly polymer- and additive-dependent. Risk assessment should therefore distinguish chemical migration from particle release, identify the true material source, model realistic stress histories, and avoid translating hazard signals directly into clinical risk.</w:t>
      </w:r>
    </w:p>
    <w:p w14:paraId="4846C748" w14:textId="77777777" w:rsidR="00E932E0" w:rsidRDefault="00000000">
      <w:pPr>
        <w:pStyle w:val="BodyText"/>
      </w:pPr>
      <w:r>
        <w:rPr>
          <w:b/>
          <w:bCs/>
          <w:sz w:val="21"/>
        </w:rPr>
        <w:t>Keywords:</w:t>
      </w:r>
      <w:r>
        <w:rPr>
          <w:sz w:val="21"/>
        </w:rPr>
        <w:t xml:space="preserve"> bottled water; polyethylene terephthalate; antimony; non-intentionally added substances; microplastics; environmental stress; exposure assessment</w:t>
      </w:r>
    </w:p>
    <w:p w14:paraId="5E57E0FB" w14:textId="77777777" w:rsidR="00E932E0" w:rsidRDefault="00000000">
      <w:pPr>
        <w:pStyle w:val="Heading1"/>
      </w:pPr>
      <w:bookmarkStart w:id="1" w:name="Xe3d0fc0bea9a42ce7605565d0964033d7f6ee47"/>
      <w:bookmarkEnd w:id="0"/>
      <w:r>
        <w:rPr>
          <w:rFonts w:ascii="Times New Roman" w:hAnsi="Times New Roman"/>
        </w:rPr>
        <w:t>1. Introduction</w:t>
      </w:r>
    </w:p>
    <w:p w14:paraId="6C5EF67D" w14:textId="77777777" w:rsidR="00E932E0" w:rsidRDefault="00000000">
      <w:pPr>
        <w:pStyle w:val="FirstParagraph"/>
        <w:spacing w:after="100"/>
        <w:ind w:firstLine="360"/>
        <w:jc w:val="both"/>
      </w:pPr>
      <w:r>
        <w:rPr>
          <w:sz w:val="21"/>
        </w:rPr>
        <w:t xml:space="preserve">Bottled water is often treated analytically as a simple combination of water and a polymer container, yet the relevant exposure system is more complicated. A commercial package may include a polyethylene terephthalate (PET) bottle body, a polyolefin closure, liners, pigments, printing or label components, processing residues and, increasingly, recycled polymer feedstock. The water itself may be still or carbonated and can differ in pH, mineral composition, ionic strength and dissolved organic matter. During transport, retail display and domestic storage, the package can then experience heat, sunlight, prolonged contact, vibration, repeated opening and closing, squeezing or reuse. Each factor can alter molecular diffusion, polymer ageing, surface abrasion or the partitioning of migrants into water. Consequently, a statement that a substance was detected in bottled water is not equivalent to evidence that it originated from PET, and detection is not equivalent to a demonstrated health risk. These distinctions are essential because public-health communication frequently compresses source, hazard, exposure and risk into a single claim (Bach et al., 2012; </w:t>
      </w:r>
      <w:proofErr w:type="spellStart"/>
      <w:r>
        <w:rPr>
          <w:sz w:val="21"/>
        </w:rPr>
        <w:t>Gerassimidou</w:t>
      </w:r>
      <w:proofErr w:type="spellEnd"/>
      <w:r>
        <w:rPr>
          <w:sz w:val="21"/>
        </w:rPr>
        <w:t xml:space="preserve"> et al., 2022).</w:t>
      </w:r>
    </w:p>
    <w:p w14:paraId="12231C8A" w14:textId="77777777" w:rsidR="00E932E0" w:rsidRDefault="00000000">
      <w:pPr>
        <w:pStyle w:val="BodyText"/>
        <w:spacing w:after="100"/>
        <w:ind w:firstLine="360"/>
        <w:jc w:val="both"/>
      </w:pPr>
      <w:r>
        <w:t xml:space="preserve">PET dominates the single-use water-bottle market because it combines low mass, mechanical strength, optical clarity and useful gas-barrier properties. It is produced from terephthalic acid or dimethyl terephthalate </w:t>
      </w:r>
      <w:r>
        <w:lastRenderedPageBreak/>
        <w:t xml:space="preserve">and ethylene glycol, typically using catalysts during </w:t>
      </w:r>
      <w:proofErr w:type="spellStart"/>
      <w:r>
        <w:t>polymerisation</w:t>
      </w:r>
      <w:proofErr w:type="spellEnd"/>
      <w:r>
        <w:t>. Antimony-based catalysts have historically been common, creating a well-supported mechanistic basis for residual antimony in PET and subsequent migration into beverages. Early comparisons of source water, glass or polypropylene containers and PET-packaged water established that the PET container can be a source of antimony, while storage studies showed progressive transfer over time (</w:t>
      </w:r>
      <w:proofErr w:type="spellStart"/>
      <w:r>
        <w:t>Shotyk</w:t>
      </w:r>
      <w:proofErr w:type="spellEnd"/>
      <w:r>
        <w:t xml:space="preserve"> et al., 2006; </w:t>
      </w:r>
      <w:proofErr w:type="spellStart"/>
      <w:r>
        <w:t>Shotyk</w:t>
      </w:r>
      <w:proofErr w:type="spellEnd"/>
      <w:r>
        <w:t xml:space="preserve"> &amp; Krachler, 2007; Westerhoff et al., 2008). Later experiments demonstrated strong temperature dependence, and the apparent diffusion process has been modelled as thermally activated (Al-</w:t>
      </w:r>
      <w:proofErr w:type="spellStart"/>
      <w:r>
        <w:t>Otoum</w:t>
      </w:r>
      <w:proofErr w:type="spellEnd"/>
      <w:r>
        <w:t xml:space="preserve"> et al., 2017; Chapa-Martínez et al., 2016; Welle &amp; Franz, 2011). These observations make antimony one of the best </w:t>
      </w:r>
      <w:proofErr w:type="spellStart"/>
      <w:r>
        <w:t>characterised</w:t>
      </w:r>
      <w:proofErr w:type="spellEnd"/>
      <w:r>
        <w:t xml:space="preserve"> examples of stress-dependent chemical migration from bottled-water packaging.</w:t>
      </w:r>
    </w:p>
    <w:p w14:paraId="680A88D0" w14:textId="77777777" w:rsidR="00E932E0" w:rsidRDefault="00000000">
      <w:pPr>
        <w:pStyle w:val="BodyText"/>
        <w:spacing w:after="100"/>
        <w:ind w:firstLine="360"/>
        <w:jc w:val="both"/>
      </w:pPr>
      <w:r>
        <w:t xml:space="preserve">The chemical picture is broader than antimony. Polymer processing and degradation can generate acetaldehyde, formaldehyde, oligomers and other reaction or breakdown products, including non-intentionally added substances (NIAS). Carbonated water, elevated temperature and storage duration can modify their release, while sunlight can alter both the polymer and the water chemistry (Bach et al., 2013, 2014; </w:t>
      </w:r>
      <w:proofErr w:type="spellStart"/>
      <w:r>
        <w:t>Mutsuga</w:t>
      </w:r>
      <w:proofErr w:type="spellEnd"/>
      <w:r>
        <w:t xml:space="preserve"> et al., 2006; Nawrocki et al., 2002; Ozaki et al., 2022). At the same time, targeted studies have reported phthalates, bisphenol A (BPA) or estrogenic activity in some bottled waters (Fan et al., 2014; Keresztes et al., 2013; Montuori et al., 2008; Wagner &amp; </w:t>
      </w:r>
      <w:proofErr w:type="spellStart"/>
      <w:r>
        <w:t>Oehlmann</w:t>
      </w:r>
      <w:proofErr w:type="spellEnd"/>
      <w:r>
        <w:t xml:space="preserve">, 2009, 2011; Xu et al., 2020). These findings have sometimes been interpreted as straightforward PET leaching, but that interpretation can be chemically misleading. PET does not require phthalate </w:t>
      </w:r>
      <w:proofErr w:type="spellStart"/>
      <w:r>
        <w:t>plasticisers</w:t>
      </w:r>
      <w:proofErr w:type="spellEnd"/>
      <w:r>
        <w:t xml:space="preserve"> to obtain its defining properties, and BPA is not a PET monomer. Their presence may instead reflect recycled feedstock, bottle caps, contamination during manufacture or bottling, analytical background, or non-PET package components. This provenance problem is not a minor semantic issue: toxicological interpretation depends on identifying the actual source and the conditions that control exposure.</w:t>
      </w:r>
    </w:p>
    <w:p w14:paraId="772F739E" w14:textId="77777777" w:rsidR="00E932E0" w:rsidRDefault="00000000">
      <w:pPr>
        <w:pStyle w:val="BodyText"/>
        <w:spacing w:after="100"/>
        <w:ind w:firstLine="360"/>
        <w:jc w:val="both"/>
      </w:pPr>
      <w:r>
        <w:t xml:space="preserve">Particle release forms a parallel but distinct exposure pathway. Microplastics and </w:t>
      </w:r>
      <w:proofErr w:type="spellStart"/>
      <w:r>
        <w:t>nanoplastics</w:t>
      </w:r>
      <w:proofErr w:type="spellEnd"/>
      <w:r>
        <w:t xml:space="preserve"> are solid polymer particles rather than dissolved chemical migrants, although particles can carry additives, residual monomers and sorbed contaminants and can themselves release chemicals after ingestion or environmental ageing. Studies using micro-Raman spectroscopy, Fourier-transform infrared methods, Nile Red screening and more recent nanoscale imaging have repeatedly detected polymer particles in bottled water, but reported number concentrations vary enormously because analytical size cut-offs and identification procedures differ (</w:t>
      </w:r>
      <w:proofErr w:type="spellStart"/>
      <w:r>
        <w:t>Koelmans</w:t>
      </w:r>
      <w:proofErr w:type="spellEnd"/>
      <w:r>
        <w:t xml:space="preserve"> et al., 2019; Mason et al., 2018; </w:t>
      </w:r>
      <w:proofErr w:type="spellStart"/>
      <w:r>
        <w:t>Oßmann</w:t>
      </w:r>
      <w:proofErr w:type="spellEnd"/>
      <w:r>
        <w:t xml:space="preserve"> et al., 2018; Qian et al., 2024; </w:t>
      </w:r>
      <w:proofErr w:type="spellStart"/>
      <w:r>
        <w:t>Schymanski</w:t>
      </w:r>
      <w:proofErr w:type="spellEnd"/>
      <w:r>
        <w:t xml:space="preserve"> et al., 2018). The methodological dependence is illustrated by stimulated Raman scattering imaging, which identified more than 100,000 micro- and </w:t>
      </w:r>
      <w:proofErr w:type="spellStart"/>
      <w:r>
        <w:t>nanoplastic</w:t>
      </w:r>
      <w:proofErr w:type="spellEnd"/>
      <w:r>
        <w:t xml:space="preserve"> particles per </w:t>
      </w:r>
      <w:proofErr w:type="spellStart"/>
      <w:r>
        <w:t>litre</w:t>
      </w:r>
      <w:proofErr w:type="spellEnd"/>
      <w:r>
        <w:t xml:space="preserve"> in the bottled-water samples studied, most of them in the nanoscale range, whereas earlier methods that could not resolve such small particles necessarily yielded lower counts (Qian et al., 2024). A 2026 comparison using optical photothermal infrared spectroscopy similarly found substantial </w:t>
      </w:r>
      <w:proofErr w:type="spellStart"/>
      <w:r>
        <w:t>submicrometre</w:t>
      </w:r>
      <w:proofErr w:type="spellEnd"/>
      <w:r>
        <w:t xml:space="preserve"> material and higher particle-number concentrations in the tested bottled waters than in treated drinking waters, while mass concentrations did not differ significantly (Jamison Hart &amp; Lenhart, 2026).</w:t>
      </w:r>
    </w:p>
    <w:p w14:paraId="72736F5A" w14:textId="77777777" w:rsidR="00E932E0" w:rsidRDefault="00000000">
      <w:pPr>
        <w:pStyle w:val="BodyText"/>
        <w:spacing w:after="100"/>
        <w:ind w:firstLine="360"/>
        <w:jc w:val="both"/>
      </w:pPr>
      <w:r>
        <w:t xml:space="preserve">The toxicological literature is also easy to overinterpret. Antimony compounds, endocrine-active chemicals and micro- or </w:t>
      </w:r>
      <w:proofErr w:type="spellStart"/>
      <w:r>
        <w:t>nanoplastics</w:t>
      </w:r>
      <w:proofErr w:type="spellEnd"/>
      <w:r>
        <w:t xml:space="preserve"> can produce biologically important effects in experimental systems, including oxidative stress, inflammatory </w:t>
      </w:r>
      <w:proofErr w:type="spellStart"/>
      <w:r>
        <w:t>signalling</w:t>
      </w:r>
      <w:proofErr w:type="spellEnd"/>
      <w:r>
        <w:t>, receptor-mediated endocrine responses, mitochondrial perturbation and altered cellular homeostasis (</w:t>
      </w:r>
      <w:proofErr w:type="spellStart"/>
      <w:r>
        <w:t>Prüst</w:t>
      </w:r>
      <w:proofErr w:type="spellEnd"/>
      <w:r>
        <w:t xml:space="preserve"> et al., 2020; Sundar &amp; Chakravarty, 2010; Yong et al., 2020). Recent work on particles generated by bottle-cap abrasion reported dose- and time-dependent effects in cultured HEK293 cells together with oxidative, inflammatory and organelle responses, but the exposures were experimental particle doses rather than measured human doses from ordinary bottled-water use (</w:t>
      </w:r>
      <w:proofErr w:type="spellStart"/>
      <w:r>
        <w:t>Changmai</w:t>
      </w:r>
      <w:proofErr w:type="spellEnd"/>
      <w:r>
        <w:t xml:space="preserve"> et al., 2026). Hazard identification therefore cannot be substituted for exposure assessment. Human biomonitoring has detected microplastics in stool, blood, placenta and lung tissue, and an observational study reported an association between micro- and </w:t>
      </w:r>
      <w:proofErr w:type="spellStart"/>
      <w:r>
        <w:t>nanoplastics</w:t>
      </w:r>
      <w:proofErr w:type="spellEnd"/>
      <w:r>
        <w:t xml:space="preserve"> detected in carotid plaques and subsequent cardiovascular events </w:t>
      </w:r>
      <w:r>
        <w:lastRenderedPageBreak/>
        <w:t xml:space="preserve">(Jenner et al., 2022; Leslie et al., 2022; </w:t>
      </w:r>
      <w:proofErr w:type="spellStart"/>
      <w:r>
        <w:t>Marfella</w:t>
      </w:r>
      <w:proofErr w:type="spellEnd"/>
      <w:r>
        <w:t xml:space="preserve"> et al., 2024; Ragusa et al., 2021; Schwabl et al., 2019). None of these studies attributes the detected material specifically to bottled water, and none establishes a bottled-water disease pathway.</w:t>
      </w:r>
    </w:p>
    <w:p w14:paraId="5183D2BF" w14:textId="77777777" w:rsidR="00E932E0" w:rsidRDefault="00000000">
      <w:pPr>
        <w:pStyle w:val="BodyText"/>
        <w:spacing w:after="100"/>
        <w:ind w:firstLine="360"/>
        <w:jc w:val="both"/>
      </w:pPr>
      <w:r>
        <w:t xml:space="preserve">Existing reviews have addressed important parts of this evidence base but usually from a narrower angle. Bach et al. (2012) examined chemical compounds and toxicological assessments associated with PET-bottled water, while </w:t>
      </w:r>
      <w:proofErr w:type="spellStart"/>
      <w:r>
        <w:t>Gerassimidou</w:t>
      </w:r>
      <w:proofErr w:type="spellEnd"/>
      <w:r>
        <w:t xml:space="preserve"> et al. (2022) mapped chemical issues across the PET bottle value chain. Reviews of microplastics in drinking water have focused on occurrence, analytical quality and particle-related hazards rather than integrating chemical migration with realistic stress histories (</w:t>
      </w:r>
      <w:proofErr w:type="spellStart"/>
      <w:r>
        <w:t>Koelmans</w:t>
      </w:r>
      <w:proofErr w:type="spellEnd"/>
      <w:r>
        <w:t xml:space="preserve"> et al., 2019; Sajedi et al., 2025; Yang et al., 2024). Reviews of plastic additives and packaging-associated chemicals, in turn, provide broad hazard inventories that are not specific to bottled-water exposure (Groh et al., 2019; </w:t>
      </w:r>
      <w:proofErr w:type="spellStart"/>
      <w:r>
        <w:t>Hahladakis</w:t>
      </w:r>
      <w:proofErr w:type="spellEnd"/>
      <w:r>
        <w:t xml:space="preserve"> et al., 2018; Wiesinger et al., 2021). A clinically useful synthesis therefore requires an explicit chain from package composition and stressor, through migration and dose, to mechanistic toxicology, human evidence and ecological fate. It also requires separating PET-specific evidence from results obtained with polycarbonate or other reusable plastics, and distinguishing the bottle body from the cap-neck system.</w:t>
      </w:r>
    </w:p>
    <w:p w14:paraId="4938B763" w14:textId="77777777" w:rsidR="00E932E0" w:rsidRDefault="00000000">
      <w:pPr>
        <w:pStyle w:val="Heading2"/>
      </w:pPr>
      <w:bookmarkStart w:id="2" w:name="Xa0150f40741b86de3a78bf83392f2cd3ce11c77"/>
      <w:r>
        <w:rPr>
          <w:rFonts w:ascii="Times New Roman" w:hAnsi="Times New Roman"/>
        </w:rPr>
        <w:t>1.1 Scope, Research Gap and Objectives</w:t>
      </w:r>
    </w:p>
    <w:p w14:paraId="1FE02E2E" w14:textId="77777777" w:rsidR="00E932E0" w:rsidRDefault="00000000">
      <w:pPr>
        <w:pStyle w:val="FirstParagraph"/>
        <w:spacing w:after="100"/>
        <w:ind w:firstLine="360"/>
        <w:jc w:val="both"/>
      </w:pPr>
      <w:r>
        <w:t xml:space="preserve">This review focuses on chemical migration and closely related particle release from plastic bottled-water systems under environmental and use-related stress. The primary material of interest is single-use PET, with closures, recycled PET and reusable bottle polymers considered where they materially affect source attribution or comparative interpretation. The review integrates migration chemistry, micro- and </w:t>
      </w:r>
      <w:proofErr w:type="spellStart"/>
      <w:r>
        <w:t>nanoplastic</w:t>
      </w:r>
      <w:proofErr w:type="spellEnd"/>
      <w:r>
        <w:t xml:space="preserve"> release, toxicological mechanisms, ecological consequences after disposal, human exposure and clinical inference. It does not treat all food-contact plastics as interchangeable, does not infer that a detected chemical necessarily originates from the bottle body, and does not equate experimental hazard with population-level risk. The central gap addressed is the absence of an integrated, evidence-calibrated framework linking realistic stress conditions to migrant provenance and then to toxicological, ecological and clinical significance. The objectives are to identify the stressors with the strongest evidence for increasing release, explain where source attribution remains uncertain, evaluate the biological plausibility and dose relevance of reported mechanisms, assess the limits of current human evidence, and define research and regulatory priorities that can distinguish measurable migration from clinically meaningful exposure.</w:t>
      </w:r>
    </w:p>
    <w:p w14:paraId="76584CAF" w14:textId="77777777" w:rsidR="00E932E0" w:rsidRDefault="00000000">
      <w:pPr>
        <w:pStyle w:val="Heading1"/>
      </w:pPr>
      <w:bookmarkStart w:id="3" w:name="X7886f2386c0f669e3ee452520eba9bbe3807b6e"/>
      <w:bookmarkEnd w:id="1"/>
      <w:bookmarkEnd w:id="2"/>
      <w:r>
        <w:rPr>
          <w:rFonts w:ascii="Times New Roman" w:hAnsi="Times New Roman"/>
        </w:rPr>
        <w:t>2. Methods for Literature Selection</w:t>
      </w:r>
    </w:p>
    <w:p w14:paraId="3482DBB2" w14:textId="77777777" w:rsidR="00E932E0" w:rsidRDefault="00000000">
      <w:pPr>
        <w:pStyle w:val="Heading2"/>
      </w:pPr>
      <w:bookmarkStart w:id="4" w:name="X7302c3d68c5bd0763f01c571aa7b08300a44c2f"/>
      <w:r>
        <w:rPr>
          <w:rFonts w:ascii="Times New Roman" w:hAnsi="Times New Roman"/>
        </w:rPr>
        <w:t>2.1 Review Design and Rationale</w:t>
      </w:r>
    </w:p>
    <w:p w14:paraId="1B331AE7" w14:textId="77777777" w:rsidR="00E932E0" w:rsidRDefault="00000000">
      <w:pPr>
        <w:pStyle w:val="FirstParagraph"/>
        <w:spacing w:after="100"/>
        <w:ind w:firstLine="360"/>
        <w:jc w:val="both"/>
      </w:pPr>
      <w:r>
        <w:t>A critical narrative review design was selected because the relevant evidence spans polymer chemistry, analytical science, toxicology, ecotoxicology, exposure science, biomonitoring and clinical epidemiology. The underlying studies use incompatible outcomes, including elemental concentrations, targeted organic analytes, non-target spectral features, bioassay responses, particle-number concentrations, particle mass, ecological endpoints and human clinical events. A single pooled effect estimate would therefore conceal rather than resolve the principal methodological differences. Narrative synthesis nevertheless requires transparent methods and explicit appraisal. The SANRA framework was used as a methodological quality guide for the review, particularly its emphasis on explaining importance, stating aims, describing literature search, referencing key claims, reasoning scientifically and presenting relevant endpoint data (</w:t>
      </w:r>
      <w:proofErr w:type="spellStart"/>
      <w:r>
        <w:t>Baethge</w:t>
      </w:r>
      <w:proofErr w:type="spellEnd"/>
      <w:r>
        <w:t xml:space="preserve"> et al., 2019). No formal SANRA score or study-level risk-of-bias score was assigned because the included evidence comprised heterogeneous designs for which a single scoring instrument would not be valid.</w:t>
      </w:r>
    </w:p>
    <w:p w14:paraId="129BBE3A" w14:textId="77777777" w:rsidR="00E932E0" w:rsidRDefault="00000000">
      <w:pPr>
        <w:pStyle w:val="Heading2"/>
      </w:pPr>
      <w:bookmarkStart w:id="5" w:name="X2a3a345ae83104fc5a09a65af6ff114d63d50bd"/>
      <w:bookmarkEnd w:id="4"/>
      <w:r>
        <w:rPr>
          <w:rFonts w:ascii="Times New Roman" w:hAnsi="Times New Roman"/>
        </w:rPr>
        <w:lastRenderedPageBreak/>
        <w:t>2.2 Information Sources</w:t>
      </w:r>
    </w:p>
    <w:p w14:paraId="7BDD7449" w14:textId="77777777" w:rsidR="00E932E0" w:rsidRDefault="00000000">
      <w:pPr>
        <w:pStyle w:val="FirstParagraph"/>
        <w:spacing w:after="100"/>
        <w:ind w:firstLine="360"/>
        <w:jc w:val="both"/>
      </w:pPr>
      <w:r>
        <w:t xml:space="preserve">Literature searches were conducted across PubMed, Europe PMC, </w:t>
      </w:r>
      <w:proofErr w:type="spellStart"/>
      <w:r>
        <w:t>OpenAlex</w:t>
      </w:r>
      <w:proofErr w:type="spellEnd"/>
      <w:r>
        <w:t xml:space="preserve">, </w:t>
      </w:r>
      <w:proofErr w:type="spellStart"/>
      <w:r>
        <w:t>Crossref</w:t>
      </w:r>
      <w:proofErr w:type="spellEnd"/>
      <w:r>
        <w:t xml:space="preserve">, DOAJ, Semantic Scholar, Google Scholar and the United States Environmental Protection Agency Health and Environmental Research Online (HERO) resource. Backward citation checking of influential studies and recent reviews was used to identify foundational migration papers, and forward or related-article searching was used to locate newer analytical and toxicological work. Authoritative regulatory and health guidance was checked on World Health Organization, United States Environmental Protection Agency and European Union legal websites. Bibliographic identity and DOI metadata for journal articles were cross-checked against at least one authoritative source such as PubMed, the journal record, </w:t>
      </w:r>
      <w:proofErr w:type="spellStart"/>
      <w:r>
        <w:t>Crossref</w:t>
      </w:r>
      <w:proofErr w:type="spellEnd"/>
      <w:r>
        <w:t>-linked metadata or the DOI landing record before inclusion.</w:t>
      </w:r>
    </w:p>
    <w:p w14:paraId="79C2FDB7" w14:textId="77777777" w:rsidR="00E932E0" w:rsidRDefault="00000000">
      <w:pPr>
        <w:pStyle w:val="Heading2"/>
      </w:pPr>
      <w:bookmarkStart w:id="6" w:name="X6c13503d430e8ccca25547294b27d6271dab20a"/>
      <w:bookmarkEnd w:id="5"/>
      <w:r>
        <w:rPr>
          <w:rFonts w:ascii="Times New Roman" w:hAnsi="Times New Roman"/>
        </w:rPr>
        <w:t>2.3 Search Strategy and Search Period</w:t>
      </w:r>
    </w:p>
    <w:p w14:paraId="488C5695" w14:textId="77777777" w:rsidR="00E932E0" w:rsidRDefault="00000000">
      <w:pPr>
        <w:pStyle w:val="FirstParagraph"/>
        <w:spacing w:after="100"/>
        <w:ind w:firstLine="360"/>
        <w:jc w:val="both"/>
      </w:pPr>
      <w:r>
        <w:t xml:space="preserve">The principal search period was 1 January 2000 to 22 June 2026. Searches combined terms for the package and water matrix with terms for release processes, stressors, analytical targets and biological outcomes. Representative concepts included "bottled water" OR "mineral water" with "polyethylene terephthalate" OR PET OR "plastic bottle"; migration OR leaching OR release OR NIAS OR antimony OR acetaldehyde OR formaldehyde OR phthalate OR bisphenol; temperature OR heat OR sunlight OR ultraviolet OR storage OR carbonation OR pH OR reuse OR abrasion OR opening OR closing OR recycling; and microplastic OR </w:t>
      </w:r>
      <w:proofErr w:type="spellStart"/>
      <w:r>
        <w:t>nanoplastic</w:t>
      </w:r>
      <w:proofErr w:type="spellEnd"/>
      <w:r>
        <w:t xml:space="preserve"> OR toxicology OR oxidative stress OR endocrine OR inflammation OR ecotoxicity OR biomonitoring OR clinical. Searches addressing ecological fate combined plastic leachate, weathering, photodegradation and aquatic toxicity terms. Searches addressing clinical interpretation combined microplastic or </w:t>
      </w:r>
      <w:proofErr w:type="spellStart"/>
      <w:r>
        <w:t>nanoplastic</w:t>
      </w:r>
      <w:proofErr w:type="spellEnd"/>
      <w:r>
        <w:t xml:space="preserve"> terms with blood, placenta, lung, stool, cardiovascular and human exposure terms. Foundational studies published near the beginning of the period were retained when they remained central to the mechanistic argument.</w:t>
      </w:r>
    </w:p>
    <w:p w14:paraId="4AE26AC5" w14:textId="77777777" w:rsidR="00E932E0" w:rsidRDefault="00000000">
      <w:pPr>
        <w:pStyle w:val="Heading2"/>
      </w:pPr>
      <w:bookmarkStart w:id="7" w:name="Xcaf9e481e1adfcfd4d38e79c81430a2dc59f6c5"/>
      <w:bookmarkEnd w:id="6"/>
      <w:r>
        <w:rPr>
          <w:rFonts w:ascii="Times New Roman" w:hAnsi="Times New Roman"/>
        </w:rPr>
        <w:t>2.4 Eligibility Criteria</w:t>
      </w:r>
    </w:p>
    <w:p w14:paraId="6B26DCD5" w14:textId="77777777" w:rsidR="00E932E0" w:rsidRDefault="00000000">
      <w:pPr>
        <w:pStyle w:val="FirstParagraph"/>
        <w:spacing w:after="100"/>
        <w:ind w:firstLine="360"/>
        <w:jc w:val="both"/>
      </w:pPr>
      <w:r>
        <w:t xml:space="preserve">Peer-reviewed original research and high-quality reviews were eligible when they directly informed bottled-water packaging chemistry, stress-dependent migration, particle release, relevant toxicological mechanisms, ecological leachate effects or human exposure interpretation. Studies of PET were </w:t>
      </w:r>
      <w:proofErr w:type="spellStart"/>
      <w:r>
        <w:t>prioritised</w:t>
      </w:r>
      <w:proofErr w:type="spellEnd"/>
      <w:r>
        <w:t xml:space="preserve"> for chemical migration. Studies of polycarbonate, polyethylene, polypropylene, silicone or other polymers were included only when they clarified bottle-component attribution, reusable-container contrasts or general leachate mechanisms that could not be inferred safely from PET studies alone. Human biomonitoring studies were eligible when they improved interpretation of systemic particle exposure, but were not treated as evidence that bottled water was the exposure source. Regulatory documents were included only for current drinking-water benchmarks or risk-management context. English-language publications were used. Conference abstracts, non-peer-reviewed claims, commercial promotional material, unverifiable reports, patents and articles with unresolved bibliographic identity were excluded. Studies were also excluded from direct evidence claims when they relied on polymers or exposure conditions too remote from bottled-water use without an explicit comparative rationale.</w:t>
      </w:r>
    </w:p>
    <w:p w14:paraId="4CF2CC57" w14:textId="77777777" w:rsidR="00E932E0" w:rsidRDefault="00000000">
      <w:pPr>
        <w:pStyle w:val="Heading2"/>
      </w:pPr>
      <w:bookmarkStart w:id="8" w:name="X40994c02acc1038ed596d697770847fa96de0b2"/>
      <w:bookmarkEnd w:id="7"/>
      <w:r>
        <w:rPr>
          <w:rFonts w:ascii="Times New Roman" w:hAnsi="Times New Roman"/>
        </w:rPr>
        <w:t>2.5 Screening, Duplicate Handling and Study Selection</w:t>
      </w:r>
    </w:p>
    <w:p w14:paraId="19961447" w14:textId="77777777" w:rsidR="00E932E0" w:rsidRDefault="00000000">
      <w:pPr>
        <w:pStyle w:val="FirstParagraph"/>
        <w:spacing w:after="100"/>
        <w:ind w:firstLine="360"/>
        <w:jc w:val="both"/>
      </w:pPr>
      <w:r>
        <w:t xml:space="preserve">Records were screened first for topical relevance from title and abstract information, followed by examination of full-text or sufficiently detailed authoritative records for studies central to the synthesis. Duplicate records were reconciled by DOI, title, authorship and publication year so that pre-publication indexing records were not counted as separate evidence. Priority was given to studies that identified the bottle material, described stress conditions, used chemical or spectroscopic confirmation, reported appropriate blanks or </w:t>
      </w:r>
      <w:r>
        <w:lastRenderedPageBreak/>
        <w:t>controls, or provided a comparator such as source water, glass packaging or another polymer. When only secondary citations were available for a potentially important claim, the claim was not retained until the primary bibliographic record could be verified. No PRISMA-style study counts are reported because the objective was critical, purposive synthesis rather than exhaustive systematic enumeration.</w:t>
      </w:r>
    </w:p>
    <w:p w14:paraId="2D94A622" w14:textId="77777777" w:rsidR="00E932E0" w:rsidRDefault="00000000">
      <w:pPr>
        <w:pStyle w:val="Heading2"/>
      </w:pPr>
      <w:bookmarkStart w:id="9" w:name="X51351aa4d912c62fa2c7e433bccf87cba2af88a"/>
      <w:bookmarkEnd w:id="8"/>
      <w:r>
        <w:rPr>
          <w:rFonts w:ascii="Times New Roman" w:hAnsi="Times New Roman"/>
        </w:rPr>
        <w:t>2.6 Critical Appraisal and Evidence Synthesis</w:t>
      </w:r>
    </w:p>
    <w:p w14:paraId="3AB644FD" w14:textId="77777777" w:rsidR="00E932E0" w:rsidRDefault="00000000">
      <w:pPr>
        <w:pStyle w:val="FirstParagraph"/>
        <w:spacing w:after="100"/>
        <w:ind w:firstLine="360"/>
        <w:jc w:val="both"/>
      </w:pPr>
      <w:r>
        <w:t xml:space="preserve">Evidence was appraised qualitatively across study design, material </w:t>
      </w:r>
      <w:proofErr w:type="spellStart"/>
      <w:r>
        <w:t>characterisation</w:t>
      </w:r>
      <w:proofErr w:type="spellEnd"/>
      <w:r>
        <w:t xml:space="preserve">, sample size, controls, analytical selectivity, detection limit, contamination control, stress realism, exposure duration, water chemistry, dose relevance and </w:t>
      </w:r>
      <w:proofErr w:type="spellStart"/>
      <w:r>
        <w:t>generalisability</w:t>
      </w:r>
      <w:proofErr w:type="spellEnd"/>
      <w:r>
        <w:t>. For particle studies, particular attention was given to the lower analytical size threshold because number concentration rises sharply as progressively smaller particles become detectable. For toxicology, the evidence chain was separated into migration, external exposure, internal dose, mechanistic response and disease outcome. For ecological studies, polymer identity and additive composition were considered because toxicity of one plastic leachate cannot be transferred automatically to PET. Themes were developed around source attribution, stressor-response relationships, analytical comparability, mechanistic plausibility, evidence gaps and implications for risk assessment. Contradictory findings were retained and interpreted in light of differences in bottle composition, water matrix, storage conditions, analytical sensitivity and biological model rather than being averaged into a false consensus.</w:t>
      </w:r>
    </w:p>
    <w:p w14:paraId="7D816131" w14:textId="77777777" w:rsidR="00E932E0" w:rsidRDefault="00000000">
      <w:pPr>
        <w:pStyle w:val="Heading1"/>
      </w:pPr>
      <w:bookmarkStart w:id="10" w:name="X2e7319908353ca975b8ae76769c7fc7d0868504"/>
      <w:bookmarkEnd w:id="3"/>
      <w:bookmarkEnd w:id="9"/>
      <w:r>
        <w:rPr>
          <w:rFonts w:ascii="Times New Roman" w:hAnsi="Times New Roman"/>
        </w:rPr>
        <w:t>3. Bottle Materials, Migrant Classes and Stress-Dependent Release</w:t>
      </w:r>
    </w:p>
    <w:p w14:paraId="677A9959" w14:textId="77777777" w:rsidR="00E932E0" w:rsidRDefault="00000000">
      <w:pPr>
        <w:pStyle w:val="FirstParagraph"/>
        <w:spacing w:after="100"/>
        <w:ind w:firstLine="360"/>
        <w:jc w:val="both"/>
      </w:pPr>
      <w:r>
        <w:t xml:space="preserve">Chemical migration begins with the composition and history of the packaging system. Virgin PET contains </w:t>
      </w:r>
      <w:proofErr w:type="spellStart"/>
      <w:r>
        <w:t>polymerisation</w:t>
      </w:r>
      <w:proofErr w:type="spellEnd"/>
      <w:r>
        <w:t xml:space="preserve"> residues, oligomeric species and transformation products generated during thermal processing. Antimony is a particularly traceable example because residual catalyst can remain in the polymer after manufacture. Recycled PET introduces another dimension: it can carry legacy contaminants or compounds from previous non-food uses unless collection, sorting and decontamination are effective. Migration testing of bottles containing recycled PET has generally found low levels for regulated or familiar migrants under controlled conditions, but non-target screening and value-chain analyses show why recycled content requires attention to feedstock quality and decontamination performance rather than a simple assumption that virgin and recycled material are chemically identical (</w:t>
      </w:r>
      <w:proofErr w:type="spellStart"/>
      <w:r>
        <w:t>Gerassimidou</w:t>
      </w:r>
      <w:proofErr w:type="spellEnd"/>
      <w:r>
        <w:t xml:space="preserve"> et al., 2022; Thoden van Velzen et al., 2020). In parallel, the closure is commonly made from a different polymer, and abrasion at the cap-neck interface can produce material that would be misattributed if only the bottle body were considered.</w:t>
      </w:r>
    </w:p>
    <w:p w14:paraId="6559D19B" w14:textId="77777777" w:rsidR="00E932E0" w:rsidRDefault="00000000">
      <w:pPr>
        <w:pStyle w:val="BodyText"/>
        <w:spacing w:after="100"/>
        <w:ind w:firstLine="360"/>
        <w:jc w:val="both"/>
      </w:pPr>
      <w:r>
        <w:t>Temperature is the most consistent accelerator of PET-related migration. Molecular diffusion in a polymer increases as thermal energy rises, and heating can also promote hydrolysis, oxidation or formation of low-molecular-weight degradation products. In laboratory studies, antimony concentrations have increased with both temperature and exposure duration, although the magnitude differs substantially between brands and protocols (Al-</w:t>
      </w:r>
      <w:proofErr w:type="spellStart"/>
      <w:r>
        <w:t>Otoum</w:t>
      </w:r>
      <w:proofErr w:type="spellEnd"/>
      <w:r>
        <w:t xml:space="preserve"> et al., 2017; Chapa-Martínez et al., 2016; Fan et al., 2014; Westerhoff et al., 2008). Fan et al. (2014), for example, reported markedly greater antimony release at 70 degrees C than at 4 or 25 degrees C in 16 Chinese bottled-water brands, demonstrating that an extreme thermal history can move concentrations by orders of magnitude relative to cool storage. Such data are valuable for mechanism and worst-case assessment, but an exposure scenario involving weeks at 70 degrees C should not be presented as normal consumer storage. The more defensible inference is directional: hot storage increases migration potential, while the population distribution of actual bottle temperatures and durations remains insufficiently </w:t>
      </w:r>
      <w:proofErr w:type="spellStart"/>
      <w:r>
        <w:t>characterised</w:t>
      </w:r>
      <w:proofErr w:type="spellEnd"/>
      <w:r>
        <w:t>.</w:t>
      </w:r>
    </w:p>
    <w:p w14:paraId="41CB2530" w14:textId="77777777" w:rsidR="00E932E0" w:rsidRDefault="00000000">
      <w:pPr>
        <w:pStyle w:val="BodyText"/>
        <w:spacing w:after="100"/>
        <w:ind w:firstLine="360"/>
        <w:jc w:val="both"/>
      </w:pPr>
      <w:r>
        <w:t xml:space="preserve">Storage time interacts with temperature rather than acting as an independent universal multiplier. </w:t>
      </w:r>
      <w:proofErr w:type="spellStart"/>
      <w:r>
        <w:t>Shotyk</w:t>
      </w:r>
      <w:proofErr w:type="spellEnd"/>
      <w:r>
        <w:t xml:space="preserve"> and Krachler (2007) found higher antimony concentrations after additional room-temperature storage, and subsequent work supported time-dependent diffusion. Yet release rates can slow as readily mobile material is depleted or as concentration gradients change. </w:t>
      </w:r>
      <w:proofErr w:type="spellStart"/>
      <w:r>
        <w:t>Kiyataka</w:t>
      </w:r>
      <w:proofErr w:type="spellEnd"/>
      <w:r>
        <w:t xml:space="preserve"> et al. (2024) showed that the outcome also depends on how migration test conditions are specified, a reminder that accelerated regulatory tests and real-world exposure </w:t>
      </w:r>
      <w:r>
        <w:lastRenderedPageBreak/>
        <w:t xml:space="preserve">are not interchangeable. A follow-up evaluation of transport and distribution conditions further </w:t>
      </w:r>
      <w:proofErr w:type="spellStart"/>
      <w:r>
        <w:t>emphasised</w:t>
      </w:r>
      <w:proofErr w:type="spellEnd"/>
      <w:r>
        <w:t xml:space="preserve"> that the relevant exposure history begins before purchase and can include warehouse and transport environments that are rarely documented for epidemiological studies (</w:t>
      </w:r>
      <w:proofErr w:type="spellStart"/>
      <w:r>
        <w:t>Kiyataka</w:t>
      </w:r>
      <w:proofErr w:type="spellEnd"/>
      <w:r>
        <w:t xml:space="preserve"> et al., 2025). Accordingly, "time in bottle" is an incomplete exposure variable unless temperature history, bottle composition and water properties are also known.</w:t>
      </w:r>
    </w:p>
    <w:p w14:paraId="295E8246" w14:textId="77777777" w:rsidR="00E932E0" w:rsidRDefault="00000000">
      <w:pPr>
        <w:pStyle w:val="BodyText"/>
        <w:spacing w:after="100"/>
        <w:ind w:firstLine="360"/>
        <w:jc w:val="both"/>
      </w:pPr>
      <w:r>
        <w:t>Water chemistry modifies migration because the receiving phase is chemically active. Carbonation has repeatedly been associated with increased release of carbonyl compounds and, in some experiments, antimony. Nawrocki et al. (2002) identified formaldehyde, acetaldehyde and acetone in bottled waters and reported greater carbonyl migration with carbonation, sunlight and heat. Bach et al. (2013) similarly found that temperature and the presence of carbon dioxide increased formaldehyde, acetaldehyde and antimony release. These results indicate that comparisons among bottled-water brands should not attribute all concentration differences to polymer quality. Carbonated and still waters can represent different extraction environments. pH, mineral composition and surface-to-volume ratio can further affect partitioning or hydrolysis, particularly for organic migrants. Studies that use distilled water or food simulants provide controlled information but may not reproduce the chemistry of mineral waters.</w:t>
      </w:r>
    </w:p>
    <w:p w14:paraId="29B8771F" w14:textId="77777777" w:rsidR="00E932E0" w:rsidRDefault="00000000">
      <w:pPr>
        <w:pStyle w:val="BodyText"/>
        <w:spacing w:after="100"/>
        <w:ind w:firstLine="360"/>
        <w:jc w:val="both"/>
      </w:pPr>
      <w:r>
        <w:t>Sunlight combines thermal and photochemical stress. Natural solar exposure can heat a bottle while ultraviolet and visible radiation promote photo-oxidative changes at the polymer surface. Bach et al. (2014) observed sunlight-related changes in release of selected PET-associated substances, but also found that water type and carbon dioxide influenced migration substantially and that the tested extracts did not show toxic activity in their in vitro battery. This is a useful example of why detection and hazard must be kept separate. A chemical change after sunlight exposure can be analytically real without producing a measurable biological response at the tested concentration. Conversely, absence of a response in a limited assay panel cannot prove the absence of every possible chronic effect. The correct interpretation is assay- and dose-specific, not categorical.</w:t>
      </w:r>
    </w:p>
    <w:p w14:paraId="24BEA2E0" w14:textId="77777777" w:rsidR="00E932E0" w:rsidRDefault="00000000">
      <w:pPr>
        <w:pStyle w:val="BodyText"/>
        <w:spacing w:after="100"/>
        <w:ind w:firstLine="360"/>
        <w:jc w:val="both"/>
      </w:pPr>
      <w:r>
        <w:t xml:space="preserve">Mechanical stress is particularly important for particles rather than dissolved chemicals. Repeated opening and closing abrades contact surfaces at the neck and cap. Winkler et al. (2019) found increasing particle occurrence on PET bottle necks and high-density polyethylene caps after repeated opening and closing, whereas squeezing the bottle body under the tested conditions did not significantly increase particle concentration in the water. The </w:t>
      </w:r>
      <w:proofErr w:type="spellStart"/>
      <w:r>
        <w:t>localisation</w:t>
      </w:r>
      <w:proofErr w:type="spellEnd"/>
      <w:r>
        <w:t xml:space="preserve"> of wear challenges the common assumption that all bottled-water particles originate from degradation of the PET wall. A later study directly examined bottle-cap abrasion and reported pronounced brand-dependent differences in material response, as well as cellular effects of the generated particles at experimental doses (</w:t>
      </w:r>
      <w:proofErr w:type="spellStart"/>
      <w:r>
        <w:t>Changmai</w:t>
      </w:r>
      <w:proofErr w:type="spellEnd"/>
      <w:r>
        <w:t xml:space="preserve"> et al., 2026). Reuse therefore changes more than storage time: it adds repeated tribological contact, potential washing, new water chemistry and possible microbial contamination, each of which should be controlled separately in experiments.</w:t>
      </w:r>
    </w:p>
    <w:p w14:paraId="407B3135" w14:textId="77777777" w:rsidR="00E932E0" w:rsidRDefault="00000000">
      <w:pPr>
        <w:pStyle w:val="BodyText"/>
        <w:spacing w:after="100"/>
        <w:ind w:firstLine="360"/>
        <w:jc w:val="both"/>
      </w:pPr>
      <w:r>
        <w:t xml:space="preserve">Reusable bottles broaden the material spectrum. Polycarbonate can release BPA, especially under severe heating, and repeated use has historically been investigated as a potential modifier of migration. Cao and Corriveau (2008) measured BPA migration from polycarbonate baby and reusable water bottles under 70 degrees C conditions, while Le et al. (2008) linked release from polycarbonate bottles with estrogen-like effects in a neuronal experimental model. These findings are relevant to reusable polycarbonate containers but should not be </w:t>
      </w:r>
      <w:proofErr w:type="spellStart"/>
      <w:r>
        <w:t>generalised</w:t>
      </w:r>
      <w:proofErr w:type="spellEnd"/>
      <w:r>
        <w:t xml:space="preserve"> to PET. More recent non-target studies of reusable plastic bottles have identified numerous migrating features and substantial material-to-material variation, with silicone, polyethylene and polypropylene systems showing high chemical-migration or hazard potential in the </w:t>
      </w:r>
      <w:proofErr w:type="spellStart"/>
      <w:r>
        <w:t>analysed</w:t>
      </w:r>
      <w:proofErr w:type="spellEnd"/>
      <w:r>
        <w:t xml:space="preserve"> sets (Tisler &amp; Christensen, 2022; Tisler et al., 2024). The practical conclusion is material specificity: "plastic bottle" is not a toxicologically coherent exposure category.</w:t>
      </w:r>
    </w:p>
    <w:p w14:paraId="511BA32E" w14:textId="77777777" w:rsidR="00E932E0" w:rsidRDefault="00000000">
      <w:pPr>
        <w:pStyle w:val="BodyText"/>
        <w:spacing w:after="100"/>
        <w:ind w:firstLine="360"/>
        <w:jc w:val="both"/>
      </w:pPr>
      <w:r>
        <w:lastRenderedPageBreak/>
        <w:t xml:space="preserve">Table 1 </w:t>
      </w:r>
      <w:proofErr w:type="spellStart"/>
      <w:r>
        <w:t>summarises</w:t>
      </w:r>
      <w:proofErr w:type="spellEnd"/>
      <w:r>
        <w:t xml:space="preserve"> the principal material components and stressors that determine release. The evidence is strongest when the migrant has a plausible material source and a reproducible stress response, as for antimony from PET and cap-derived particles after repeated opening. Confidence is lower when the analyte can enter from multiple stages of the supply chain or when bioassay activity cannot be assigned to a chemically identified migrant. This provenance hierarchy should guide both analytical study design and risk communication.</w:t>
      </w:r>
    </w:p>
    <w:p w14:paraId="2C500F40" w14:textId="77777777" w:rsidR="00E932E0" w:rsidRDefault="00000000">
      <w:pPr>
        <w:pStyle w:val="BodyText"/>
        <w:keepNext/>
        <w:spacing w:before="140" w:after="20"/>
      </w:pPr>
      <w:r>
        <w:rPr>
          <w:b/>
          <w:bCs/>
          <w:sz w:val="20"/>
        </w:rPr>
        <w:t>Table 1</w:t>
      </w:r>
    </w:p>
    <w:p w14:paraId="1665E78A" w14:textId="77777777" w:rsidR="00E932E0" w:rsidRDefault="00000000">
      <w:pPr>
        <w:pStyle w:val="BodyText"/>
        <w:keepNext/>
        <w:spacing w:after="60"/>
      </w:pPr>
      <w:r>
        <w:rPr>
          <w:i/>
          <w:iCs/>
          <w:sz w:val="20"/>
        </w:rPr>
        <w:t>Bottle components, plausible migrants and environmental-stress modifiers</w:t>
      </w:r>
    </w:p>
    <w:tbl>
      <w:tblPr>
        <w:tblStyle w:val="PlainTable2"/>
        <w:tblW w:w="0" w:type="auto"/>
        <w:tblLayout w:type="fixed"/>
        <w:tblLook w:val="0020" w:firstRow="1" w:lastRow="0" w:firstColumn="0" w:lastColumn="0" w:noHBand="0" w:noVBand="0"/>
      </w:tblPr>
      <w:tblGrid>
        <w:gridCol w:w="1224"/>
        <w:gridCol w:w="1728"/>
        <w:gridCol w:w="1512"/>
        <w:gridCol w:w="2088"/>
        <w:gridCol w:w="1224"/>
        <w:gridCol w:w="1872"/>
      </w:tblGrid>
      <w:tr w:rsidR="00E932E0" w14:paraId="59000EC1"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5E705214" w14:textId="77777777" w:rsidR="00E932E0" w:rsidRDefault="00000000">
            <w:pPr>
              <w:pStyle w:val="Compact"/>
              <w:spacing w:after="0" w:line="240" w:lineRule="auto"/>
              <w:jc w:val="center"/>
            </w:pPr>
            <w:r>
              <w:rPr>
                <w:sz w:val="16"/>
              </w:rPr>
              <w:t>Package component</w:t>
            </w:r>
          </w:p>
        </w:tc>
        <w:tc>
          <w:tcPr>
            <w:cnfStyle w:val="000001000000" w:firstRow="0" w:lastRow="0" w:firstColumn="0" w:lastColumn="0" w:oddVBand="0" w:evenVBand="1" w:oddHBand="0" w:evenHBand="0" w:firstRowFirstColumn="0" w:firstRowLastColumn="0" w:lastRowFirstColumn="0" w:lastRowLastColumn="0"/>
            <w:tcW w:w="1728" w:type="dxa"/>
          </w:tcPr>
          <w:p w14:paraId="1609A4E8" w14:textId="77777777" w:rsidR="00E932E0" w:rsidRDefault="00000000">
            <w:pPr>
              <w:pStyle w:val="Compact"/>
              <w:spacing w:after="0" w:line="240" w:lineRule="auto"/>
              <w:jc w:val="center"/>
            </w:pPr>
            <w:r>
              <w:rPr>
                <w:sz w:val="16"/>
              </w:rPr>
              <w:t>Plausible releases</w:t>
            </w:r>
          </w:p>
        </w:tc>
        <w:tc>
          <w:tcPr>
            <w:cnfStyle w:val="000010000000" w:firstRow="0" w:lastRow="0" w:firstColumn="0" w:lastColumn="0" w:oddVBand="1" w:evenVBand="0" w:oddHBand="0" w:evenHBand="0" w:firstRowFirstColumn="0" w:firstRowLastColumn="0" w:lastRowFirstColumn="0" w:lastRowLastColumn="0"/>
            <w:tcW w:w="1512" w:type="dxa"/>
          </w:tcPr>
          <w:p w14:paraId="0B081161" w14:textId="77777777" w:rsidR="00E932E0" w:rsidRDefault="00000000">
            <w:pPr>
              <w:pStyle w:val="Compact"/>
              <w:spacing w:after="0" w:line="240" w:lineRule="auto"/>
              <w:jc w:val="center"/>
            </w:pPr>
            <w:r>
              <w:rPr>
                <w:sz w:val="16"/>
              </w:rPr>
              <w:t>Stress modifiers</w:t>
            </w:r>
          </w:p>
        </w:tc>
        <w:tc>
          <w:tcPr>
            <w:cnfStyle w:val="000001000000" w:firstRow="0" w:lastRow="0" w:firstColumn="0" w:lastColumn="0" w:oddVBand="0" w:evenVBand="1" w:oddHBand="0" w:evenHBand="0" w:firstRowFirstColumn="0" w:firstRowLastColumn="0" w:lastRowFirstColumn="0" w:lastRowLastColumn="0"/>
            <w:tcW w:w="2088" w:type="dxa"/>
          </w:tcPr>
          <w:p w14:paraId="4F8F7973" w14:textId="77777777" w:rsidR="00E932E0" w:rsidRDefault="00000000">
            <w:pPr>
              <w:pStyle w:val="Compact"/>
              <w:spacing w:after="0" w:line="240" w:lineRule="auto"/>
              <w:jc w:val="center"/>
            </w:pPr>
            <w:r>
              <w:rPr>
                <w:sz w:val="16"/>
              </w:rPr>
              <w:t>Source-attribution caution</w:t>
            </w:r>
          </w:p>
        </w:tc>
        <w:tc>
          <w:tcPr>
            <w:cnfStyle w:val="000010000000" w:firstRow="0" w:lastRow="0" w:firstColumn="0" w:lastColumn="0" w:oddVBand="1" w:evenVBand="0" w:oddHBand="0" w:evenHBand="0" w:firstRowFirstColumn="0" w:firstRowLastColumn="0" w:lastRowFirstColumn="0" w:lastRowLastColumn="0"/>
            <w:tcW w:w="1224" w:type="dxa"/>
          </w:tcPr>
          <w:p w14:paraId="4E3307FE" w14:textId="77777777" w:rsidR="00E932E0" w:rsidRDefault="00000000">
            <w:pPr>
              <w:pStyle w:val="Compact"/>
              <w:spacing w:after="0" w:line="240" w:lineRule="auto"/>
              <w:jc w:val="center"/>
            </w:pPr>
            <w:r>
              <w:rPr>
                <w:sz w:val="16"/>
              </w:rPr>
              <w:t>Evidence confidence</w:t>
            </w:r>
          </w:p>
        </w:tc>
        <w:tc>
          <w:tcPr>
            <w:cnfStyle w:val="000001000000" w:firstRow="0" w:lastRow="0" w:firstColumn="0" w:lastColumn="0" w:oddVBand="0" w:evenVBand="1" w:oddHBand="0" w:evenHBand="0" w:firstRowFirstColumn="0" w:firstRowLastColumn="0" w:lastRowFirstColumn="0" w:lastRowLastColumn="0"/>
            <w:tcW w:w="1872" w:type="dxa"/>
          </w:tcPr>
          <w:p w14:paraId="16C68599" w14:textId="77777777" w:rsidR="00E932E0" w:rsidRDefault="00000000">
            <w:pPr>
              <w:pStyle w:val="Compact"/>
              <w:spacing w:after="0" w:line="240" w:lineRule="auto"/>
              <w:jc w:val="center"/>
            </w:pPr>
            <w:r>
              <w:rPr>
                <w:sz w:val="16"/>
              </w:rPr>
              <w:t>Supporting references</w:t>
            </w:r>
          </w:p>
        </w:tc>
      </w:tr>
      <w:tr w:rsidR="00E932E0" w14:paraId="5D955F2F"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7242E996" w14:textId="77777777" w:rsidR="00E932E0" w:rsidRDefault="00000000">
            <w:pPr>
              <w:pStyle w:val="Compact"/>
              <w:spacing w:after="0" w:line="240" w:lineRule="auto"/>
            </w:pPr>
            <w:r>
              <w:rPr>
                <w:sz w:val="16"/>
              </w:rPr>
              <w:t>PET bottle body</w:t>
            </w:r>
          </w:p>
        </w:tc>
        <w:tc>
          <w:tcPr>
            <w:cnfStyle w:val="000001000000" w:firstRow="0" w:lastRow="0" w:firstColumn="0" w:lastColumn="0" w:oddVBand="0" w:evenVBand="1" w:oddHBand="0" w:evenHBand="0" w:firstRowFirstColumn="0" w:firstRowLastColumn="0" w:lastRowFirstColumn="0" w:lastRowLastColumn="0"/>
            <w:tcW w:w="1728" w:type="dxa"/>
          </w:tcPr>
          <w:p w14:paraId="0C0819C7" w14:textId="77777777" w:rsidR="00E932E0" w:rsidRDefault="00000000">
            <w:pPr>
              <w:pStyle w:val="Compact"/>
              <w:spacing w:after="0" w:line="240" w:lineRule="auto"/>
            </w:pPr>
            <w:r>
              <w:rPr>
                <w:sz w:val="16"/>
              </w:rPr>
              <w:t>Antimony; acetaldehyde; formaldehyde; PET-related NIAS and oligomeric products</w:t>
            </w:r>
          </w:p>
        </w:tc>
        <w:tc>
          <w:tcPr>
            <w:cnfStyle w:val="000010000000" w:firstRow="0" w:lastRow="0" w:firstColumn="0" w:lastColumn="0" w:oddVBand="1" w:evenVBand="0" w:oddHBand="0" w:evenHBand="0" w:firstRowFirstColumn="0" w:firstRowLastColumn="0" w:lastRowFirstColumn="0" w:lastRowLastColumn="0"/>
            <w:tcW w:w="1512" w:type="dxa"/>
          </w:tcPr>
          <w:p w14:paraId="2DD1AB8E" w14:textId="77777777" w:rsidR="00E932E0" w:rsidRDefault="00000000">
            <w:pPr>
              <w:pStyle w:val="Compact"/>
              <w:spacing w:after="0" w:line="240" w:lineRule="auto"/>
            </w:pPr>
            <w:r>
              <w:rPr>
                <w:sz w:val="16"/>
              </w:rPr>
              <w:t>Heat, contact time, carbonation, sunlight; surface-to-volume ratio</w:t>
            </w:r>
          </w:p>
        </w:tc>
        <w:tc>
          <w:tcPr>
            <w:cnfStyle w:val="000001000000" w:firstRow="0" w:lastRow="0" w:firstColumn="0" w:lastColumn="0" w:oddVBand="0" w:evenVBand="1" w:oddHBand="0" w:evenHBand="0" w:firstRowFirstColumn="0" w:firstRowLastColumn="0" w:lastRowFirstColumn="0" w:lastRowLastColumn="0"/>
            <w:tcW w:w="2088" w:type="dxa"/>
          </w:tcPr>
          <w:p w14:paraId="5FAF2C45" w14:textId="77777777" w:rsidR="00E932E0" w:rsidRDefault="00000000">
            <w:pPr>
              <w:pStyle w:val="Compact"/>
              <w:spacing w:after="0" w:line="240" w:lineRule="auto"/>
            </w:pPr>
            <w:r>
              <w:rPr>
                <w:sz w:val="16"/>
              </w:rPr>
              <w:t>Magnitude varies by resin, processing, bottle geometry and water chemistry.</w:t>
            </w:r>
          </w:p>
        </w:tc>
        <w:tc>
          <w:tcPr>
            <w:cnfStyle w:val="000010000000" w:firstRow="0" w:lastRow="0" w:firstColumn="0" w:lastColumn="0" w:oddVBand="1" w:evenVBand="0" w:oddHBand="0" w:evenHBand="0" w:firstRowFirstColumn="0" w:firstRowLastColumn="0" w:lastRowFirstColumn="0" w:lastRowLastColumn="0"/>
            <w:tcW w:w="1224" w:type="dxa"/>
          </w:tcPr>
          <w:p w14:paraId="5E422A0E" w14:textId="77777777" w:rsidR="00E932E0" w:rsidRDefault="00000000">
            <w:pPr>
              <w:pStyle w:val="Compact"/>
              <w:spacing w:after="0" w:line="240" w:lineRule="auto"/>
            </w:pPr>
            <w:r>
              <w:rPr>
                <w:sz w:val="16"/>
              </w:rPr>
              <w:t>High for antimony; moderate for identified carbonyls/NIAS</w:t>
            </w:r>
          </w:p>
        </w:tc>
        <w:tc>
          <w:tcPr>
            <w:cnfStyle w:val="000001000000" w:firstRow="0" w:lastRow="0" w:firstColumn="0" w:lastColumn="0" w:oddVBand="0" w:evenVBand="1" w:oddHBand="0" w:evenHBand="0" w:firstRowFirstColumn="0" w:firstRowLastColumn="0" w:lastRowFirstColumn="0" w:lastRowLastColumn="0"/>
            <w:tcW w:w="1872" w:type="dxa"/>
          </w:tcPr>
          <w:p w14:paraId="2B5456DE" w14:textId="77777777" w:rsidR="00E932E0" w:rsidRDefault="00000000">
            <w:pPr>
              <w:pStyle w:val="Compact"/>
              <w:spacing w:after="0" w:line="240" w:lineRule="auto"/>
            </w:pPr>
            <w:r>
              <w:rPr>
                <w:sz w:val="16"/>
              </w:rPr>
              <w:t xml:space="preserve">Bach et al. (2013, 2014); </w:t>
            </w:r>
            <w:proofErr w:type="spellStart"/>
            <w:r>
              <w:rPr>
                <w:sz w:val="16"/>
              </w:rPr>
              <w:t>Mutsuga</w:t>
            </w:r>
            <w:proofErr w:type="spellEnd"/>
            <w:r>
              <w:rPr>
                <w:sz w:val="16"/>
              </w:rPr>
              <w:t xml:space="preserve"> et al. (2006); </w:t>
            </w:r>
            <w:proofErr w:type="spellStart"/>
            <w:r>
              <w:rPr>
                <w:sz w:val="16"/>
              </w:rPr>
              <w:t>Shotyk</w:t>
            </w:r>
            <w:proofErr w:type="spellEnd"/>
            <w:r>
              <w:rPr>
                <w:sz w:val="16"/>
              </w:rPr>
              <w:t xml:space="preserve"> et al. (2006); Westerhoff et al. (2008)</w:t>
            </w:r>
          </w:p>
        </w:tc>
      </w:tr>
      <w:tr w:rsidR="00E932E0" w14:paraId="706FA7F7" w14:textId="77777777" w:rsidTr="00F33728">
        <w:tc>
          <w:tcPr>
            <w:cnfStyle w:val="000010000000" w:firstRow="0" w:lastRow="0" w:firstColumn="0" w:lastColumn="0" w:oddVBand="1" w:evenVBand="0" w:oddHBand="0" w:evenHBand="0" w:firstRowFirstColumn="0" w:firstRowLastColumn="0" w:lastRowFirstColumn="0" w:lastRowLastColumn="0"/>
            <w:tcW w:w="1224" w:type="dxa"/>
          </w:tcPr>
          <w:p w14:paraId="4671746D" w14:textId="77777777" w:rsidR="00E932E0" w:rsidRDefault="00000000">
            <w:pPr>
              <w:pStyle w:val="Compact"/>
              <w:spacing w:after="0" w:line="240" w:lineRule="auto"/>
            </w:pPr>
            <w:r>
              <w:rPr>
                <w:sz w:val="16"/>
              </w:rPr>
              <w:t>Recycled PET bottle body</w:t>
            </w:r>
          </w:p>
        </w:tc>
        <w:tc>
          <w:tcPr>
            <w:cnfStyle w:val="000001000000" w:firstRow="0" w:lastRow="0" w:firstColumn="0" w:lastColumn="0" w:oddVBand="0" w:evenVBand="1" w:oddHBand="0" w:evenHBand="0" w:firstRowFirstColumn="0" w:firstRowLastColumn="0" w:lastRowFirstColumn="0" w:lastRowLastColumn="0"/>
            <w:tcW w:w="1728" w:type="dxa"/>
          </w:tcPr>
          <w:p w14:paraId="098C5816" w14:textId="77777777" w:rsidR="00E932E0" w:rsidRDefault="00000000">
            <w:pPr>
              <w:pStyle w:val="Compact"/>
              <w:spacing w:after="0" w:line="240" w:lineRule="auto"/>
            </w:pPr>
            <w:r>
              <w:rPr>
                <w:sz w:val="16"/>
              </w:rPr>
              <w:t>Legacy contaminants and NIAS in addition to normal PET-related migrants</w:t>
            </w:r>
          </w:p>
        </w:tc>
        <w:tc>
          <w:tcPr>
            <w:cnfStyle w:val="000010000000" w:firstRow="0" w:lastRow="0" w:firstColumn="0" w:lastColumn="0" w:oddVBand="1" w:evenVBand="0" w:oddHBand="0" w:evenHBand="0" w:firstRowFirstColumn="0" w:firstRowLastColumn="0" w:lastRowFirstColumn="0" w:lastRowLastColumn="0"/>
            <w:tcW w:w="1512" w:type="dxa"/>
          </w:tcPr>
          <w:p w14:paraId="681BF957" w14:textId="77777777" w:rsidR="00E932E0" w:rsidRDefault="00000000">
            <w:pPr>
              <w:pStyle w:val="Compact"/>
              <w:spacing w:after="0" w:line="240" w:lineRule="auto"/>
            </w:pPr>
            <w:r>
              <w:rPr>
                <w:sz w:val="16"/>
              </w:rPr>
              <w:t>Feedstock quality, decontamination efficiency, repeated thermal processing</w:t>
            </w:r>
          </w:p>
        </w:tc>
        <w:tc>
          <w:tcPr>
            <w:cnfStyle w:val="000001000000" w:firstRow="0" w:lastRow="0" w:firstColumn="0" w:lastColumn="0" w:oddVBand="0" w:evenVBand="1" w:oddHBand="0" w:evenHBand="0" w:firstRowFirstColumn="0" w:firstRowLastColumn="0" w:lastRowFirstColumn="0" w:lastRowLastColumn="0"/>
            <w:tcW w:w="2088" w:type="dxa"/>
          </w:tcPr>
          <w:p w14:paraId="14396509" w14:textId="77777777" w:rsidR="00E932E0" w:rsidRDefault="00000000">
            <w:pPr>
              <w:pStyle w:val="Compact"/>
              <w:spacing w:after="0" w:line="240" w:lineRule="auto"/>
            </w:pPr>
            <w:r>
              <w:rPr>
                <w:sz w:val="16"/>
              </w:rPr>
              <w:t>Recycled content alone does not predict migration; process control is decisive.</w:t>
            </w:r>
          </w:p>
        </w:tc>
        <w:tc>
          <w:tcPr>
            <w:cnfStyle w:val="000010000000" w:firstRow="0" w:lastRow="0" w:firstColumn="0" w:lastColumn="0" w:oddVBand="1" w:evenVBand="0" w:oddHBand="0" w:evenHBand="0" w:firstRowFirstColumn="0" w:firstRowLastColumn="0" w:lastRowFirstColumn="0" w:lastRowLastColumn="0"/>
            <w:tcW w:w="1224" w:type="dxa"/>
          </w:tcPr>
          <w:p w14:paraId="78E5C95B" w14:textId="77777777" w:rsidR="00E932E0" w:rsidRDefault="00000000">
            <w:pPr>
              <w:pStyle w:val="Compact"/>
              <w:spacing w:after="0" w:line="240" w:lineRule="auto"/>
            </w:pPr>
            <w:r>
              <w:rPr>
                <w:sz w:val="16"/>
              </w:rPr>
              <w:t>Moderate</w:t>
            </w:r>
          </w:p>
        </w:tc>
        <w:tc>
          <w:tcPr>
            <w:cnfStyle w:val="000001000000" w:firstRow="0" w:lastRow="0" w:firstColumn="0" w:lastColumn="0" w:oddVBand="0" w:evenVBand="1" w:oddHBand="0" w:evenHBand="0" w:firstRowFirstColumn="0" w:firstRowLastColumn="0" w:lastRowFirstColumn="0" w:lastRowLastColumn="0"/>
            <w:tcW w:w="1872" w:type="dxa"/>
          </w:tcPr>
          <w:p w14:paraId="226AA604" w14:textId="77777777" w:rsidR="00E932E0" w:rsidRDefault="00000000">
            <w:pPr>
              <w:pStyle w:val="Compact"/>
              <w:spacing w:after="0" w:line="240" w:lineRule="auto"/>
            </w:pPr>
            <w:proofErr w:type="spellStart"/>
            <w:r>
              <w:rPr>
                <w:sz w:val="16"/>
              </w:rPr>
              <w:t>Gerassimidou</w:t>
            </w:r>
            <w:proofErr w:type="spellEnd"/>
            <w:r>
              <w:rPr>
                <w:sz w:val="16"/>
              </w:rPr>
              <w:t xml:space="preserve"> et al. (2022); Thoden van Velzen et al. (2020)</w:t>
            </w:r>
          </w:p>
        </w:tc>
      </w:tr>
      <w:tr w:rsidR="00E932E0" w14:paraId="1D8EDD8D"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068B97A2" w14:textId="77777777" w:rsidR="00E932E0" w:rsidRDefault="00000000">
            <w:pPr>
              <w:pStyle w:val="Compact"/>
              <w:spacing w:after="0" w:line="240" w:lineRule="auto"/>
            </w:pPr>
            <w:r>
              <w:rPr>
                <w:sz w:val="16"/>
              </w:rPr>
              <w:t>Polyolefin cap/neck interface</w:t>
            </w:r>
          </w:p>
        </w:tc>
        <w:tc>
          <w:tcPr>
            <w:cnfStyle w:val="000001000000" w:firstRow="0" w:lastRow="0" w:firstColumn="0" w:lastColumn="0" w:oddVBand="0" w:evenVBand="1" w:oddHBand="0" w:evenHBand="0" w:firstRowFirstColumn="0" w:firstRowLastColumn="0" w:lastRowFirstColumn="0" w:lastRowLastColumn="0"/>
            <w:tcW w:w="1728" w:type="dxa"/>
          </w:tcPr>
          <w:p w14:paraId="3444E0B8" w14:textId="77777777" w:rsidR="00E932E0" w:rsidRDefault="00000000">
            <w:pPr>
              <w:pStyle w:val="Compact"/>
              <w:spacing w:after="0" w:line="240" w:lineRule="auto"/>
            </w:pPr>
            <w:r>
              <w:rPr>
                <w:sz w:val="16"/>
              </w:rPr>
              <w:t>Polypropylene or polyethylene particles; associated additives or processing residues</w:t>
            </w:r>
          </w:p>
        </w:tc>
        <w:tc>
          <w:tcPr>
            <w:cnfStyle w:val="000010000000" w:firstRow="0" w:lastRow="0" w:firstColumn="0" w:lastColumn="0" w:oddVBand="1" w:evenVBand="0" w:oddHBand="0" w:evenHBand="0" w:firstRowFirstColumn="0" w:firstRowLastColumn="0" w:lastRowFirstColumn="0" w:lastRowLastColumn="0"/>
            <w:tcW w:w="1512" w:type="dxa"/>
          </w:tcPr>
          <w:p w14:paraId="516DB587" w14:textId="77777777" w:rsidR="00E932E0" w:rsidRDefault="00000000">
            <w:pPr>
              <w:pStyle w:val="Compact"/>
              <w:spacing w:after="0" w:line="240" w:lineRule="auto"/>
            </w:pPr>
            <w:r>
              <w:rPr>
                <w:sz w:val="16"/>
              </w:rPr>
              <w:t>Repeated opening/closing, torque, abrasion, material hardness</w:t>
            </w:r>
          </w:p>
        </w:tc>
        <w:tc>
          <w:tcPr>
            <w:cnfStyle w:val="000001000000" w:firstRow="0" w:lastRow="0" w:firstColumn="0" w:lastColumn="0" w:oddVBand="0" w:evenVBand="1" w:oddHBand="0" w:evenHBand="0" w:firstRowFirstColumn="0" w:firstRowLastColumn="0" w:lastRowFirstColumn="0" w:lastRowLastColumn="0"/>
            <w:tcW w:w="2088" w:type="dxa"/>
          </w:tcPr>
          <w:p w14:paraId="78D9EF34" w14:textId="77777777" w:rsidR="00E932E0" w:rsidRDefault="00000000">
            <w:pPr>
              <w:pStyle w:val="Compact"/>
              <w:spacing w:after="0" w:line="240" w:lineRule="auto"/>
            </w:pPr>
            <w:r>
              <w:rPr>
                <w:sz w:val="16"/>
              </w:rPr>
              <w:t>Particles can be wrongly attributed to PET bottle wall.</w:t>
            </w:r>
          </w:p>
        </w:tc>
        <w:tc>
          <w:tcPr>
            <w:cnfStyle w:val="000010000000" w:firstRow="0" w:lastRow="0" w:firstColumn="0" w:lastColumn="0" w:oddVBand="1" w:evenVBand="0" w:oddHBand="0" w:evenHBand="0" w:firstRowFirstColumn="0" w:firstRowLastColumn="0" w:lastRowFirstColumn="0" w:lastRowLastColumn="0"/>
            <w:tcW w:w="1224" w:type="dxa"/>
          </w:tcPr>
          <w:p w14:paraId="5BBAA50F" w14:textId="77777777" w:rsidR="00E932E0" w:rsidRDefault="00000000">
            <w:pPr>
              <w:pStyle w:val="Compact"/>
              <w:spacing w:after="0" w:line="240" w:lineRule="auto"/>
            </w:pPr>
            <w:r>
              <w:rPr>
                <w:sz w:val="16"/>
              </w:rPr>
              <w:t>High for mechanical particle generation</w:t>
            </w:r>
          </w:p>
        </w:tc>
        <w:tc>
          <w:tcPr>
            <w:cnfStyle w:val="000001000000" w:firstRow="0" w:lastRow="0" w:firstColumn="0" w:lastColumn="0" w:oddVBand="0" w:evenVBand="1" w:oddHBand="0" w:evenHBand="0" w:firstRowFirstColumn="0" w:firstRowLastColumn="0" w:lastRowFirstColumn="0" w:lastRowLastColumn="0"/>
            <w:tcW w:w="1872" w:type="dxa"/>
          </w:tcPr>
          <w:p w14:paraId="225B245E" w14:textId="77777777" w:rsidR="00E932E0" w:rsidRDefault="00000000">
            <w:pPr>
              <w:pStyle w:val="Compact"/>
              <w:spacing w:after="0" w:line="240" w:lineRule="auto"/>
            </w:pPr>
            <w:proofErr w:type="spellStart"/>
            <w:r>
              <w:rPr>
                <w:sz w:val="16"/>
              </w:rPr>
              <w:t>Changmai</w:t>
            </w:r>
            <w:proofErr w:type="spellEnd"/>
            <w:r>
              <w:rPr>
                <w:sz w:val="16"/>
              </w:rPr>
              <w:t xml:space="preserve"> et al. (2026); Mason et al. (2018); Winkler et al. (2019)</w:t>
            </w:r>
          </w:p>
        </w:tc>
      </w:tr>
      <w:tr w:rsidR="00E932E0" w14:paraId="01FD0E9D" w14:textId="77777777" w:rsidTr="00F33728">
        <w:tc>
          <w:tcPr>
            <w:cnfStyle w:val="000010000000" w:firstRow="0" w:lastRow="0" w:firstColumn="0" w:lastColumn="0" w:oddVBand="1" w:evenVBand="0" w:oddHBand="0" w:evenHBand="0" w:firstRowFirstColumn="0" w:firstRowLastColumn="0" w:lastRowFirstColumn="0" w:lastRowLastColumn="0"/>
            <w:tcW w:w="1224" w:type="dxa"/>
          </w:tcPr>
          <w:p w14:paraId="0CD634EE" w14:textId="77777777" w:rsidR="00E932E0" w:rsidRDefault="00000000">
            <w:pPr>
              <w:pStyle w:val="Compact"/>
              <w:spacing w:after="0" w:line="240" w:lineRule="auto"/>
            </w:pPr>
            <w:r>
              <w:rPr>
                <w:sz w:val="16"/>
              </w:rPr>
              <w:t>PET system with unexpected endocrine-active analytes</w:t>
            </w:r>
          </w:p>
        </w:tc>
        <w:tc>
          <w:tcPr>
            <w:cnfStyle w:val="000001000000" w:firstRow="0" w:lastRow="0" w:firstColumn="0" w:lastColumn="0" w:oddVBand="0" w:evenVBand="1" w:oddHBand="0" w:evenHBand="0" w:firstRowFirstColumn="0" w:firstRowLastColumn="0" w:lastRowFirstColumn="0" w:lastRowLastColumn="0"/>
            <w:tcW w:w="1728" w:type="dxa"/>
          </w:tcPr>
          <w:p w14:paraId="10B9459D" w14:textId="77777777" w:rsidR="00E932E0" w:rsidRDefault="00000000">
            <w:pPr>
              <w:pStyle w:val="Compact"/>
              <w:spacing w:after="0" w:line="240" w:lineRule="auto"/>
            </w:pPr>
            <w:r>
              <w:rPr>
                <w:sz w:val="16"/>
              </w:rPr>
              <w:t>Phthalates, BPA or unresolved estrogenic activity</w:t>
            </w:r>
          </w:p>
        </w:tc>
        <w:tc>
          <w:tcPr>
            <w:cnfStyle w:val="000010000000" w:firstRow="0" w:lastRow="0" w:firstColumn="0" w:lastColumn="0" w:oddVBand="1" w:evenVBand="0" w:oddHBand="0" w:evenHBand="0" w:firstRowFirstColumn="0" w:firstRowLastColumn="0" w:lastRowFirstColumn="0" w:lastRowLastColumn="0"/>
            <w:tcW w:w="1512" w:type="dxa"/>
          </w:tcPr>
          <w:p w14:paraId="2EB03F86" w14:textId="77777777" w:rsidR="00E932E0" w:rsidRDefault="00000000">
            <w:pPr>
              <w:pStyle w:val="Compact"/>
              <w:spacing w:after="0" w:line="240" w:lineRule="auto"/>
            </w:pPr>
            <w:r>
              <w:rPr>
                <w:sz w:val="16"/>
              </w:rPr>
              <w:t>Heat, time, recycled inputs, package components</w:t>
            </w:r>
          </w:p>
        </w:tc>
        <w:tc>
          <w:tcPr>
            <w:cnfStyle w:val="000001000000" w:firstRow="0" w:lastRow="0" w:firstColumn="0" w:lastColumn="0" w:oddVBand="0" w:evenVBand="1" w:oddHBand="0" w:evenHBand="0" w:firstRowFirstColumn="0" w:firstRowLastColumn="0" w:lastRowFirstColumn="0" w:lastRowLastColumn="0"/>
            <w:tcW w:w="2088" w:type="dxa"/>
          </w:tcPr>
          <w:p w14:paraId="3A81C6F4" w14:textId="77777777" w:rsidR="00E932E0" w:rsidRDefault="00000000">
            <w:pPr>
              <w:pStyle w:val="Compact"/>
              <w:spacing w:after="0" w:line="240" w:lineRule="auto"/>
            </w:pPr>
            <w:r>
              <w:rPr>
                <w:sz w:val="16"/>
              </w:rPr>
              <w:t xml:space="preserve">BPA is not a PET monomer and PET does not require phthalate </w:t>
            </w:r>
            <w:proofErr w:type="spellStart"/>
            <w:r>
              <w:rPr>
                <w:sz w:val="16"/>
              </w:rPr>
              <w:t>plasticisers</w:t>
            </w:r>
            <w:proofErr w:type="spellEnd"/>
            <w:r>
              <w:rPr>
                <w:sz w:val="16"/>
              </w:rPr>
              <w:t>; multiple external sources are plausible.</w:t>
            </w:r>
          </w:p>
        </w:tc>
        <w:tc>
          <w:tcPr>
            <w:cnfStyle w:val="000010000000" w:firstRow="0" w:lastRow="0" w:firstColumn="0" w:lastColumn="0" w:oddVBand="1" w:evenVBand="0" w:oddHBand="0" w:evenHBand="0" w:firstRowFirstColumn="0" w:firstRowLastColumn="0" w:lastRowFirstColumn="0" w:lastRowLastColumn="0"/>
            <w:tcW w:w="1224" w:type="dxa"/>
          </w:tcPr>
          <w:p w14:paraId="1FBA5F3A" w14:textId="77777777" w:rsidR="00E932E0" w:rsidRDefault="00000000">
            <w:pPr>
              <w:pStyle w:val="Compact"/>
              <w:spacing w:after="0" w:line="240" w:lineRule="auto"/>
            </w:pPr>
            <w:r>
              <w:rPr>
                <w:sz w:val="16"/>
              </w:rPr>
              <w:t>Low-to-moderate for PET-specific provenance</w:t>
            </w:r>
          </w:p>
        </w:tc>
        <w:tc>
          <w:tcPr>
            <w:cnfStyle w:val="000001000000" w:firstRow="0" w:lastRow="0" w:firstColumn="0" w:lastColumn="0" w:oddVBand="0" w:evenVBand="1" w:oddHBand="0" w:evenHBand="0" w:firstRowFirstColumn="0" w:firstRowLastColumn="0" w:lastRowFirstColumn="0" w:lastRowLastColumn="0"/>
            <w:tcW w:w="1872" w:type="dxa"/>
          </w:tcPr>
          <w:p w14:paraId="4BE3ECB7" w14:textId="77777777" w:rsidR="00E932E0" w:rsidRDefault="00000000">
            <w:pPr>
              <w:pStyle w:val="Compact"/>
              <w:spacing w:after="0" w:line="240" w:lineRule="auto"/>
            </w:pPr>
            <w:r>
              <w:rPr>
                <w:sz w:val="16"/>
              </w:rPr>
              <w:t xml:space="preserve">Fan et al. (2014); Keresztes et al. (2013); Wagner &amp; </w:t>
            </w:r>
            <w:proofErr w:type="spellStart"/>
            <w:r>
              <w:rPr>
                <w:sz w:val="16"/>
              </w:rPr>
              <w:t>Oehlmann</w:t>
            </w:r>
            <w:proofErr w:type="spellEnd"/>
            <w:r>
              <w:rPr>
                <w:sz w:val="16"/>
              </w:rPr>
              <w:t xml:space="preserve"> (2009, 2011); Xu et al. (2020)</w:t>
            </w:r>
          </w:p>
        </w:tc>
      </w:tr>
      <w:tr w:rsidR="00E932E0" w14:paraId="6B5899AC"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64264040" w14:textId="77777777" w:rsidR="00E932E0" w:rsidRDefault="00000000">
            <w:pPr>
              <w:pStyle w:val="Compact"/>
              <w:spacing w:after="0" w:line="240" w:lineRule="auto"/>
            </w:pPr>
            <w:r>
              <w:rPr>
                <w:sz w:val="16"/>
              </w:rPr>
              <w:t>Polycarbonate reusable bottle</w:t>
            </w:r>
          </w:p>
        </w:tc>
        <w:tc>
          <w:tcPr>
            <w:cnfStyle w:val="000001000000" w:firstRow="0" w:lastRow="0" w:firstColumn="0" w:lastColumn="0" w:oddVBand="0" w:evenVBand="1" w:oddHBand="0" w:evenHBand="0" w:firstRowFirstColumn="0" w:firstRowLastColumn="0" w:lastRowFirstColumn="0" w:lastRowLastColumn="0"/>
            <w:tcW w:w="1728" w:type="dxa"/>
          </w:tcPr>
          <w:p w14:paraId="2A7BBF54" w14:textId="77777777" w:rsidR="00E932E0" w:rsidRDefault="00000000">
            <w:pPr>
              <w:pStyle w:val="Compact"/>
              <w:spacing w:after="0" w:line="240" w:lineRule="auto"/>
            </w:pPr>
            <w:r>
              <w:rPr>
                <w:sz w:val="16"/>
              </w:rPr>
              <w:t>BPA</w:t>
            </w:r>
          </w:p>
        </w:tc>
        <w:tc>
          <w:tcPr>
            <w:cnfStyle w:val="000010000000" w:firstRow="0" w:lastRow="0" w:firstColumn="0" w:lastColumn="0" w:oddVBand="1" w:evenVBand="0" w:oddHBand="0" w:evenHBand="0" w:firstRowFirstColumn="0" w:firstRowLastColumn="0" w:lastRowFirstColumn="0" w:lastRowLastColumn="0"/>
            <w:tcW w:w="1512" w:type="dxa"/>
          </w:tcPr>
          <w:p w14:paraId="6867CF75" w14:textId="77777777" w:rsidR="00E932E0" w:rsidRDefault="00000000">
            <w:pPr>
              <w:pStyle w:val="Compact"/>
              <w:spacing w:after="0" w:line="240" w:lineRule="auto"/>
            </w:pPr>
            <w:r>
              <w:rPr>
                <w:sz w:val="16"/>
              </w:rPr>
              <w:t>High temperature, repeated use and ageing</w:t>
            </w:r>
          </w:p>
        </w:tc>
        <w:tc>
          <w:tcPr>
            <w:cnfStyle w:val="000001000000" w:firstRow="0" w:lastRow="0" w:firstColumn="0" w:lastColumn="0" w:oddVBand="0" w:evenVBand="1" w:oddHBand="0" w:evenHBand="0" w:firstRowFirstColumn="0" w:firstRowLastColumn="0" w:lastRowFirstColumn="0" w:lastRowLastColumn="0"/>
            <w:tcW w:w="2088" w:type="dxa"/>
          </w:tcPr>
          <w:p w14:paraId="718EA274" w14:textId="77777777" w:rsidR="00E932E0" w:rsidRDefault="00000000">
            <w:pPr>
              <w:pStyle w:val="Compact"/>
              <w:spacing w:after="0" w:line="240" w:lineRule="auto"/>
            </w:pPr>
            <w:r>
              <w:rPr>
                <w:sz w:val="16"/>
              </w:rPr>
              <w:t xml:space="preserve">Evidence applies to polycarbonate and should not be </w:t>
            </w:r>
            <w:proofErr w:type="spellStart"/>
            <w:r>
              <w:rPr>
                <w:sz w:val="16"/>
              </w:rPr>
              <w:t>generalised</w:t>
            </w:r>
            <w:proofErr w:type="spellEnd"/>
            <w:r>
              <w:rPr>
                <w:sz w:val="16"/>
              </w:rPr>
              <w:t xml:space="preserve"> to PET.</w:t>
            </w:r>
          </w:p>
        </w:tc>
        <w:tc>
          <w:tcPr>
            <w:cnfStyle w:val="000010000000" w:firstRow="0" w:lastRow="0" w:firstColumn="0" w:lastColumn="0" w:oddVBand="1" w:evenVBand="0" w:oddHBand="0" w:evenHBand="0" w:firstRowFirstColumn="0" w:firstRowLastColumn="0" w:lastRowFirstColumn="0" w:lastRowLastColumn="0"/>
            <w:tcW w:w="1224" w:type="dxa"/>
          </w:tcPr>
          <w:p w14:paraId="07FB2C03" w14:textId="77777777" w:rsidR="00E932E0" w:rsidRDefault="00000000">
            <w:pPr>
              <w:pStyle w:val="Compact"/>
              <w:spacing w:after="0" w:line="240" w:lineRule="auto"/>
            </w:pPr>
            <w:r>
              <w:rPr>
                <w:sz w:val="16"/>
              </w:rPr>
              <w:t>High for polycarbonate under tested conditions</w:t>
            </w:r>
          </w:p>
        </w:tc>
        <w:tc>
          <w:tcPr>
            <w:cnfStyle w:val="000001000000" w:firstRow="0" w:lastRow="0" w:firstColumn="0" w:lastColumn="0" w:oddVBand="0" w:evenVBand="1" w:oddHBand="0" w:evenHBand="0" w:firstRowFirstColumn="0" w:firstRowLastColumn="0" w:lastRowFirstColumn="0" w:lastRowLastColumn="0"/>
            <w:tcW w:w="1872" w:type="dxa"/>
          </w:tcPr>
          <w:p w14:paraId="49D429E9" w14:textId="77777777" w:rsidR="00E932E0" w:rsidRDefault="00000000">
            <w:pPr>
              <w:pStyle w:val="Compact"/>
              <w:spacing w:after="0" w:line="240" w:lineRule="auto"/>
            </w:pPr>
            <w:r>
              <w:rPr>
                <w:sz w:val="16"/>
              </w:rPr>
              <w:t>Cao &amp; Corriveau (2008); Le et al. (2008)</w:t>
            </w:r>
          </w:p>
        </w:tc>
      </w:tr>
      <w:tr w:rsidR="00E932E0" w14:paraId="77475E78" w14:textId="77777777" w:rsidTr="00F33728">
        <w:tc>
          <w:tcPr>
            <w:cnfStyle w:val="000010000000" w:firstRow="0" w:lastRow="0" w:firstColumn="0" w:lastColumn="0" w:oddVBand="1" w:evenVBand="0" w:oddHBand="0" w:evenHBand="0" w:firstRowFirstColumn="0" w:firstRowLastColumn="0" w:lastRowFirstColumn="0" w:lastRowLastColumn="0"/>
            <w:tcW w:w="1224" w:type="dxa"/>
          </w:tcPr>
          <w:p w14:paraId="410C4702" w14:textId="77777777" w:rsidR="00E932E0" w:rsidRDefault="00000000">
            <w:pPr>
              <w:pStyle w:val="Compact"/>
              <w:spacing w:after="0" w:line="240" w:lineRule="auto"/>
            </w:pPr>
            <w:r>
              <w:rPr>
                <w:sz w:val="16"/>
              </w:rPr>
              <w:t>Other reusable plastics/silicone</w:t>
            </w:r>
          </w:p>
        </w:tc>
        <w:tc>
          <w:tcPr>
            <w:cnfStyle w:val="000001000000" w:firstRow="0" w:lastRow="0" w:firstColumn="0" w:lastColumn="0" w:oddVBand="0" w:evenVBand="1" w:oddHBand="0" w:evenHBand="0" w:firstRowFirstColumn="0" w:firstRowLastColumn="0" w:lastRowFirstColumn="0" w:lastRowLastColumn="0"/>
            <w:tcW w:w="1728" w:type="dxa"/>
          </w:tcPr>
          <w:p w14:paraId="0F0CE462" w14:textId="77777777" w:rsidR="00E932E0" w:rsidRDefault="00000000">
            <w:pPr>
              <w:pStyle w:val="Compact"/>
              <w:spacing w:after="0" w:line="240" w:lineRule="auto"/>
            </w:pPr>
            <w:r>
              <w:rPr>
                <w:sz w:val="16"/>
              </w:rPr>
              <w:t>Broad NIAS profiles and material-specific chemical mixtures</w:t>
            </w:r>
          </w:p>
        </w:tc>
        <w:tc>
          <w:tcPr>
            <w:cnfStyle w:val="000010000000" w:firstRow="0" w:lastRow="0" w:firstColumn="0" w:lastColumn="0" w:oddVBand="1" w:evenVBand="0" w:oddHBand="0" w:evenHBand="0" w:firstRowFirstColumn="0" w:firstRowLastColumn="0" w:lastRowFirstColumn="0" w:lastRowLastColumn="0"/>
            <w:tcW w:w="1512" w:type="dxa"/>
          </w:tcPr>
          <w:p w14:paraId="7CA2301B" w14:textId="77777777" w:rsidR="00E932E0" w:rsidRDefault="00000000">
            <w:pPr>
              <w:pStyle w:val="Compact"/>
              <w:spacing w:after="0" w:line="240" w:lineRule="auto"/>
            </w:pPr>
            <w:r>
              <w:rPr>
                <w:sz w:val="16"/>
              </w:rPr>
              <w:t>Dishwashing, storage, repeated use, water contact</w:t>
            </w:r>
          </w:p>
        </w:tc>
        <w:tc>
          <w:tcPr>
            <w:cnfStyle w:val="000001000000" w:firstRow="0" w:lastRow="0" w:firstColumn="0" w:lastColumn="0" w:oddVBand="0" w:evenVBand="1" w:oddHBand="0" w:evenHBand="0" w:firstRowFirstColumn="0" w:firstRowLastColumn="0" w:lastRowFirstColumn="0" w:lastRowLastColumn="0"/>
            <w:tcW w:w="2088" w:type="dxa"/>
          </w:tcPr>
          <w:p w14:paraId="751C77F6" w14:textId="77777777" w:rsidR="00E932E0" w:rsidRDefault="00000000">
            <w:pPr>
              <w:pStyle w:val="Compact"/>
              <w:spacing w:after="0" w:line="240" w:lineRule="auto"/>
            </w:pPr>
            <w:r>
              <w:rPr>
                <w:sz w:val="16"/>
              </w:rPr>
              <w:t>Migration profiles differ strongly by polymer and formulation.</w:t>
            </w:r>
          </w:p>
        </w:tc>
        <w:tc>
          <w:tcPr>
            <w:cnfStyle w:val="000010000000" w:firstRow="0" w:lastRow="0" w:firstColumn="0" w:lastColumn="0" w:oddVBand="1" w:evenVBand="0" w:oddHBand="0" w:evenHBand="0" w:firstRowFirstColumn="0" w:firstRowLastColumn="0" w:lastRowFirstColumn="0" w:lastRowLastColumn="0"/>
            <w:tcW w:w="1224" w:type="dxa"/>
          </w:tcPr>
          <w:p w14:paraId="603317D2" w14:textId="77777777" w:rsidR="00E932E0" w:rsidRDefault="00000000">
            <w:pPr>
              <w:pStyle w:val="Compact"/>
              <w:spacing w:after="0" w:line="240" w:lineRule="auto"/>
            </w:pPr>
            <w:r>
              <w:rPr>
                <w:sz w:val="16"/>
              </w:rPr>
              <w:t>Moderate-to-high for material heterogeneity</w:t>
            </w:r>
          </w:p>
        </w:tc>
        <w:tc>
          <w:tcPr>
            <w:cnfStyle w:val="000001000000" w:firstRow="0" w:lastRow="0" w:firstColumn="0" w:lastColumn="0" w:oddVBand="0" w:evenVBand="1" w:oddHBand="0" w:evenHBand="0" w:firstRowFirstColumn="0" w:firstRowLastColumn="0" w:lastRowFirstColumn="0" w:lastRowLastColumn="0"/>
            <w:tcW w:w="1872" w:type="dxa"/>
          </w:tcPr>
          <w:p w14:paraId="2325AC15" w14:textId="77777777" w:rsidR="00E932E0" w:rsidRDefault="00000000">
            <w:pPr>
              <w:pStyle w:val="Compact"/>
              <w:spacing w:after="0" w:line="240" w:lineRule="auto"/>
            </w:pPr>
            <w:r>
              <w:rPr>
                <w:sz w:val="16"/>
              </w:rPr>
              <w:t>Tisler &amp; Christensen (2022); Tisler et al. (2024)</w:t>
            </w:r>
          </w:p>
        </w:tc>
      </w:tr>
    </w:tbl>
    <w:p w14:paraId="08000E52" w14:textId="77777777" w:rsidR="00E932E0" w:rsidRDefault="00000000">
      <w:pPr>
        <w:pStyle w:val="BodyText"/>
        <w:spacing w:before="40" w:after="120" w:line="240" w:lineRule="auto"/>
      </w:pPr>
      <w:r>
        <w:rPr>
          <w:i/>
          <w:iCs/>
          <w:sz w:val="17"/>
        </w:rPr>
        <w:t>Note.</w:t>
      </w:r>
      <w:r>
        <w:rPr>
          <w:sz w:val="17"/>
        </w:rPr>
        <w:t xml:space="preserve"> PET = polyethylene terephthalate; NIAS = non-intentionally added substances; BPA = bisphenol A. Confidence refers to source and stress-response evidence, not to clinical risk.</w:t>
      </w:r>
    </w:p>
    <w:p w14:paraId="0532027C" w14:textId="77777777" w:rsidR="00E932E0" w:rsidRDefault="00000000">
      <w:pPr>
        <w:pStyle w:val="Heading1"/>
      </w:pPr>
      <w:bookmarkStart w:id="11" w:name="X75683353aff47ca3e3db7c4284a242d773e72ca"/>
      <w:bookmarkEnd w:id="10"/>
      <w:r>
        <w:rPr>
          <w:rFonts w:ascii="Times New Roman" w:hAnsi="Times New Roman"/>
        </w:rPr>
        <w:t>4. Evidence for Chemical and Particle Migration in Bottled Water</w:t>
      </w:r>
    </w:p>
    <w:p w14:paraId="6A960657" w14:textId="77777777" w:rsidR="00E932E0" w:rsidRDefault="00000000">
      <w:pPr>
        <w:pStyle w:val="FirstParagraph"/>
        <w:spacing w:after="100"/>
        <w:ind w:firstLine="360"/>
        <w:jc w:val="both"/>
      </w:pPr>
      <w:r>
        <w:t>Antimony provides the clearest case in which analytical detection, material provenance and stress response align. Comparative work demonstrated higher antimony in PET-packaged waters than in source water or alternative packaging, and prolonged storage increased concentrations (</w:t>
      </w:r>
      <w:proofErr w:type="spellStart"/>
      <w:r>
        <w:t>Shotyk</w:t>
      </w:r>
      <w:proofErr w:type="spellEnd"/>
      <w:r>
        <w:t xml:space="preserve"> et al., 2006; </w:t>
      </w:r>
      <w:proofErr w:type="spellStart"/>
      <w:r>
        <w:t>Shotyk</w:t>
      </w:r>
      <w:proofErr w:type="spellEnd"/>
      <w:r>
        <w:t xml:space="preserve"> &amp; Krachler, 2007). Westerhoff et al. (2008) showed strong temperature dependence and modelled the time required for concentrations to approach the United States maximum contaminant level under high-temperature storage. Studies from other regions have confirmed migration while also documenting substantial brand-to-brand variation (Al-</w:t>
      </w:r>
      <w:proofErr w:type="spellStart"/>
      <w:r>
        <w:t>Otoum</w:t>
      </w:r>
      <w:proofErr w:type="spellEnd"/>
      <w:r>
        <w:t xml:space="preserve"> et al., 2017; </w:t>
      </w:r>
      <w:proofErr w:type="spellStart"/>
      <w:r>
        <w:t>Carneado</w:t>
      </w:r>
      <w:proofErr w:type="spellEnd"/>
      <w:r>
        <w:t xml:space="preserve"> et al., 2015; Chapa-Martínez et al., 2016). Variation plausibly reflects catalyst residue, polymer crystallinity, wall thickness, bottle geometry, thermal history and water composition. The evidence therefore supports PET as a source but does not justify assigning a single universal migration rate to all bottles.</w:t>
      </w:r>
    </w:p>
    <w:p w14:paraId="187E39C2" w14:textId="77777777" w:rsidR="00E932E0" w:rsidRDefault="00000000">
      <w:pPr>
        <w:pStyle w:val="BodyText"/>
        <w:spacing w:after="100"/>
        <w:ind w:firstLine="360"/>
        <w:jc w:val="both"/>
      </w:pPr>
      <w:r>
        <w:t xml:space="preserve">Regulatory comparison requires careful matching of units and scenario. The current World Health Organization guideline value for antimony in drinking water is 20 micrograms per </w:t>
      </w:r>
      <w:proofErr w:type="spellStart"/>
      <w:r>
        <w:t>litre</w:t>
      </w:r>
      <w:proofErr w:type="spellEnd"/>
      <w:r>
        <w:t xml:space="preserve">, the United States Environmental Protection Agency maximum contaminant level is 6 micrograms per </w:t>
      </w:r>
      <w:proofErr w:type="spellStart"/>
      <w:r>
        <w:t>litre</w:t>
      </w:r>
      <w:proofErr w:type="spellEnd"/>
      <w:r>
        <w:t xml:space="preserve">, and Directive (EU) 2020/2184 uses a parametric value of 10 micrograms per </w:t>
      </w:r>
      <w:proofErr w:type="spellStart"/>
      <w:r>
        <w:t>litre</w:t>
      </w:r>
      <w:proofErr w:type="spellEnd"/>
      <w:r>
        <w:t xml:space="preserve"> (European Parliament &amp; Council of the European Union, 2020; United States Environmental Protection Agency, n.d.; World Health Organization, 2026). These </w:t>
      </w:r>
      <w:r>
        <w:lastRenderedPageBreak/>
        <w:t xml:space="preserve">benchmarks apply to drinking-water quality rather than to a mechanistic claim that PET migration is harmless below a particular experimental threshold. Most ordinary-storage studies report values below these benchmarks, whereas severe heat can produce much higher migration in some brands. The appropriate risk-management message is therefore to avoid treating hot-storage experiments as typical exposure while also </w:t>
      </w:r>
      <w:proofErr w:type="spellStart"/>
      <w:r>
        <w:t>recognising</w:t>
      </w:r>
      <w:proofErr w:type="spellEnd"/>
      <w:r>
        <w:t xml:space="preserve"> them as evidence that preventable thermal abuse can materially increase antimony transfer.</w:t>
      </w:r>
    </w:p>
    <w:p w14:paraId="3D7A8E82" w14:textId="77777777" w:rsidR="00E932E0" w:rsidRDefault="00000000">
      <w:pPr>
        <w:pStyle w:val="BodyText"/>
        <w:spacing w:after="100"/>
        <w:ind w:firstLine="360"/>
        <w:jc w:val="both"/>
      </w:pPr>
      <w:r>
        <w:t xml:space="preserve">Carbonyl compounds illustrate a different mechanism. Acetaldehyde can form during PET manufacture and thermal processing and is well </w:t>
      </w:r>
      <w:proofErr w:type="spellStart"/>
      <w:r>
        <w:t>recognised</w:t>
      </w:r>
      <w:proofErr w:type="spellEnd"/>
      <w:r>
        <w:t xml:space="preserve"> as an organoleptic concern because it can affect taste at low concentrations. Formaldehyde and other volatile or semi-volatile compounds may arise from processing, degradation or reactions involving package constituents. </w:t>
      </w:r>
      <w:proofErr w:type="spellStart"/>
      <w:r>
        <w:t>Mutsuga</w:t>
      </w:r>
      <w:proofErr w:type="spellEnd"/>
      <w:r>
        <w:t xml:space="preserve"> et al. (2006) measured formaldehyde and acetaldehyde migration into mineral water, while Nawrocki et al. (2002) showed sensitivity to storage conditions and carbonation. More recent work has expanded the target list. Ozaki et al. (2022) identified several volatile compounds in PET bottles and followed short- and long-term migration into simulants and beverages, with 2-methyl-1,3-dioxolane emerging as a recurrent PET-related volatile. These studies demonstrate why migration assessment should not be restricted to a short historical list of regulated monomers and catalysts.</w:t>
      </w:r>
    </w:p>
    <w:p w14:paraId="21B9F290" w14:textId="77777777" w:rsidR="00E932E0" w:rsidRDefault="00000000">
      <w:pPr>
        <w:pStyle w:val="BodyText"/>
        <w:spacing w:after="100"/>
        <w:ind w:firstLine="360"/>
        <w:jc w:val="both"/>
      </w:pPr>
      <w:r>
        <w:t>NIAS are analytically and toxicologically challenging because they can include reaction by-products, oligomers, impurities and degradation products that were never deliberately added. Non-target high-resolution mass spectrometry can reveal many features, but identification confidence varies from confirmed structures to tentative formulae or unknown peaks. A non-target feature is therefore evidence of chemical complexity, not automatically evidence of toxicity. Research on plastic consumer products has shown that chemical extracts can display baseline toxicity, oxidative-stress responses or endocrine activity in vitro, and that toxicity cannot always be predicted from the intentionally added substances alone (Zimmermann et al., 2019, 2021). The relevance to bottled water depends on whether the same chemicals migrate into water at comparable concentrations. Tisler and Christensen (2022) demonstrated substantial migration from reusable bottles under realistic-use scenarios, but the highest-risk materials in their study were not simply equivalent to single-use PET. Such evidence argues for non-target surveillance while preserving material-specific inference.</w:t>
      </w:r>
    </w:p>
    <w:p w14:paraId="759B2FE9" w14:textId="77777777" w:rsidR="00E932E0" w:rsidRDefault="00000000">
      <w:pPr>
        <w:pStyle w:val="BodyText"/>
        <w:spacing w:after="100"/>
        <w:ind w:firstLine="360"/>
        <w:jc w:val="both"/>
      </w:pPr>
      <w:r>
        <w:t xml:space="preserve">Phthalates remain one of the most contested classes in PET-bottled water. Montuori et al. (2008) detected phthalic acid and several phthalate esters in bottled mineral water and reported higher total concentrations in PET than in glass samples. Keresztes et al. (2013) found selected phthalates in PET-bottled mineral water and identified influences of storage time, surface-to-volume ratio and raw-material quality. Xu et al. (2020) observed small increases in some phthalates with storage duration or temperature under common and outdoor conditions and concluded that estimated exposure was low in their scenarios. Jayaweera et al. (2020) reported greater di(2-ethylhexyl) phthalate migration during repeated reuse with warm water than at ambient temperature. Yet these findings do not prove that phthalates are structural </w:t>
      </w:r>
      <w:proofErr w:type="spellStart"/>
      <w:r>
        <w:t>plasticisers</w:t>
      </w:r>
      <w:proofErr w:type="spellEnd"/>
      <w:r>
        <w:t xml:space="preserve"> of PET; descriptions that treat them as intrinsic PET ingredients should be viewed critically. Environmental background, recycled inputs, cap or label materials, lubricants and laboratory contamination are competing explanations that require source-specific controls.</w:t>
      </w:r>
    </w:p>
    <w:p w14:paraId="5D8A0749" w14:textId="77777777" w:rsidR="00E932E0" w:rsidRDefault="00000000">
      <w:pPr>
        <w:pStyle w:val="BodyText"/>
        <w:spacing w:after="100"/>
        <w:ind w:firstLine="360"/>
        <w:jc w:val="both"/>
      </w:pPr>
      <w:r>
        <w:t>BPA requires a similar provenance discipline. BPA is associated most directly with polycarbonate and epoxy chemistry, not PET synthesis. Severe-condition studies have demonstrated BPA release from polycarbonate water bottles (Cao &amp; Corriveau, 2008; Le et al., 2008). In PET-bottle experiments, Fan et al. (2014) detected low BPA concentrations that increased under high-temperature storage. This observation establishes the presence and stress sensitivity of BPA in that tested system but not its identity as a PET monomer. Possible sources include recycled polymer contamination, closure components, production equipment or external contamination. For risk assessment, the distinction matters because an intervention aimed at the PET resin would not control a migrant originating from a cap or recycled contaminant stream.</w:t>
      </w:r>
    </w:p>
    <w:p w14:paraId="13466F49" w14:textId="77777777" w:rsidR="00E932E0" w:rsidRDefault="00000000">
      <w:pPr>
        <w:pStyle w:val="BodyText"/>
        <w:spacing w:after="100"/>
        <w:ind w:firstLine="360"/>
        <w:jc w:val="both"/>
      </w:pPr>
      <w:r>
        <w:lastRenderedPageBreak/>
        <w:t xml:space="preserve">Bioassays provide an integrated response to chemical mixtures but create a second attribution challenge. Wagner and </w:t>
      </w:r>
      <w:proofErr w:type="spellStart"/>
      <w:r>
        <w:t>Oehlmann</w:t>
      </w:r>
      <w:proofErr w:type="spellEnd"/>
      <w:r>
        <w:t xml:space="preserve"> (2009, 2011) reported estrogenic activity in some bottled mineral waters and evidence consistent with packaging-related contributions. Such assays can detect combined receptor activity even when individual chemicals are below targeted detection thresholds, which is an important strength. Their limitation is that the active chemical or package component may remain unidentified. Bach et al. (2014), in contrast, found no toxic activity in the in vitro assays applied to sunlight-exposed PET-bottled waters despite measurable chemical migration. The apparent disagreement need not indicate error: different brands, water matrices, extraction procedures, assay systems and exposure concentrations can yield different biological responses. Mixture bioactivity should therefore be treated as a screening signal that triggers chemical identification and dose-relevant confirmation, not as a diagnosis of human endocrine harm.</w:t>
      </w:r>
    </w:p>
    <w:p w14:paraId="10280F5A" w14:textId="77777777" w:rsidR="00E932E0" w:rsidRDefault="00000000">
      <w:pPr>
        <w:pStyle w:val="BodyText"/>
        <w:spacing w:after="100"/>
        <w:ind w:firstLine="360"/>
        <w:jc w:val="both"/>
      </w:pPr>
      <w:r>
        <w:t xml:space="preserve">Particle studies show even stronger method dependence. </w:t>
      </w:r>
      <w:proofErr w:type="spellStart"/>
      <w:r>
        <w:t>Schymanski</w:t>
      </w:r>
      <w:proofErr w:type="spellEnd"/>
      <w:r>
        <w:t xml:space="preserve"> et al. (2018) and </w:t>
      </w:r>
      <w:proofErr w:type="spellStart"/>
      <w:r>
        <w:t>Oßmann</w:t>
      </w:r>
      <w:proofErr w:type="spellEnd"/>
      <w:r>
        <w:t xml:space="preserve"> et al. (2018) used Raman-based approaches to </w:t>
      </w:r>
      <w:proofErr w:type="spellStart"/>
      <w:r>
        <w:t>characterise</w:t>
      </w:r>
      <w:proofErr w:type="spellEnd"/>
      <w:r>
        <w:t xml:space="preserve"> small microplastics and pigmented particles in bottled mineral waters. Mason et al. (2018) </w:t>
      </w:r>
      <w:proofErr w:type="spellStart"/>
      <w:r>
        <w:t>analysed</w:t>
      </w:r>
      <w:proofErr w:type="spellEnd"/>
      <w:r>
        <w:t xml:space="preserve"> 259 bottles across multiple brands and reported polymer-associated particles, with polypropylene common among larger confirmed particles, consistent with a possible closure contribution. Winkler et al. (2019) provided direct mechanical evidence for cap-neck abrasion. Qian et al. (2024) then extended single-particle chemical imaging into the </w:t>
      </w:r>
      <w:proofErr w:type="spellStart"/>
      <w:r>
        <w:t>nanoplastic</w:t>
      </w:r>
      <w:proofErr w:type="spellEnd"/>
      <w:r>
        <w:t xml:space="preserve"> range and reported more than 100,000 plastic particles per </w:t>
      </w:r>
      <w:proofErr w:type="spellStart"/>
      <w:r>
        <w:t>litre</w:t>
      </w:r>
      <w:proofErr w:type="spellEnd"/>
      <w:r>
        <w:t xml:space="preserve"> in the examined bottled waters, the majority below 1 </w:t>
      </w:r>
      <w:proofErr w:type="spellStart"/>
      <w:r>
        <w:t>micrometre</w:t>
      </w:r>
      <w:proofErr w:type="spellEnd"/>
      <w:r>
        <w:t>. This result is analytically important, but it should not be converted into a universal bottled-water concentration because the study sampled a limited set of brands and used a size range inaccessible to most earlier methods.</w:t>
      </w:r>
    </w:p>
    <w:p w14:paraId="6BE19C46" w14:textId="77777777" w:rsidR="00E932E0" w:rsidRDefault="00000000">
      <w:pPr>
        <w:pStyle w:val="BodyText"/>
        <w:spacing w:after="100"/>
        <w:ind w:firstLine="360"/>
        <w:jc w:val="both"/>
      </w:pPr>
      <w:r>
        <w:t xml:space="preserve">The 2026 comparison by Jamison Hart and Lenhart reinforces the same point from a different platform. Their isolation and optical photothermal infrared method identified particles from approximately 300 </w:t>
      </w:r>
      <w:proofErr w:type="spellStart"/>
      <w:r>
        <w:t>nanometres</w:t>
      </w:r>
      <w:proofErr w:type="spellEnd"/>
      <w:r>
        <w:t xml:space="preserve"> to tens of </w:t>
      </w:r>
      <w:proofErr w:type="spellStart"/>
      <w:r>
        <w:t>micrometres</w:t>
      </w:r>
      <w:proofErr w:type="spellEnd"/>
      <w:r>
        <w:t xml:space="preserve"> in six bottled-water brands and samples from four treatment plants. Bottled water showed higher particle-number concentrations, especially for smaller micro- and </w:t>
      </w:r>
      <w:proofErr w:type="spellStart"/>
      <w:r>
        <w:t>nanoplastics</w:t>
      </w:r>
      <w:proofErr w:type="spellEnd"/>
      <w:r>
        <w:t>, while particle mass did not differ significantly between the two water categories (Jamison Hart &amp; Lenhart, 2026). Number and mass therefore answer different exposure questions: a vast number of nanoscale particles can represent little mass, while a small number of larger fragments can dominate mass. Toxicological studies that report only mass doses cannot be compared directly with drinking-water surveys that report particle number without additional size-distribution information.</w:t>
      </w:r>
    </w:p>
    <w:p w14:paraId="49352C8E" w14:textId="77777777" w:rsidR="00E932E0" w:rsidRDefault="00000000">
      <w:pPr>
        <w:pStyle w:val="BodyText"/>
        <w:spacing w:after="100"/>
        <w:ind w:firstLine="360"/>
        <w:jc w:val="both"/>
      </w:pPr>
      <w:r>
        <w:t>Table 2 brings together representative stress-migration studies to show why apparently inconsistent results often reflect different experimental questions. The table is deliberately selective rather than exhaustive. Across the evidence, the recurring methodological lesson is that migration should be reported together with polymer identity, complete package components, water chemistry, stress history, analytical detection range and appropriate blanks. Without those elements, detection data cannot be translated reliably into source attribution or dose.</w:t>
      </w:r>
    </w:p>
    <w:p w14:paraId="17FB18A2" w14:textId="77777777" w:rsidR="00E932E0" w:rsidRDefault="00000000">
      <w:pPr>
        <w:pStyle w:val="BodyText"/>
        <w:keepNext/>
        <w:spacing w:before="140" w:after="20"/>
      </w:pPr>
      <w:r>
        <w:rPr>
          <w:b/>
          <w:bCs/>
          <w:sz w:val="20"/>
        </w:rPr>
        <w:t>Table 2</w:t>
      </w:r>
    </w:p>
    <w:p w14:paraId="16ECB88D" w14:textId="77777777" w:rsidR="00E932E0" w:rsidRDefault="00000000">
      <w:pPr>
        <w:pStyle w:val="BodyText"/>
        <w:keepNext/>
        <w:spacing w:after="60"/>
      </w:pPr>
      <w:r>
        <w:rPr>
          <w:i/>
          <w:iCs/>
          <w:sz w:val="20"/>
        </w:rPr>
        <w:t>Representative studies illustrating stress-dependent migration and particle release</w:t>
      </w:r>
    </w:p>
    <w:tbl>
      <w:tblPr>
        <w:tblStyle w:val="PlainTable2"/>
        <w:tblW w:w="0" w:type="auto"/>
        <w:tblLayout w:type="fixed"/>
        <w:tblLook w:val="0020" w:firstRow="1" w:lastRow="0" w:firstColumn="0" w:lastColumn="0" w:noHBand="0" w:noVBand="0"/>
      </w:tblPr>
      <w:tblGrid>
        <w:gridCol w:w="1411"/>
        <w:gridCol w:w="1267"/>
        <w:gridCol w:w="1368"/>
        <w:gridCol w:w="2160"/>
        <w:gridCol w:w="1613"/>
        <w:gridCol w:w="1843"/>
      </w:tblGrid>
      <w:tr w:rsidR="00E932E0" w14:paraId="3A77CAEA"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270A775" w14:textId="77777777" w:rsidR="00E932E0" w:rsidRDefault="00000000">
            <w:pPr>
              <w:pStyle w:val="Compact"/>
              <w:spacing w:after="0" w:line="240" w:lineRule="auto"/>
              <w:jc w:val="center"/>
            </w:pPr>
            <w:r>
              <w:rPr>
                <w:sz w:val="16"/>
              </w:rPr>
              <w:t>Study / system</w:t>
            </w:r>
          </w:p>
        </w:tc>
        <w:tc>
          <w:tcPr>
            <w:cnfStyle w:val="000001000000" w:firstRow="0" w:lastRow="0" w:firstColumn="0" w:lastColumn="0" w:oddVBand="0" w:evenVBand="1" w:oddHBand="0" w:evenHBand="0" w:firstRowFirstColumn="0" w:firstRowLastColumn="0" w:lastRowFirstColumn="0" w:lastRowLastColumn="0"/>
            <w:tcW w:w="1267" w:type="dxa"/>
          </w:tcPr>
          <w:p w14:paraId="06D4E9C1" w14:textId="77777777" w:rsidR="00E932E0" w:rsidRDefault="00000000">
            <w:pPr>
              <w:pStyle w:val="Compact"/>
              <w:spacing w:after="0" w:line="240" w:lineRule="auto"/>
              <w:jc w:val="center"/>
            </w:pPr>
            <w:r>
              <w:rPr>
                <w:sz w:val="16"/>
              </w:rPr>
              <w:t>Stress or comparison</w:t>
            </w:r>
          </w:p>
        </w:tc>
        <w:tc>
          <w:tcPr>
            <w:cnfStyle w:val="000010000000" w:firstRow="0" w:lastRow="0" w:firstColumn="0" w:lastColumn="0" w:oddVBand="1" w:evenVBand="0" w:oddHBand="0" w:evenHBand="0" w:firstRowFirstColumn="0" w:firstRowLastColumn="0" w:lastRowFirstColumn="0" w:lastRowLastColumn="0"/>
            <w:tcW w:w="1368" w:type="dxa"/>
          </w:tcPr>
          <w:p w14:paraId="31185812" w14:textId="77777777" w:rsidR="00E932E0" w:rsidRDefault="00000000">
            <w:pPr>
              <w:pStyle w:val="Compact"/>
              <w:spacing w:after="0" w:line="240" w:lineRule="auto"/>
              <w:jc w:val="center"/>
            </w:pPr>
            <w:r>
              <w:rPr>
                <w:sz w:val="16"/>
              </w:rPr>
              <w:t>Analyte / particle endpoint</w:t>
            </w:r>
          </w:p>
        </w:tc>
        <w:tc>
          <w:tcPr>
            <w:cnfStyle w:val="000001000000" w:firstRow="0" w:lastRow="0" w:firstColumn="0" w:lastColumn="0" w:oddVBand="0" w:evenVBand="1" w:oddHBand="0" w:evenHBand="0" w:firstRowFirstColumn="0" w:firstRowLastColumn="0" w:lastRowFirstColumn="0" w:lastRowLastColumn="0"/>
            <w:tcW w:w="2160" w:type="dxa"/>
          </w:tcPr>
          <w:p w14:paraId="0DF784E8" w14:textId="77777777" w:rsidR="00E932E0" w:rsidRDefault="00000000">
            <w:pPr>
              <w:pStyle w:val="Compact"/>
              <w:spacing w:after="0" w:line="240" w:lineRule="auto"/>
              <w:jc w:val="center"/>
            </w:pPr>
            <w:r>
              <w:rPr>
                <w:sz w:val="16"/>
              </w:rPr>
              <w:t>Main finding relevant to review</w:t>
            </w:r>
          </w:p>
        </w:tc>
        <w:tc>
          <w:tcPr>
            <w:cnfStyle w:val="000010000000" w:firstRow="0" w:lastRow="0" w:firstColumn="0" w:lastColumn="0" w:oddVBand="1" w:evenVBand="0" w:oddHBand="0" w:evenHBand="0" w:firstRowFirstColumn="0" w:firstRowLastColumn="0" w:lastRowFirstColumn="0" w:lastRowLastColumn="0"/>
            <w:tcW w:w="1613" w:type="dxa"/>
          </w:tcPr>
          <w:p w14:paraId="6BB26E01" w14:textId="77777777" w:rsidR="00E932E0" w:rsidRDefault="00000000">
            <w:pPr>
              <w:pStyle w:val="Compact"/>
              <w:spacing w:after="0" w:line="240" w:lineRule="auto"/>
              <w:jc w:val="center"/>
            </w:pPr>
            <w:r>
              <w:rPr>
                <w:sz w:val="16"/>
              </w:rPr>
              <w:t>Key limitation</w:t>
            </w:r>
          </w:p>
        </w:tc>
        <w:tc>
          <w:tcPr>
            <w:cnfStyle w:val="000001000000" w:firstRow="0" w:lastRow="0" w:firstColumn="0" w:lastColumn="0" w:oddVBand="0" w:evenVBand="1" w:oddHBand="0" w:evenHBand="0" w:firstRowFirstColumn="0" w:firstRowLastColumn="0" w:lastRowFirstColumn="0" w:lastRowLastColumn="0"/>
            <w:tcW w:w="1843" w:type="dxa"/>
          </w:tcPr>
          <w:p w14:paraId="3732FF45" w14:textId="77777777" w:rsidR="00E932E0" w:rsidRDefault="00000000">
            <w:pPr>
              <w:pStyle w:val="Compact"/>
              <w:spacing w:after="0" w:line="240" w:lineRule="auto"/>
              <w:jc w:val="center"/>
            </w:pPr>
            <w:r>
              <w:rPr>
                <w:sz w:val="16"/>
              </w:rPr>
              <w:t>Supporting references</w:t>
            </w:r>
          </w:p>
        </w:tc>
      </w:tr>
      <w:tr w:rsidR="00E932E0" w14:paraId="0CD018BE"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20B04C79" w14:textId="77777777" w:rsidR="00E932E0" w:rsidRDefault="00000000">
            <w:pPr>
              <w:pStyle w:val="Compact"/>
              <w:spacing w:after="0" w:line="240" w:lineRule="auto"/>
            </w:pPr>
            <w:r>
              <w:rPr>
                <w:sz w:val="16"/>
              </w:rPr>
              <w:t>European/Canadian PET waters</w:t>
            </w:r>
          </w:p>
        </w:tc>
        <w:tc>
          <w:tcPr>
            <w:cnfStyle w:val="000001000000" w:firstRow="0" w:lastRow="0" w:firstColumn="0" w:lastColumn="0" w:oddVBand="0" w:evenVBand="1" w:oddHBand="0" w:evenHBand="0" w:firstRowFirstColumn="0" w:firstRowLastColumn="0" w:lastRowFirstColumn="0" w:lastRowLastColumn="0"/>
            <w:tcW w:w="1267" w:type="dxa"/>
          </w:tcPr>
          <w:p w14:paraId="26729327" w14:textId="77777777" w:rsidR="00E932E0" w:rsidRDefault="00000000">
            <w:pPr>
              <w:pStyle w:val="Compact"/>
              <w:spacing w:after="0" w:line="240" w:lineRule="auto"/>
            </w:pPr>
            <w:r>
              <w:rPr>
                <w:sz w:val="16"/>
              </w:rPr>
              <w:t>PET vs source/other packaging; storage</w:t>
            </w:r>
          </w:p>
        </w:tc>
        <w:tc>
          <w:tcPr>
            <w:cnfStyle w:val="000010000000" w:firstRow="0" w:lastRow="0" w:firstColumn="0" w:lastColumn="0" w:oddVBand="1" w:evenVBand="0" w:oddHBand="0" w:evenHBand="0" w:firstRowFirstColumn="0" w:firstRowLastColumn="0" w:lastRowFirstColumn="0" w:lastRowLastColumn="0"/>
            <w:tcW w:w="1368" w:type="dxa"/>
          </w:tcPr>
          <w:p w14:paraId="148406CD" w14:textId="77777777" w:rsidR="00E932E0" w:rsidRDefault="00000000">
            <w:pPr>
              <w:pStyle w:val="Compact"/>
              <w:spacing w:after="0" w:line="240" w:lineRule="auto"/>
            </w:pPr>
            <w:r>
              <w:rPr>
                <w:sz w:val="16"/>
              </w:rPr>
              <w:t>Antimony</w:t>
            </w:r>
          </w:p>
        </w:tc>
        <w:tc>
          <w:tcPr>
            <w:cnfStyle w:val="000001000000" w:firstRow="0" w:lastRow="0" w:firstColumn="0" w:lastColumn="0" w:oddVBand="0" w:evenVBand="1" w:oddHBand="0" w:evenHBand="0" w:firstRowFirstColumn="0" w:firstRowLastColumn="0" w:lastRowFirstColumn="0" w:lastRowLastColumn="0"/>
            <w:tcW w:w="2160" w:type="dxa"/>
          </w:tcPr>
          <w:p w14:paraId="2805B2D4" w14:textId="77777777" w:rsidR="00E932E0" w:rsidRDefault="00000000">
            <w:pPr>
              <w:pStyle w:val="Compact"/>
              <w:spacing w:after="0" w:line="240" w:lineRule="auto"/>
            </w:pPr>
            <w:r>
              <w:rPr>
                <w:sz w:val="16"/>
              </w:rPr>
              <w:t>PET was identified as a source and concentrations increased with storage.</w:t>
            </w:r>
          </w:p>
        </w:tc>
        <w:tc>
          <w:tcPr>
            <w:cnfStyle w:val="000010000000" w:firstRow="0" w:lastRow="0" w:firstColumn="0" w:lastColumn="0" w:oddVBand="1" w:evenVBand="0" w:oddHBand="0" w:evenHBand="0" w:firstRowFirstColumn="0" w:firstRowLastColumn="0" w:lastRowFirstColumn="0" w:lastRowLastColumn="0"/>
            <w:tcW w:w="1613" w:type="dxa"/>
          </w:tcPr>
          <w:p w14:paraId="7DAA2602" w14:textId="77777777" w:rsidR="00E932E0" w:rsidRDefault="00000000">
            <w:pPr>
              <w:pStyle w:val="Compact"/>
              <w:spacing w:after="0" w:line="240" w:lineRule="auto"/>
            </w:pPr>
            <w:r>
              <w:rPr>
                <w:sz w:val="16"/>
              </w:rPr>
              <w:t>Brand and regional specificity.</w:t>
            </w:r>
          </w:p>
        </w:tc>
        <w:tc>
          <w:tcPr>
            <w:cnfStyle w:val="000001000000" w:firstRow="0" w:lastRow="0" w:firstColumn="0" w:lastColumn="0" w:oddVBand="0" w:evenVBand="1" w:oddHBand="0" w:evenHBand="0" w:firstRowFirstColumn="0" w:firstRowLastColumn="0" w:lastRowFirstColumn="0" w:lastRowLastColumn="0"/>
            <w:tcW w:w="1843" w:type="dxa"/>
          </w:tcPr>
          <w:p w14:paraId="0381275F" w14:textId="77777777" w:rsidR="00E932E0" w:rsidRDefault="00000000">
            <w:pPr>
              <w:pStyle w:val="Compact"/>
              <w:spacing w:after="0" w:line="240" w:lineRule="auto"/>
            </w:pPr>
            <w:proofErr w:type="spellStart"/>
            <w:r>
              <w:rPr>
                <w:sz w:val="16"/>
              </w:rPr>
              <w:t>Shotyk</w:t>
            </w:r>
            <w:proofErr w:type="spellEnd"/>
            <w:r>
              <w:rPr>
                <w:sz w:val="16"/>
              </w:rPr>
              <w:t xml:space="preserve"> et al. (2006); </w:t>
            </w:r>
            <w:proofErr w:type="spellStart"/>
            <w:r>
              <w:rPr>
                <w:sz w:val="16"/>
              </w:rPr>
              <w:t>Shotyk</w:t>
            </w:r>
            <w:proofErr w:type="spellEnd"/>
            <w:r>
              <w:rPr>
                <w:sz w:val="16"/>
              </w:rPr>
              <w:t xml:space="preserve"> &amp; Krachler (2007)</w:t>
            </w:r>
          </w:p>
        </w:tc>
      </w:tr>
      <w:tr w:rsidR="00E932E0" w14:paraId="57003377"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2651F177" w14:textId="77777777" w:rsidR="00E932E0" w:rsidRDefault="00000000">
            <w:pPr>
              <w:pStyle w:val="Compact"/>
              <w:spacing w:after="0" w:line="240" w:lineRule="auto"/>
            </w:pPr>
            <w:r>
              <w:rPr>
                <w:sz w:val="16"/>
              </w:rPr>
              <w:t>South-western US PET waters</w:t>
            </w:r>
          </w:p>
        </w:tc>
        <w:tc>
          <w:tcPr>
            <w:cnfStyle w:val="000001000000" w:firstRow="0" w:lastRow="0" w:firstColumn="0" w:lastColumn="0" w:oddVBand="0" w:evenVBand="1" w:oddHBand="0" w:evenHBand="0" w:firstRowFirstColumn="0" w:firstRowLastColumn="0" w:lastRowFirstColumn="0" w:lastRowLastColumn="0"/>
            <w:tcW w:w="1267" w:type="dxa"/>
          </w:tcPr>
          <w:p w14:paraId="30A91DCD" w14:textId="77777777" w:rsidR="00E932E0" w:rsidRDefault="00000000">
            <w:pPr>
              <w:pStyle w:val="Compact"/>
              <w:spacing w:after="0" w:line="240" w:lineRule="auto"/>
            </w:pPr>
            <w:r>
              <w:rPr>
                <w:sz w:val="16"/>
              </w:rPr>
              <w:t>High-temperature scenarios</w:t>
            </w:r>
          </w:p>
        </w:tc>
        <w:tc>
          <w:tcPr>
            <w:cnfStyle w:val="000010000000" w:firstRow="0" w:lastRow="0" w:firstColumn="0" w:lastColumn="0" w:oddVBand="1" w:evenVBand="0" w:oddHBand="0" w:evenHBand="0" w:firstRowFirstColumn="0" w:firstRowLastColumn="0" w:lastRowFirstColumn="0" w:lastRowLastColumn="0"/>
            <w:tcW w:w="1368" w:type="dxa"/>
          </w:tcPr>
          <w:p w14:paraId="62E90475" w14:textId="77777777" w:rsidR="00E932E0" w:rsidRDefault="00000000">
            <w:pPr>
              <w:pStyle w:val="Compact"/>
              <w:spacing w:after="0" w:line="240" w:lineRule="auto"/>
            </w:pPr>
            <w:r>
              <w:rPr>
                <w:sz w:val="16"/>
              </w:rPr>
              <w:t>Antimony</w:t>
            </w:r>
          </w:p>
        </w:tc>
        <w:tc>
          <w:tcPr>
            <w:cnfStyle w:val="000001000000" w:firstRow="0" w:lastRow="0" w:firstColumn="0" w:lastColumn="0" w:oddVBand="0" w:evenVBand="1" w:oddHBand="0" w:evenHBand="0" w:firstRowFirstColumn="0" w:firstRowLastColumn="0" w:lastRowFirstColumn="0" w:lastRowLastColumn="0"/>
            <w:tcW w:w="2160" w:type="dxa"/>
          </w:tcPr>
          <w:p w14:paraId="205CE52E" w14:textId="77777777" w:rsidR="00E932E0" w:rsidRDefault="00000000">
            <w:pPr>
              <w:pStyle w:val="Compact"/>
              <w:spacing w:after="0" w:line="240" w:lineRule="auto"/>
            </w:pPr>
            <w:r>
              <w:rPr>
                <w:sz w:val="16"/>
              </w:rPr>
              <w:t>Temperature strongly accelerated release and supported diffusion-based modelling.</w:t>
            </w:r>
          </w:p>
        </w:tc>
        <w:tc>
          <w:tcPr>
            <w:cnfStyle w:val="000010000000" w:firstRow="0" w:lastRow="0" w:firstColumn="0" w:lastColumn="0" w:oddVBand="1" w:evenVBand="0" w:oddHBand="0" w:evenHBand="0" w:firstRowFirstColumn="0" w:firstRowLastColumn="0" w:lastRowFirstColumn="0" w:lastRowLastColumn="0"/>
            <w:tcW w:w="1613" w:type="dxa"/>
          </w:tcPr>
          <w:p w14:paraId="26D0E609" w14:textId="77777777" w:rsidR="00E932E0" w:rsidRDefault="00000000">
            <w:pPr>
              <w:pStyle w:val="Compact"/>
              <w:spacing w:after="0" w:line="240" w:lineRule="auto"/>
            </w:pPr>
            <w:r>
              <w:rPr>
                <w:sz w:val="16"/>
              </w:rPr>
              <w:t>Extreme heat scenarios are not normal storage.</w:t>
            </w:r>
          </w:p>
        </w:tc>
        <w:tc>
          <w:tcPr>
            <w:cnfStyle w:val="000001000000" w:firstRow="0" w:lastRow="0" w:firstColumn="0" w:lastColumn="0" w:oddVBand="0" w:evenVBand="1" w:oddHBand="0" w:evenHBand="0" w:firstRowFirstColumn="0" w:firstRowLastColumn="0" w:lastRowFirstColumn="0" w:lastRowLastColumn="0"/>
            <w:tcW w:w="1843" w:type="dxa"/>
          </w:tcPr>
          <w:p w14:paraId="3715B652" w14:textId="77777777" w:rsidR="00E932E0" w:rsidRDefault="00000000">
            <w:pPr>
              <w:pStyle w:val="Compact"/>
              <w:spacing w:after="0" w:line="240" w:lineRule="auto"/>
            </w:pPr>
            <w:r>
              <w:rPr>
                <w:sz w:val="16"/>
              </w:rPr>
              <w:t>Westerhoff et al. (2008)</w:t>
            </w:r>
          </w:p>
        </w:tc>
      </w:tr>
      <w:tr w:rsidR="00E932E0" w14:paraId="1CB347CD"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3DC3479A" w14:textId="77777777" w:rsidR="00E932E0" w:rsidRDefault="00000000">
            <w:pPr>
              <w:pStyle w:val="Compact"/>
              <w:spacing w:after="0" w:line="240" w:lineRule="auto"/>
            </w:pPr>
            <w:r>
              <w:rPr>
                <w:sz w:val="16"/>
              </w:rPr>
              <w:t xml:space="preserve">French PET </w:t>
            </w:r>
            <w:r>
              <w:rPr>
                <w:sz w:val="16"/>
              </w:rPr>
              <w:lastRenderedPageBreak/>
              <w:t>bottled waters</w:t>
            </w:r>
          </w:p>
        </w:tc>
        <w:tc>
          <w:tcPr>
            <w:cnfStyle w:val="000001000000" w:firstRow="0" w:lastRow="0" w:firstColumn="0" w:lastColumn="0" w:oddVBand="0" w:evenVBand="1" w:oddHBand="0" w:evenHBand="0" w:firstRowFirstColumn="0" w:firstRowLastColumn="0" w:lastRowFirstColumn="0" w:lastRowLastColumn="0"/>
            <w:tcW w:w="1267" w:type="dxa"/>
          </w:tcPr>
          <w:p w14:paraId="079EC3F4" w14:textId="77777777" w:rsidR="00E932E0" w:rsidRDefault="00000000">
            <w:pPr>
              <w:pStyle w:val="Compact"/>
              <w:spacing w:after="0" w:line="240" w:lineRule="auto"/>
            </w:pPr>
            <w:r>
              <w:rPr>
                <w:sz w:val="16"/>
              </w:rPr>
              <w:lastRenderedPageBreak/>
              <w:t xml:space="preserve">40-60 degrees </w:t>
            </w:r>
            <w:r>
              <w:rPr>
                <w:sz w:val="16"/>
              </w:rPr>
              <w:lastRenderedPageBreak/>
              <w:t>C; carbonated vs non-carbonated</w:t>
            </w:r>
          </w:p>
        </w:tc>
        <w:tc>
          <w:tcPr>
            <w:cnfStyle w:val="000010000000" w:firstRow="0" w:lastRow="0" w:firstColumn="0" w:lastColumn="0" w:oddVBand="1" w:evenVBand="0" w:oddHBand="0" w:evenHBand="0" w:firstRowFirstColumn="0" w:firstRowLastColumn="0" w:lastRowFirstColumn="0" w:lastRowLastColumn="0"/>
            <w:tcW w:w="1368" w:type="dxa"/>
          </w:tcPr>
          <w:p w14:paraId="70D0156B" w14:textId="77777777" w:rsidR="00E932E0" w:rsidRDefault="00000000">
            <w:pPr>
              <w:pStyle w:val="Compact"/>
              <w:spacing w:after="0" w:line="240" w:lineRule="auto"/>
            </w:pPr>
            <w:r>
              <w:rPr>
                <w:sz w:val="16"/>
              </w:rPr>
              <w:lastRenderedPageBreak/>
              <w:t xml:space="preserve">Antimony, </w:t>
            </w:r>
            <w:r>
              <w:rPr>
                <w:sz w:val="16"/>
              </w:rPr>
              <w:lastRenderedPageBreak/>
              <w:t>formaldehyde, acetaldehyde, NIAS</w:t>
            </w:r>
          </w:p>
        </w:tc>
        <w:tc>
          <w:tcPr>
            <w:cnfStyle w:val="000001000000" w:firstRow="0" w:lastRow="0" w:firstColumn="0" w:lastColumn="0" w:oddVBand="0" w:evenVBand="1" w:oddHBand="0" w:evenHBand="0" w:firstRowFirstColumn="0" w:firstRowLastColumn="0" w:lastRowFirstColumn="0" w:lastRowLastColumn="0"/>
            <w:tcW w:w="2160" w:type="dxa"/>
          </w:tcPr>
          <w:p w14:paraId="79D2A965" w14:textId="77777777" w:rsidR="00E932E0" w:rsidRDefault="00000000">
            <w:pPr>
              <w:pStyle w:val="Compact"/>
              <w:spacing w:after="0" w:line="240" w:lineRule="auto"/>
            </w:pPr>
            <w:r>
              <w:rPr>
                <w:sz w:val="16"/>
              </w:rPr>
              <w:lastRenderedPageBreak/>
              <w:t xml:space="preserve">Temperature and carbon </w:t>
            </w:r>
            <w:r>
              <w:rPr>
                <w:sz w:val="16"/>
              </w:rPr>
              <w:lastRenderedPageBreak/>
              <w:t>dioxide increased selected migration.</w:t>
            </w:r>
          </w:p>
        </w:tc>
        <w:tc>
          <w:tcPr>
            <w:cnfStyle w:val="000010000000" w:firstRow="0" w:lastRow="0" w:firstColumn="0" w:lastColumn="0" w:oddVBand="1" w:evenVBand="0" w:oddHBand="0" w:evenHBand="0" w:firstRowFirstColumn="0" w:firstRowLastColumn="0" w:lastRowFirstColumn="0" w:lastRowLastColumn="0"/>
            <w:tcW w:w="1613" w:type="dxa"/>
          </w:tcPr>
          <w:p w14:paraId="21B98DE4" w14:textId="77777777" w:rsidR="00E932E0" w:rsidRDefault="00000000">
            <w:pPr>
              <w:pStyle w:val="Compact"/>
              <w:spacing w:after="0" w:line="240" w:lineRule="auto"/>
            </w:pPr>
            <w:r>
              <w:rPr>
                <w:sz w:val="16"/>
              </w:rPr>
              <w:lastRenderedPageBreak/>
              <w:t xml:space="preserve">Limited bottle/water </w:t>
            </w:r>
            <w:r>
              <w:rPr>
                <w:sz w:val="16"/>
              </w:rPr>
              <w:lastRenderedPageBreak/>
              <w:t>combinations.</w:t>
            </w:r>
          </w:p>
        </w:tc>
        <w:tc>
          <w:tcPr>
            <w:cnfStyle w:val="000001000000" w:firstRow="0" w:lastRow="0" w:firstColumn="0" w:lastColumn="0" w:oddVBand="0" w:evenVBand="1" w:oddHBand="0" w:evenHBand="0" w:firstRowFirstColumn="0" w:firstRowLastColumn="0" w:lastRowFirstColumn="0" w:lastRowLastColumn="0"/>
            <w:tcW w:w="1843" w:type="dxa"/>
          </w:tcPr>
          <w:p w14:paraId="66852397" w14:textId="77777777" w:rsidR="00E932E0" w:rsidRDefault="00000000">
            <w:pPr>
              <w:pStyle w:val="Compact"/>
              <w:spacing w:after="0" w:line="240" w:lineRule="auto"/>
            </w:pPr>
            <w:r>
              <w:rPr>
                <w:sz w:val="16"/>
              </w:rPr>
              <w:lastRenderedPageBreak/>
              <w:t>Bach et al. (2013)</w:t>
            </w:r>
          </w:p>
        </w:tc>
      </w:tr>
      <w:tr w:rsidR="00E932E0" w14:paraId="37964741"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24D64530" w14:textId="77777777" w:rsidR="00E932E0" w:rsidRDefault="00000000">
            <w:pPr>
              <w:pStyle w:val="Compact"/>
              <w:spacing w:after="0" w:line="240" w:lineRule="auto"/>
            </w:pPr>
            <w:r>
              <w:rPr>
                <w:sz w:val="16"/>
              </w:rPr>
              <w:t>Sunlight-exposed PET waters</w:t>
            </w:r>
          </w:p>
        </w:tc>
        <w:tc>
          <w:tcPr>
            <w:cnfStyle w:val="000001000000" w:firstRow="0" w:lastRow="0" w:firstColumn="0" w:lastColumn="0" w:oddVBand="0" w:evenVBand="1" w:oddHBand="0" w:evenHBand="0" w:firstRowFirstColumn="0" w:firstRowLastColumn="0" w:lastRowFirstColumn="0" w:lastRowLastColumn="0"/>
            <w:tcW w:w="1267" w:type="dxa"/>
          </w:tcPr>
          <w:p w14:paraId="4B290160" w14:textId="77777777" w:rsidR="00E932E0" w:rsidRDefault="00000000">
            <w:pPr>
              <w:pStyle w:val="Compact"/>
              <w:spacing w:after="0" w:line="240" w:lineRule="auto"/>
            </w:pPr>
            <w:r>
              <w:rPr>
                <w:sz w:val="16"/>
              </w:rPr>
              <w:t>Natural sunlight for days</w:t>
            </w:r>
          </w:p>
        </w:tc>
        <w:tc>
          <w:tcPr>
            <w:cnfStyle w:val="000010000000" w:firstRow="0" w:lastRow="0" w:firstColumn="0" w:lastColumn="0" w:oddVBand="1" w:evenVBand="0" w:oddHBand="0" w:evenHBand="0" w:firstRowFirstColumn="0" w:firstRowLastColumn="0" w:lastRowFirstColumn="0" w:lastRowLastColumn="0"/>
            <w:tcW w:w="1368" w:type="dxa"/>
          </w:tcPr>
          <w:p w14:paraId="7F26AFE4" w14:textId="77777777" w:rsidR="00E932E0" w:rsidRDefault="00000000">
            <w:pPr>
              <w:pStyle w:val="Compact"/>
              <w:spacing w:after="0" w:line="240" w:lineRule="auto"/>
            </w:pPr>
            <w:r>
              <w:rPr>
                <w:sz w:val="16"/>
              </w:rPr>
              <w:t>Intentionally and non-intentionally added substances; in vitro activity</w:t>
            </w:r>
          </w:p>
        </w:tc>
        <w:tc>
          <w:tcPr>
            <w:cnfStyle w:val="000001000000" w:firstRow="0" w:lastRow="0" w:firstColumn="0" w:lastColumn="0" w:oddVBand="0" w:evenVBand="1" w:oddHBand="0" w:evenHBand="0" w:firstRowFirstColumn="0" w:firstRowLastColumn="0" w:lastRowFirstColumn="0" w:lastRowLastColumn="0"/>
            <w:tcW w:w="2160" w:type="dxa"/>
          </w:tcPr>
          <w:p w14:paraId="0A36ACE0" w14:textId="77777777" w:rsidR="00E932E0" w:rsidRDefault="00000000">
            <w:pPr>
              <w:pStyle w:val="Compact"/>
              <w:spacing w:after="0" w:line="240" w:lineRule="auto"/>
            </w:pPr>
            <w:r>
              <w:rPr>
                <w:sz w:val="16"/>
              </w:rPr>
              <w:t>Chemical migration changed, but tested extracts did not show toxic activity in the applied assays.</w:t>
            </w:r>
          </w:p>
        </w:tc>
        <w:tc>
          <w:tcPr>
            <w:cnfStyle w:val="000010000000" w:firstRow="0" w:lastRow="0" w:firstColumn="0" w:lastColumn="0" w:oddVBand="1" w:evenVBand="0" w:oddHBand="0" w:evenHBand="0" w:firstRowFirstColumn="0" w:firstRowLastColumn="0" w:lastRowFirstColumn="0" w:lastRowLastColumn="0"/>
            <w:tcW w:w="1613" w:type="dxa"/>
          </w:tcPr>
          <w:p w14:paraId="6E92C857" w14:textId="77777777" w:rsidR="00E932E0" w:rsidRDefault="00000000">
            <w:pPr>
              <w:pStyle w:val="Compact"/>
              <w:spacing w:after="0" w:line="240" w:lineRule="auto"/>
            </w:pPr>
            <w:r>
              <w:rPr>
                <w:sz w:val="16"/>
              </w:rPr>
              <w:t>Bioassay panel cannot exclude all endpoints.</w:t>
            </w:r>
          </w:p>
        </w:tc>
        <w:tc>
          <w:tcPr>
            <w:cnfStyle w:val="000001000000" w:firstRow="0" w:lastRow="0" w:firstColumn="0" w:lastColumn="0" w:oddVBand="0" w:evenVBand="1" w:oddHBand="0" w:evenHBand="0" w:firstRowFirstColumn="0" w:firstRowLastColumn="0" w:lastRowFirstColumn="0" w:lastRowLastColumn="0"/>
            <w:tcW w:w="1843" w:type="dxa"/>
          </w:tcPr>
          <w:p w14:paraId="101CAFF0" w14:textId="77777777" w:rsidR="00E932E0" w:rsidRDefault="00000000">
            <w:pPr>
              <w:pStyle w:val="Compact"/>
              <w:spacing w:after="0" w:line="240" w:lineRule="auto"/>
            </w:pPr>
            <w:r>
              <w:rPr>
                <w:sz w:val="16"/>
              </w:rPr>
              <w:t>Bach et al. (2014)</w:t>
            </w:r>
          </w:p>
        </w:tc>
      </w:tr>
      <w:tr w:rsidR="00E932E0" w14:paraId="5D212895"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B3863E1" w14:textId="77777777" w:rsidR="00E932E0" w:rsidRDefault="00000000">
            <w:pPr>
              <w:pStyle w:val="Compact"/>
              <w:spacing w:after="0" w:line="240" w:lineRule="auto"/>
            </w:pPr>
            <w:r>
              <w:rPr>
                <w:sz w:val="16"/>
              </w:rPr>
              <w:t>Chinese PET brands</w:t>
            </w:r>
          </w:p>
        </w:tc>
        <w:tc>
          <w:tcPr>
            <w:cnfStyle w:val="000001000000" w:firstRow="0" w:lastRow="0" w:firstColumn="0" w:lastColumn="0" w:oddVBand="0" w:evenVBand="1" w:oddHBand="0" w:evenHBand="0" w:firstRowFirstColumn="0" w:firstRowLastColumn="0" w:lastRowFirstColumn="0" w:lastRowLastColumn="0"/>
            <w:tcW w:w="1267" w:type="dxa"/>
          </w:tcPr>
          <w:p w14:paraId="5D5C6B5B" w14:textId="77777777" w:rsidR="00E932E0" w:rsidRDefault="00000000">
            <w:pPr>
              <w:pStyle w:val="Compact"/>
              <w:spacing w:after="0" w:line="240" w:lineRule="auto"/>
            </w:pPr>
            <w:r>
              <w:rPr>
                <w:sz w:val="16"/>
              </w:rPr>
              <w:t>4, 25 and 70 degrees C; up to weeks</w:t>
            </w:r>
          </w:p>
        </w:tc>
        <w:tc>
          <w:tcPr>
            <w:cnfStyle w:val="000010000000" w:firstRow="0" w:lastRow="0" w:firstColumn="0" w:lastColumn="0" w:oddVBand="1" w:evenVBand="0" w:oddHBand="0" w:evenHBand="0" w:firstRowFirstColumn="0" w:firstRowLastColumn="0" w:lastRowFirstColumn="0" w:lastRowLastColumn="0"/>
            <w:tcW w:w="1368" w:type="dxa"/>
          </w:tcPr>
          <w:p w14:paraId="3D8F59E0" w14:textId="77777777" w:rsidR="00E932E0" w:rsidRDefault="00000000">
            <w:pPr>
              <w:pStyle w:val="Compact"/>
              <w:spacing w:after="0" w:line="240" w:lineRule="auto"/>
            </w:pPr>
            <w:r>
              <w:rPr>
                <w:sz w:val="16"/>
              </w:rPr>
              <w:t>Antimony and BPA</w:t>
            </w:r>
          </w:p>
        </w:tc>
        <w:tc>
          <w:tcPr>
            <w:cnfStyle w:val="000001000000" w:firstRow="0" w:lastRow="0" w:firstColumn="0" w:lastColumn="0" w:oddVBand="0" w:evenVBand="1" w:oddHBand="0" w:evenHBand="0" w:firstRowFirstColumn="0" w:firstRowLastColumn="0" w:lastRowFirstColumn="0" w:lastRowLastColumn="0"/>
            <w:tcW w:w="2160" w:type="dxa"/>
          </w:tcPr>
          <w:p w14:paraId="3F77BBB8" w14:textId="77777777" w:rsidR="00E932E0" w:rsidRDefault="00000000">
            <w:pPr>
              <w:pStyle w:val="Compact"/>
              <w:spacing w:after="0" w:line="240" w:lineRule="auto"/>
            </w:pPr>
            <w:r>
              <w:rPr>
                <w:sz w:val="16"/>
              </w:rPr>
              <w:t>Large heat-related increase, especially for antimony.</w:t>
            </w:r>
          </w:p>
        </w:tc>
        <w:tc>
          <w:tcPr>
            <w:cnfStyle w:val="000010000000" w:firstRow="0" w:lastRow="0" w:firstColumn="0" w:lastColumn="0" w:oddVBand="1" w:evenVBand="0" w:oddHBand="0" w:evenHBand="0" w:firstRowFirstColumn="0" w:firstRowLastColumn="0" w:lastRowFirstColumn="0" w:lastRowLastColumn="0"/>
            <w:tcW w:w="1613" w:type="dxa"/>
          </w:tcPr>
          <w:p w14:paraId="6F695769" w14:textId="77777777" w:rsidR="00E932E0" w:rsidRDefault="00000000">
            <w:pPr>
              <w:pStyle w:val="Compact"/>
              <w:spacing w:after="0" w:line="240" w:lineRule="auto"/>
            </w:pPr>
            <w:r>
              <w:rPr>
                <w:sz w:val="16"/>
              </w:rPr>
              <w:t>BPA provenance within PET system remains uncertain.</w:t>
            </w:r>
          </w:p>
        </w:tc>
        <w:tc>
          <w:tcPr>
            <w:cnfStyle w:val="000001000000" w:firstRow="0" w:lastRow="0" w:firstColumn="0" w:lastColumn="0" w:oddVBand="0" w:evenVBand="1" w:oddHBand="0" w:evenHBand="0" w:firstRowFirstColumn="0" w:firstRowLastColumn="0" w:lastRowFirstColumn="0" w:lastRowLastColumn="0"/>
            <w:tcW w:w="1843" w:type="dxa"/>
          </w:tcPr>
          <w:p w14:paraId="374B419E" w14:textId="77777777" w:rsidR="00E932E0" w:rsidRDefault="00000000">
            <w:pPr>
              <w:pStyle w:val="Compact"/>
              <w:spacing w:after="0" w:line="240" w:lineRule="auto"/>
            </w:pPr>
            <w:r>
              <w:rPr>
                <w:sz w:val="16"/>
              </w:rPr>
              <w:t>Fan et al. (2014)</w:t>
            </w:r>
          </w:p>
        </w:tc>
      </w:tr>
      <w:tr w:rsidR="00E932E0" w14:paraId="1CE42707"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5C1EC254" w14:textId="77777777" w:rsidR="00E932E0" w:rsidRDefault="00000000">
            <w:pPr>
              <w:pStyle w:val="Compact"/>
              <w:spacing w:after="0" w:line="240" w:lineRule="auto"/>
            </w:pPr>
            <w:r>
              <w:rPr>
                <w:sz w:val="16"/>
              </w:rPr>
              <w:t>PET mineral-water bottles</w:t>
            </w:r>
          </w:p>
        </w:tc>
        <w:tc>
          <w:tcPr>
            <w:cnfStyle w:val="000001000000" w:firstRow="0" w:lastRow="0" w:firstColumn="0" w:lastColumn="0" w:oddVBand="0" w:evenVBand="1" w:oddHBand="0" w:evenHBand="0" w:firstRowFirstColumn="0" w:firstRowLastColumn="0" w:lastRowFirstColumn="0" w:lastRowLastColumn="0"/>
            <w:tcW w:w="1267" w:type="dxa"/>
          </w:tcPr>
          <w:p w14:paraId="2312076E" w14:textId="77777777" w:rsidR="00E932E0" w:rsidRDefault="00000000">
            <w:pPr>
              <w:pStyle w:val="Compact"/>
              <w:spacing w:after="0" w:line="240" w:lineRule="auto"/>
            </w:pPr>
            <w:r>
              <w:rPr>
                <w:sz w:val="16"/>
              </w:rPr>
              <w:t>Storage time, temperature, carbonation, size</w:t>
            </w:r>
          </w:p>
        </w:tc>
        <w:tc>
          <w:tcPr>
            <w:cnfStyle w:val="000010000000" w:firstRow="0" w:lastRow="0" w:firstColumn="0" w:lastColumn="0" w:oddVBand="1" w:evenVBand="0" w:oddHBand="0" w:evenHBand="0" w:firstRowFirstColumn="0" w:firstRowLastColumn="0" w:lastRowFirstColumn="0" w:lastRowLastColumn="0"/>
            <w:tcW w:w="1368" w:type="dxa"/>
          </w:tcPr>
          <w:p w14:paraId="05B3C48E" w14:textId="77777777" w:rsidR="00E932E0" w:rsidRDefault="00000000">
            <w:pPr>
              <w:pStyle w:val="Compact"/>
              <w:spacing w:after="0" w:line="240" w:lineRule="auto"/>
            </w:pPr>
            <w:r>
              <w:rPr>
                <w:sz w:val="16"/>
              </w:rPr>
              <w:t>Phthalates</w:t>
            </w:r>
          </w:p>
        </w:tc>
        <w:tc>
          <w:tcPr>
            <w:cnfStyle w:val="000001000000" w:firstRow="0" w:lastRow="0" w:firstColumn="0" w:lastColumn="0" w:oddVBand="0" w:evenVBand="1" w:oddHBand="0" w:evenHBand="0" w:firstRowFirstColumn="0" w:firstRowLastColumn="0" w:lastRowFirstColumn="0" w:lastRowLastColumn="0"/>
            <w:tcW w:w="2160" w:type="dxa"/>
          </w:tcPr>
          <w:p w14:paraId="5C883AE6" w14:textId="77777777" w:rsidR="00E932E0" w:rsidRDefault="00000000">
            <w:pPr>
              <w:pStyle w:val="Compact"/>
              <w:spacing w:after="0" w:line="240" w:lineRule="auto"/>
            </w:pPr>
            <w:r>
              <w:rPr>
                <w:sz w:val="16"/>
              </w:rPr>
              <w:t>Selected phthalates varied with storage and bottle characteristics.</w:t>
            </w:r>
          </w:p>
        </w:tc>
        <w:tc>
          <w:tcPr>
            <w:cnfStyle w:val="000010000000" w:firstRow="0" w:lastRow="0" w:firstColumn="0" w:lastColumn="0" w:oddVBand="1" w:evenVBand="0" w:oddHBand="0" w:evenHBand="0" w:firstRowFirstColumn="0" w:firstRowLastColumn="0" w:lastRowFirstColumn="0" w:lastRowLastColumn="0"/>
            <w:tcW w:w="1613" w:type="dxa"/>
          </w:tcPr>
          <w:p w14:paraId="7148760C" w14:textId="77777777" w:rsidR="00E932E0" w:rsidRDefault="00000000">
            <w:pPr>
              <w:pStyle w:val="Compact"/>
              <w:spacing w:after="0" w:line="240" w:lineRule="auto"/>
            </w:pPr>
            <w:r>
              <w:rPr>
                <w:sz w:val="16"/>
              </w:rPr>
              <w:t>Potential non-PET and background sources require controls.</w:t>
            </w:r>
          </w:p>
        </w:tc>
        <w:tc>
          <w:tcPr>
            <w:cnfStyle w:val="000001000000" w:firstRow="0" w:lastRow="0" w:firstColumn="0" w:lastColumn="0" w:oddVBand="0" w:evenVBand="1" w:oddHBand="0" w:evenHBand="0" w:firstRowFirstColumn="0" w:firstRowLastColumn="0" w:lastRowFirstColumn="0" w:lastRowLastColumn="0"/>
            <w:tcW w:w="1843" w:type="dxa"/>
          </w:tcPr>
          <w:p w14:paraId="03E5AB2A" w14:textId="77777777" w:rsidR="00E932E0" w:rsidRDefault="00000000">
            <w:pPr>
              <w:pStyle w:val="Compact"/>
              <w:spacing w:after="0" w:line="240" w:lineRule="auto"/>
            </w:pPr>
            <w:r>
              <w:rPr>
                <w:sz w:val="16"/>
              </w:rPr>
              <w:t>Keresztes et al. (2013); Xu et al. (2020)</w:t>
            </w:r>
          </w:p>
        </w:tc>
      </w:tr>
      <w:tr w:rsidR="00E932E0" w14:paraId="7A0C3BA9"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77B9F6EE" w14:textId="77777777" w:rsidR="00E932E0" w:rsidRDefault="00000000">
            <w:pPr>
              <w:pStyle w:val="Compact"/>
              <w:spacing w:after="0" w:line="240" w:lineRule="auto"/>
            </w:pPr>
            <w:r>
              <w:rPr>
                <w:sz w:val="16"/>
              </w:rPr>
              <w:t>Single-use PET bottle use</w:t>
            </w:r>
          </w:p>
        </w:tc>
        <w:tc>
          <w:tcPr>
            <w:cnfStyle w:val="000001000000" w:firstRow="0" w:lastRow="0" w:firstColumn="0" w:lastColumn="0" w:oddVBand="0" w:evenVBand="1" w:oddHBand="0" w:evenHBand="0" w:firstRowFirstColumn="0" w:firstRowLastColumn="0" w:lastRowFirstColumn="0" w:lastRowLastColumn="0"/>
            <w:tcW w:w="1267" w:type="dxa"/>
          </w:tcPr>
          <w:p w14:paraId="3442FBED" w14:textId="77777777" w:rsidR="00E932E0" w:rsidRDefault="00000000">
            <w:pPr>
              <w:pStyle w:val="Compact"/>
              <w:spacing w:after="0" w:line="240" w:lineRule="auto"/>
            </w:pPr>
            <w:r>
              <w:rPr>
                <w:sz w:val="16"/>
              </w:rPr>
              <w:t>Opening/closing and squeezing</w:t>
            </w:r>
          </w:p>
        </w:tc>
        <w:tc>
          <w:tcPr>
            <w:cnfStyle w:val="000010000000" w:firstRow="0" w:lastRow="0" w:firstColumn="0" w:lastColumn="0" w:oddVBand="1" w:evenVBand="0" w:oddHBand="0" w:evenHBand="0" w:firstRowFirstColumn="0" w:firstRowLastColumn="0" w:lastRowFirstColumn="0" w:lastRowLastColumn="0"/>
            <w:tcW w:w="1368" w:type="dxa"/>
          </w:tcPr>
          <w:p w14:paraId="08C7897E" w14:textId="77777777" w:rsidR="00E932E0" w:rsidRDefault="00000000">
            <w:pPr>
              <w:pStyle w:val="Compact"/>
              <w:spacing w:after="0" w:line="240" w:lineRule="auto"/>
            </w:pPr>
            <w:r>
              <w:rPr>
                <w:sz w:val="16"/>
              </w:rPr>
              <w:t>Microplastic particles</w:t>
            </w:r>
          </w:p>
        </w:tc>
        <w:tc>
          <w:tcPr>
            <w:cnfStyle w:val="000001000000" w:firstRow="0" w:lastRow="0" w:firstColumn="0" w:lastColumn="0" w:oddVBand="0" w:evenVBand="1" w:oddHBand="0" w:evenHBand="0" w:firstRowFirstColumn="0" w:firstRowLastColumn="0" w:lastRowFirstColumn="0" w:lastRowLastColumn="0"/>
            <w:tcW w:w="2160" w:type="dxa"/>
          </w:tcPr>
          <w:p w14:paraId="69F26ACE" w14:textId="77777777" w:rsidR="00E932E0" w:rsidRDefault="00000000">
            <w:pPr>
              <w:pStyle w:val="Compact"/>
              <w:spacing w:after="0" w:line="240" w:lineRule="auto"/>
            </w:pPr>
            <w:r>
              <w:rPr>
                <w:sz w:val="16"/>
              </w:rPr>
              <w:t>Cap-neck abrasion increased with repeated opening; squeezing bottle wall did not significantly increase water particles in tested conditions.</w:t>
            </w:r>
          </w:p>
        </w:tc>
        <w:tc>
          <w:tcPr>
            <w:cnfStyle w:val="000010000000" w:firstRow="0" w:lastRow="0" w:firstColumn="0" w:lastColumn="0" w:oddVBand="1" w:evenVBand="0" w:oddHBand="0" w:evenHBand="0" w:firstRowFirstColumn="0" w:firstRowLastColumn="0" w:lastRowFirstColumn="0" w:lastRowLastColumn="0"/>
            <w:tcW w:w="1613" w:type="dxa"/>
          </w:tcPr>
          <w:p w14:paraId="13F85E58" w14:textId="77777777" w:rsidR="00E932E0" w:rsidRDefault="00000000">
            <w:pPr>
              <w:pStyle w:val="Compact"/>
              <w:spacing w:after="0" w:line="240" w:lineRule="auto"/>
            </w:pPr>
            <w:r>
              <w:rPr>
                <w:sz w:val="16"/>
              </w:rPr>
              <w:t xml:space="preserve">SEM/EDS size range does not capture </w:t>
            </w:r>
            <w:proofErr w:type="spellStart"/>
            <w:r>
              <w:rPr>
                <w:sz w:val="16"/>
              </w:rPr>
              <w:t>nanoplastics</w:t>
            </w:r>
            <w:proofErr w:type="spellEnd"/>
            <w:r>
              <w:rPr>
                <w:sz w:val="16"/>
              </w:rPr>
              <w:t>.</w:t>
            </w:r>
          </w:p>
        </w:tc>
        <w:tc>
          <w:tcPr>
            <w:cnfStyle w:val="000001000000" w:firstRow="0" w:lastRow="0" w:firstColumn="0" w:lastColumn="0" w:oddVBand="0" w:evenVBand="1" w:oddHBand="0" w:evenHBand="0" w:firstRowFirstColumn="0" w:firstRowLastColumn="0" w:lastRowFirstColumn="0" w:lastRowLastColumn="0"/>
            <w:tcW w:w="1843" w:type="dxa"/>
          </w:tcPr>
          <w:p w14:paraId="3A4812F6" w14:textId="77777777" w:rsidR="00E932E0" w:rsidRDefault="00000000">
            <w:pPr>
              <w:pStyle w:val="Compact"/>
              <w:spacing w:after="0" w:line="240" w:lineRule="auto"/>
            </w:pPr>
            <w:r>
              <w:rPr>
                <w:sz w:val="16"/>
              </w:rPr>
              <w:t>Winkler et al. (2019)</w:t>
            </w:r>
          </w:p>
        </w:tc>
      </w:tr>
      <w:tr w:rsidR="00E932E0" w14:paraId="0A08F0F3"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4259A97F" w14:textId="77777777" w:rsidR="00E932E0" w:rsidRDefault="00000000">
            <w:pPr>
              <w:pStyle w:val="Compact"/>
              <w:spacing w:after="0" w:line="240" w:lineRule="auto"/>
            </w:pPr>
            <w:r>
              <w:rPr>
                <w:sz w:val="16"/>
              </w:rPr>
              <w:t>Commercial bottled water</w:t>
            </w:r>
          </w:p>
        </w:tc>
        <w:tc>
          <w:tcPr>
            <w:cnfStyle w:val="000001000000" w:firstRow="0" w:lastRow="0" w:firstColumn="0" w:lastColumn="0" w:oddVBand="0" w:evenVBand="1" w:oddHBand="0" w:evenHBand="0" w:firstRowFirstColumn="0" w:firstRowLastColumn="0" w:lastRowFirstColumn="0" w:lastRowLastColumn="0"/>
            <w:tcW w:w="1267" w:type="dxa"/>
          </w:tcPr>
          <w:p w14:paraId="04C84495" w14:textId="77777777" w:rsidR="00E932E0" w:rsidRDefault="00000000">
            <w:pPr>
              <w:pStyle w:val="Compact"/>
              <w:spacing w:after="0" w:line="240" w:lineRule="auto"/>
            </w:pPr>
            <w:r>
              <w:rPr>
                <w:sz w:val="16"/>
              </w:rPr>
              <w:t>Nanoscale SRS imaging</w:t>
            </w:r>
          </w:p>
        </w:tc>
        <w:tc>
          <w:tcPr>
            <w:cnfStyle w:val="000010000000" w:firstRow="0" w:lastRow="0" w:firstColumn="0" w:lastColumn="0" w:oddVBand="1" w:evenVBand="0" w:oddHBand="0" w:evenHBand="0" w:firstRowFirstColumn="0" w:firstRowLastColumn="0" w:lastRowFirstColumn="0" w:lastRowLastColumn="0"/>
            <w:tcW w:w="1368" w:type="dxa"/>
          </w:tcPr>
          <w:p w14:paraId="11FBBAA2" w14:textId="77777777" w:rsidR="00E932E0" w:rsidRDefault="00000000">
            <w:pPr>
              <w:pStyle w:val="Compact"/>
              <w:spacing w:after="0" w:line="240" w:lineRule="auto"/>
            </w:pPr>
            <w:r>
              <w:rPr>
                <w:sz w:val="16"/>
              </w:rPr>
              <w:t xml:space="preserve">Micro- and </w:t>
            </w:r>
            <w:proofErr w:type="spellStart"/>
            <w:r>
              <w:rPr>
                <w:sz w:val="16"/>
              </w:rPr>
              <w:t>nanoplastic</w:t>
            </w:r>
            <w:proofErr w:type="spellEnd"/>
            <w:r>
              <w:rPr>
                <w:sz w:val="16"/>
              </w:rPr>
              <w:t xml:space="preserve"> number</w:t>
            </w:r>
          </w:p>
        </w:tc>
        <w:tc>
          <w:tcPr>
            <w:cnfStyle w:val="000001000000" w:firstRow="0" w:lastRow="0" w:firstColumn="0" w:lastColumn="0" w:oddVBand="0" w:evenVBand="1" w:oddHBand="0" w:evenHBand="0" w:firstRowFirstColumn="0" w:firstRowLastColumn="0" w:lastRowFirstColumn="0" w:lastRowLastColumn="0"/>
            <w:tcW w:w="2160" w:type="dxa"/>
          </w:tcPr>
          <w:p w14:paraId="01339CAA" w14:textId="77777777" w:rsidR="00E932E0" w:rsidRDefault="00000000">
            <w:pPr>
              <w:pStyle w:val="Compact"/>
              <w:spacing w:after="0" w:line="240" w:lineRule="auto"/>
            </w:pPr>
            <w:r>
              <w:rPr>
                <w:sz w:val="16"/>
              </w:rPr>
              <w:t>More than 100,000 particles/L were estimated in tested samples; most detected particles were nanoscale.</w:t>
            </w:r>
          </w:p>
        </w:tc>
        <w:tc>
          <w:tcPr>
            <w:cnfStyle w:val="000010000000" w:firstRow="0" w:lastRow="0" w:firstColumn="0" w:lastColumn="0" w:oddVBand="1" w:evenVBand="0" w:oddHBand="0" w:evenHBand="0" w:firstRowFirstColumn="0" w:firstRowLastColumn="0" w:lastRowFirstColumn="0" w:lastRowLastColumn="0"/>
            <w:tcW w:w="1613" w:type="dxa"/>
          </w:tcPr>
          <w:p w14:paraId="340DE7FF" w14:textId="77777777" w:rsidR="00E932E0" w:rsidRDefault="00000000">
            <w:pPr>
              <w:pStyle w:val="Compact"/>
              <w:spacing w:after="0" w:line="240" w:lineRule="auto"/>
            </w:pPr>
            <w:r>
              <w:rPr>
                <w:sz w:val="16"/>
              </w:rPr>
              <w:t>Limited brands and method-specific size window.</w:t>
            </w:r>
          </w:p>
        </w:tc>
        <w:tc>
          <w:tcPr>
            <w:cnfStyle w:val="000001000000" w:firstRow="0" w:lastRow="0" w:firstColumn="0" w:lastColumn="0" w:oddVBand="0" w:evenVBand="1" w:oddHBand="0" w:evenHBand="0" w:firstRowFirstColumn="0" w:firstRowLastColumn="0" w:lastRowFirstColumn="0" w:lastRowLastColumn="0"/>
            <w:tcW w:w="1843" w:type="dxa"/>
          </w:tcPr>
          <w:p w14:paraId="1489EAFF" w14:textId="77777777" w:rsidR="00E932E0" w:rsidRDefault="00000000">
            <w:pPr>
              <w:pStyle w:val="Compact"/>
              <w:spacing w:after="0" w:line="240" w:lineRule="auto"/>
            </w:pPr>
            <w:r>
              <w:rPr>
                <w:sz w:val="16"/>
              </w:rPr>
              <w:t>Qian et al. (2024)</w:t>
            </w:r>
          </w:p>
        </w:tc>
      </w:tr>
      <w:tr w:rsidR="00E932E0" w14:paraId="0C21B86E"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4104DDE" w14:textId="77777777" w:rsidR="00E932E0" w:rsidRDefault="00000000">
            <w:pPr>
              <w:pStyle w:val="Compact"/>
              <w:spacing w:after="0" w:line="240" w:lineRule="auto"/>
            </w:pPr>
            <w:r>
              <w:rPr>
                <w:sz w:val="16"/>
              </w:rPr>
              <w:t>Bottled vs treated drinking water</w:t>
            </w:r>
          </w:p>
        </w:tc>
        <w:tc>
          <w:tcPr>
            <w:cnfStyle w:val="000001000000" w:firstRow="0" w:lastRow="0" w:firstColumn="0" w:lastColumn="0" w:oddVBand="0" w:evenVBand="1" w:oddHBand="0" w:evenHBand="0" w:firstRowFirstColumn="0" w:firstRowLastColumn="0" w:lastRowFirstColumn="0" w:lastRowLastColumn="0"/>
            <w:tcW w:w="1267" w:type="dxa"/>
          </w:tcPr>
          <w:p w14:paraId="50880697" w14:textId="77777777" w:rsidR="00E932E0" w:rsidRDefault="00000000">
            <w:pPr>
              <w:pStyle w:val="Compact"/>
              <w:spacing w:after="0" w:line="240" w:lineRule="auto"/>
            </w:pPr>
            <w:r>
              <w:rPr>
                <w:sz w:val="16"/>
              </w:rPr>
              <w:t xml:space="preserve">OPTIR/SEM method; 300 nm to tens of </w:t>
            </w:r>
            <w:proofErr w:type="spellStart"/>
            <w:r>
              <w:rPr>
                <w:sz w:val="16"/>
              </w:rPr>
              <w:t>micrometres</w:t>
            </w:r>
            <w:proofErr w:type="spellEnd"/>
          </w:p>
        </w:tc>
        <w:tc>
          <w:tcPr>
            <w:cnfStyle w:val="000010000000" w:firstRow="0" w:lastRow="0" w:firstColumn="0" w:lastColumn="0" w:oddVBand="1" w:evenVBand="0" w:oddHBand="0" w:evenHBand="0" w:firstRowFirstColumn="0" w:firstRowLastColumn="0" w:lastRowFirstColumn="0" w:lastRowLastColumn="0"/>
            <w:tcW w:w="1368" w:type="dxa"/>
          </w:tcPr>
          <w:p w14:paraId="0D71B540" w14:textId="77777777" w:rsidR="00E932E0" w:rsidRDefault="00000000">
            <w:pPr>
              <w:pStyle w:val="Compact"/>
              <w:spacing w:after="0" w:line="240" w:lineRule="auto"/>
            </w:pPr>
            <w:r>
              <w:rPr>
                <w:sz w:val="16"/>
              </w:rPr>
              <w:t>MNP number and mass</w:t>
            </w:r>
          </w:p>
        </w:tc>
        <w:tc>
          <w:tcPr>
            <w:cnfStyle w:val="000001000000" w:firstRow="0" w:lastRow="0" w:firstColumn="0" w:lastColumn="0" w:oddVBand="0" w:evenVBand="1" w:oddHBand="0" w:evenHBand="0" w:firstRowFirstColumn="0" w:firstRowLastColumn="0" w:lastRowFirstColumn="0" w:lastRowLastColumn="0"/>
            <w:tcW w:w="2160" w:type="dxa"/>
          </w:tcPr>
          <w:p w14:paraId="5E4300B6" w14:textId="77777777" w:rsidR="00E932E0" w:rsidRDefault="00000000">
            <w:pPr>
              <w:pStyle w:val="Compact"/>
              <w:spacing w:after="0" w:line="240" w:lineRule="auto"/>
            </w:pPr>
            <w:r>
              <w:rPr>
                <w:sz w:val="16"/>
              </w:rPr>
              <w:t>Bottled samples had higher particle number, while mass did not differ significantly.</w:t>
            </w:r>
          </w:p>
        </w:tc>
        <w:tc>
          <w:tcPr>
            <w:cnfStyle w:val="000010000000" w:firstRow="0" w:lastRow="0" w:firstColumn="0" w:lastColumn="0" w:oddVBand="1" w:evenVBand="0" w:oddHBand="0" w:evenHBand="0" w:firstRowFirstColumn="0" w:firstRowLastColumn="0" w:lastRowFirstColumn="0" w:lastRowLastColumn="0"/>
            <w:tcW w:w="1613" w:type="dxa"/>
          </w:tcPr>
          <w:p w14:paraId="4B7F2341" w14:textId="77777777" w:rsidR="00E932E0" w:rsidRDefault="00000000">
            <w:pPr>
              <w:pStyle w:val="Compact"/>
              <w:spacing w:after="0" w:line="240" w:lineRule="auto"/>
            </w:pPr>
            <w:r>
              <w:rPr>
                <w:sz w:val="16"/>
              </w:rPr>
              <w:t xml:space="preserve">Six bottled brands and one sample per brand limit market </w:t>
            </w:r>
            <w:proofErr w:type="spellStart"/>
            <w:r>
              <w:rPr>
                <w:sz w:val="16"/>
              </w:rPr>
              <w:t>generalisation</w:t>
            </w:r>
            <w:proofErr w:type="spellEnd"/>
            <w:r>
              <w:rPr>
                <w:sz w:val="16"/>
              </w:rPr>
              <w:t>.</w:t>
            </w:r>
          </w:p>
        </w:tc>
        <w:tc>
          <w:tcPr>
            <w:cnfStyle w:val="000001000000" w:firstRow="0" w:lastRow="0" w:firstColumn="0" w:lastColumn="0" w:oddVBand="0" w:evenVBand="1" w:oddHBand="0" w:evenHBand="0" w:firstRowFirstColumn="0" w:firstRowLastColumn="0" w:lastRowFirstColumn="0" w:lastRowLastColumn="0"/>
            <w:tcW w:w="1843" w:type="dxa"/>
          </w:tcPr>
          <w:p w14:paraId="677845FC" w14:textId="77777777" w:rsidR="00E932E0" w:rsidRDefault="00000000">
            <w:pPr>
              <w:pStyle w:val="Compact"/>
              <w:spacing w:after="0" w:line="240" w:lineRule="auto"/>
            </w:pPr>
            <w:r>
              <w:rPr>
                <w:sz w:val="16"/>
              </w:rPr>
              <w:t>Jamison Hart &amp; Lenhart (2026)</w:t>
            </w:r>
          </w:p>
        </w:tc>
      </w:tr>
      <w:tr w:rsidR="00E932E0" w14:paraId="09179686"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04AD0C50" w14:textId="77777777" w:rsidR="00E932E0" w:rsidRDefault="00000000">
            <w:pPr>
              <w:pStyle w:val="Compact"/>
              <w:spacing w:after="0" w:line="240" w:lineRule="auto"/>
            </w:pPr>
            <w:r>
              <w:rPr>
                <w:sz w:val="16"/>
              </w:rPr>
              <w:t>Bottle-cap materials</w:t>
            </w:r>
          </w:p>
        </w:tc>
        <w:tc>
          <w:tcPr>
            <w:cnfStyle w:val="000001000000" w:firstRow="0" w:lastRow="0" w:firstColumn="0" w:lastColumn="0" w:oddVBand="0" w:evenVBand="1" w:oddHBand="0" w:evenHBand="0" w:firstRowFirstColumn="0" w:firstRowLastColumn="0" w:lastRowFirstColumn="0" w:lastRowLastColumn="0"/>
            <w:tcW w:w="1267" w:type="dxa"/>
          </w:tcPr>
          <w:p w14:paraId="7DBDFCF3" w14:textId="77777777" w:rsidR="00E932E0" w:rsidRDefault="00000000">
            <w:pPr>
              <w:pStyle w:val="Compact"/>
              <w:spacing w:after="0" w:line="240" w:lineRule="auto"/>
            </w:pPr>
            <w:r>
              <w:rPr>
                <w:sz w:val="16"/>
              </w:rPr>
              <w:t>Opening-closing abrasion</w:t>
            </w:r>
          </w:p>
        </w:tc>
        <w:tc>
          <w:tcPr>
            <w:cnfStyle w:val="000010000000" w:firstRow="0" w:lastRow="0" w:firstColumn="0" w:lastColumn="0" w:oddVBand="1" w:evenVBand="0" w:oddHBand="0" w:evenHBand="0" w:firstRowFirstColumn="0" w:firstRowLastColumn="0" w:lastRowFirstColumn="0" w:lastRowLastColumn="0"/>
            <w:tcW w:w="1368" w:type="dxa"/>
          </w:tcPr>
          <w:p w14:paraId="7C9DF6B3" w14:textId="77777777" w:rsidR="00E932E0" w:rsidRDefault="00000000">
            <w:pPr>
              <w:pStyle w:val="Compact"/>
              <w:spacing w:after="0" w:line="240" w:lineRule="auto"/>
            </w:pPr>
            <w:r>
              <w:rPr>
                <w:sz w:val="16"/>
              </w:rPr>
              <w:t>Cap-derived microplastics and HEK293 endpoints</w:t>
            </w:r>
          </w:p>
        </w:tc>
        <w:tc>
          <w:tcPr>
            <w:cnfStyle w:val="000001000000" w:firstRow="0" w:lastRow="0" w:firstColumn="0" w:lastColumn="0" w:oddVBand="0" w:evenVBand="1" w:oddHBand="0" w:evenHBand="0" w:firstRowFirstColumn="0" w:firstRowLastColumn="0" w:lastRowFirstColumn="0" w:lastRowLastColumn="0"/>
            <w:tcW w:w="2160" w:type="dxa"/>
          </w:tcPr>
          <w:p w14:paraId="530E3E1E" w14:textId="77777777" w:rsidR="00E932E0" w:rsidRDefault="00000000">
            <w:pPr>
              <w:pStyle w:val="Compact"/>
              <w:spacing w:after="0" w:line="240" w:lineRule="auto"/>
            </w:pPr>
            <w:r>
              <w:rPr>
                <w:sz w:val="16"/>
              </w:rPr>
              <w:t>Brand-dependent particle generation and high-dose cellular stress responses were observed.</w:t>
            </w:r>
          </w:p>
        </w:tc>
        <w:tc>
          <w:tcPr>
            <w:cnfStyle w:val="000010000000" w:firstRow="0" w:lastRow="0" w:firstColumn="0" w:lastColumn="0" w:oddVBand="1" w:evenVBand="0" w:oddHBand="0" w:evenHBand="0" w:firstRowFirstColumn="0" w:firstRowLastColumn="0" w:lastRowFirstColumn="0" w:lastRowLastColumn="0"/>
            <w:tcW w:w="1613" w:type="dxa"/>
          </w:tcPr>
          <w:p w14:paraId="6471DFEF" w14:textId="77777777" w:rsidR="00E932E0" w:rsidRDefault="00000000">
            <w:pPr>
              <w:pStyle w:val="Compact"/>
              <w:spacing w:after="0" w:line="240" w:lineRule="auto"/>
            </w:pPr>
            <w:r>
              <w:rPr>
                <w:sz w:val="16"/>
              </w:rPr>
              <w:t>Cell doses do not establish ordinary human intake risk.</w:t>
            </w:r>
          </w:p>
        </w:tc>
        <w:tc>
          <w:tcPr>
            <w:cnfStyle w:val="000001000000" w:firstRow="0" w:lastRow="0" w:firstColumn="0" w:lastColumn="0" w:oddVBand="0" w:evenVBand="1" w:oddHBand="0" w:evenHBand="0" w:firstRowFirstColumn="0" w:firstRowLastColumn="0" w:lastRowFirstColumn="0" w:lastRowLastColumn="0"/>
            <w:tcW w:w="1843" w:type="dxa"/>
          </w:tcPr>
          <w:p w14:paraId="7FA8C842" w14:textId="77777777" w:rsidR="00E932E0" w:rsidRDefault="00000000">
            <w:pPr>
              <w:pStyle w:val="Compact"/>
              <w:spacing w:after="0" w:line="240" w:lineRule="auto"/>
            </w:pPr>
            <w:proofErr w:type="spellStart"/>
            <w:r>
              <w:rPr>
                <w:sz w:val="16"/>
              </w:rPr>
              <w:t>Changmai</w:t>
            </w:r>
            <w:proofErr w:type="spellEnd"/>
            <w:r>
              <w:rPr>
                <w:sz w:val="16"/>
              </w:rPr>
              <w:t xml:space="preserve"> et al. (2026)</w:t>
            </w:r>
          </w:p>
        </w:tc>
      </w:tr>
    </w:tbl>
    <w:p w14:paraId="68F6409C" w14:textId="77777777" w:rsidR="00E932E0" w:rsidRDefault="00000000">
      <w:pPr>
        <w:pStyle w:val="BodyText"/>
        <w:spacing w:before="40" w:after="120" w:line="240" w:lineRule="auto"/>
      </w:pPr>
      <w:r>
        <w:rPr>
          <w:i/>
          <w:iCs/>
          <w:sz w:val="17"/>
        </w:rPr>
        <w:t>Note.</w:t>
      </w:r>
      <w:r>
        <w:rPr>
          <w:sz w:val="17"/>
        </w:rPr>
        <w:t xml:space="preserve"> MNP = micro- and </w:t>
      </w:r>
      <w:proofErr w:type="spellStart"/>
      <w:r>
        <w:rPr>
          <w:sz w:val="17"/>
        </w:rPr>
        <w:t>nanoplastic</w:t>
      </w:r>
      <w:proofErr w:type="spellEnd"/>
      <w:r>
        <w:rPr>
          <w:sz w:val="17"/>
        </w:rPr>
        <w:t xml:space="preserve">; OPTIR = optical photothermal infrared spectroscopy; SRS = stimulated Raman scattering. Values are </w:t>
      </w:r>
      <w:proofErr w:type="spellStart"/>
      <w:r>
        <w:rPr>
          <w:sz w:val="17"/>
        </w:rPr>
        <w:t>summarised</w:t>
      </w:r>
      <w:proofErr w:type="spellEnd"/>
      <w:r>
        <w:rPr>
          <w:sz w:val="17"/>
        </w:rPr>
        <w:t xml:space="preserve"> qualitatively to preserve comparability across markedly different analytical size ranges and test conditions.</w:t>
      </w:r>
    </w:p>
    <w:p w14:paraId="4A1987C6" w14:textId="77777777" w:rsidR="00E932E0" w:rsidRDefault="00000000">
      <w:pPr>
        <w:pStyle w:val="Heading1"/>
      </w:pPr>
      <w:bookmarkStart w:id="12" w:name="X47d1213247d9ef7beb28bbbf479ae815408f946"/>
      <w:bookmarkEnd w:id="11"/>
      <w:r>
        <w:rPr>
          <w:rFonts w:ascii="Times New Roman" w:hAnsi="Times New Roman"/>
        </w:rPr>
        <w:t>5. Toxicological Mechanisms and Evidence Calibration</w:t>
      </w:r>
    </w:p>
    <w:p w14:paraId="507A8E5F" w14:textId="77777777" w:rsidR="00E932E0" w:rsidRDefault="00000000">
      <w:pPr>
        <w:pStyle w:val="FirstParagraph"/>
        <w:spacing w:after="100"/>
        <w:ind w:firstLine="360"/>
        <w:jc w:val="both"/>
      </w:pPr>
      <w:r>
        <w:t xml:space="preserve">Toxicological interpretation is strongest when it follows an explicit chain from identified migrant to internal dose and biologically plausible target. Antimony toxicity illustrates both the usefulness and limitations of such a chain. Antimony compounds can interact with thiol-containing molecules, disturb redox balance and produce organ toxicity at sufficiently high exposures, but toxicity varies by chemical form and route (Sundar &amp; Chakravarty, 2010). Bottled-water studies usually measure total antimony rather than complete speciation. This matters because </w:t>
      </w:r>
      <w:proofErr w:type="spellStart"/>
      <w:r>
        <w:t>toxicokinetics</w:t>
      </w:r>
      <w:proofErr w:type="spellEnd"/>
      <w:r>
        <w:t xml:space="preserve"> and biological effects are not identical across antimony species. Regulatory drinking-water values incorporate uncertainty factors and are designed for chronic public-health protection, whereas cell or animal studies may use much higher doses. The presence of antimony in PET-bottled water is therefore a well-supported exposure fact; a claim of clinically significant antimony poisoning from typical bottled-water consumption is not supported by the same evidence.</w:t>
      </w:r>
    </w:p>
    <w:p w14:paraId="08B4AB61" w14:textId="77777777" w:rsidR="00E932E0" w:rsidRDefault="00000000">
      <w:pPr>
        <w:pStyle w:val="BodyText"/>
        <w:spacing w:after="100"/>
        <w:ind w:firstLine="360"/>
        <w:jc w:val="both"/>
      </w:pPr>
      <w:r>
        <w:t xml:space="preserve">Endocrine-active chemicals operate through a different toxicological architecture. BPA can interact with </w:t>
      </w:r>
      <w:proofErr w:type="spellStart"/>
      <w:r>
        <w:t>oestrogen</w:t>
      </w:r>
      <w:proofErr w:type="spellEnd"/>
      <w:r>
        <w:t xml:space="preserve"> receptors and other </w:t>
      </w:r>
      <w:proofErr w:type="spellStart"/>
      <w:r>
        <w:t>signalling</w:t>
      </w:r>
      <w:proofErr w:type="spellEnd"/>
      <w:r>
        <w:t xml:space="preserve"> systems, and several phthalates or their metabolites can disrupt steroidogenesis, nuclear-receptor </w:t>
      </w:r>
      <w:proofErr w:type="spellStart"/>
      <w:r>
        <w:t>signalling</w:t>
      </w:r>
      <w:proofErr w:type="spellEnd"/>
      <w:r>
        <w:t xml:space="preserve"> or reproductive-developmental processes in experimental systems. These mechanisms justify controlling exposure to known endocrine disruptors, but they do not resolve the source of a trace analyte detected in PET-bottled water. The migration question and the hazard question must be solved independently before they are combined. Polycarbonate studies provide a direct package-to-BPA pathway under severe conditions (Cao &amp; Corriveau, 2008; Le et al., 2008). PET studies that detect BPA or phthalates provide evidence of exposure from the overall packaging or production system, but the material source remains less secure (Fan et al., 2014; Keresztes et al., 2013; Xu et al., 2020).</w:t>
      </w:r>
    </w:p>
    <w:p w14:paraId="161F6C0D" w14:textId="77777777" w:rsidR="00E932E0" w:rsidRDefault="00000000">
      <w:pPr>
        <w:pStyle w:val="BodyText"/>
        <w:spacing w:after="100"/>
        <w:ind w:firstLine="360"/>
        <w:jc w:val="both"/>
      </w:pPr>
      <w:r>
        <w:t xml:space="preserve">NIAS and mixture effects are potentially important precisely because a targeted analyte-by-analyte assessment can miss biological activity. Broad surveys of plastic products have documented thousands of known </w:t>
      </w:r>
      <w:r>
        <w:lastRenderedPageBreak/>
        <w:t xml:space="preserve">packaging-associated chemicals and substantial heterogeneity in hazard classifications (Groh et al., 2019; Wiesinger et al., 2021). In vitro studies of plastic extracts demonstrate that some products release mixtures capable of activating receptor-mediated or stress-response pathways (Zimmermann et al., 2019, 2021). Yet the toxicity of a concentrated extract cannot be mapped automatically to a person drinking water from a bottle. Extraction solvent, concentration factor and contact conditions can create exposure profiles very different from those in potable water. The priority is effect-directed analysis: demonstrate a reproducible biological signal in realistically exposed water, fractionate or </w:t>
      </w:r>
      <w:proofErr w:type="spellStart"/>
      <w:r>
        <w:t>characterise</w:t>
      </w:r>
      <w:proofErr w:type="spellEnd"/>
      <w:r>
        <w:t xml:space="preserve"> the active mixture, identify responsible chemicals where possible, and then compare effect concentrations with realistic intake.</w:t>
      </w:r>
    </w:p>
    <w:p w14:paraId="4E80F0F5" w14:textId="77777777" w:rsidR="00E932E0" w:rsidRDefault="00000000">
      <w:pPr>
        <w:pStyle w:val="BodyText"/>
        <w:spacing w:after="100"/>
        <w:ind w:firstLine="360"/>
        <w:jc w:val="both"/>
      </w:pPr>
      <w:r>
        <w:t xml:space="preserve">Micro- and </w:t>
      </w:r>
      <w:proofErr w:type="spellStart"/>
      <w:r>
        <w:t>nanoplastics</w:t>
      </w:r>
      <w:proofErr w:type="spellEnd"/>
      <w:r>
        <w:t xml:space="preserve"> add particle-specific mechanisms including epithelial interaction, translocation, oxidative stress, inflammation, lysosomal or mitochondrial perturbation and, for sufficiently small particles, potential distribution beyond the gastrointestinal lumen. Reviews of mammalian evidence identify these mechanisms as plausible but also </w:t>
      </w:r>
      <w:proofErr w:type="spellStart"/>
      <w:r>
        <w:t>emphasise</w:t>
      </w:r>
      <w:proofErr w:type="spellEnd"/>
      <w:r>
        <w:t xml:space="preserve"> major uncertainties in particle </w:t>
      </w:r>
      <w:proofErr w:type="spellStart"/>
      <w:r>
        <w:t>characterisation</w:t>
      </w:r>
      <w:proofErr w:type="spellEnd"/>
      <w:r>
        <w:t>, dose, contamination control and extrapolation across particle types (</w:t>
      </w:r>
      <w:proofErr w:type="spellStart"/>
      <w:r>
        <w:t>Prüst</w:t>
      </w:r>
      <w:proofErr w:type="spellEnd"/>
      <w:r>
        <w:t xml:space="preserve"> et al., 2020; Yong et al., 2020). Particle size, shape, surface charge, polymer, weathering state and protein corona can change biological </w:t>
      </w:r>
      <w:proofErr w:type="spellStart"/>
      <w:r>
        <w:t>behaviour</w:t>
      </w:r>
      <w:proofErr w:type="spellEnd"/>
      <w:r>
        <w:t>. A pristine spherical polystyrene nanobead used in a toxicology experiment is not a faithful surrogate for an irregular, aged PET or polypropylene fragment generated from a bottle. Hazard studies become clinically useful only when test particles reflect the materials, dimensions and surface chemistry found in human exposure.</w:t>
      </w:r>
    </w:p>
    <w:p w14:paraId="43A8D6B9" w14:textId="77777777" w:rsidR="00E932E0" w:rsidRDefault="00000000">
      <w:pPr>
        <w:pStyle w:val="BodyText"/>
        <w:spacing w:after="100"/>
        <w:ind w:firstLine="360"/>
        <w:jc w:val="both"/>
      </w:pPr>
      <w:r>
        <w:t xml:space="preserve">The cap-abrasion study by </w:t>
      </w:r>
      <w:proofErr w:type="spellStart"/>
      <w:r>
        <w:t>Changmai</w:t>
      </w:r>
      <w:proofErr w:type="spellEnd"/>
      <w:r>
        <w:t xml:space="preserve"> et al. (2026) is informative because the particles were generated from bottle components rather than purchased model beads. The investigators observed cytotoxicity, oxidative-stress responses, inflammatory-gene induction and organelle changes in HEK293 cells at milligram-per-</w:t>
      </w:r>
      <w:proofErr w:type="spellStart"/>
      <w:r>
        <w:t>millilitre</w:t>
      </w:r>
      <w:proofErr w:type="spellEnd"/>
      <w:r>
        <w:t xml:space="preserve"> experimental concentrations. This improves material realism but does not solve dose realism. The central unanswered question is how the experimental cellular concentration compares with the amount, size distribution, gastrointestinal fate and tissue dose generated by ordinary opening and drinking </w:t>
      </w:r>
      <w:proofErr w:type="spellStart"/>
      <w:r>
        <w:t>behaviour</w:t>
      </w:r>
      <w:proofErr w:type="spellEnd"/>
      <w:r>
        <w:t>. Without that bridge, the study supports hazard plausibility but not a quantitative estimate of clinical risk.</w:t>
      </w:r>
    </w:p>
    <w:p w14:paraId="3F424A61" w14:textId="77777777" w:rsidR="00E932E0" w:rsidRDefault="00000000">
      <w:pPr>
        <w:pStyle w:val="BodyText"/>
        <w:spacing w:after="100"/>
        <w:ind w:firstLine="360"/>
        <w:jc w:val="both"/>
      </w:pPr>
      <w:r>
        <w:t xml:space="preserve">Particle-associated chemicals can link the dissolved-chemical and particle pathways. Additives, oligomers or sorbed environmental contaminants may be carried on particle surfaces, while gastrointestinal conditions may alter desorption. Conversely, many migrants are dissolved or colloidal independently of visible particles. Treating all chemical risk as "microplastic toxicity" obscures these routes and can lead to double counting. </w:t>
      </w:r>
      <w:proofErr w:type="spellStart"/>
      <w:r>
        <w:t>Hahladakis</w:t>
      </w:r>
      <w:proofErr w:type="spellEnd"/>
      <w:r>
        <w:t xml:space="preserve"> et al. (2018) documented the migration and environmental release of plastic additives across polymer life cycles, while </w:t>
      </w:r>
      <w:proofErr w:type="spellStart"/>
      <w:r>
        <w:t>Gerassimidou</w:t>
      </w:r>
      <w:proofErr w:type="spellEnd"/>
      <w:r>
        <w:t xml:space="preserve"> et al. (2022) highlighted chemical complexity across the PET bottle value chain. A mechanistically coherent assessment should therefore quantify at least three compartments where feasible: dissolved or truly soluble migrants, particle-bound chemicals, and polymer particles themselves.</w:t>
      </w:r>
    </w:p>
    <w:p w14:paraId="6D2C368A" w14:textId="77777777" w:rsidR="00E932E0" w:rsidRDefault="00000000">
      <w:pPr>
        <w:pStyle w:val="BodyText"/>
        <w:spacing w:after="100"/>
        <w:ind w:firstLine="360"/>
        <w:jc w:val="both"/>
      </w:pPr>
      <w:r>
        <w:t>Table 3 calibrates the strength of inference across major mechanisms. It separates evidence that a pathway can occur from evidence that ordinary bottled-water exposure reaches a biologically important internal dose. The strongest mechanistic evidence is not necessarily the strongest clinical evidence, and this distinction should be explicit whenever laboratory toxicology is used in public-health discussion.</w:t>
      </w:r>
    </w:p>
    <w:p w14:paraId="54353B07" w14:textId="77777777" w:rsidR="00E932E0" w:rsidRDefault="00000000">
      <w:pPr>
        <w:pStyle w:val="BodyText"/>
        <w:keepNext/>
        <w:spacing w:before="140" w:after="20"/>
      </w:pPr>
      <w:r>
        <w:rPr>
          <w:b/>
          <w:bCs/>
          <w:sz w:val="20"/>
        </w:rPr>
        <w:t>Table 3</w:t>
      </w:r>
    </w:p>
    <w:p w14:paraId="19264ECA" w14:textId="77777777" w:rsidR="00E932E0" w:rsidRDefault="00000000">
      <w:pPr>
        <w:pStyle w:val="BodyText"/>
        <w:keepNext/>
        <w:spacing w:after="60"/>
      </w:pPr>
      <w:r>
        <w:rPr>
          <w:i/>
          <w:iCs/>
          <w:sz w:val="20"/>
        </w:rPr>
        <w:t>Mechanistic toxicology and the limits of clinical extrapolation</w:t>
      </w:r>
    </w:p>
    <w:tbl>
      <w:tblPr>
        <w:tblStyle w:val="PlainTable2"/>
        <w:tblW w:w="0" w:type="auto"/>
        <w:tblLayout w:type="fixed"/>
        <w:tblLook w:val="0020" w:firstRow="1" w:lastRow="0" w:firstColumn="0" w:lastColumn="0" w:noHBand="0" w:noVBand="0"/>
      </w:tblPr>
      <w:tblGrid>
        <w:gridCol w:w="1325"/>
        <w:gridCol w:w="1771"/>
        <w:gridCol w:w="1483"/>
        <w:gridCol w:w="1915"/>
        <w:gridCol w:w="1728"/>
        <w:gridCol w:w="1440"/>
      </w:tblGrid>
      <w:tr w:rsidR="00E932E0" w14:paraId="5AABD294"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6DA96DA7" w14:textId="77777777" w:rsidR="00E932E0" w:rsidRDefault="00000000">
            <w:pPr>
              <w:pStyle w:val="Compact"/>
              <w:spacing w:after="0" w:line="240" w:lineRule="auto"/>
              <w:jc w:val="center"/>
            </w:pPr>
            <w:r>
              <w:rPr>
                <w:sz w:val="16"/>
              </w:rPr>
              <w:t>Agent / pathway</w:t>
            </w:r>
          </w:p>
        </w:tc>
        <w:tc>
          <w:tcPr>
            <w:cnfStyle w:val="000001000000" w:firstRow="0" w:lastRow="0" w:firstColumn="0" w:lastColumn="0" w:oddVBand="0" w:evenVBand="1" w:oddHBand="0" w:evenHBand="0" w:firstRowFirstColumn="0" w:firstRowLastColumn="0" w:lastRowFirstColumn="0" w:lastRowLastColumn="0"/>
            <w:tcW w:w="1771" w:type="dxa"/>
          </w:tcPr>
          <w:p w14:paraId="17E08A72" w14:textId="77777777" w:rsidR="00E932E0" w:rsidRDefault="00000000">
            <w:pPr>
              <w:pStyle w:val="Compact"/>
              <w:spacing w:after="0" w:line="240" w:lineRule="auto"/>
              <w:jc w:val="center"/>
            </w:pPr>
            <w:r>
              <w:rPr>
                <w:sz w:val="16"/>
              </w:rPr>
              <w:t>Plausible mechanism</w:t>
            </w:r>
          </w:p>
        </w:tc>
        <w:tc>
          <w:tcPr>
            <w:cnfStyle w:val="000010000000" w:firstRow="0" w:lastRow="0" w:firstColumn="0" w:lastColumn="0" w:oddVBand="1" w:evenVBand="0" w:oddHBand="0" w:evenHBand="0" w:firstRowFirstColumn="0" w:firstRowLastColumn="0" w:lastRowFirstColumn="0" w:lastRowLastColumn="0"/>
            <w:tcW w:w="1483" w:type="dxa"/>
          </w:tcPr>
          <w:p w14:paraId="1C2BE4C0" w14:textId="77777777" w:rsidR="00E932E0" w:rsidRDefault="00000000">
            <w:pPr>
              <w:pStyle w:val="Compact"/>
              <w:spacing w:after="0" w:line="240" w:lineRule="auto"/>
              <w:jc w:val="center"/>
            </w:pPr>
            <w:r>
              <w:rPr>
                <w:sz w:val="16"/>
              </w:rPr>
              <w:t>Principal evidence type</w:t>
            </w:r>
          </w:p>
        </w:tc>
        <w:tc>
          <w:tcPr>
            <w:cnfStyle w:val="000001000000" w:firstRow="0" w:lastRow="0" w:firstColumn="0" w:lastColumn="0" w:oddVBand="0" w:evenVBand="1" w:oddHBand="0" w:evenHBand="0" w:firstRowFirstColumn="0" w:firstRowLastColumn="0" w:lastRowFirstColumn="0" w:lastRowLastColumn="0"/>
            <w:tcW w:w="1915" w:type="dxa"/>
          </w:tcPr>
          <w:p w14:paraId="5AF3491A" w14:textId="77777777" w:rsidR="00E932E0" w:rsidRDefault="00000000">
            <w:pPr>
              <w:pStyle w:val="Compact"/>
              <w:spacing w:after="0" w:line="240" w:lineRule="auto"/>
              <w:jc w:val="center"/>
            </w:pPr>
            <w:r>
              <w:rPr>
                <w:sz w:val="16"/>
              </w:rPr>
              <w:t>Major limitation for bottled-water inference</w:t>
            </w:r>
          </w:p>
        </w:tc>
        <w:tc>
          <w:tcPr>
            <w:cnfStyle w:val="000010000000" w:firstRow="0" w:lastRow="0" w:firstColumn="0" w:lastColumn="0" w:oddVBand="1" w:evenVBand="0" w:oddHBand="0" w:evenHBand="0" w:firstRowFirstColumn="0" w:firstRowLastColumn="0" w:lastRowFirstColumn="0" w:lastRowLastColumn="0"/>
            <w:tcW w:w="1728" w:type="dxa"/>
          </w:tcPr>
          <w:p w14:paraId="424862DB" w14:textId="77777777" w:rsidR="00E932E0" w:rsidRDefault="00000000">
            <w:pPr>
              <w:pStyle w:val="Compact"/>
              <w:spacing w:after="0" w:line="240" w:lineRule="auto"/>
              <w:jc w:val="center"/>
            </w:pPr>
            <w:r>
              <w:rPr>
                <w:sz w:val="16"/>
              </w:rPr>
              <w:t>Clinical interpretation</w:t>
            </w:r>
          </w:p>
        </w:tc>
        <w:tc>
          <w:tcPr>
            <w:cnfStyle w:val="000001000000" w:firstRow="0" w:lastRow="0" w:firstColumn="0" w:lastColumn="0" w:oddVBand="0" w:evenVBand="1" w:oddHBand="0" w:evenHBand="0" w:firstRowFirstColumn="0" w:firstRowLastColumn="0" w:lastRowFirstColumn="0" w:lastRowLastColumn="0"/>
            <w:tcW w:w="1440" w:type="dxa"/>
          </w:tcPr>
          <w:p w14:paraId="6E05416D" w14:textId="77777777" w:rsidR="00E932E0" w:rsidRDefault="00000000">
            <w:pPr>
              <w:pStyle w:val="Compact"/>
              <w:spacing w:after="0" w:line="240" w:lineRule="auto"/>
              <w:jc w:val="center"/>
            </w:pPr>
            <w:r>
              <w:rPr>
                <w:sz w:val="16"/>
              </w:rPr>
              <w:t>Supporting references</w:t>
            </w:r>
          </w:p>
        </w:tc>
      </w:tr>
      <w:tr w:rsidR="00E932E0" w14:paraId="7C38A670"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0CBA6BD5" w14:textId="77777777" w:rsidR="00E932E0" w:rsidRDefault="00000000">
            <w:pPr>
              <w:pStyle w:val="Compact"/>
              <w:spacing w:after="0" w:line="240" w:lineRule="auto"/>
            </w:pPr>
            <w:r>
              <w:rPr>
                <w:sz w:val="16"/>
              </w:rPr>
              <w:t>Antimony compounds</w:t>
            </w:r>
          </w:p>
        </w:tc>
        <w:tc>
          <w:tcPr>
            <w:cnfStyle w:val="000001000000" w:firstRow="0" w:lastRow="0" w:firstColumn="0" w:lastColumn="0" w:oddVBand="0" w:evenVBand="1" w:oddHBand="0" w:evenHBand="0" w:firstRowFirstColumn="0" w:firstRowLastColumn="0" w:lastRowFirstColumn="0" w:lastRowLastColumn="0"/>
            <w:tcW w:w="1771" w:type="dxa"/>
          </w:tcPr>
          <w:p w14:paraId="66C78BB7" w14:textId="77777777" w:rsidR="00E932E0" w:rsidRDefault="00000000">
            <w:pPr>
              <w:pStyle w:val="Compact"/>
              <w:spacing w:after="0" w:line="240" w:lineRule="auto"/>
            </w:pPr>
            <w:r>
              <w:rPr>
                <w:sz w:val="16"/>
              </w:rPr>
              <w:t>Thiol interaction, redox disturbance and organ toxicity at sufficient dose</w:t>
            </w:r>
          </w:p>
        </w:tc>
        <w:tc>
          <w:tcPr>
            <w:cnfStyle w:val="000010000000" w:firstRow="0" w:lastRow="0" w:firstColumn="0" w:lastColumn="0" w:oddVBand="1" w:evenVBand="0" w:oddHBand="0" w:evenHBand="0" w:firstRowFirstColumn="0" w:firstRowLastColumn="0" w:lastRowFirstColumn="0" w:lastRowLastColumn="0"/>
            <w:tcW w:w="1483" w:type="dxa"/>
          </w:tcPr>
          <w:p w14:paraId="1047D44F" w14:textId="77777777" w:rsidR="00E932E0" w:rsidRDefault="00000000">
            <w:pPr>
              <w:pStyle w:val="Compact"/>
              <w:spacing w:after="0" w:line="240" w:lineRule="auto"/>
            </w:pPr>
            <w:r>
              <w:rPr>
                <w:sz w:val="16"/>
              </w:rPr>
              <w:t>Toxicology plus regulated drinking-water evidence</w:t>
            </w:r>
          </w:p>
        </w:tc>
        <w:tc>
          <w:tcPr>
            <w:cnfStyle w:val="000001000000" w:firstRow="0" w:lastRow="0" w:firstColumn="0" w:lastColumn="0" w:oddVBand="0" w:evenVBand="1" w:oddHBand="0" w:evenHBand="0" w:firstRowFirstColumn="0" w:firstRowLastColumn="0" w:lastRowFirstColumn="0" w:lastRowLastColumn="0"/>
            <w:tcW w:w="1915" w:type="dxa"/>
          </w:tcPr>
          <w:p w14:paraId="2EA89299" w14:textId="77777777" w:rsidR="00E932E0" w:rsidRDefault="00000000">
            <w:pPr>
              <w:pStyle w:val="Compact"/>
              <w:spacing w:after="0" w:line="240" w:lineRule="auto"/>
            </w:pPr>
            <w:r>
              <w:rPr>
                <w:sz w:val="16"/>
              </w:rPr>
              <w:t>Bottle studies often measure total Sb rather than complete speciation and internal dose.</w:t>
            </w:r>
          </w:p>
        </w:tc>
        <w:tc>
          <w:tcPr>
            <w:cnfStyle w:val="000010000000" w:firstRow="0" w:lastRow="0" w:firstColumn="0" w:lastColumn="0" w:oddVBand="1" w:evenVBand="0" w:oddHBand="0" w:evenHBand="0" w:firstRowFirstColumn="0" w:firstRowLastColumn="0" w:lastRowFirstColumn="0" w:lastRowLastColumn="0"/>
            <w:tcW w:w="1728" w:type="dxa"/>
          </w:tcPr>
          <w:p w14:paraId="140CBE64" w14:textId="77777777" w:rsidR="00E932E0" w:rsidRDefault="00000000">
            <w:pPr>
              <w:pStyle w:val="Compact"/>
              <w:spacing w:after="0" w:line="240" w:lineRule="auto"/>
            </w:pPr>
            <w:r>
              <w:rPr>
                <w:sz w:val="16"/>
              </w:rPr>
              <w:t>Hazard is established; ordinary bottled-water poisoning is not demonstrated.</w:t>
            </w:r>
          </w:p>
        </w:tc>
        <w:tc>
          <w:tcPr>
            <w:cnfStyle w:val="000001000000" w:firstRow="0" w:lastRow="0" w:firstColumn="0" w:lastColumn="0" w:oddVBand="0" w:evenVBand="1" w:oddHBand="0" w:evenHBand="0" w:firstRowFirstColumn="0" w:firstRowLastColumn="0" w:lastRowFirstColumn="0" w:lastRowLastColumn="0"/>
            <w:tcW w:w="1440" w:type="dxa"/>
          </w:tcPr>
          <w:p w14:paraId="47F0CEC1" w14:textId="77777777" w:rsidR="00E932E0" w:rsidRDefault="00000000">
            <w:pPr>
              <w:pStyle w:val="Compact"/>
              <w:spacing w:after="0" w:line="240" w:lineRule="auto"/>
            </w:pPr>
            <w:r>
              <w:rPr>
                <w:sz w:val="16"/>
              </w:rPr>
              <w:t>Sundar &amp; Chakravarty (2010); World Health Organization (2026)</w:t>
            </w:r>
          </w:p>
        </w:tc>
      </w:tr>
      <w:tr w:rsidR="00E932E0" w14:paraId="2E145B79" w14:textId="77777777" w:rsidTr="00F33728">
        <w:tc>
          <w:tcPr>
            <w:cnfStyle w:val="000010000000" w:firstRow="0" w:lastRow="0" w:firstColumn="0" w:lastColumn="0" w:oddVBand="1" w:evenVBand="0" w:oddHBand="0" w:evenHBand="0" w:firstRowFirstColumn="0" w:firstRowLastColumn="0" w:lastRowFirstColumn="0" w:lastRowLastColumn="0"/>
            <w:tcW w:w="1325" w:type="dxa"/>
          </w:tcPr>
          <w:p w14:paraId="24561F35" w14:textId="77777777" w:rsidR="00E932E0" w:rsidRDefault="00000000">
            <w:pPr>
              <w:pStyle w:val="Compact"/>
              <w:spacing w:after="0" w:line="240" w:lineRule="auto"/>
            </w:pPr>
            <w:r>
              <w:rPr>
                <w:sz w:val="16"/>
              </w:rPr>
              <w:lastRenderedPageBreak/>
              <w:t>BPA / endocrine-active chemicals</w:t>
            </w:r>
          </w:p>
        </w:tc>
        <w:tc>
          <w:tcPr>
            <w:cnfStyle w:val="000001000000" w:firstRow="0" w:lastRow="0" w:firstColumn="0" w:lastColumn="0" w:oddVBand="0" w:evenVBand="1" w:oddHBand="0" w:evenHBand="0" w:firstRowFirstColumn="0" w:firstRowLastColumn="0" w:lastRowFirstColumn="0" w:lastRowLastColumn="0"/>
            <w:tcW w:w="1771" w:type="dxa"/>
          </w:tcPr>
          <w:p w14:paraId="16F80C4C" w14:textId="77777777" w:rsidR="00E932E0" w:rsidRDefault="00000000">
            <w:pPr>
              <w:pStyle w:val="Compact"/>
              <w:spacing w:after="0" w:line="240" w:lineRule="auto"/>
            </w:pPr>
            <w:r>
              <w:rPr>
                <w:sz w:val="16"/>
              </w:rPr>
              <w:t xml:space="preserve">Receptor-mediated endocrine </w:t>
            </w:r>
            <w:proofErr w:type="spellStart"/>
            <w:r>
              <w:rPr>
                <w:sz w:val="16"/>
              </w:rPr>
              <w:t>signalling</w:t>
            </w:r>
            <w:proofErr w:type="spellEnd"/>
            <w:r>
              <w:rPr>
                <w:sz w:val="16"/>
              </w:rPr>
              <w:t xml:space="preserve"> and downstream transcriptional effects</w:t>
            </w:r>
          </w:p>
        </w:tc>
        <w:tc>
          <w:tcPr>
            <w:cnfStyle w:val="000010000000" w:firstRow="0" w:lastRow="0" w:firstColumn="0" w:lastColumn="0" w:oddVBand="1" w:evenVBand="0" w:oddHBand="0" w:evenHBand="0" w:firstRowFirstColumn="0" w:firstRowLastColumn="0" w:lastRowFirstColumn="0" w:lastRowLastColumn="0"/>
            <w:tcW w:w="1483" w:type="dxa"/>
          </w:tcPr>
          <w:p w14:paraId="44FC837F" w14:textId="77777777" w:rsidR="00E932E0" w:rsidRDefault="00000000">
            <w:pPr>
              <w:pStyle w:val="Compact"/>
              <w:spacing w:after="0" w:line="240" w:lineRule="auto"/>
            </w:pPr>
            <w:r>
              <w:rPr>
                <w:sz w:val="16"/>
              </w:rPr>
              <w:t>In vitro, animal and package-migration evidence</w:t>
            </w:r>
          </w:p>
        </w:tc>
        <w:tc>
          <w:tcPr>
            <w:cnfStyle w:val="000001000000" w:firstRow="0" w:lastRow="0" w:firstColumn="0" w:lastColumn="0" w:oddVBand="0" w:evenVBand="1" w:oddHBand="0" w:evenHBand="0" w:firstRowFirstColumn="0" w:firstRowLastColumn="0" w:lastRowFirstColumn="0" w:lastRowLastColumn="0"/>
            <w:tcW w:w="1915" w:type="dxa"/>
          </w:tcPr>
          <w:p w14:paraId="264D6858" w14:textId="77777777" w:rsidR="00E932E0" w:rsidRDefault="00000000">
            <w:pPr>
              <w:pStyle w:val="Compact"/>
              <w:spacing w:after="0" w:line="240" w:lineRule="auto"/>
            </w:pPr>
            <w:r>
              <w:rPr>
                <w:sz w:val="16"/>
              </w:rPr>
              <w:t>BPA source is direct for polycarbonate but uncertain when detected in PET systems.</w:t>
            </w:r>
          </w:p>
        </w:tc>
        <w:tc>
          <w:tcPr>
            <w:cnfStyle w:val="000010000000" w:firstRow="0" w:lastRow="0" w:firstColumn="0" w:lastColumn="0" w:oddVBand="1" w:evenVBand="0" w:oddHBand="0" w:evenHBand="0" w:firstRowFirstColumn="0" w:firstRowLastColumn="0" w:lastRowFirstColumn="0" w:lastRowLastColumn="0"/>
            <w:tcW w:w="1728" w:type="dxa"/>
          </w:tcPr>
          <w:p w14:paraId="02A8BD35" w14:textId="77777777" w:rsidR="00E932E0" w:rsidRDefault="00000000">
            <w:pPr>
              <w:pStyle w:val="Compact"/>
              <w:spacing w:after="0" w:line="240" w:lineRule="auto"/>
            </w:pPr>
            <w:r>
              <w:rPr>
                <w:sz w:val="16"/>
              </w:rPr>
              <w:t>Source-specific exposure must precede clinical inference.</w:t>
            </w:r>
          </w:p>
        </w:tc>
        <w:tc>
          <w:tcPr>
            <w:cnfStyle w:val="000001000000" w:firstRow="0" w:lastRow="0" w:firstColumn="0" w:lastColumn="0" w:oddVBand="0" w:evenVBand="1" w:oddHBand="0" w:evenHBand="0" w:firstRowFirstColumn="0" w:firstRowLastColumn="0" w:lastRowFirstColumn="0" w:lastRowLastColumn="0"/>
            <w:tcW w:w="1440" w:type="dxa"/>
          </w:tcPr>
          <w:p w14:paraId="1E6F4770" w14:textId="77777777" w:rsidR="00E932E0" w:rsidRDefault="00000000">
            <w:pPr>
              <w:pStyle w:val="Compact"/>
              <w:spacing w:after="0" w:line="240" w:lineRule="auto"/>
            </w:pPr>
            <w:r>
              <w:rPr>
                <w:sz w:val="16"/>
              </w:rPr>
              <w:t>Cao &amp; Corriveau (2008); Fan et al. (2014); Le et al. (2008)</w:t>
            </w:r>
          </w:p>
        </w:tc>
      </w:tr>
      <w:tr w:rsidR="00E932E0" w14:paraId="3050E153"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5E05FBE2" w14:textId="77777777" w:rsidR="00E932E0" w:rsidRDefault="00000000">
            <w:pPr>
              <w:pStyle w:val="Compact"/>
              <w:spacing w:after="0" w:line="240" w:lineRule="auto"/>
            </w:pPr>
            <w:r>
              <w:rPr>
                <w:sz w:val="16"/>
              </w:rPr>
              <w:t>Phthalates</w:t>
            </w:r>
          </w:p>
        </w:tc>
        <w:tc>
          <w:tcPr>
            <w:cnfStyle w:val="000001000000" w:firstRow="0" w:lastRow="0" w:firstColumn="0" w:lastColumn="0" w:oddVBand="0" w:evenVBand="1" w:oddHBand="0" w:evenHBand="0" w:firstRowFirstColumn="0" w:firstRowLastColumn="0" w:lastRowFirstColumn="0" w:lastRowLastColumn="0"/>
            <w:tcW w:w="1771" w:type="dxa"/>
          </w:tcPr>
          <w:p w14:paraId="269CFF85" w14:textId="77777777" w:rsidR="00E932E0" w:rsidRDefault="00000000">
            <w:pPr>
              <w:pStyle w:val="Compact"/>
              <w:spacing w:after="0" w:line="240" w:lineRule="auto"/>
            </w:pPr>
            <w:r>
              <w:rPr>
                <w:sz w:val="16"/>
              </w:rPr>
              <w:t xml:space="preserve">Endocrine and metabolic </w:t>
            </w:r>
            <w:proofErr w:type="spellStart"/>
            <w:r>
              <w:rPr>
                <w:sz w:val="16"/>
              </w:rPr>
              <w:t>signalling</w:t>
            </w:r>
            <w:proofErr w:type="spellEnd"/>
            <w:r>
              <w:rPr>
                <w:sz w:val="16"/>
              </w:rPr>
              <w:t xml:space="preserve"> after relevant internal exposure</w:t>
            </w:r>
          </w:p>
        </w:tc>
        <w:tc>
          <w:tcPr>
            <w:cnfStyle w:val="000010000000" w:firstRow="0" w:lastRow="0" w:firstColumn="0" w:lastColumn="0" w:oddVBand="1" w:evenVBand="0" w:oddHBand="0" w:evenHBand="0" w:firstRowFirstColumn="0" w:firstRowLastColumn="0" w:lastRowFirstColumn="0" w:lastRowLastColumn="0"/>
            <w:tcW w:w="1483" w:type="dxa"/>
          </w:tcPr>
          <w:p w14:paraId="700352CD" w14:textId="77777777" w:rsidR="00E932E0" w:rsidRDefault="00000000">
            <w:pPr>
              <w:pStyle w:val="Compact"/>
              <w:spacing w:after="0" w:line="240" w:lineRule="auto"/>
            </w:pPr>
            <w:r>
              <w:rPr>
                <w:sz w:val="16"/>
              </w:rPr>
              <w:t>Targeted bottled-water analyses plus broader toxicology</w:t>
            </w:r>
          </w:p>
        </w:tc>
        <w:tc>
          <w:tcPr>
            <w:cnfStyle w:val="000001000000" w:firstRow="0" w:lastRow="0" w:firstColumn="0" w:lastColumn="0" w:oddVBand="0" w:evenVBand="1" w:oddHBand="0" w:evenHBand="0" w:firstRowFirstColumn="0" w:firstRowLastColumn="0" w:lastRowFirstColumn="0" w:lastRowLastColumn="0"/>
            <w:tcW w:w="1915" w:type="dxa"/>
          </w:tcPr>
          <w:p w14:paraId="4A8C793C" w14:textId="77777777" w:rsidR="00E932E0" w:rsidRDefault="00000000">
            <w:pPr>
              <w:pStyle w:val="Compact"/>
              <w:spacing w:after="0" w:line="240" w:lineRule="auto"/>
            </w:pPr>
            <w:r>
              <w:rPr>
                <w:sz w:val="16"/>
              </w:rPr>
              <w:t>PET provenance is uncertain; external contamination and other package components are plausible.</w:t>
            </w:r>
          </w:p>
        </w:tc>
        <w:tc>
          <w:tcPr>
            <w:cnfStyle w:val="000010000000" w:firstRow="0" w:lastRow="0" w:firstColumn="0" w:lastColumn="0" w:oddVBand="1" w:evenVBand="0" w:oddHBand="0" w:evenHBand="0" w:firstRowFirstColumn="0" w:firstRowLastColumn="0" w:lastRowFirstColumn="0" w:lastRowLastColumn="0"/>
            <w:tcW w:w="1728" w:type="dxa"/>
          </w:tcPr>
          <w:p w14:paraId="0A13C8E5" w14:textId="77777777" w:rsidR="00E932E0" w:rsidRDefault="00000000">
            <w:pPr>
              <w:pStyle w:val="Compact"/>
              <w:spacing w:after="0" w:line="240" w:lineRule="auto"/>
            </w:pPr>
            <w:r>
              <w:rPr>
                <w:sz w:val="16"/>
              </w:rPr>
              <w:t>Detection alone does not define dose or source.</w:t>
            </w:r>
          </w:p>
        </w:tc>
        <w:tc>
          <w:tcPr>
            <w:cnfStyle w:val="000001000000" w:firstRow="0" w:lastRow="0" w:firstColumn="0" w:lastColumn="0" w:oddVBand="0" w:evenVBand="1" w:oddHBand="0" w:evenHBand="0" w:firstRowFirstColumn="0" w:firstRowLastColumn="0" w:lastRowFirstColumn="0" w:lastRowLastColumn="0"/>
            <w:tcW w:w="1440" w:type="dxa"/>
          </w:tcPr>
          <w:p w14:paraId="340EA15B" w14:textId="77777777" w:rsidR="00E932E0" w:rsidRDefault="00000000">
            <w:pPr>
              <w:pStyle w:val="Compact"/>
              <w:spacing w:after="0" w:line="240" w:lineRule="auto"/>
            </w:pPr>
            <w:r>
              <w:rPr>
                <w:sz w:val="16"/>
              </w:rPr>
              <w:t>Keresztes et al. (2013); Montuori et al. (2008); Xu et al. (2020)</w:t>
            </w:r>
          </w:p>
        </w:tc>
      </w:tr>
      <w:tr w:rsidR="00E932E0" w14:paraId="6A9D187E" w14:textId="77777777" w:rsidTr="00F33728">
        <w:tc>
          <w:tcPr>
            <w:cnfStyle w:val="000010000000" w:firstRow="0" w:lastRow="0" w:firstColumn="0" w:lastColumn="0" w:oddVBand="1" w:evenVBand="0" w:oddHBand="0" w:evenHBand="0" w:firstRowFirstColumn="0" w:firstRowLastColumn="0" w:lastRowFirstColumn="0" w:lastRowLastColumn="0"/>
            <w:tcW w:w="1325" w:type="dxa"/>
          </w:tcPr>
          <w:p w14:paraId="29E0E8A6" w14:textId="77777777" w:rsidR="00E932E0" w:rsidRDefault="00000000">
            <w:pPr>
              <w:pStyle w:val="Compact"/>
              <w:spacing w:after="0" w:line="240" w:lineRule="auto"/>
            </w:pPr>
            <w:r>
              <w:rPr>
                <w:sz w:val="16"/>
              </w:rPr>
              <w:t>NIAS / chemical mixtures</w:t>
            </w:r>
          </w:p>
        </w:tc>
        <w:tc>
          <w:tcPr>
            <w:cnfStyle w:val="000001000000" w:firstRow="0" w:lastRow="0" w:firstColumn="0" w:lastColumn="0" w:oddVBand="0" w:evenVBand="1" w:oddHBand="0" w:evenHBand="0" w:firstRowFirstColumn="0" w:firstRowLastColumn="0" w:lastRowFirstColumn="0" w:lastRowLastColumn="0"/>
            <w:tcW w:w="1771" w:type="dxa"/>
          </w:tcPr>
          <w:p w14:paraId="3449E453" w14:textId="77777777" w:rsidR="00E932E0" w:rsidRDefault="00000000">
            <w:pPr>
              <w:pStyle w:val="Compact"/>
              <w:spacing w:after="0" w:line="240" w:lineRule="auto"/>
            </w:pPr>
            <w:r>
              <w:rPr>
                <w:sz w:val="16"/>
              </w:rPr>
              <w:t>Baseline cytotoxicity, oxidative stress or receptor activity from multiple constituents</w:t>
            </w:r>
          </w:p>
        </w:tc>
        <w:tc>
          <w:tcPr>
            <w:cnfStyle w:val="000010000000" w:firstRow="0" w:lastRow="0" w:firstColumn="0" w:lastColumn="0" w:oddVBand="1" w:evenVBand="0" w:oddHBand="0" w:evenHBand="0" w:firstRowFirstColumn="0" w:firstRowLastColumn="0" w:lastRowFirstColumn="0" w:lastRowLastColumn="0"/>
            <w:tcW w:w="1483" w:type="dxa"/>
          </w:tcPr>
          <w:p w14:paraId="11C90A97" w14:textId="77777777" w:rsidR="00E932E0" w:rsidRDefault="00000000">
            <w:pPr>
              <w:pStyle w:val="Compact"/>
              <w:spacing w:after="0" w:line="240" w:lineRule="auto"/>
            </w:pPr>
            <w:r>
              <w:rPr>
                <w:sz w:val="16"/>
              </w:rPr>
              <w:t>Non-target chemistry and in vitro bioassays</w:t>
            </w:r>
          </w:p>
        </w:tc>
        <w:tc>
          <w:tcPr>
            <w:cnfStyle w:val="000001000000" w:firstRow="0" w:lastRow="0" w:firstColumn="0" w:lastColumn="0" w:oddVBand="0" w:evenVBand="1" w:oddHBand="0" w:evenHBand="0" w:firstRowFirstColumn="0" w:firstRowLastColumn="0" w:lastRowFirstColumn="0" w:lastRowLastColumn="0"/>
            <w:tcW w:w="1915" w:type="dxa"/>
          </w:tcPr>
          <w:p w14:paraId="68A7EC70" w14:textId="77777777" w:rsidR="00E932E0" w:rsidRDefault="00000000">
            <w:pPr>
              <w:pStyle w:val="Compact"/>
              <w:spacing w:after="0" w:line="240" w:lineRule="auto"/>
            </w:pPr>
            <w:r>
              <w:rPr>
                <w:sz w:val="16"/>
              </w:rPr>
              <w:t>Extract concentrations and solvent systems may exceed water exposure.</w:t>
            </w:r>
          </w:p>
        </w:tc>
        <w:tc>
          <w:tcPr>
            <w:cnfStyle w:val="000010000000" w:firstRow="0" w:lastRow="0" w:firstColumn="0" w:lastColumn="0" w:oddVBand="1" w:evenVBand="0" w:oddHBand="0" w:evenHBand="0" w:firstRowFirstColumn="0" w:firstRowLastColumn="0" w:lastRowFirstColumn="0" w:lastRowLastColumn="0"/>
            <w:tcW w:w="1728" w:type="dxa"/>
          </w:tcPr>
          <w:p w14:paraId="0D267DA0" w14:textId="77777777" w:rsidR="00E932E0" w:rsidRDefault="00000000">
            <w:pPr>
              <w:pStyle w:val="Compact"/>
              <w:spacing w:after="0" w:line="240" w:lineRule="auto"/>
            </w:pPr>
            <w:r>
              <w:rPr>
                <w:sz w:val="16"/>
              </w:rPr>
              <w:t>Useful for screening; requires effect-directed identification and dose comparison.</w:t>
            </w:r>
          </w:p>
        </w:tc>
        <w:tc>
          <w:tcPr>
            <w:cnfStyle w:val="000001000000" w:firstRow="0" w:lastRow="0" w:firstColumn="0" w:lastColumn="0" w:oddVBand="0" w:evenVBand="1" w:oddHBand="0" w:evenHBand="0" w:firstRowFirstColumn="0" w:firstRowLastColumn="0" w:lastRowFirstColumn="0" w:lastRowLastColumn="0"/>
            <w:tcW w:w="1440" w:type="dxa"/>
          </w:tcPr>
          <w:p w14:paraId="18AE1D0C" w14:textId="77777777" w:rsidR="00E932E0" w:rsidRDefault="00000000">
            <w:pPr>
              <w:pStyle w:val="Compact"/>
              <w:spacing w:after="0" w:line="240" w:lineRule="auto"/>
            </w:pPr>
            <w:r>
              <w:rPr>
                <w:sz w:val="16"/>
              </w:rPr>
              <w:t>Tisler &amp; Christensen (2022); Zimmermann et al. (2019, 2021)</w:t>
            </w:r>
          </w:p>
        </w:tc>
      </w:tr>
      <w:tr w:rsidR="00E932E0" w14:paraId="07581DE5"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27C19063" w14:textId="77777777" w:rsidR="00E932E0" w:rsidRDefault="00000000">
            <w:pPr>
              <w:pStyle w:val="Compact"/>
              <w:spacing w:after="0" w:line="240" w:lineRule="auto"/>
            </w:pPr>
            <w:r>
              <w:rPr>
                <w:sz w:val="16"/>
              </w:rPr>
              <w:t xml:space="preserve">Micro- and </w:t>
            </w:r>
            <w:proofErr w:type="spellStart"/>
            <w:r>
              <w:rPr>
                <w:sz w:val="16"/>
              </w:rPr>
              <w:t>nanoplastics</w:t>
            </w:r>
            <w:proofErr w:type="spellEnd"/>
          </w:p>
        </w:tc>
        <w:tc>
          <w:tcPr>
            <w:cnfStyle w:val="000001000000" w:firstRow="0" w:lastRow="0" w:firstColumn="0" w:lastColumn="0" w:oddVBand="0" w:evenVBand="1" w:oddHBand="0" w:evenHBand="0" w:firstRowFirstColumn="0" w:firstRowLastColumn="0" w:lastRowFirstColumn="0" w:lastRowLastColumn="0"/>
            <w:tcW w:w="1771" w:type="dxa"/>
          </w:tcPr>
          <w:p w14:paraId="47CCEE0C" w14:textId="77777777" w:rsidR="00E932E0" w:rsidRDefault="00000000">
            <w:pPr>
              <w:pStyle w:val="Compact"/>
              <w:spacing w:after="0" w:line="240" w:lineRule="auto"/>
            </w:pPr>
            <w:r>
              <w:rPr>
                <w:sz w:val="16"/>
              </w:rPr>
              <w:t>Epithelial interaction, oxidative stress, inflammation, organelle perturbation; possible size-dependent translocation</w:t>
            </w:r>
          </w:p>
        </w:tc>
        <w:tc>
          <w:tcPr>
            <w:cnfStyle w:val="000010000000" w:firstRow="0" w:lastRow="0" w:firstColumn="0" w:lastColumn="0" w:oddVBand="1" w:evenVBand="0" w:oddHBand="0" w:evenHBand="0" w:firstRowFirstColumn="0" w:firstRowLastColumn="0" w:lastRowFirstColumn="0" w:lastRowLastColumn="0"/>
            <w:tcW w:w="1483" w:type="dxa"/>
          </w:tcPr>
          <w:p w14:paraId="1BD51229" w14:textId="77777777" w:rsidR="00E932E0" w:rsidRDefault="00000000">
            <w:pPr>
              <w:pStyle w:val="Compact"/>
              <w:spacing w:after="0" w:line="240" w:lineRule="auto"/>
            </w:pPr>
            <w:r>
              <w:rPr>
                <w:sz w:val="16"/>
              </w:rPr>
              <w:t>Cell, animal and mechanistic reviews</w:t>
            </w:r>
          </w:p>
        </w:tc>
        <w:tc>
          <w:tcPr>
            <w:cnfStyle w:val="000001000000" w:firstRow="0" w:lastRow="0" w:firstColumn="0" w:lastColumn="0" w:oddVBand="0" w:evenVBand="1" w:oddHBand="0" w:evenHBand="0" w:firstRowFirstColumn="0" w:firstRowLastColumn="0" w:lastRowFirstColumn="0" w:lastRowLastColumn="0"/>
            <w:tcW w:w="1915" w:type="dxa"/>
          </w:tcPr>
          <w:p w14:paraId="58267387" w14:textId="77777777" w:rsidR="00E932E0" w:rsidRDefault="00000000">
            <w:pPr>
              <w:pStyle w:val="Compact"/>
              <w:spacing w:after="0" w:line="240" w:lineRule="auto"/>
            </w:pPr>
            <w:r>
              <w:rPr>
                <w:sz w:val="16"/>
              </w:rPr>
              <w:t>Model particles and high doses often differ from bottle-derived exposure.</w:t>
            </w:r>
          </w:p>
        </w:tc>
        <w:tc>
          <w:tcPr>
            <w:cnfStyle w:val="000010000000" w:firstRow="0" w:lastRow="0" w:firstColumn="0" w:lastColumn="0" w:oddVBand="1" w:evenVBand="0" w:oddHBand="0" w:evenHBand="0" w:firstRowFirstColumn="0" w:firstRowLastColumn="0" w:lastRowFirstColumn="0" w:lastRowLastColumn="0"/>
            <w:tcW w:w="1728" w:type="dxa"/>
          </w:tcPr>
          <w:p w14:paraId="562AEA91" w14:textId="77777777" w:rsidR="00E932E0" w:rsidRDefault="00000000">
            <w:pPr>
              <w:pStyle w:val="Compact"/>
              <w:spacing w:after="0" w:line="240" w:lineRule="auto"/>
            </w:pPr>
            <w:r>
              <w:rPr>
                <w:sz w:val="16"/>
              </w:rPr>
              <w:t>Biological plausibility is stronger than quantitative human risk evidence.</w:t>
            </w:r>
          </w:p>
        </w:tc>
        <w:tc>
          <w:tcPr>
            <w:cnfStyle w:val="000001000000" w:firstRow="0" w:lastRow="0" w:firstColumn="0" w:lastColumn="0" w:oddVBand="0" w:evenVBand="1" w:oddHBand="0" w:evenHBand="0" w:firstRowFirstColumn="0" w:firstRowLastColumn="0" w:lastRowFirstColumn="0" w:lastRowLastColumn="0"/>
            <w:tcW w:w="1440" w:type="dxa"/>
          </w:tcPr>
          <w:p w14:paraId="4775A56D" w14:textId="77777777" w:rsidR="00E932E0" w:rsidRDefault="00000000">
            <w:pPr>
              <w:pStyle w:val="Compact"/>
              <w:spacing w:after="0" w:line="240" w:lineRule="auto"/>
            </w:pPr>
            <w:proofErr w:type="spellStart"/>
            <w:r>
              <w:rPr>
                <w:sz w:val="16"/>
              </w:rPr>
              <w:t>Prüst</w:t>
            </w:r>
            <w:proofErr w:type="spellEnd"/>
            <w:r>
              <w:rPr>
                <w:sz w:val="16"/>
              </w:rPr>
              <w:t xml:space="preserve"> et al. (2020); Yong et al. (2020)</w:t>
            </w:r>
          </w:p>
        </w:tc>
      </w:tr>
      <w:tr w:rsidR="00E932E0" w14:paraId="56186F35" w14:textId="77777777" w:rsidTr="00F33728">
        <w:tc>
          <w:tcPr>
            <w:cnfStyle w:val="000010000000" w:firstRow="0" w:lastRow="0" w:firstColumn="0" w:lastColumn="0" w:oddVBand="1" w:evenVBand="0" w:oddHBand="0" w:evenHBand="0" w:firstRowFirstColumn="0" w:firstRowLastColumn="0" w:lastRowFirstColumn="0" w:lastRowLastColumn="0"/>
            <w:tcW w:w="1325" w:type="dxa"/>
          </w:tcPr>
          <w:p w14:paraId="5A7F7EC1" w14:textId="77777777" w:rsidR="00E932E0" w:rsidRDefault="00000000">
            <w:pPr>
              <w:pStyle w:val="Compact"/>
              <w:spacing w:after="0" w:line="240" w:lineRule="auto"/>
            </w:pPr>
            <w:r>
              <w:rPr>
                <w:sz w:val="16"/>
              </w:rPr>
              <w:t>Cap-derived particles</w:t>
            </w:r>
          </w:p>
        </w:tc>
        <w:tc>
          <w:tcPr>
            <w:cnfStyle w:val="000001000000" w:firstRow="0" w:lastRow="0" w:firstColumn="0" w:lastColumn="0" w:oddVBand="0" w:evenVBand="1" w:oddHBand="0" w:evenHBand="0" w:firstRowFirstColumn="0" w:firstRowLastColumn="0" w:lastRowFirstColumn="0" w:lastRowLastColumn="0"/>
            <w:tcW w:w="1771" w:type="dxa"/>
          </w:tcPr>
          <w:p w14:paraId="682EA487" w14:textId="77777777" w:rsidR="00E932E0" w:rsidRDefault="00000000">
            <w:pPr>
              <w:pStyle w:val="Compact"/>
              <w:spacing w:after="0" w:line="240" w:lineRule="auto"/>
            </w:pPr>
            <w:r>
              <w:rPr>
                <w:sz w:val="16"/>
              </w:rPr>
              <w:t xml:space="preserve">Oxidative stress, inflammatory </w:t>
            </w:r>
            <w:proofErr w:type="spellStart"/>
            <w:r>
              <w:rPr>
                <w:sz w:val="16"/>
              </w:rPr>
              <w:t>signalling</w:t>
            </w:r>
            <w:proofErr w:type="spellEnd"/>
            <w:r>
              <w:rPr>
                <w:sz w:val="16"/>
              </w:rPr>
              <w:t xml:space="preserve"> and organelle disturbance in exposed cells</w:t>
            </w:r>
          </w:p>
        </w:tc>
        <w:tc>
          <w:tcPr>
            <w:cnfStyle w:val="000010000000" w:firstRow="0" w:lastRow="0" w:firstColumn="0" w:lastColumn="0" w:oddVBand="1" w:evenVBand="0" w:oddHBand="0" w:evenHBand="0" w:firstRowFirstColumn="0" w:firstRowLastColumn="0" w:lastRowFirstColumn="0" w:lastRowLastColumn="0"/>
            <w:tcW w:w="1483" w:type="dxa"/>
          </w:tcPr>
          <w:p w14:paraId="606AB6E4" w14:textId="77777777" w:rsidR="00E932E0" w:rsidRDefault="00000000">
            <w:pPr>
              <w:pStyle w:val="Compact"/>
              <w:spacing w:after="0" w:line="240" w:lineRule="auto"/>
            </w:pPr>
            <w:r>
              <w:rPr>
                <w:sz w:val="16"/>
              </w:rPr>
              <w:t>Bottle-derived particle cell experiment</w:t>
            </w:r>
          </w:p>
        </w:tc>
        <w:tc>
          <w:tcPr>
            <w:cnfStyle w:val="000001000000" w:firstRow="0" w:lastRow="0" w:firstColumn="0" w:lastColumn="0" w:oddVBand="0" w:evenVBand="1" w:oddHBand="0" w:evenHBand="0" w:firstRowFirstColumn="0" w:firstRowLastColumn="0" w:lastRowFirstColumn="0" w:lastRowLastColumn="0"/>
            <w:tcW w:w="1915" w:type="dxa"/>
          </w:tcPr>
          <w:p w14:paraId="78F73F96" w14:textId="77777777" w:rsidR="00E932E0" w:rsidRDefault="00000000">
            <w:pPr>
              <w:pStyle w:val="Compact"/>
              <w:spacing w:after="0" w:line="240" w:lineRule="auto"/>
            </w:pPr>
            <w:r>
              <w:rPr>
                <w:sz w:val="16"/>
              </w:rPr>
              <w:t>Experimental milligram-per-</w:t>
            </w:r>
            <w:proofErr w:type="spellStart"/>
            <w:r>
              <w:rPr>
                <w:sz w:val="16"/>
              </w:rPr>
              <w:t>millilitre</w:t>
            </w:r>
            <w:proofErr w:type="spellEnd"/>
            <w:r>
              <w:rPr>
                <w:sz w:val="16"/>
              </w:rPr>
              <w:t xml:space="preserve"> doses are not equivalent to drinking exposure.</w:t>
            </w:r>
          </w:p>
        </w:tc>
        <w:tc>
          <w:tcPr>
            <w:cnfStyle w:val="000010000000" w:firstRow="0" w:lastRow="0" w:firstColumn="0" w:lastColumn="0" w:oddVBand="1" w:evenVBand="0" w:oddHBand="0" w:evenHBand="0" w:firstRowFirstColumn="0" w:firstRowLastColumn="0" w:lastRowFirstColumn="0" w:lastRowLastColumn="0"/>
            <w:tcW w:w="1728" w:type="dxa"/>
          </w:tcPr>
          <w:p w14:paraId="404F59E0" w14:textId="77777777" w:rsidR="00E932E0" w:rsidRDefault="00000000">
            <w:pPr>
              <w:pStyle w:val="Compact"/>
              <w:spacing w:after="0" w:line="240" w:lineRule="auto"/>
            </w:pPr>
            <w:r>
              <w:rPr>
                <w:sz w:val="16"/>
              </w:rPr>
              <w:t>Supports hazard testing, not a clinical diagnosis.</w:t>
            </w:r>
          </w:p>
        </w:tc>
        <w:tc>
          <w:tcPr>
            <w:cnfStyle w:val="000001000000" w:firstRow="0" w:lastRow="0" w:firstColumn="0" w:lastColumn="0" w:oddVBand="0" w:evenVBand="1" w:oddHBand="0" w:evenHBand="0" w:firstRowFirstColumn="0" w:firstRowLastColumn="0" w:lastRowFirstColumn="0" w:lastRowLastColumn="0"/>
            <w:tcW w:w="1440" w:type="dxa"/>
          </w:tcPr>
          <w:p w14:paraId="3F37ADEF" w14:textId="77777777" w:rsidR="00E932E0" w:rsidRDefault="00000000">
            <w:pPr>
              <w:pStyle w:val="Compact"/>
              <w:spacing w:after="0" w:line="240" w:lineRule="auto"/>
            </w:pPr>
            <w:proofErr w:type="spellStart"/>
            <w:r>
              <w:rPr>
                <w:sz w:val="16"/>
              </w:rPr>
              <w:t>Changmai</w:t>
            </w:r>
            <w:proofErr w:type="spellEnd"/>
            <w:r>
              <w:rPr>
                <w:sz w:val="16"/>
              </w:rPr>
              <w:t xml:space="preserve"> et al. (2026)</w:t>
            </w:r>
          </w:p>
        </w:tc>
      </w:tr>
    </w:tbl>
    <w:p w14:paraId="026F25BD" w14:textId="77777777" w:rsidR="00E932E0" w:rsidRDefault="00000000">
      <w:pPr>
        <w:pStyle w:val="BodyText"/>
        <w:spacing w:before="40" w:after="120" w:line="240" w:lineRule="auto"/>
      </w:pPr>
      <w:r>
        <w:rPr>
          <w:i/>
          <w:iCs/>
          <w:sz w:val="17"/>
        </w:rPr>
        <w:t>Note.</w:t>
      </w:r>
      <w:r>
        <w:rPr>
          <w:sz w:val="17"/>
        </w:rPr>
        <w:t xml:space="preserve"> The table distinguishes evidence of biological hazard from evidence that ordinary bottled-water exposure produces a clinically important internal dose.</w:t>
      </w:r>
    </w:p>
    <w:p w14:paraId="7D078332" w14:textId="77777777" w:rsidR="00E932E0" w:rsidRDefault="00000000">
      <w:pPr>
        <w:pStyle w:val="Heading1"/>
      </w:pPr>
      <w:bookmarkStart w:id="13" w:name="Xf3c162faf06bb77cc1eea80f5080ba6dc3f9e59"/>
      <w:bookmarkEnd w:id="12"/>
      <w:r>
        <w:rPr>
          <w:rFonts w:ascii="Times New Roman" w:hAnsi="Times New Roman"/>
        </w:rPr>
        <w:t>6. Ecological Impacts across the Bottle Life Cycle</w:t>
      </w:r>
    </w:p>
    <w:p w14:paraId="24411692" w14:textId="77777777" w:rsidR="00E932E0" w:rsidRDefault="00000000">
      <w:pPr>
        <w:pStyle w:val="FirstParagraph"/>
        <w:spacing w:after="100"/>
        <w:ind w:firstLine="360"/>
        <w:jc w:val="both"/>
      </w:pPr>
      <w:r>
        <w:t xml:space="preserve">The ecological question begins after the contained-water exposure question ends. A bottle discarded or lost to the environment is no longer experiencing food-contact conditions. Ultraviolet radiation, temperature cycling, abrasion, biofilm formation, hydrolysis and oxidation progressively alter its surface and can change both chemical leaching and fragmentation. This environmental ageing may release dissolved organic compounds, additives, residual catalysts and micro- or </w:t>
      </w:r>
      <w:proofErr w:type="spellStart"/>
      <w:r>
        <w:t>nanoplastic</w:t>
      </w:r>
      <w:proofErr w:type="spellEnd"/>
      <w:r>
        <w:t xml:space="preserve"> particles. It is therefore inappropriate to use a short-term migration study of intact food-grade PET as a complete model of environmental leachate. Conversely, it is equally inappropriate to use toxicity from a highly additive-rich polymer such as flexible PVC as if it demonstrated the toxicity of weathered PET bottles.</w:t>
      </w:r>
    </w:p>
    <w:p w14:paraId="700B9DC0" w14:textId="77777777" w:rsidR="00E932E0" w:rsidRDefault="00000000">
      <w:pPr>
        <w:pStyle w:val="BodyText"/>
        <w:spacing w:after="100"/>
        <w:ind w:firstLine="360"/>
        <w:jc w:val="both"/>
      </w:pPr>
      <w:r>
        <w:t xml:space="preserve">Leachate experiments demonstrate marked polymer specificity. </w:t>
      </w:r>
      <w:proofErr w:type="spellStart"/>
      <w:r>
        <w:t>Bejgarn</w:t>
      </w:r>
      <w:proofErr w:type="spellEnd"/>
      <w:r>
        <w:t xml:space="preserve"> et al. (2015) screened leachates from weathered plastics with the copepod </w:t>
      </w:r>
      <w:proofErr w:type="spellStart"/>
      <w:r>
        <w:rPr>
          <w:i/>
          <w:iCs/>
        </w:rPr>
        <w:t>Nitocra</w:t>
      </w:r>
      <w:proofErr w:type="spellEnd"/>
      <w:r>
        <w:rPr>
          <w:i/>
          <w:iCs/>
        </w:rPr>
        <w:t xml:space="preserve"> </w:t>
      </w:r>
      <w:proofErr w:type="spellStart"/>
      <w:r>
        <w:rPr>
          <w:i/>
          <w:iCs/>
        </w:rPr>
        <w:t>spinipes</w:t>
      </w:r>
      <w:proofErr w:type="spellEnd"/>
      <w:r>
        <w:t xml:space="preserve"> and found substantial variation among materials and weathering conditions. Capolupo et al. (2020) compared chemical composition and ecotoxicity of plastic and </w:t>
      </w:r>
      <w:proofErr w:type="spellStart"/>
      <w:r>
        <w:t>tyre</w:t>
      </w:r>
      <w:proofErr w:type="spellEnd"/>
      <w:r>
        <w:t xml:space="preserve">-rubber leachates and showed that some materials produced far stronger biological effects than others. Such findings support the general proposition that weathering can </w:t>
      </w:r>
      <w:proofErr w:type="spellStart"/>
      <w:r>
        <w:t>mobilise</w:t>
      </w:r>
      <w:proofErr w:type="spellEnd"/>
      <w:r>
        <w:t xml:space="preserve"> biologically active chemicals, but they argue against a single "plastic leachate toxicity" value. PET often exhibits lower acute leachate toxicity than some heavily compounded materials in comparative studies, although low acute toxicity does not exclude chronic effects, particle-mediated effects or consequences of persistent litter.</w:t>
      </w:r>
    </w:p>
    <w:p w14:paraId="08AFD03B" w14:textId="77777777" w:rsidR="00E932E0" w:rsidRDefault="00000000">
      <w:pPr>
        <w:pStyle w:val="BodyText"/>
        <w:spacing w:after="100"/>
        <w:ind w:firstLine="360"/>
        <w:jc w:val="both"/>
      </w:pPr>
      <w:r>
        <w:t xml:space="preserve">Effects on microorganisms and primary producers also depend on polymer chemistry. Tetu et al. (2019) reported impaired growth and oxygen production in the marine cyanobacterium </w:t>
      </w:r>
      <w:r>
        <w:rPr>
          <w:i/>
          <w:iCs/>
        </w:rPr>
        <w:t>Prochlorococcus</w:t>
      </w:r>
      <w:r>
        <w:t xml:space="preserve"> after exposure to leachates from polyethylene and polyvinyl chloride products. This study is frequently invoked as evidence that "plastic bottles" can inhibit marine photosynthesis, but the tested polymers were not PET water bottles. It is mechanistically relevant because it demonstrates that leached additives or degradation products can alter microbial physiology, yet direct application to PET requires PET-specific leachate data. Romera-Castillo et al. (2018), by contrast, showed that dissolved organic carbon leached from plastics can stimulate heterotrophic microbial activity, illustrating that leachates can modify ecosystem processes without fitting a simple toxic-versus-nontoxic binary.</w:t>
      </w:r>
    </w:p>
    <w:p w14:paraId="5BD4161D" w14:textId="77777777" w:rsidR="00E932E0" w:rsidRDefault="00000000">
      <w:pPr>
        <w:pStyle w:val="BodyText"/>
        <w:spacing w:after="100"/>
        <w:ind w:firstLine="360"/>
        <w:jc w:val="both"/>
      </w:pPr>
      <w:r>
        <w:lastRenderedPageBreak/>
        <w:t xml:space="preserve">Particles generated from bottles create a second ecological pathway. Fragmentation increases surface area and extends persistence across size classes that are available to different organisms. The same analytical limitations seen in drinking-water studies apply in environmental matrices, with </w:t>
      </w:r>
      <w:proofErr w:type="spellStart"/>
      <w:r>
        <w:t>nanoplastics</w:t>
      </w:r>
      <w:proofErr w:type="spellEnd"/>
      <w:r>
        <w:t xml:space="preserve"> especially difficult to quantify. Ecological risk also depends on exposure concentration, residence time, sedimentation, biofouling and food-web transfer. Laboratory exposures may exceed environmental concentrations to reveal mechanism, while field observations often cannot isolate bottle-derived PET from mixed plastic pollution. The bottle-specific ecological footprint therefore includes both material-specific chemical release and the broader persistence of plastic litter, but attribution to a particular consumer bottle requires polymer and source tracing.</w:t>
      </w:r>
    </w:p>
    <w:p w14:paraId="72613697" w14:textId="77777777" w:rsidR="00E932E0" w:rsidRDefault="00000000">
      <w:pPr>
        <w:pStyle w:val="BodyText"/>
        <w:spacing w:after="100"/>
        <w:ind w:firstLine="360"/>
        <w:jc w:val="both"/>
      </w:pPr>
      <w:r>
        <w:t>Recycling can reduce demand for virgin polymer and litter pressure but introduces a chemical-quality trade-off that should be managed rather than ignored. Recycled PET intended for food contact requires effective decontamination because post-consumer feedstock can include non-food containers or misuse contaminants. Studies of recycled-content bottles indicate that well-controlled processes can produce migration compliant with food-contact requirements, yet the value chain contains potential contamination points and variable feedstock quality (</w:t>
      </w:r>
      <w:proofErr w:type="spellStart"/>
      <w:r>
        <w:t>Gerassimidou</w:t>
      </w:r>
      <w:proofErr w:type="spellEnd"/>
      <w:r>
        <w:t xml:space="preserve"> et al., 2022; Thoden van Velzen et al., 2020). A circular-economy strategy is therefore not simply a choice between chemical safety and recycling. It requires design-for-recycling, feedstock control, validated decontamination and surveillance for NIAS.</w:t>
      </w:r>
    </w:p>
    <w:p w14:paraId="167839D1" w14:textId="77777777" w:rsidR="00E932E0" w:rsidRDefault="00000000">
      <w:pPr>
        <w:pStyle w:val="BodyText"/>
        <w:spacing w:after="100"/>
        <w:ind w:firstLine="360"/>
        <w:jc w:val="both"/>
      </w:pPr>
      <w:r>
        <w:t xml:space="preserve">Table 4 </w:t>
      </w:r>
      <w:proofErr w:type="spellStart"/>
      <w:r>
        <w:t>summarises</w:t>
      </w:r>
      <w:proofErr w:type="spellEnd"/>
      <w:r>
        <w:t xml:space="preserve"> ecological pathways and the limits on extrapolation. The main lesson is that polymer identity and environmental context determine whether leachate chemistry, particle fragmentation or physical litter dominates the observed effect. Ecological findings should inform bottle design and end-of-life policy, but they should not be used as direct evidence of human clinical toxicity from drinking bottled water.</w:t>
      </w:r>
    </w:p>
    <w:p w14:paraId="1D4EBD40" w14:textId="77777777" w:rsidR="00E932E0" w:rsidRDefault="00000000">
      <w:pPr>
        <w:pStyle w:val="BodyText"/>
        <w:keepNext/>
        <w:spacing w:before="140" w:after="20"/>
      </w:pPr>
      <w:r>
        <w:rPr>
          <w:b/>
          <w:bCs/>
          <w:sz w:val="20"/>
        </w:rPr>
        <w:t>Table 4</w:t>
      </w:r>
    </w:p>
    <w:p w14:paraId="70BF0E2C" w14:textId="77777777" w:rsidR="00E932E0" w:rsidRDefault="00000000">
      <w:pPr>
        <w:pStyle w:val="BodyText"/>
        <w:keepNext/>
        <w:spacing w:after="60"/>
      </w:pPr>
      <w:r>
        <w:rPr>
          <w:i/>
          <w:iCs/>
          <w:sz w:val="20"/>
        </w:rPr>
        <w:t>Ecological pathways of chemical and particle release from plastic bottle materials</w:t>
      </w:r>
    </w:p>
    <w:tbl>
      <w:tblPr>
        <w:tblStyle w:val="PlainTable2"/>
        <w:tblW w:w="0" w:type="auto"/>
        <w:tblLayout w:type="fixed"/>
        <w:tblLook w:val="0020" w:firstRow="1" w:lastRow="0" w:firstColumn="0" w:lastColumn="0" w:noHBand="0" w:noVBand="0"/>
      </w:tblPr>
      <w:tblGrid>
        <w:gridCol w:w="1411"/>
        <w:gridCol w:w="1944"/>
        <w:gridCol w:w="1267"/>
        <w:gridCol w:w="1901"/>
        <w:gridCol w:w="1584"/>
        <w:gridCol w:w="1584"/>
      </w:tblGrid>
      <w:tr w:rsidR="00E932E0" w14:paraId="7D751DCB"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6C8FAA96" w14:textId="77777777" w:rsidR="00E932E0" w:rsidRDefault="00000000">
            <w:pPr>
              <w:pStyle w:val="Compact"/>
              <w:spacing w:after="0" w:line="240" w:lineRule="auto"/>
              <w:jc w:val="center"/>
            </w:pPr>
            <w:r>
              <w:rPr>
                <w:sz w:val="16"/>
              </w:rPr>
              <w:t>Ecological pathway</w:t>
            </w:r>
          </w:p>
        </w:tc>
        <w:tc>
          <w:tcPr>
            <w:cnfStyle w:val="000001000000" w:firstRow="0" w:lastRow="0" w:firstColumn="0" w:lastColumn="0" w:oddVBand="0" w:evenVBand="1" w:oddHBand="0" w:evenHBand="0" w:firstRowFirstColumn="0" w:firstRowLastColumn="0" w:lastRowFirstColumn="0" w:lastRowLastColumn="0"/>
            <w:tcW w:w="1944" w:type="dxa"/>
          </w:tcPr>
          <w:p w14:paraId="5E903F64" w14:textId="77777777" w:rsidR="00E932E0" w:rsidRDefault="00000000">
            <w:pPr>
              <w:pStyle w:val="Compact"/>
              <w:spacing w:after="0" w:line="240" w:lineRule="auto"/>
              <w:jc w:val="center"/>
            </w:pPr>
            <w:r>
              <w:rPr>
                <w:sz w:val="16"/>
              </w:rPr>
              <w:t>Representative evidence</w:t>
            </w:r>
          </w:p>
        </w:tc>
        <w:tc>
          <w:tcPr>
            <w:cnfStyle w:val="000010000000" w:firstRow="0" w:lastRow="0" w:firstColumn="0" w:lastColumn="0" w:oddVBand="1" w:evenVBand="0" w:oddHBand="0" w:evenHBand="0" w:firstRowFirstColumn="0" w:firstRowLastColumn="0" w:lastRowFirstColumn="0" w:lastRowLastColumn="0"/>
            <w:tcW w:w="1267" w:type="dxa"/>
          </w:tcPr>
          <w:p w14:paraId="5EDCC5C1" w14:textId="77777777" w:rsidR="00E932E0" w:rsidRDefault="00000000">
            <w:pPr>
              <w:pStyle w:val="Compact"/>
              <w:spacing w:after="0" w:line="240" w:lineRule="auto"/>
              <w:jc w:val="center"/>
            </w:pPr>
            <w:r>
              <w:rPr>
                <w:sz w:val="16"/>
              </w:rPr>
              <w:t>Interpretive strength</w:t>
            </w:r>
          </w:p>
        </w:tc>
        <w:tc>
          <w:tcPr>
            <w:cnfStyle w:val="000001000000" w:firstRow="0" w:lastRow="0" w:firstColumn="0" w:lastColumn="0" w:oddVBand="0" w:evenVBand="1" w:oddHBand="0" w:evenHBand="0" w:firstRowFirstColumn="0" w:firstRowLastColumn="0" w:lastRowFirstColumn="0" w:lastRowLastColumn="0"/>
            <w:tcW w:w="1901" w:type="dxa"/>
          </w:tcPr>
          <w:p w14:paraId="569B6291" w14:textId="77777777" w:rsidR="00E932E0" w:rsidRDefault="00000000">
            <w:pPr>
              <w:pStyle w:val="Compact"/>
              <w:spacing w:after="0" w:line="240" w:lineRule="auto"/>
              <w:jc w:val="center"/>
            </w:pPr>
            <w:r>
              <w:rPr>
                <w:sz w:val="16"/>
              </w:rPr>
              <w:t>Key uncertainty / limitation</w:t>
            </w:r>
          </w:p>
        </w:tc>
        <w:tc>
          <w:tcPr>
            <w:cnfStyle w:val="000010000000" w:firstRow="0" w:lastRow="0" w:firstColumn="0" w:lastColumn="0" w:oddVBand="1" w:evenVBand="0" w:oddHBand="0" w:evenHBand="0" w:firstRowFirstColumn="0" w:firstRowLastColumn="0" w:lastRowFirstColumn="0" w:lastRowLastColumn="0"/>
            <w:tcW w:w="1584" w:type="dxa"/>
          </w:tcPr>
          <w:p w14:paraId="22212C45" w14:textId="77777777" w:rsidR="00E932E0" w:rsidRDefault="00000000">
            <w:pPr>
              <w:pStyle w:val="Compact"/>
              <w:spacing w:after="0" w:line="240" w:lineRule="auto"/>
              <w:jc w:val="center"/>
            </w:pPr>
            <w:r>
              <w:rPr>
                <w:sz w:val="16"/>
              </w:rPr>
              <w:t>Implication</w:t>
            </w:r>
          </w:p>
        </w:tc>
        <w:tc>
          <w:tcPr>
            <w:cnfStyle w:val="000001000000" w:firstRow="0" w:lastRow="0" w:firstColumn="0" w:lastColumn="0" w:oddVBand="0" w:evenVBand="1" w:oddHBand="0" w:evenHBand="0" w:firstRowFirstColumn="0" w:firstRowLastColumn="0" w:lastRowFirstColumn="0" w:lastRowLastColumn="0"/>
            <w:tcW w:w="1584" w:type="dxa"/>
          </w:tcPr>
          <w:p w14:paraId="6DAC1381" w14:textId="77777777" w:rsidR="00E932E0" w:rsidRDefault="00000000">
            <w:pPr>
              <w:pStyle w:val="Compact"/>
              <w:spacing w:after="0" w:line="240" w:lineRule="auto"/>
              <w:jc w:val="center"/>
            </w:pPr>
            <w:r>
              <w:rPr>
                <w:sz w:val="16"/>
              </w:rPr>
              <w:t>Supporting references</w:t>
            </w:r>
          </w:p>
        </w:tc>
      </w:tr>
      <w:tr w:rsidR="00E932E0" w14:paraId="20C6745D"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104DE2C" w14:textId="77777777" w:rsidR="00E932E0" w:rsidRDefault="00000000">
            <w:pPr>
              <w:pStyle w:val="Compact"/>
              <w:spacing w:after="0" w:line="240" w:lineRule="auto"/>
            </w:pPr>
            <w:r>
              <w:rPr>
                <w:sz w:val="16"/>
              </w:rPr>
              <w:t>Weathering and chemical leachate</w:t>
            </w:r>
          </w:p>
        </w:tc>
        <w:tc>
          <w:tcPr>
            <w:cnfStyle w:val="000001000000" w:firstRow="0" w:lastRow="0" w:firstColumn="0" w:lastColumn="0" w:oddVBand="0" w:evenVBand="1" w:oddHBand="0" w:evenHBand="0" w:firstRowFirstColumn="0" w:firstRowLastColumn="0" w:lastRowFirstColumn="0" w:lastRowLastColumn="0"/>
            <w:tcW w:w="1944" w:type="dxa"/>
          </w:tcPr>
          <w:p w14:paraId="02CC0758" w14:textId="77777777" w:rsidR="00E932E0" w:rsidRDefault="00000000">
            <w:pPr>
              <w:pStyle w:val="Compact"/>
              <w:spacing w:after="0" w:line="240" w:lineRule="auto"/>
            </w:pPr>
            <w:r>
              <w:rPr>
                <w:sz w:val="16"/>
              </w:rPr>
              <w:t>Weathered plastics release mixtures with polymer-dependent acute toxicity.</w:t>
            </w:r>
          </w:p>
        </w:tc>
        <w:tc>
          <w:tcPr>
            <w:cnfStyle w:val="000010000000" w:firstRow="0" w:lastRow="0" w:firstColumn="0" w:lastColumn="0" w:oddVBand="1" w:evenVBand="0" w:oddHBand="0" w:evenHBand="0" w:firstRowFirstColumn="0" w:firstRowLastColumn="0" w:lastRowFirstColumn="0" w:lastRowLastColumn="0"/>
            <w:tcW w:w="1267" w:type="dxa"/>
          </w:tcPr>
          <w:p w14:paraId="684267C6" w14:textId="77777777" w:rsidR="00E932E0" w:rsidRDefault="00000000">
            <w:pPr>
              <w:pStyle w:val="Compact"/>
              <w:spacing w:after="0" w:line="240" w:lineRule="auto"/>
            </w:pPr>
            <w:r>
              <w:rPr>
                <w:sz w:val="16"/>
              </w:rPr>
              <w:t>Moderate</w:t>
            </w:r>
          </w:p>
        </w:tc>
        <w:tc>
          <w:tcPr>
            <w:cnfStyle w:val="000001000000" w:firstRow="0" w:lastRow="0" w:firstColumn="0" w:lastColumn="0" w:oddVBand="0" w:evenVBand="1" w:oddHBand="0" w:evenHBand="0" w:firstRowFirstColumn="0" w:firstRowLastColumn="0" w:lastRowFirstColumn="0" w:lastRowLastColumn="0"/>
            <w:tcW w:w="1901" w:type="dxa"/>
          </w:tcPr>
          <w:p w14:paraId="56940899" w14:textId="77777777" w:rsidR="00E932E0" w:rsidRDefault="00000000">
            <w:pPr>
              <w:pStyle w:val="Compact"/>
              <w:spacing w:after="0" w:line="240" w:lineRule="auto"/>
            </w:pPr>
            <w:r>
              <w:rPr>
                <w:sz w:val="16"/>
              </w:rPr>
              <w:t>Formulation and weathering conditions vary; results cannot be transferred across polymers.</w:t>
            </w:r>
          </w:p>
        </w:tc>
        <w:tc>
          <w:tcPr>
            <w:cnfStyle w:val="000010000000" w:firstRow="0" w:lastRow="0" w:firstColumn="0" w:lastColumn="0" w:oddVBand="1" w:evenVBand="0" w:oddHBand="0" w:evenHBand="0" w:firstRowFirstColumn="0" w:firstRowLastColumn="0" w:lastRowFirstColumn="0" w:lastRowLastColumn="0"/>
            <w:tcW w:w="1584" w:type="dxa"/>
          </w:tcPr>
          <w:p w14:paraId="081AB51F" w14:textId="77777777" w:rsidR="00E932E0" w:rsidRDefault="00000000">
            <w:pPr>
              <w:pStyle w:val="Compact"/>
              <w:spacing w:after="0" w:line="240" w:lineRule="auto"/>
            </w:pPr>
            <w:r>
              <w:rPr>
                <w:sz w:val="16"/>
              </w:rPr>
              <w:t>Require PET-specific ageing and leachate profiles.</w:t>
            </w:r>
          </w:p>
        </w:tc>
        <w:tc>
          <w:tcPr>
            <w:cnfStyle w:val="000001000000" w:firstRow="0" w:lastRow="0" w:firstColumn="0" w:lastColumn="0" w:oddVBand="0" w:evenVBand="1" w:oddHBand="0" w:evenHBand="0" w:firstRowFirstColumn="0" w:firstRowLastColumn="0" w:lastRowFirstColumn="0" w:lastRowLastColumn="0"/>
            <w:tcW w:w="1584" w:type="dxa"/>
          </w:tcPr>
          <w:p w14:paraId="03A30A15" w14:textId="77777777" w:rsidR="00E932E0" w:rsidRDefault="00000000">
            <w:pPr>
              <w:pStyle w:val="Compact"/>
              <w:spacing w:after="0" w:line="240" w:lineRule="auto"/>
            </w:pPr>
            <w:proofErr w:type="spellStart"/>
            <w:r>
              <w:rPr>
                <w:sz w:val="16"/>
              </w:rPr>
              <w:t>Bejgarn</w:t>
            </w:r>
            <w:proofErr w:type="spellEnd"/>
            <w:r>
              <w:rPr>
                <w:sz w:val="16"/>
              </w:rPr>
              <w:t xml:space="preserve"> et al. (2015); Capolupo et al. (2020)</w:t>
            </w:r>
          </w:p>
        </w:tc>
      </w:tr>
      <w:tr w:rsidR="00E932E0" w14:paraId="4DD3A7E9"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786AD81E" w14:textId="77777777" w:rsidR="00E932E0" w:rsidRDefault="00000000">
            <w:pPr>
              <w:pStyle w:val="Compact"/>
              <w:spacing w:after="0" w:line="240" w:lineRule="auto"/>
            </w:pPr>
            <w:r>
              <w:rPr>
                <w:sz w:val="16"/>
              </w:rPr>
              <w:t>Primary-producer effects</w:t>
            </w:r>
          </w:p>
        </w:tc>
        <w:tc>
          <w:tcPr>
            <w:cnfStyle w:val="000001000000" w:firstRow="0" w:lastRow="0" w:firstColumn="0" w:lastColumn="0" w:oddVBand="0" w:evenVBand="1" w:oddHBand="0" w:evenHBand="0" w:firstRowFirstColumn="0" w:firstRowLastColumn="0" w:lastRowFirstColumn="0" w:lastRowLastColumn="0"/>
            <w:tcW w:w="1944" w:type="dxa"/>
          </w:tcPr>
          <w:p w14:paraId="35F1E9EA" w14:textId="77777777" w:rsidR="00E932E0" w:rsidRDefault="00000000">
            <w:pPr>
              <w:pStyle w:val="Compact"/>
              <w:spacing w:after="0" w:line="240" w:lineRule="auto"/>
            </w:pPr>
            <w:r>
              <w:rPr>
                <w:sz w:val="16"/>
              </w:rPr>
              <w:t>Plastic leachates can impair growth and oxygen production in marine cyanobacteria.</w:t>
            </w:r>
          </w:p>
        </w:tc>
        <w:tc>
          <w:tcPr>
            <w:cnfStyle w:val="000010000000" w:firstRow="0" w:lastRow="0" w:firstColumn="0" w:lastColumn="0" w:oddVBand="1" w:evenVBand="0" w:oddHBand="0" w:evenHBand="0" w:firstRowFirstColumn="0" w:firstRowLastColumn="0" w:lastRowFirstColumn="0" w:lastRowLastColumn="0"/>
            <w:tcW w:w="1267" w:type="dxa"/>
          </w:tcPr>
          <w:p w14:paraId="1CA788F5" w14:textId="77777777" w:rsidR="00E932E0" w:rsidRDefault="00000000">
            <w:pPr>
              <w:pStyle w:val="Compact"/>
              <w:spacing w:after="0" w:line="240" w:lineRule="auto"/>
            </w:pPr>
            <w:r>
              <w:rPr>
                <w:sz w:val="16"/>
              </w:rPr>
              <w:t>Mechanistically informative</w:t>
            </w:r>
          </w:p>
        </w:tc>
        <w:tc>
          <w:tcPr>
            <w:cnfStyle w:val="000001000000" w:firstRow="0" w:lastRow="0" w:firstColumn="0" w:lastColumn="0" w:oddVBand="0" w:evenVBand="1" w:oddHBand="0" w:evenHBand="0" w:firstRowFirstColumn="0" w:firstRowLastColumn="0" w:lastRowFirstColumn="0" w:lastRowLastColumn="0"/>
            <w:tcW w:w="1901" w:type="dxa"/>
          </w:tcPr>
          <w:p w14:paraId="623DD566" w14:textId="77777777" w:rsidR="00E932E0" w:rsidRDefault="00000000">
            <w:pPr>
              <w:pStyle w:val="Compact"/>
              <w:spacing w:after="0" w:line="240" w:lineRule="auto"/>
            </w:pPr>
            <w:r>
              <w:rPr>
                <w:sz w:val="16"/>
              </w:rPr>
              <w:t>Key study used PE/PVC rather than PET bottles.</w:t>
            </w:r>
          </w:p>
        </w:tc>
        <w:tc>
          <w:tcPr>
            <w:cnfStyle w:val="000010000000" w:firstRow="0" w:lastRow="0" w:firstColumn="0" w:lastColumn="0" w:oddVBand="1" w:evenVBand="0" w:oddHBand="0" w:evenHBand="0" w:firstRowFirstColumn="0" w:firstRowLastColumn="0" w:lastRowFirstColumn="0" w:lastRowLastColumn="0"/>
            <w:tcW w:w="1584" w:type="dxa"/>
          </w:tcPr>
          <w:p w14:paraId="7930A54F" w14:textId="77777777" w:rsidR="00E932E0" w:rsidRDefault="00000000">
            <w:pPr>
              <w:pStyle w:val="Compact"/>
              <w:spacing w:after="0" w:line="240" w:lineRule="auto"/>
            </w:pPr>
            <w:r>
              <w:rPr>
                <w:sz w:val="16"/>
              </w:rPr>
              <w:t>Do not label generic-plastic effects as PET-specific.</w:t>
            </w:r>
          </w:p>
        </w:tc>
        <w:tc>
          <w:tcPr>
            <w:cnfStyle w:val="000001000000" w:firstRow="0" w:lastRow="0" w:firstColumn="0" w:lastColumn="0" w:oddVBand="0" w:evenVBand="1" w:oddHBand="0" w:evenHBand="0" w:firstRowFirstColumn="0" w:firstRowLastColumn="0" w:lastRowFirstColumn="0" w:lastRowLastColumn="0"/>
            <w:tcW w:w="1584" w:type="dxa"/>
          </w:tcPr>
          <w:p w14:paraId="5A42C02F" w14:textId="77777777" w:rsidR="00E932E0" w:rsidRDefault="00000000">
            <w:pPr>
              <w:pStyle w:val="Compact"/>
              <w:spacing w:after="0" w:line="240" w:lineRule="auto"/>
            </w:pPr>
            <w:r>
              <w:rPr>
                <w:sz w:val="16"/>
              </w:rPr>
              <w:t>Tetu et al. (2019)</w:t>
            </w:r>
          </w:p>
        </w:tc>
      </w:tr>
      <w:tr w:rsidR="00E932E0" w14:paraId="35A3EF87"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4BDD7182" w14:textId="77777777" w:rsidR="00E932E0" w:rsidRDefault="00000000">
            <w:pPr>
              <w:pStyle w:val="Compact"/>
              <w:spacing w:after="0" w:line="240" w:lineRule="auto"/>
            </w:pPr>
            <w:r>
              <w:rPr>
                <w:sz w:val="16"/>
              </w:rPr>
              <w:t>Microbial carbon processing</w:t>
            </w:r>
          </w:p>
        </w:tc>
        <w:tc>
          <w:tcPr>
            <w:cnfStyle w:val="000001000000" w:firstRow="0" w:lastRow="0" w:firstColumn="0" w:lastColumn="0" w:oddVBand="0" w:evenVBand="1" w:oddHBand="0" w:evenHBand="0" w:firstRowFirstColumn="0" w:firstRowLastColumn="0" w:lastRowFirstColumn="0" w:lastRowLastColumn="0"/>
            <w:tcW w:w="1944" w:type="dxa"/>
          </w:tcPr>
          <w:p w14:paraId="0958563B" w14:textId="77777777" w:rsidR="00E932E0" w:rsidRDefault="00000000">
            <w:pPr>
              <w:pStyle w:val="Compact"/>
              <w:spacing w:after="0" w:line="240" w:lineRule="auto"/>
            </w:pPr>
            <w:r>
              <w:rPr>
                <w:sz w:val="16"/>
              </w:rPr>
              <w:t>Plastic-derived dissolved organic carbon can stimulate heterotrophic microbial activity.</w:t>
            </w:r>
          </w:p>
        </w:tc>
        <w:tc>
          <w:tcPr>
            <w:cnfStyle w:val="000010000000" w:firstRow="0" w:lastRow="0" w:firstColumn="0" w:lastColumn="0" w:oddVBand="1" w:evenVBand="0" w:oddHBand="0" w:evenHBand="0" w:firstRowFirstColumn="0" w:firstRowLastColumn="0" w:lastRowFirstColumn="0" w:lastRowLastColumn="0"/>
            <w:tcW w:w="1267" w:type="dxa"/>
          </w:tcPr>
          <w:p w14:paraId="1CF0CC49" w14:textId="77777777" w:rsidR="00E932E0" w:rsidRDefault="00000000">
            <w:pPr>
              <w:pStyle w:val="Compact"/>
              <w:spacing w:after="0" w:line="240" w:lineRule="auto"/>
            </w:pPr>
            <w:r>
              <w:rPr>
                <w:sz w:val="16"/>
              </w:rPr>
              <w:t>Moderate</w:t>
            </w:r>
          </w:p>
        </w:tc>
        <w:tc>
          <w:tcPr>
            <w:cnfStyle w:val="000001000000" w:firstRow="0" w:lastRow="0" w:firstColumn="0" w:lastColumn="0" w:oddVBand="0" w:evenVBand="1" w:oddHBand="0" w:evenHBand="0" w:firstRowFirstColumn="0" w:firstRowLastColumn="0" w:lastRowFirstColumn="0" w:lastRowLastColumn="0"/>
            <w:tcW w:w="1901" w:type="dxa"/>
          </w:tcPr>
          <w:p w14:paraId="5CD9BE7F" w14:textId="77777777" w:rsidR="00E932E0" w:rsidRDefault="00000000">
            <w:pPr>
              <w:pStyle w:val="Compact"/>
              <w:spacing w:after="0" w:line="240" w:lineRule="auto"/>
            </w:pPr>
            <w:r>
              <w:rPr>
                <w:sz w:val="16"/>
              </w:rPr>
              <w:t>Net ecosystem consequences depend on context and polymer.</w:t>
            </w:r>
          </w:p>
        </w:tc>
        <w:tc>
          <w:tcPr>
            <w:cnfStyle w:val="000010000000" w:firstRow="0" w:lastRow="0" w:firstColumn="0" w:lastColumn="0" w:oddVBand="1" w:evenVBand="0" w:oddHBand="0" w:evenHBand="0" w:firstRowFirstColumn="0" w:firstRowLastColumn="0" w:lastRowFirstColumn="0" w:lastRowLastColumn="0"/>
            <w:tcW w:w="1584" w:type="dxa"/>
          </w:tcPr>
          <w:p w14:paraId="286DEDE6" w14:textId="77777777" w:rsidR="00E932E0" w:rsidRDefault="00000000">
            <w:pPr>
              <w:pStyle w:val="Compact"/>
              <w:spacing w:after="0" w:line="240" w:lineRule="auto"/>
            </w:pPr>
            <w:r>
              <w:rPr>
                <w:sz w:val="16"/>
              </w:rPr>
              <w:t>Assess biogeochemical change as well as toxicity.</w:t>
            </w:r>
          </w:p>
        </w:tc>
        <w:tc>
          <w:tcPr>
            <w:cnfStyle w:val="000001000000" w:firstRow="0" w:lastRow="0" w:firstColumn="0" w:lastColumn="0" w:oddVBand="0" w:evenVBand="1" w:oddHBand="0" w:evenHBand="0" w:firstRowFirstColumn="0" w:firstRowLastColumn="0" w:lastRowFirstColumn="0" w:lastRowLastColumn="0"/>
            <w:tcW w:w="1584" w:type="dxa"/>
          </w:tcPr>
          <w:p w14:paraId="1C4C4947" w14:textId="77777777" w:rsidR="00E932E0" w:rsidRDefault="00000000">
            <w:pPr>
              <w:pStyle w:val="Compact"/>
              <w:spacing w:after="0" w:line="240" w:lineRule="auto"/>
            </w:pPr>
            <w:r>
              <w:rPr>
                <w:sz w:val="16"/>
              </w:rPr>
              <w:t>Romera-Castillo et al. (2018)</w:t>
            </w:r>
          </w:p>
        </w:tc>
      </w:tr>
      <w:tr w:rsidR="00E932E0" w14:paraId="4565A5D3"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6D28D380" w14:textId="77777777" w:rsidR="00E932E0" w:rsidRDefault="00000000">
            <w:pPr>
              <w:pStyle w:val="Compact"/>
              <w:spacing w:after="0" w:line="240" w:lineRule="auto"/>
            </w:pPr>
            <w:r>
              <w:rPr>
                <w:sz w:val="16"/>
              </w:rPr>
              <w:t>Fragmentation to MNPs</w:t>
            </w:r>
          </w:p>
        </w:tc>
        <w:tc>
          <w:tcPr>
            <w:cnfStyle w:val="000001000000" w:firstRow="0" w:lastRow="0" w:firstColumn="0" w:lastColumn="0" w:oddVBand="0" w:evenVBand="1" w:oddHBand="0" w:evenHBand="0" w:firstRowFirstColumn="0" w:firstRowLastColumn="0" w:lastRowFirstColumn="0" w:lastRowLastColumn="0"/>
            <w:tcW w:w="1944" w:type="dxa"/>
          </w:tcPr>
          <w:p w14:paraId="5246BDF3" w14:textId="77777777" w:rsidR="00E932E0" w:rsidRDefault="00000000">
            <w:pPr>
              <w:pStyle w:val="Compact"/>
              <w:spacing w:after="0" w:line="240" w:lineRule="auto"/>
            </w:pPr>
            <w:r>
              <w:rPr>
                <w:sz w:val="16"/>
              </w:rPr>
              <w:t>Mechanical and photochemical ageing creates persistent smaller particles.</w:t>
            </w:r>
          </w:p>
        </w:tc>
        <w:tc>
          <w:tcPr>
            <w:cnfStyle w:val="000010000000" w:firstRow="0" w:lastRow="0" w:firstColumn="0" w:lastColumn="0" w:oddVBand="1" w:evenVBand="0" w:oddHBand="0" w:evenHBand="0" w:firstRowFirstColumn="0" w:firstRowLastColumn="0" w:lastRowFirstColumn="0" w:lastRowLastColumn="0"/>
            <w:tcW w:w="1267" w:type="dxa"/>
          </w:tcPr>
          <w:p w14:paraId="7EF1F535" w14:textId="77777777" w:rsidR="00E932E0" w:rsidRDefault="00000000">
            <w:pPr>
              <w:pStyle w:val="Compact"/>
              <w:spacing w:after="0" w:line="240" w:lineRule="auto"/>
            </w:pPr>
            <w:r>
              <w:rPr>
                <w:sz w:val="16"/>
              </w:rPr>
              <w:t>High for physical process</w:t>
            </w:r>
          </w:p>
        </w:tc>
        <w:tc>
          <w:tcPr>
            <w:cnfStyle w:val="000001000000" w:firstRow="0" w:lastRow="0" w:firstColumn="0" w:lastColumn="0" w:oddVBand="0" w:evenVBand="1" w:oddHBand="0" w:evenHBand="0" w:firstRowFirstColumn="0" w:firstRowLastColumn="0" w:lastRowFirstColumn="0" w:lastRowLastColumn="0"/>
            <w:tcW w:w="1901" w:type="dxa"/>
          </w:tcPr>
          <w:p w14:paraId="2358DB9B" w14:textId="77777777" w:rsidR="00E932E0" w:rsidRDefault="00000000">
            <w:pPr>
              <w:pStyle w:val="Compact"/>
              <w:spacing w:after="0" w:line="240" w:lineRule="auto"/>
            </w:pPr>
            <w:r>
              <w:rPr>
                <w:sz w:val="16"/>
              </w:rPr>
              <w:t>Environmental bottle-source apportionment is difficult.</w:t>
            </w:r>
          </w:p>
        </w:tc>
        <w:tc>
          <w:tcPr>
            <w:cnfStyle w:val="000010000000" w:firstRow="0" w:lastRow="0" w:firstColumn="0" w:lastColumn="0" w:oddVBand="1" w:evenVBand="0" w:oddHBand="0" w:evenHBand="0" w:firstRowFirstColumn="0" w:firstRowLastColumn="0" w:lastRowFirstColumn="0" w:lastRowLastColumn="0"/>
            <w:tcW w:w="1584" w:type="dxa"/>
          </w:tcPr>
          <w:p w14:paraId="22ED8BC6" w14:textId="77777777" w:rsidR="00E932E0" w:rsidRDefault="00000000">
            <w:pPr>
              <w:pStyle w:val="Compact"/>
              <w:spacing w:after="0" w:line="240" w:lineRule="auto"/>
            </w:pPr>
            <w:r>
              <w:rPr>
                <w:sz w:val="16"/>
              </w:rPr>
              <w:t>Pair polymer fingerprinting with field exposure data.</w:t>
            </w:r>
          </w:p>
        </w:tc>
        <w:tc>
          <w:tcPr>
            <w:cnfStyle w:val="000001000000" w:firstRow="0" w:lastRow="0" w:firstColumn="0" w:lastColumn="0" w:oddVBand="0" w:evenVBand="1" w:oddHBand="0" w:evenHBand="0" w:firstRowFirstColumn="0" w:firstRowLastColumn="0" w:lastRowFirstColumn="0" w:lastRowLastColumn="0"/>
            <w:tcW w:w="1584" w:type="dxa"/>
          </w:tcPr>
          <w:p w14:paraId="0E17E2D4" w14:textId="77777777" w:rsidR="00E932E0" w:rsidRDefault="00000000">
            <w:pPr>
              <w:pStyle w:val="Compact"/>
              <w:spacing w:after="0" w:line="240" w:lineRule="auto"/>
            </w:pPr>
            <w:proofErr w:type="spellStart"/>
            <w:r>
              <w:rPr>
                <w:sz w:val="16"/>
              </w:rPr>
              <w:t>Hahladakis</w:t>
            </w:r>
            <w:proofErr w:type="spellEnd"/>
            <w:r>
              <w:rPr>
                <w:sz w:val="16"/>
              </w:rPr>
              <w:t xml:space="preserve"> et al. (2018); Winkler et al. (2019)</w:t>
            </w:r>
          </w:p>
        </w:tc>
      </w:tr>
      <w:tr w:rsidR="00E932E0" w14:paraId="764659E6"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67975C14" w14:textId="77777777" w:rsidR="00E932E0" w:rsidRDefault="00000000">
            <w:pPr>
              <w:pStyle w:val="Compact"/>
              <w:spacing w:after="0" w:line="240" w:lineRule="auto"/>
            </w:pPr>
            <w:r>
              <w:rPr>
                <w:sz w:val="16"/>
              </w:rPr>
              <w:t>Recycling and circularity</w:t>
            </w:r>
          </w:p>
        </w:tc>
        <w:tc>
          <w:tcPr>
            <w:cnfStyle w:val="000001000000" w:firstRow="0" w:lastRow="0" w:firstColumn="0" w:lastColumn="0" w:oddVBand="0" w:evenVBand="1" w:oddHBand="0" w:evenHBand="0" w:firstRowFirstColumn="0" w:firstRowLastColumn="0" w:lastRowFirstColumn="0" w:lastRowLastColumn="0"/>
            <w:tcW w:w="1944" w:type="dxa"/>
          </w:tcPr>
          <w:p w14:paraId="34B44F98" w14:textId="77777777" w:rsidR="00E932E0" w:rsidRDefault="00000000">
            <w:pPr>
              <w:pStyle w:val="Compact"/>
              <w:spacing w:after="0" w:line="240" w:lineRule="auto"/>
            </w:pPr>
            <w:r>
              <w:rPr>
                <w:sz w:val="16"/>
              </w:rPr>
              <w:t xml:space="preserve">Controlled </w:t>
            </w:r>
            <w:proofErr w:type="spellStart"/>
            <w:r>
              <w:rPr>
                <w:sz w:val="16"/>
              </w:rPr>
              <w:t>rPET</w:t>
            </w:r>
            <w:proofErr w:type="spellEnd"/>
            <w:r>
              <w:rPr>
                <w:sz w:val="16"/>
              </w:rPr>
              <w:t xml:space="preserve"> can meet migration requirements, but feedstock contamination remains a lifecycle concern.</w:t>
            </w:r>
          </w:p>
        </w:tc>
        <w:tc>
          <w:tcPr>
            <w:cnfStyle w:val="000010000000" w:firstRow="0" w:lastRow="0" w:firstColumn="0" w:lastColumn="0" w:oddVBand="1" w:evenVBand="0" w:oddHBand="0" w:evenHBand="0" w:firstRowFirstColumn="0" w:firstRowLastColumn="0" w:lastRowFirstColumn="0" w:lastRowLastColumn="0"/>
            <w:tcW w:w="1267" w:type="dxa"/>
          </w:tcPr>
          <w:p w14:paraId="045E5C61" w14:textId="77777777" w:rsidR="00E932E0" w:rsidRDefault="00000000">
            <w:pPr>
              <w:pStyle w:val="Compact"/>
              <w:spacing w:after="0" w:line="240" w:lineRule="auto"/>
            </w:pPr>
            <w:r>
              <w:rPr>
                <w:sz w:val="16"/>
              </w:rPr>
              <w:t>Moderate</w:t>
            </w:r>
          </w:p>
        </w:tc>
        <w:tc>
          <w:tcPr>
            <w:cnfStyle w:val="000001000000" w:firstRow="0" w:lastRow="0" w:firstColumn="0" w:lastColumn="0" w:oddVBand="0" w:evenVBand="1" w:oddHBand="0" w:evenHBand="0" w:firstRowFirstColumn="0" w:firstRowLastColumn="0" w:lastRowFirstColumn="0" w:lastRowLastColumn="0"/>
            <w:tcW w:w="1901" w:type="dxa"/>
          </w:tcPr>
          <w:p w14:paraId="330AA6C4" w14:textId="77777777" w:rsidR="00E932E0" w:rsidRDefault="00000000">
            <w:pPr>
              <w:pStyle w:val="Compact"/>
              <w:spacing w:after="0" w:line="240" w:lineRule="auto"/>
            </w:pPr>
            <w:r>
              <w:rPr>
                <w:sz w:val="16"/>
              </w:rPr>
              <w:t>Process quality is heterogeneous.</w:t>
            </w:r>
          </w:p>
        </w:tc>
        <w:tc>
          <w:tcPr>
            <w:cnfStyle w:val="000010000000" w:firstRow="0" w:lastRow="0" w:firstColumn="0" w:lastColumn="0" w:oddVBand="1" w:evenVBand="0" w:oddHBand="0" w:evenHBand="0" w:firstRowFirstColumn="0" w:firstRowLastColumn="0" w:lastRowFirstColumn="0" w:lastRowLastColumn="0"/>
            <w:tcW w:w="1584" w:type="dxa"/>
          </w:tcPr>
          <w:p w14:paraId="3AAC8984" w14:textId="77777777" w:rsidR="00E932E0" w:rsidRDefault="00000000">
            <w:pPr>
              <w:pStyle w:val="Compact"/>
              <w:spacing w:after="0" w:line="240" w:lineRule="auto"/>
            </w:pPr>
            <w:r>
              <w:rPr>
                <w:sz w:val="16"/>
              </w:rPr>
              <w:t>Integrate decontamination validation with NIAS surveillance.</w:t>
            </w:r>
          </w:p>
        </w:tc>
        <w:tc>
          <w:tcPr>
            <w:cnfStyle w:val="000001000000" w:firstRow="0" w:lastRow="0" w:firstColumn="0" w:lastColumn="0" w:oddVBand="0" w:evenVBand="1" w:oddHBand="0" w:evenHBand="0" w:firstRowFirstColumn="0" w:firstRowLastColumn="0" w:lastRowFirstColumn="0" w:lastRowLastColumn="0"/>
            <w:tcW w:w="1584" w:type="dxa"/>
          </w:tcPr>
          <w:p w14:paraId="08245E67" w14:textId="77777777" w:rsidR="00E932E0" w:rsidRDefault="00000000">
            <w:pPr>
              <w:pStyle w:val="Compact"/>
              <w:spacing w:after="0" w:line="240" w:lineRule="auto"/>
            </w:pPr>
            <w:proofErr w:type="spellStart"/>
            <w:r>
              <w:rPr>
                <w:sz w:val="16"/>
              </w:rPr>
              <w:t>Gerassimidou</w:t>
            </w:r>
            <w:proofErr w:type="spellEnd"/>
            <w:r>
              <w:rPr>
                <w:sz w:val="16"/>
              </w:rPr>
              <w:t xml:space="preserve"> et al. (2022); Thoden van Velzen et al. (2020)</w:t>
            </w:r>
          </w:p>
        </w:tc>
      </w:tr>
    </w:tbl>
    <w:p w14:paraId="03F3CD83" w14:textId="77777777" w:rsidR="00E932E0" w:rsidRDefault="00000000">
      <w:pPr>
        <w:pStyle w:val="BodyText"/>
        <w:spacing w:before="40" w:after="120" w:line="240" w:lineRule="auto"/>
      </w:pPr>
      <w:r>
        <w:rPr>
          <w:i/>
          <w:iCs/>
          <w:sz w:val="17"/>
        </w:rPr>
        <w:t>Note.</w:t>
      </w:r>
      <w:r>
        <w:rPr>
          <w:sz w:val="17"/>
        </w:rPr>
        <w:t xml:space="preserve"> MNP = micro- and </w:t>
      </w:r>
      <w:proofErr w:type="spellStart"/>
      <w:r>
        <w:rPr>
          <w:sz w:val="17"/>
        </w:rPr>
        <w:t>nanoplastic</w:t>
      </w:r>
      <w:proofErr w:type="spellEnd"/>
      <w:r>
        <w:rPr>
          <w:sz w:val="17"/>
        </w:rPr>
        <w:t xml:space="preserve">; </w:t>
      </w:r>
      <w:proofErr w:type="spellStart"/>
      <w:r>
        <w:rPr>
          <w:sz w:val="17"/>
        </w:rPr>
        <w:t>rPET</w:t>
      </w:r>
      <w:proofErr w:type="spellEnd"/>
      <w:r>
        <w:rPr>
          <w:sz w:val="17"/>
        </w:rPr>
        <w:t xml:space="preserve"> = recycled polyethylene terephthalate. Polymer-specific evidence should not be </w:t>
      </w:r>
      <w:proofErr w:type="spellStart"/>
      <w:r>
        <w:rPr>
          <w:sz w:val="17"/>
        </w:rPr>
        <w:t>generalised</w:t>
      </w:r>
      <w:proofErr w:type="spellEnd"/>
      <w:r>
        <w:rPr>
          <w:sz w:val="17"/>
        </w:rPr>
        <w:t xml:space="preserve"> across all plastics.</w:t>
      </w:r>
    </w:p>
    <w:p w14:paraId="3B1FBEEE" w14:textId="77777777" w:rsidR="00E932E0" w:rsidRDefault="00000000">
      <w:pPr>
        <w:pStyle w:val="Heading1"/>
      </w:pPr>
      <w:bookmarkStart w:id="14" w:name="Xbabb8cc299e5cc5ad2a25094ed8ff4b4c1dafce"/>
      <w:bookmarkEnd w:id="13"/>
      <w:r>
        <w:rPr>
          <w:rFonts w:ascii="Times New Roman" w:hAnsi="Times New Roman"/>
        </w:rPr>
        <w:t>7. Clinical and Public Health Implications</w:t>
      </w:r>
    </w:p>
    <w:p w14:paraId="4BEC8DF9" w14:textId="77777777" w:rsidR="00E932E0" w:rsidRDefault="00000000">
      <w:pPr>
        <w:pStyle w:val="FirstParagraph"/>
        <w:spacing w:after="100"/>
        <w:ind w:firstLine="360"/>
        <w:jc w:val="both"/>
      </w:pPr>
      <w:r>
        <w:t xml:space="preserve">Clinical interpretation requires a hierarchy of evidence. At the first level, chemical migration and particle occurrence establish that ingestion exposure can occur. For antimony and selected PET-related compounds this </w:t>
      </w:r>
      <w:r>
        <w:lastRenderedPageBreak/>
        <w:t xml:space="preserve">evidence is direct, and for particles it is strengthened by multiple analytical platforms (Bach et al., 2013; Jamison Hart &amp; Lenhart, 2026; Qian et al., 2024; </w:t>
      </w:r>
      <w:proofErr w:type="spellStart"/>
      <w:r>
        <w:t>Schymanski</w:t>
      </w:r>
      <w:proofErr w:type="spellEnd"/>
      <w:r>
        <w:t xml:space="preserve"> et al., 2018). At the second level, toxicology demonstrates whether an agent can produce harmful biological effects. At the third level, toxicokinetic or biomonitoring studies ask whether the material reaches human tissues. Only at higher levels do observational or interventional human studies address disease. Public discussion often jumps from the first or second level to the last, but the missing links are precisely where dose, absorption, clearance, competing exposure pathways and confounding become decisive.</w:t>
      </w:r>
    </w:p>
    <w:p w14:paraId="4D0F574F" w14:textId="77777777" w:rsidR="00E932E0" w:rsidRDefault="00000000">
      <w:pPr>
        <w:pStyle w:val="BodyText"/>
        <w:spacing w:after="100"/>
        <w:ind w:firstLine="360"/>
        <w:jc w:val="both"/>
      </w:pPr>
      <w:r>
        <w:t>For conventional chemical migrants, drinking-water benchmarks provide an established risk-management framework. Antimony is regulated because sufficient toxicological evidence exists to support health-based limits, not because PET bottles are presumed to cause poisoning. Under ordinary storage, many studies report antimony concentrations below current drinking-water benchmarks, while severe heat can substantially increase migration in some bottles. Thus, avoiding prolonged high-temperature storage is a proportionate exposure-reduction measure supported by migration chemistry even without evidence of common clinical poisoning. Similar reasoning applies to preventing use conditions outside the container design, such as repeatedly filling a single-use PET bottle with very hot water. The recommendation is based on reducing avoidable migration and wear, not on claiming that a brief temperature excursion inevitably creates a toxic dose.</w:t>
      </w:r>
    </w:p>
    <w:p w14:paraId="609540F9" w14:textId="77777777" w:rsidR="00E932E0" w:rsidRDefault="00000000">
      <w:pPr>
        <w:pStyle w:val="BodyText"/>
        <w:spacing w:after="100"/>
        <w:ind w:firstLine="360"/>
        <w:jc w:val="both"/>
      </w:pPr>
      <w:r>
        <w:t xml:space="preserve">For micro- and </w:t>
      </w:r>
      <w:proofErr w:type="spellStart"/>
      <w:r>
        <w:t>nanoplastics</w:t>
      </w:r>
      <w:proofErr w:type="spellEnd"/>
      <w:r>
        <w:t xml:space="preserve">, the clinical evidence is less mature. WHO concluded in its drinking-water assessment that the available evidence was insufficient for a robust quantitative health-risk assessment and highlighted major analytical and toxicological knowledge gaps (World Health Organization, 2019). A broader WHO assessment of dietary and inhalation exposure likewise identified substantial uncertainty concerning exposure </w:t>
      </w:r>
      <w:proofErr w:type="spellStart"/>
      <w:r>
        <w:t>characterisation</w:t>
      </w:r>
      <w:proofErr w:type="spellEnd"/>
      <w:r>
        <w:t xml:space="preserve">, particle translocation and health outcomes (World Health Organization, 2022). Since those reports, analytical sensitivity has improved and human biomonitoring has expanded, but there is still no validated health-based drinking-water limit for micro- or </w:t>
      </w:r>
      <w:proofErr w:type="spellStart"/>
      <w:r>
        <w:t>nanoplastics</w:t>
      </w:r>
      <w:proofErr w:type="spellEnd"/>
      <w:r>
        <w:t>. Newer particle counts therefore increase knowledge of exposure without automatically providing a risk threshold.</w:t>
      </w:r>
    </w:p>
    <w:p w14:paraId="58EA710A" w14:textId="77777777" w:rsidR="00E932E0" w:rsidRDefault="00000000">
      <w:pPr>
        <w:pStyle w:val="BodyText"/>
        <w:spacing w:after="100"/>
        <w:ind w:firstLine="360"/>
        <w:jc w:val="both"/>
      </w:pPr>
      <w:r>
        <w:t>Human biomonitoring demonstrates that plastic particles can be detected in the body, but source attribution remains unresolved. Schwabl et al. (2019) detected microplastics in human stool; Leslie et al. (2022) reported plastic particles in blood; Ragusa et al. (2021) reported microplastics in placental samples; and Jenner et al. (2022) detected microplastics in lung tissue. These observations are compatible with ingestion and inhalation from numerous sources, including food, dust, air and drinking water. They cannot be used to calculate the proportion attributable to bottled water. The analytical field also faces contamination-control challenges because many laboratory materials and airborne particles are themselves plastic, making blanks, clean-air procedures and orthogonal chemical confirmation essential.</w:t>
      </w:r>
    </w:p>
    <w:p w14:paraId="34FF6BA5" w14:textId="77777777" w:rsidR="00E932E0" w:rsidRDefault="00000000">
      <w:pPr>
        <w:pStyle w:val="BodyText"/>
        <w:spacing w:after="100"/>
        <w:ind w:firstLine="360"/>
        <w:jc w:val="both"/>
      </w:pPr>
      <w:proofErr w:type="spellStart"/>
      <w:r>
        <w:t>Marfella</w:t>
      </w:r>
      <w:proofErr w:type="spellEnd"/>
      <w:r>
        <w:t xml:space="preserve"> et al. (2024) provided an important but still observational extension by detecting micro- and </w:t>
      </w:r>
      <w:proofErr w:type="spellStart"/>
      <w:r>
        <w:t>nanoplastics</w:t>
      </w:r>
      <w:proofErr w:type="spellEnd"/>
      <w:r>
        <w:t xml:space="preserve"> in carotid atheroma specimens and reporting an association between their presence and subsequent cardiovascular events. The study does not identify the exposure source and cannot establish that plastic particles caused the events. Patients with detectable particles may differ in unmeasured ways related to environmental exposure, socioeconomic conditions, diet or underlying disease. The result therefore strengthens the case for rigorous prospective research but does not justify a clinical statement that bottled-water consumption causes cardiovascular disease. Such source-specific causal claims would require exposure reconstruction or intervention designs capable of separating bottled water from the many other plastic exposures.</w:t>
      </w:r>
    </w:p>
    <w:p w14:paraId="45D158B5" w14:textId="77777777" w:rsidR="00E932E0" w:rsidRDefault="00000000">
      <w:pPr>
        <w:pStyle w:val="BodyText"/>
        <w:spacing w:after="100"/>
        <w:ind w:firstLine="360"/>
        <w:jc w:val="both"/>
      </w:pPr>
      <w:r>
        <w:t xml:space="preserve">Potentially susceptible groups deserve attention even when direct evidence is sparse. Infants and children consume more water per unit body mass than adults and may have different developmental sensitivity to endocrine-active chemicals. Pregnant individuals raise concern because placental transfer is a biologically relevant question, and people with renal or gastrointestinal disease may handle some contaminants differently. </w:t>
      </w:r>
      <w:r>
        <w:lastRenderedPageBreak/>
        <w:t xml:space="preserve">Yet vulnerability should not be used to manufacture certainty where dose data are absent. The defensible approach is to apply existing drinking-water standards to regulated chemicals, </w:t>
      </w:r>
      <w:proofErr w:type="spellStart"/>
      <w:r>
        <w:t>minimise</w:t>
      </w:r>
      <w:proofErr w:type="spellEnd"/>
      <w:r>
        <w:t xml:space="preserve"> avoidable stress-related migration, and </w:t>
      </w:r>
      <w:proofErr w:type="spellStart"/>
      <w:r>
        <w:t>prioritise</w:t>
      </w:r>
      <w:proofErr w:type="spellEnd"/>
      <w:r>
        <w:t xml:space="preserve"> studies that measure realistic dose distributions in these groups rather than extrapolating from high-dose cell experiments.</w:t>
      </w:r>
    </w:p>
    <w:p w14:paraId="0B44E156" w14:textId="77777777" w:rsidR="00E932E0" w:rsidRDefault="00000000">
      <w:pPr>
        <w:pStyle w:val="BodyText"/>
        <w:spacing w:after="100"/>
        <w:ind w:firstLine="360"/>
        <w:jc w:val="both"/>
      </w:pPr>
      <w:r>
        <w:t xml:space="preserve">Risk communication must also consider the counterfactual water source. In settings where piped water is microbiologically unsafe or chemically contaminated, discouraging bottled water without a safe alternative could increase net health risk. WHO guidance places microbial safety and established chemical hazards at the </w:t>
      </w:r>
      <w:proofErr w:type="spellStart"/>
      <w:r>
        <w:t>centre</w:t>
      </w:r>
      <w:proofErr w:type="spellEnd"/>
      <w:r>
        <w:t xml:space="preserve"> of drinking-water protection (World Health Organization, 2026). In settings with reliably safe tap water, reducing unnecessary reliance on single-use bottles may offer environmental benefits and can reduce one source of plastic-particle and packaging-chemical exposure. These are context-dependent decisions rather than a universal clinical prescription.</w:t>
      </w:r>
    </w:p>
    <w:p w14:paraId="6C8561F4" w14:textId="77777777" w:rsidR="00E932E0" w:rsidRDefault="00000000">
      <w:pPr>
        <w:pStyle w:val="BodyText"/>
        <w:spacing w:after="100"/>
        <w:ind w:firstLine="360"/>
        <w:jc w:val="both"/>
      </w:pPr>
      <w:r>
        <w:t>Table 5 presents an evidence ladder for clinical inference. It distinguishes what is established from what remains unproven. The critical conclusion is that the current evidence supports exposure reduction and better package control as precautionary public-health measures, while it does not support diagnosing disease, estimating an individual clinical risk, or attributing a human biomonitoring result specifically to bottled-water consumption.</w:t>
      </w:r>
    </w:p>
    <w:p w14:paraId="540BB2F1" w14:textId="77777777" w:rsidR="00E932E0" w:rsidRDefault="00000000">
      <w:pPr>
        <w:pStyle w:val="BodyText"/>
        <w:keepNext/>
        <w:spacing w:before="140" w:after="20"/>
      </w:pPr>
      <w:r>
        <w:rPr>
          <w:b/>
          <w:bCs/>
          <w:sz w:val="20"/>
        </w:rPr>
        <w:t>Table 5</w:t>
      </w:r>
    </w:p>
    <w:p w14:paraId="5FDCB791" w14:textId="77777777" w:rsidR="00E932E0" w:rsidRDefault="00000000">
      <w:pPr>
        <w:pStyle w:val="BodyText"/>
        <w:keepNext/>
        <w:spacing w:after="60"/>
      </w:pPr>
      <w:r>
        <w:rPr>
          <w:i/>
          <w:iCs/>
          <w:sz w:val="20"/>
        </w:rPr>
        <w:t xml:space="preserve">Evidence </w:t>
      </w:r>
      <w:proofErr w:type="gramStart"/>
      <w:r>
        <w:rPr>
          <w:i/>
          <w:iCs/>
          <w:sz w:val="20"/>
        </w:rPr>
        <w:t>ladder</w:t>
      </w:r>
      <w:proofErr w:type="gramEnd"/>
      <w:r>
        <w:rPr>
          <w:i/>
          <w:iCs/>
          <w:sz w:val="20"/>
        </w:rPr>
        <w:t xml:space="preserve"> for clinical and public-health inference from bottled-water plastic exposure</w:t>
      </w:r>
    </w:p>
    <w:tbl>
      <w:tblPr>
        <w:tblStyle w:val="PlainTable2"/>
        <w:tblW w:w="0" w:type="auto"/>
        <w:tblLayout w:type="fixed"/>
        <w:tblLook w:val="0020" w:firstRow="1" w:lastRow="0" w:firstColumn="0" w:lastColumn="0" w:noHBand="0" w:noVBand="0"/>
      </w:tblPr>
      <w:tblGrid>
        <w:gridCol w:w="1296"/>
        <w:gridCol w:w="2016"/>
        <w:gridCol w:w="1987"/>
        <w:gridCol w:w="2102"/>
        <w:gridCol w:w="2232"/>
      </w:tblGrid>
      <w:tr w:rsidR="00E932E0" w14:paraId="247238BC"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317B24B9" w14:textId="77777777" w:rsidR="00E932E0" w:rsidRDefault="00000000">
            <w:pPr>
              <w:pStyle w:val="Compact"/>
              <w:spacing w:after="0" w:line="240" w:lineRule="auto"/>
              <w:jc w:val="center"/>
            </w:pPr>
            <w:r>
              <w:rPr>
                <w:sz w:val="16"/>
              </w:rPr>
              <w:t>Evidence level</w:t>
            </w:r>
          </w:p>
        </w:tc>
        <w:tc>
          <w:tcPr>
            <w:cnfStyle w:val="000001000000" w:firstRow="0" w:lastRow="0" w:firstColumn="0" w:lastColumn="0" w:oddVBand="0" w:evenVBand="1" w:oddHBand="0" w:evenHBand="0" w:firstRowFirstColumn="0" w:firstRowLastColumn="0" w:lastRowFirstColumn="0" w:lastRowLastColumn="0"/>
            <w:tcW w:w="2016" w:type="dxa"/>
          </w:tcPr>
          <w:p w14:paraId="5C3C8806" w14:textId="77777777" w:rsidR="00E932E0" w:rsidRDefault="00000000">
            <w:pPr>
              <w:pStyle w:val="Compact"/>
              <w:spacing w:after="0" w:line="240" w:lineRule="auto"/>
              <w:jc w:val="center"/>
            </w:pPr>
            <w:r>
              <w:rPr>
                <w:sz w:val="16"/>
              </w:rPr>
              <w:t>What is established</w:t>
            </w:r>
          </w:p>
        </w:tc>
        <w:tc>
          <w:tcPr>
            <w:cnfStyle w:val="000010000000" w:firstRow="0" w:lastRow="0" w:firstColumn="0" w:lastColumn="0" w:oddVBand="1" w:evenVBand="0" w:oddHBand="0" w:evenHBand="0" w:firstRowFirstColumn="0" w:firstRowLastColumn="0" w:lastRowFirstColumn="0" w:lastRowLastColumn="0"/>
            <w:tcW w:w="1987" w:type="dxa"/>
          </w:tcPr>
          <w:p w14:paraId="193B3E93" w14:textId="77777777" w:rsidR="00E932E0" w:rsidRDefault="00000000">
            <w:pPr>
              <w:pStyle w:val="Compact"/>
              <w:spacing w:after="0" w:line="240" w:lineRule="auto"/>
              <w:jc w:val="center"/>
            </w:pPr>
            <w:r>
              <w:rPr>
                <w:sz w:val="16"/>
              </w:rPr>
              <w:t>What is not established</w:t>
            </w:r>
          </w:p>
        </w:tc>
        <w:tc>
          <w:tcPr>
            <w:cnfStyle w:val="000001000000" w:firstRow="0" w:lastRow="0" w:firstColumn="0" w:lastColumn="0" w:oddVBand="0" w:evenVBand="1" w:oddHBand="0" w:evenHBand="0" w:firstRowFirstColumn="0" w:firstRowLastColumn="0" w:lastRowFirstColumn="0" w:lastRowLastColumn="0"/>
            <w:tcW w:w="2102" w:type="dxa"/>
          </w:tcPr>
          <w:p w14:paraId="10DC5290" w14:textId="77777777" w:rsidR="00E932E0" w:rsidRDefault="00000000">
            <w:pPr>
              <w:pStyle w:val="Compact"/>
              <w:spacing w:after="0" w:line="240" w:lineRule="auto"/>
              <w:jc w:val="center"/>
            </w:pPr>
            <w:r>
              <w:rPr>
                <w:sz w:val="16"/>
              </w:rPr>
              <w:t>Public-health interpretation</w:t>
            </w:r>
          </w:p>
        </w:tc>
        <w:tc>
          <w:tcPr>
            <w:cnfStyle w:val="000010000000" w:firstRow="0" w:lastRow="0" w:firstColumn="0" w:lastColumn="0" w:oddVBand="1" w:evenVBand="0" w:oddHBand="0" w:evenHBand="0" w:firstRowFirstColumn="0" w:firstRowLastColumn="0" w:lastRowFirstColumn="0" w:lastRowLastColumn="0"/>
            <w:tcW w:w="2232" w:type="dxa"/>
          </w:tcPr>
          <w:p w14:paraId="6F582AE3" w14:textId="77777777" w:rsidR="00E932E0" w:rsidRDefault="00000000">
            <w:pPr>
              <w:pStyle w:val="Compact"/>
              <w:spacing w:after="0" w:line="240" w:lineRule="auto"/>
              <w:jc w:val="center"/>
            </w:pPr>
            <w:r>
              <w:rPr>
                <w:sz w:val="16"/>
              </w:rPr>
              <w:t>Supporting references</w:t>
            </w:r>
          </w:p>
        </w:tc>
      </w:tr>
      <w:tr w:rsidR="00E932E0" w14:paraId="6A90851F"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4CF737EC" w14:textId="77777777" w:rsidR="00E932E0" w:rsidRDefault="00000000">
            <w:pPr>
              <w:pStyle w:val="Compact"/>
              <w:spacing w:after="0" w:line="240" w:lineRule="auto"/>
            </w:pPr>
            <w:r>
              <w:rPr>
                <w:sz w:val="16"/>
              </w:rPr>
              <w:t>1. Package-to-water release</w:t>
            </w:r>
          </w:p>
        </w:tc>
        <w:tc>
          <w:tcPr>
            <w:cnfStyle w:val="000001000000" w:firstRow="0" w:lastRow="0" w:firstColumn="0" w:lastColumn="0" w:oddVBand="0" w:evenVBand="1" w:oddHBand="0" w:evenHBand="0" w:firstRowFirstColumn="0" w:firstRowLastColumn="0" w:lastRowFirstColumn="0" w:lastRowLastColumn="0"/>
            <w:tcW w:w="2016" w:type="dxa"/>
          </w:tcPr>
          <w:p w14:paraId="43293858" w14:textId="77777777" w:rsidR="00E932E0" w:rsidRDefault="00000000">
            <w:pPr>
              <w:pStyle w:val="Compact"/>
              <w:spacing w:after="0" w:line="240" w:lineRule="auto"/>
            </w:pPr>
            <w:r>
              <w:rPr>
                <w:sz w:val="16"/>
              </w:rPr>
              <w:t>Selected chemicals and MNPs can occur in bottled water; stress can increase release.</w:t>
            </w:r>
          </w:p>
        </w:tc>
        <w:tc>
          <w:tcPr>
            <w:cnfStyle w:val="000010000000" w:firstRow="0" w:lastRow="0" w:firstColumn="0" w:lastColumn="0" w:oddVBand="1" w:evenVBand="0" w:oddHBand="0" w:evenHBand="0" w:firstRowFirstColumn="0" w:firstRowLastColumn="0" w:lastRowFirstColumn="0" w:lastRowLastColumn="0"/>
            <w:tcW w:w="1987" w:type="dxa"/>
          </w:tcPr>
          <w:p w14:paraId="1F63591E" w14:textId="77777777" w:rsidR="00E932E0" w:rsidRDefault="00000000">
            <w:pPr>
              <w:pStyle w:val="Compact"/>
              <w:spacing w:after="0" w:line="240" w:lineRule="auto"/>
            </w:pPr>
            <w:r>
              <w:rPr>
                <w:sz w:val="16"/>
              </w:rPr>
              <w:t>A universal concentration for all bottles.</w:t>
            </w:r>
          </w:p>
        </w:tc>
        <w:tc>
          <w:tcPr>
            <w:cnfStyle w:val="000001000000" w:firstRow="0" w:lastRow="0" w:firstColumn="0" w:lastColumn="0" w:oddVBand="0" w:evenVBand="1" w:oddHBand="0" w:evenHBand="0" w:firstRowFirstColumn="0" w:firstRowLastColumn="0" w:lastRowFirstColumn="0" w:lastRowLastColumn="0"/>
            <w:tcW w:w="2102" w:type="dxa"/>
          </w:tcPr>
          <w:p w14:paraId="415EA2E0" w14:textId="77777777" w:rsidR="00E932E0" w:rsidRDefault="00000000">
            <w:pPr>
              <w:pStyle w:val="Compact"/>
              <w:spacing w:after="0" w:line="240" w:lineRule="auto"/>
            </w:pPr>
            <w:r>
              <w:rPr>
                <w:sz w:val="16"/>
              </w:rPr>
              <w:t>Exposure assessment must be brand-, material-, method- and stress-specific.</w:t>
            </w:r>
          </w:p>
        </w:tc>
        <w:tc>
          <w:tcPr>
            <w:cnfStyle w:val="000010000000" w:firstRow="0" w:lastRow="0" w:firstColumn="0" w:lastColumn="0" w:oddVBand="1" w:evenVBand="0" w:oddHBand="0" w:evenHBand="0" w:firstRowFirstColumn="0" w:firstRowLastColumn="0" w:lastRowFirstColumn="0" w:lastRowLastColumn="0"/>
            <w:tcW w:w="2232" w:type="dxa"/>
          </w:tcPr>
          <w:p w14:paraId="669B3015" w14:textId="77777777" w:rsidR="00E932E0" w:rsidRDefault="00000000">
            <w:pPr>
              <w:pStyle w:val="Compact"/>
              <w:spacing w:after="0" w:line="240" w:lineRule="auto"/>
            </w:pPr>
            <w:r>
              <w:rPr>
                <w:sz w:val="16"/>
              </w:rPr>
              <w:t xml:space="preserve">Bach et al. (2013); Qian et al. (2024); </w:t>
            </w:r>
            <w:proofErr w:type="spellStart"/>
            <w:r>
              <w:rPr>
                <w:sz w:val="16"/>
              </w:rPr>
              <w:t>Shotyk</w:t>
            </w:r>
            <w:proofErr w:type="spellEnd"/>
            <w:r>
              <w:rPr>
                <w:sz w:val="16"/>
              </w:rPr>
              <w:t xml:space="preserve"> &amp; Krachler (2007)</w:t>
            </w:r>
          </w:p>
        </w:tc>
      </w:tr>
      <w:tr w:rsidR="00E932E0" w14:paraId="6A44579A" w14:textId="77777777" w:rsidTr="00F33728">
        <w:tc>
          <w:tcPr>
            <w:cnfStyle w:val="000010000000" w:firstRow="0" w:lastRow="0" w:firstColumn="0" w:lastColumn="0" w:oddVBand="1" w:evenVBand="0" w:oddHBand="0" w:evenHBand="0" w:firstRowFirstColumn="0" w:firstRowLastColumn="0" w:lastRowFirstColumn="0" w:lastRowLastColumn="0"/>
            <w:tcW w:w="1296" w:type="dxa"/>
          </w:tcPr>
          <w:p w14:paraId="454FDAE4" w14:textId="77777777" w:rsidR="00E932E0" w:rsidRDefault="00000000">
            <w:pPr>
              <w:pStyle w:val="Compact"/>
              <w:spacing w:after="0" w:line="240" w:lineRule="auto"/>
            </w:pPr>
            <w:r>
              <w:rPr>
                <w:sz w:val="16"/>
              </w:rPr>
              <w:t>2. Hazard mechanisms</w:t>
            </w:r>
          </w:p>
        </w:tc>
        <w:tc>
          <w:tcPr>
            <w:cnfStyle w:val="000001000000" w:firstRow="0" w:lastRow="0" w:firstColumn="0" w:lastColumn="0" w:oddVBand="0" w:evenVBand="1" w:oddHBand="0" w:evenHBand="0" w:firstRowFirstColumn="0" w:firstRowLastColumn="0" w:lastRowFirstColumn="0" w:lastRowLastColumn="0"/>
            <w:tcW w:w="2016" w:type="dxa"/>
          </w:tcPr>
          <w:p w14:paraId="238D347F" w14:textId="77777777" w:rsidR="00E932E0" w:rsidRDefault="00000000">
            <w:pPr>
              <w:pStyle w:val="Compact"/>
              <w:spacing w:after="0" w:line="240" w:lineRule="auto"/>
            </w:pPr>
            <w:r>
              <w:rPr>
                <w:sz w:val="16"/>
              </w:rPr>
              <w:t>Selected chemicals and particles can trigger endocrine, oxidative or inflammatory pathways.</w:t>
            </w:r>
          </w:p>
        </w:tc>
        <w:tc>
          <w:tcPr>
            <w:cnfStyle w:val="000010000000" w:firstRow="0" w:lastRow="0" w:firstColumn="0" w:lastColumn="0" w:oddVBand="1" w:evenVBand="0" w:oddHBand="0" w:evenHBand="0" w:firstRowFirstColumn="0" w:firstRowLastColumn="0" w:lastRowFirstColumn="0" w:lastRowLastColumn="0"/>
            <w:tcW w:w="1987" w:type="dxa"/>
          </w:tcPr>
          <w:p w14:paraId="7B23B38A" w14:textId="77777777" w:rsidR="00E932E0" w:rsidRDefault="00000000">
            <w:pPr>
              <w:pStyle w:val="Compact"/>
              <w:spacing w:after="0" w:line="240" w:lineRule="auto"/>
            </w:pPr>
            <w:r>
              <w:rPr>
                <w:sz w:val="16"/>
              </w:rPr>
              <w:t>That ordinary bottled-water doses reach experimental effect concentrations.</w:t>
            </w:r>
          </w:p>
        </w:tc>
        <w:tc>
          <w:tcPr>
            <w:cnfStyle w:val="000001000000" w:firstRow="0" w:lastRow="0" w:firstColumn="0" w:lastColumn="0" w:oddVBand="0" w:evenVBand="1" w:oddHBand="0" w:evenHBand="0" w:firstRowFirstColumn="0" w:firstRowLastColumn="0" w:lastRowFirstColumn="0" w:lastRowLastColumn="0"/>
            <w:tcW w:w="2102" w:type="dxa"/>
          </w:tcPr>
          <w:p w14:paraId="23ABB94F" w14:textId="77777777" w:rsidR="00E932E0" w:rsidRDefault="00000000">
            <w:pPr>
              <w:pStyle w:val="Compact"/>
              <w:spacing w:after="0" w:line="240" w:lineRule="auto"/>
            </w:pPr>
            <w:r>
              <w:rPr>
                <w:sz w:val="16"/>
              </w:rPr>
              <w:t>Use dose-relevant testing and realistic materials.</w:t>
            </w:r>
          </w:p>
        </w:tc>
        <w:tc>
          <w:tcPr>
            <w:cnfStyle w:val="000010000000" w:firstRow="0" w:lastRow="0" w:firstColumn="0" w:lastColumn="0" w:oddVBand="1" w:evenVBand="0" w:oddHBand="0" w:evenHBand="0" w:firstRowFirstColumn="0" w:firstRowLastColumn="0" w:lastRowFirstColumn="0" w:lastRowLastColumn="0"/>
            <w:tcW w:w="2232" w:type="dxa"/>
          </w:tcPr>
          <w:p w14:paraId="0DF0CF10" w14:textId="77777777" w:rsidR="00E932E0" w:rsidRDefault="00000000">
            <w:pPr>
              <w:pStyle w:val="Compact"/>
              <w:spacing w:after="0" w:line="240" w:lineRule="auto"/>
            </w:pPr>
            <w:proofErr w:type="spellStart"/>
            <w:r>
              <w:rPr>
                <w:sz w:val="16"/>
              </w:rPr>
              <w:t>Changmai</w:t>
            </w:r>
            <w:proofErr w:type="spellEnd"/>
            <w:r>
              <w:rPr>
                <w:sz w:val="16"/>
              </w:rPr>
              <w:t xml:space="preserve"> et al. (2026); </w:t>
            </w:r>
            <w:proofErr w:type="spellStart"/>
            <w:r>
              <w:rPr>
                <w:sz w:val="16"/>
              </w:rPr>
              <w:t>Prüst</w:t>
            </w:r>
            <w:proofErr w:type="spellEnd"/>
            <w:r>
              <w:rPr>
                <w:sz w:val="16"/>
              </w:rPr>
              <w:t xml:space="preserve"> et al. (2020); Yong et al. (2020)</w:t>
            </w:r>
          </w:p>
        </w:tc>
      </w:tr>
      <w:tr w:rsidR="00E932E0" w14:paraId="3E29F2CC"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5AE19106" w14:textId="77777777" w:rsidR="00E932E0" w:rsidRDefault="00000000">
            <w:pPr>
              <w:pStyle w:val="Compact"/>
              <w:spacing w:after="0" w:line="240" w:lineRule="auto"/>
            </w:pPr>
            <w:r>
              <w:rPr>
                <w:sz w:val="16"/>
              </w:rPr>
              <w:t>3. Human internal detection</w:t>
            </w:r>
          </w:p>
        </w:tc>
        <w:tc>
          <w:tcPr>
            <w:cnfStyle w:val="000001000000" w:firstRow="0" w:lastRow="0" w:firstColumn="0" w:lastColumn="0" w:oddVBand="0" w:evenVBand="1" w:oddHBand="0" w:evenHBand="0" w:firstRowFirstColumn="0" w:firstRowLastColumn="0" w:lastRowFirstColumn="0" w:lastRowLastColumn="0"/>
            <w:tcW w:w="2016" w:type="dxa"/>
          </w:tcPr>
          <w:p w14:paraId="1A858A78" w14:textId="77777777" w:rsidR="00E932E0" w:rsidRDefault="00000000">
            <w:pPr>
              <w:pStyle w:val="Compact"/>
              <w:spacing w:after="0" w:line="240" w:lineRule="auto"/>
            </w:pPr>
            <w:r>
              <w:rPr>
                <w:sz w:val="16"/>
              </w:rPr>
              <w:t>Plastic particles have been detected in stool, blood, placenta and lung tissue.</w:t>
            </w:r>
          </w:p>
        </w:tc>
        <w:tc>
          <w:tcPr>
            <w:cnfStyle w:val="000010000000" w:firstRow="0" w:lastRow="0" w:firstColumn="0" w:lastColumn="0" w:oddVBand="1" w:evenVBand="0" w:oddHBand="0" w:evenHBand="0" w:firstRowFirstColumn="0" w:firstRowLastColumn="0" w:lastRowFirstColumn="0" w:lastRowLastColumn="0"/>
            <w:tcW w:w="1987" w:type="dxa"/>
          </w:tcPr>
          <w:p w14:paraId="101DD7AB" w14:textId="77777777" w:rsidR="00E932E0" w:rsidRDefault="00000000">
            <w:pPr>
              <w:pStyle w:val="Compact"/>
              <w:spacing w:after="0" w:line="240" w:lineRule="auto"/>
            </w:pPr>
            <w:r>
              <w:rPr>
                <w:sz w:val="16"/>
              </w:rPr>
              <w:t>The proportion originating from bottled water.</w:t>
            </w:r>
          </w:p>
        </w:tc>
        <w:tc>
          <w:tcPr>
            <w:cnfStyle w:val="000001000000" w:firstRow="0" w:lastRow="0" w:firstColumn="0" w:lastColumn="0" w:oddVBand="0" w:evenVBand="1" w:oddHBand="0" w:evenHBand="0" w:firstRowFirstColumn="0" w:firstRowLastColumn="0" w:lastRowFirstColumn="0" w:lastRowLastColumn="0"/>
            <w:tcW w:w="2102" w:type="dxa"/>
          </w:tcPr>
          <w:p w14:paraId="63E765D4" w14:textId="77777777" w:rsidR="00E932E0" w:rsidRDefault="00000000">
            <w:pPr>
              <w:pStyle w:val="Compact"/>
              <w:spacing w:after="0" w:line="240" w:lineRule="auto"/>
            </w:pPr>
            <w:r>
              <w:rPr>
                <w:sz w:val="16"/>
              </w:rPr>
              <w:t>Biomonitoring demonstrates multi-source exposure, not source attribution.</w:t>
            </w:r>
          </w:p>
        </w:tc>
        <w:tc>
          <w:tcPr>
            <w:cnfStyle w:val="000010000000" w:firstRow="0" w:lastRow="0" w:firstColumn="0" w:lastColumn="0" w:oddVBand="1" w:evenVBand="0" w:oddHBand="0" w:evenHBand="0" w:firstRowFirstColumn="0" w:firstRowLastColumn="0" w:lastRowFirstColumn="0" w:lastRowLastColumn="0"/>
            <w:tcW w:w="2232" w:type="dxa"/>
          </w:tcPr>
          <w:p w14:paraId="3F3A6463" w14:textId="77777777" w:rsidR="00E932E0" w:rsidRDefault="00000000">
            <w:pPr>
              <w:pStyle w:val="Compact"/>
              <w:spacing w:after="0" w:line="240" w:lineRule="auto"/>
            </w:pPr>
            <w:r>
              <w:rPr>
                <w:sz w:val="16"/>
              </w:rPr>
              <w:t>Jenner et al. (2022); Leslie et al. (2022); Ragusa et al. (2021); Schwabl et al. (2019)</w:t>
            </w:r>
          </w:p>
        </w:tc>
      </w:tr>
      <w:tr w:rsidR="00E932E0" w14:paraId="5FA4644D" w14:textId="77777777" w:rsidTr="00F33728">
        <w:tc>
          <w:tcPr>
            <w:cnfStyle w:val="000010000000" w:firstRow="0" w:lastRow="0" w:firstColumn="0" w:lastColumn="0" w:oddVBand="1" w:evenVBand="0" w:oddHBand="0" w:evenHBand="0" w:firstRowFirstColumn="0" w:firstRowLastColumn="0" w:lastRowFirstColumn="0" w:lastRowLastColumn="0"/>
            <w:tcW w:w="1296" w:type="dxa"/>
          </w:tcPr>
          <w:p w14:paraId="6A5444DD" w14:textId="77777777" w:rsidR="00E932E0" w:rsidRDefault="00000000">
            <w:pPr>
              <w:pStyle w:val="Compact"/>
              <w:spacing w:after="0" w:line="240" w:lineRule="auto"/>
            </w:pPr>
            <w:r>
              <w:rPr>
                <w:sz w:val="16"/>
              </w:rPr>
              <w:t>4. Human disease association</w:t>
            </w:r>
          </w:p>
        </w:tc>
        <w:tc>
          <w:tcPr>
            <w:cnfStyle w:val="000001000000" w:firstRow="0" w:lastRow="0" w:firstColumn="0" w:lastColumn="0" w:oddVBand="0" w:evenVBand="1" w:oddHBand="0" w:evenHBand="0" w:firstRowFirstColumn="0" w:firstRowLastColumn="0" w:lastRowFirstColumn="0" w:lastRowLastColumn="0"/>
            <w:tcW w:w="2016" w:type="dxa"/>
          </w:tcPr>
          <w:p w14:paraId="3DE2BA70" w14:textId="77777777" w:rsidR="00E932E0" w:rsidRDefault="00000000">
            <w:pPr>
              <w:pStyle w:val="Compact"/>
              <w:spacing w:after="0" w:line="240" w:lineRule="auto"/>
            </w:pPr>
            <w:r>
              <w:rPr>
                <w:sz w:val="16"/>
              </w:rPr>
              <w:t>An observational association has been reported between plaque MNP detection and cardiovascular events.</w:t>
            </w:r>
          </w:p>
        </w:tc>
        <w:tc>
          <w:tcPr>
            <w:cnfStyle w:val="000010000000" w:firstRow="0" w:lastRow="0" w:firstColumn="0" w:lastColumn="0" w:oddVBand="1" w:evenVBand="0" w:oddHBand="0" w:evenHBand="0" w:firstRowFirstColumn="0" w:firstRowLastColumn="0" w:lastRowFirstColumn="0" w:lastRowLastColumn="0"/>
            <w:tcW w:w="1987" w:type="dxa"/>
          </w:tcPr>
          <w:p w14:paraId="3E172099" w14:textId="77777777" w:rsidR="00E932E0" w:rsidRDefault="00000000">
            <w:pPr>
              <w:pStyle w:val="Compact"/>
              <w:spacing w:after="0" w:line="240" w:lineRule="auto"/>
            </w:pPr>
            <w:r>
              <w:rPr>
                <w:sz w:val="16"/>
              </w:rPr>
              <w:t>Causality or a bottled-water source.</w:t>
            </w:r>
          </w:p>
        </w:tc>
        <w:tc>
          <w:tcPr>
            <w:cnfStyle w:val="000001000000" w:firstRow="0" w:lastRow="0" w:firstColumn="0" w:lastColumn="0" w:oddVBand="0" w:evenVBand="1" w:oddHBand="0" w:evenHBand="0" w:firstRowFirstColumn="0" w:firstRowLastColumn="0" w:lastRowFirstColumn="0" w:lastRowLastColumn="0"/>
            <w:tcW w:w="2102" w:type="dxa"/>
          </w:tcPr>
          <w:p w14:paraId="184A531E" w14:textId="77777777" w:rsidR="00E932E0" w:rsidRDefault="00000000">
            <w:pPr>
              <w:pStyle w:val="Compact"/>
              <w:spacing w:after="0" w:line="240" w:lineRule="auto"/>
            </w:pPr>
            <w:r>
              <w:rPr>
                <w:sz w:val="16"/>
              </w:rPr>
              <w:t>Hypothesis-strengthening evidence requiring replication and exposure reconstruction.</w:t>
            </w:r>
          </w:p>
        </w:tc>
        <w:tc>
          <w:tcPr>
            <w:cnfStyle w:val="000010000000" w:firstRow="0" w:lastRow="0" w:firstColumn="0" w:lastColumn="0" w:oddVBand="1" w:evenVBand="0" w:oddHBand="0" w:evenHBand="0" w:firstRowFirstColumn="0" w:firstRowLastColumn="0" w:lastRowFirstColumn="0" w:lastRowLastColumn="0"/>
            <w:tcW w:w="2232" w:type="dxa"/>
          </w:tcPr>
          <w:p w14:paraId="76636EF3" w14:textId="77777777" w:rsidR="00E932E0" w:rsidRDefault="00000000">
            <w:pPr>
              <w:pStyle w:val="Compact"/>
              <w:spacing w:after="0" w:line="240" w:lineRule="auto"/>
            </w:pPr>
            <w:proofErr w:type="spellStart"/>
            <w:r>
              <w:rPr>
                <w:sz w:val="16"/>
              </w:rPr>
              <w:t>Marfella</w:t>
            </w:r>
            <w:proofErr w:type="spellEnd"/>
            <w:r>
              <w:rPr>
                <w:sz w:val="16"/>
              </w:rPr>
              <w:t xml:space="preserve"> et al. (2024)</w:t>
            </w:r>
          </w:p>
        </w:tc>
      </w:tr>
      <w:tr w:rsidR="00E932E0" w14:paraId="4B1A31F2"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40A8B9E9" w14:textId="77777777" w:rsidR="00E932E0" w:rsidRDefault="00000000">
            <w:pPr>
              <w:pStyle w:val="Compact"/>
              <w:spacing w:after="0" w:line="240" w:lineRule="auto"/>
            </w:pPr>
            <w:r>
              <w:rPr>
                <w:sz w:val="16"/>
              </w:rPr>
              <w:t>5. Quantitative clinical risk from bottled water</w:t>
            </w:r>
          </w:p>
        </w:tc>
        <w:tc>
          <w:tcPr>
            <w:cnfStyle w:val="000001000000" w:firstRow="0" w:lastRow="0" w:firstColumn="0" w:lastColumn="0" w:oddVBand="0" w:evenVBand="1" w:oddHBand="0" w:evenHBand="0" w:firstRowFirstColumn="0" w:firstRowLastColumn="0" w:lastRowFirstColumn="0" w:lastRowLastColumn="0"/>
            <w:tcW w:w="2016" w:type="dxa"/>
          </w:tcPr>
          <w:p w14:paraId="23F0F49E" w14:textId="77777777" w:rsidR="00E932E0" w:rsidRDefault="00000000">
            <w:pPr>
              <w:pStyle w:val="Compact"/>
              <w:spacing w:after="0" w:line="240" w:lineRule="auto"/>
            </w:pPr>
            <w:r>
              <w:rPr>
                <w:sz w:val="16"/>
              </w:rPr>
              <w:t>Regulated chemical benchmarks exist for substances such as antimony.</w:t>
            </w:r>
          </w:p>
        </w:tc>
        <w:tc>
          <w:tcPr>
            <w:cnfStyle w:val="000010000000" w:firstRow="0" w:lastRow="0" w:firstColumn="0" w:lastColumn="0" w:oddVBand="1" w:evenVBand="0" w:oddHBand="0" w:evenHBand="0" w:firstRowFirstColumn="0" w:firstRowLastColumn="0" w:lastRowFirstColumn="0" w:lastRowLastColumn="0"/>
            <w:tcW w:w="1987" w:type="dxa"/>
          </w:tcPr>
          <w:p w14:paraId="6DE5041F" w14:textId="77777777" w:rsidR="00E932E0" w:rsidRDefault="00000000">
            <w:pPr>
              <w:pStyle w:val="Compact"/>
              <w:spacing w:after="0" w:line="240" w:lineRule="auto"/>
            </w:pPr>
            <w:r>
              <w:rPr>
                <w:sz w:val="16"/>
              </w:rPr>
              <w:t>A validated health-based MNP threshold or demonstrated bottled-water disease risk.</w:t>
            </w:r>
          </w:p>
        </w:tc>
        <w:tc>
          <w:tcPr>
            <w:cnfStyle w:val="000001000000" w:firstRow="0" w:lastRow="0" w:firstColumn="0" w:lastColumn="0" w:oddVBand="0" w:evenVBand="1" w:oddHBand="0" w:evenHBand="0" w:firstRowFirstColumn="0" w:firstRowLastColumn="0" w:lastRowFirstColumn="0" w:lastRowLastColumn="0"/>
            <w:tcW w:w="2102" w:type="dxa"/>
          </w:tcPr>
          <w:p w14:paraId="05DC1858" w14:textId="77777777" w:rsidR="00E932E0" w:rsidRDefault="00000000">
            <w:pPr>
              <w:pStyle w:val="Compact"/>
              <w:spacing w:after="0" w:line="240" w:lineRule="auto"/>
            </w:pPr>
            <w:r>
              <w:rPr>
                <w:sz w:val="16"/>
              </w:rPr>
              <w:t>Apply established chemical standards; avoid unsupported disease attribution.</w:t>
            </w:r>
          </w:p>
        </w:tc>
        <w:tc>
          <w:tcPr>
            <w:cnfStyle w:val="000010000000" w:firstRow="0" w:lastRow="0" w:firstColumn="0" w:lastColumn="0" w:oddVBand="1" w:evenVBand="0" w:oddHBand="0" w:evenHBand="0" w:firstRowFirstColumn="0" w:firstRowLastColumn="0" w:lastRowFirstColumn="0" w:lastRowLastColumn="0"/>
            <w:tcW w:w="2232" w:type="dxa"/>
          </w:tcPr>
          <w:p w14:paraId="679E9DD7" w14:textId="77777777" w:rsidR="00E932E0" w:rsidRDefault="00000000">
            <w:pPr>
              <w:pStyle w:val="Compact"/>
              <w:spacing w:after="0" w:line="240" w:lineRule="auto"/>
            </w:pPr>
            <w:r>
              <w:rPr>
                <w:sz w:val="16"/>
              </w:rPr>
              <w:t>World Health Organization (2019, 2022, 2026)</w:t>
            </w:r>
          </w:p>
        </w:tc>
      </w:tr>
    </w:tbl>
    <w:p w14:paraId="46FAFFE2" w14:textId="77777777" w:rsidR="00E932E0" w:rsidRDefault="00000000">
      <w:pPr>
        <w:pStyle w:val="BodyText"/>
        <w:spacing w:before="40" w:after="120" w:line="240" w:lineRule="auto"/>
      </w:pPr>
      <w:r>
        <w:rPr>
          <w:i/>
          <w:iCs/>
          <w:sz w:val="17"/>
        </w:rPr>
        <w:t>Note.</w:t>
      </w:r>
      <w:r>
        <w:rPr>
          <w:sz w:val="17"/>
        </w:rPr>
        <w:t xml:space="preserve"> The evidence level indicates distance from source-specific exposure to clinical outcome; it is not a formal grading system.</w:t>
      </w:r>
    </w:p>
    <w:p w14:paraId="26375B51" w14:textId="77777777" w:rsidR="00E932E0" w:rsidRDefault="00000000">
      <w:pPr>
        <w:pStyle w:val="Heading1"/>
      </w:pPr>
      <w:bookmarkStart w:id="15" w:name="Xbc6a1e5451f15e420fe04e2d207e0d31aab2953"/>
      <w:bookmarkEnd w:id="14"/>
      <w:r>
        <w:rPr>
          <w:rFonts w:ascii="Times New Roman" w:hAnsi="Times New Roman"/>
        </w:rPr>
        <w:t>8. Regulatory and Risk-Assessment Implications</w:t>
      </w:r>
    </w:p>
    <w:p w14:paraId="34B70094" w14:textId="77777777" w:rsidR="00E932E0" w:rsidRDefault="00000000">
      <w:pPr>
        <w:pStyle w:val="FirstParagraph"/>
        <w:spacing w:after="100"/>
        <w:ind w:firstLine="360"/>
        <w:jc w:val="both"/>
      </w:pPr>
      <w:r>
        <w:t xml:space="preserve">Regulation of bottled-water packaging sits at the intersection of food-contact material rules and drinking-water standards. Traditional frameworks are strongest for known chemicals with toxicological reference values and validated analytical methods. Antimony exemplifies this approach: WHO, the United States and the European Union maintain drinking-water values, although the numerical benchmarks differ (European Parliament &amp; Council of the European Union, 2020; United States Environmental Protection Agency, n.d.; World Health Organization, 2026). The EU drinking-water directive also includes a parametric value of 2.5 micrograms per </w:t>
      </w:r>
      <w:proofErr w:type="spellStart"/>
      <w:r>
        <w:t>litre</w:t>
      </w:r>
      <w:proofErr w:type="spellEnd"/>
      <w:r>
        <w:t xml:space="preserve"> for BPA. These limits are useful for evaluating measured concentrations but do not </w:t>
      </w:r>
      <w:r>
        <w:lastRenderedPageBreak/>
        <w:t>substitute for packaging-specific migration controls, because contamination can arise at multiple points between source water and consumption.</w:t>
      </w:r>
    </w:p>
    <w:p w14:paraId="6B9DF28C" w14:textId="77777777" w:rsidR="00E932E0" w:rsidRDefault="00000000">
      <w:pPr>
        <w:pStyle w:val="BodyText"/>
        <w:spacing w:after="100"/>
        <w:ind w:firstLine="360"/>
        <w:jc w:val="both"/>
      </w:pPr>
      <w:r>
        <w:t xml:space="preserve">NIAS challenge positive-list regulation because the relevant chemicals may be generated during </w:t>
      </w:r>
      <w:proofErr w:type="spellStart"/>
      <w:r>
        <w:t>polymerisation</w:t>
      </w:r>
      <w:proofErr w:type="spellEnd"/>
      <w:r>
        <w:t xml:space="preserve">, recycling, ageing or stress rather than intentionally formulated. A practical regulatory strategy should combine targeted compliance testing with non-target or suspect screening and effect-based tools. Non-target signals should be </w:t>
      </w:r>
      <w:proofErr w:type="spellStart"/>
      <w:r>
        <w:t>prioritised</w:t>
      </w:r>
      <w:proofErr w:type="spellEnd"/>
      <w:r>
        <w:t xml:space="preserve"> using occurrence, migration magnitude, structural alerts and bioactivity rather than treated as equally hazardous. The goal is not to identify every spectral feature before a package can be used, which may be unrealistic, but to create a defensible process for discovering and managing previously </w:t>
      </w:r>
      <w:proofErr w:type="spellStart"/>
      <w:r>
        <w:t>unrecognised</w:t>
      </w:r>
      <w:proofErr w:type="spellEnd"/>
      <w:r>
        <w:t xml:space="preserve"> migrants. The broader chemical inventories assembled for plastic packaging show that hazard information is incomplete for many substances and that chemical simplification can improve both safety assessment and recyclability (Groh et al., 2019; Wiesinger et al., 2021).</w:t>
      </w:r>
    </w:p>
    <w:p w14:paraId="256EDB53" w14:textId="77777777" w:rsidR="00E932E0" w:rsidRDefault="00000000">
      <w:pPr>
        <w:pStyle w:val="BodyText"/>
        <w:spacing w:after="100"/>
        <w:ind w:firstLine="360"/>
        <w:jc w:val="both"/>
      </w:pPr>
      <w:r>
        <w:t xml:space="preserve">Particle regulation is even less mature because there is no universally applied analytical size range, unit or health-based threshold. A method counting particles down to 100 </w:t>
      </w:r>
      <w:proofErr w:type="spellStart"/>
      <w:r>
        <w:t>nanometres</w:t>
      </w:r>
      <w:proofErr w:type="spellEnd"/>
      <w:r>
        <w:t xml:space="preserve"> will report far more particles than a method with a 20- or 100-micrometre lower limit. Number concentration, mass concentration, surface area and particle-size distribution each capture different aspects of potential dose. The findings of Qian et al. (2024) and Jamison Hart and Lenhart (2026) demonstrate why reporting only a single particle count without the analytical window can be misleading. </w:t>
      </w:r>
      <w:proofErr w:type="spellStart"/>
      <w:r>
        <w:t>Harmonisation</w:t>
      </w:r>
      <w:proofErr w:type="spellEnd"/>
      <w:r>
        <w:t xml:space="preserve"> should therefore precede numerical limit-setting. Minimum requirements should include field and laboratory blanks, polymer confirmation, lower and upper size bounds, recovery testing, contamination-control procedures and reporting of both number and size distribution, with mass where technically credible.</w:t>
      </w:r>
    </w:p>
    <w:p w14:paraId="28E0B960" w14:textId="77777777" w:rsidR="00E932E0" w:rsidRDefault="00000000">
      <w:pPr>
        <w:pStyle w:val="BodyText"/>
        <w:spacing w:after="100"/>
        <w:ind w:firstLine="360"/>
        <w:jc w:val="both"/>
      </w:pPr>
      <w:r>
        <w:t>Environmental-stress testing also needs a more realistic framework. Accelerated migration tests are valuable for quality assurance, but extreme temperature-time combinations should be linked explicitly to the real-world condition they are intended to simulate. Transport studies, passive temperature logging and distribution-chain measurements can provide realistic thermal histories for model calibration. Mechanical testing should include closure cycles because the cap-neck interface can be a dominant particle source. Recycled-content testing should incorporate feedstock quality and NIAS surveillance. These additions would move regulation from a bottle-body-centric model toward a complete package-and-use model.</w:t>
      </w:r>
    </w:p>
    <w:p w14:paraId="50345085" w14:textId="77777777" w:rsidR="00E932E0" w:rsidRDefault="00000000">
      <w:pPr>
        <w:pStyle w:val="Heading1"/>
      </w:pPr>
      <w:bookmarkStart w:id="16" w:name="X2b604865f9643d606a5fe9083e3173260243056"/>
      <w:bookmarkEnd w:id="15"/>
      <w:r>
        <w:rPr>
          <w:rFonts w:ascii="Times New Roman" w:hAnsi="Times New Roman"/>
        </w:rPr>
        <w:t>9. Integrated Critical Synthesis</w:t>
      </w:r>
    </w:p>
    <w:p w14:paraId="0201E473" w14:textId="77777777" w:rsidR="00E932E0" w:rsidRDefault="00000000">
      <w:pPr>
        <w:pStyle w:val="FirstParagraph"/>
        <w:spacing w:after="100"/>
        <w:ind w:firstLine="360"/>
        <w:jc w:val="both"/>
      </w:pPr>
      <w:r>
        <w:t>The evidence supports a stress-response framework with three linked but separable pathways. The first is molecular migration, governed primarily by polymer composition, diffusion, chemical reactions, contact time and water chemistry. Antimony is the strongest example because source and thermally accelerated migration are repeatedly demonstrated. Carbonyls and other PET-related degradation products also fit this pathway, although their toxicological significance varies. The second pathway is surface wear and fragmentation, particularly at mechanically active interfaces such as caps and bottle necks. The third is environmental ageing after disposal, where photochemical oxidation, abrasion and biofouling can change both leachate composition and particle generation. Conflating these pathways produces misleading statements such as treating all detected particles as evidence of chemical leaching or all detected endocrine-active chemicals as intrinsic PET additives.</w:t>
      </w:r>
    </w:p>
    <w:p w14:paraId="1DA5B2FF" w14:textId="77777777" w:rsidR="00E932E0" w:rsidRDefault="00000000">
      <w:pPr>
        <w:pStyle w:val="BodyText"/>
        <w:spacing w:after="100"/>
        <w:ind w:firstLine="360"/>
        <w:jc w:val="both"/>
      </w:pPr>
      <w:r>
        <w:t xml:space="preserve">A second synthesis concerns evidence strength. Migration studies provide the most direct bottled-water-specific evidence, but they often use limited brands and controlled conditions. Toxicology provides mechanistic plausibility, but frequently uses model particles, concentrated extracts or doses far above estimated human exposure. Human biomonitoring confirms that plastic particles can enter or be detected in the body, yet it integrates all environmental sources. Observational disease studies can identify associations but still do not reconstruct bottled-water dose. The evidentiary chain therefore weakens as one </w:t>
      </w:r>
      <w:proofErr w:type="gramStart"/>
      <w:r>
        <w:t>moves</w:t>
      </w:r>
      <w:proofErr w:type="gramEnd"/>
      <w:r>
        <w:t xml:space="preserve"> from "a package can </w:t>
      </w:r>
      <w:r>
        <w:lastRenderedPageBreak/>
        <w:t>release material" to "this material causes disease through bottled-water consumption". This does not mean that risk is zero; it means that current data constrain the strength and specificity of the claim.</w:t>
      </w:r>
    </w:p>
    <w:p w14:paraId="78D0A259" w14:textId="77777777" w:rsidR="00E932E0" w:rsidRDefault="00000000">
      <w:pPr>
        <w:pStyle w:val="BodyText"/>
        <w:spacing w:after="100"/>
        <w:ind w:firstLine="360"/>
        <w:jc w:val="both"/>
      </w:pPr>
      <w:r>
        <w:t>A third synthesis concerns heterogeneity. Brand-to-brand differences are not nuisance variation to be averaged away. They may encode meaningful differences in catalyst loading, resin supplier, recycled content, bottle geometry, closure polymer, processing temperature and water chemistry. Likewise, the enormous spread in reported particle counts reflects not only environmental variability but also analytical size thresholds and identification methods. Future studies should therefore be designed to explain heterogeneity rather than simply enlarge sample numbers. Multilevel models that treat brand, production lot, bottle component, storage history and analytical method as explicit factors could transform a fragmented literature into predictive migration science.</w:t>
      </w:r>
    </w:p>
    <w:p w14:paraId="76F12CA3" w14:textId="77777777" w:rsidR="00E932E0" w:rsidRDefault="00000000">
      <w:pPr>
        <w:pStyle w:val="BodyText"/>
        <w:spacing w:after="100"/>
        <w:ind w:firstLine="360"/>
        <w:jc w:val="both"/>
      </w:pPr>
      <w:r>
        <w:t>Finally, the risk-management implications are more mature than the clinical causal evidence. Avoiding prolonged heat and direct sun exposure, preventing repeated use of single-use bottles for hot liquids, improving closure design, controlling recycled feedstock and strengthening NIAS surveillance are low-regret measures because they target demonstrated release mechanisms. At the same time, clinicians and public-health authorities should avoid attributing non-specific symptoms or chronic diseases to bottled-water plastic exposure in the absence of individual exposure assessment and disease-specific evidence. Environmental policy can reasonably pursue reduced single-use plastic dependence for waste and ecological reasons without presenting uncertain clinical endpoints as established facts.</w:t>
      </w:r>
    </w:p>
    <w:p w14:paraId="1D4A503E" w14:textId="77777777" w:rsidR="00E932E0" w:rsidRDefault="00000000">
      <w:pPr>
        <w:pStyle w:val="Heading1"/>
      </w:pPr>
      <w:bookmarkStart w:id="17" w:name="Xfa98424ac5d71869606b9cc9edcdaf2dd2dd5e9"/>
      <w:bookmarkEnd w:id="16"/>
      <w:r>
        <w:rPr>
          <w:rFonts w:ascii="Times New Roman" w:hAnsi="Times New Roman"/>
        </w:rPr>
        <w:t>10. Future Directions</w:t>
      </w:r>
    </w:p>
    <w:p w14:paraId="46F52B12" w14:textId="77777777" w:rsidR="00E932E0" w:rsidRDefault="00000000">
      <w:pPr>
        <w:pStyle w:val="FirstParagraph"/>
        <w:spacing w:after="100"/>
        <w:ind w:firstLine="360"/>
        <w:jc w:val="both"/>
      </w:pPr>
      <w:r>
        <w:t>The immediate research priority is realistic stress-dose mapping. Laboratory studies should replace isolated temperature points with measured transport and storage profiles representing hot vehicles, outdoor retail exposure, warehouses and household use. Temperature loggers can provide time-resolved histories that are then reproduced experimentally. Each study should report bottle resin, recycled content where known, closure material, surface-to-volume ratio, water chemistry and production lot. Repeated opening and closing should be tested independently from bottle-body squeezing so that cap-neck abrasion can be quantified. These designs would allow migration models to estimate the upper tail of real consumer exposure rather than relying on severe conditions with uncertain prevalence.</w:t>
      </w:r>
    </w:p>
    <w:p w14:paraId="4682357E" w14:textId="77777777" w:rsidR="00E932E0" w:rsidRDefault="00000000">
      <w:pPr>
        <w:pStyle w:val="BodyText"/>
        <w:spacing w:after="100"/>
        <w:ind w:firstLine="360"/>
        <w:jc w:val="both"/>
      </w:pPr>
      <w:r>
        <w:t xml:space="preserve">A second priority is source-resolved chemical analysis. Studies detecting BPA, phthalates or other unexpected compounds should </w:t>
      </w:r>
      <w:proofErr w:type="spellStart"/>
      <w:r>
        <w:t>analyse</w:t>
      </w:r>
      <w:proofErr w:type="spellEnd"/>
      <w:r>
        <w:t xml:space="preserve"> the bottle body, closure, label or liner, source water, bottling-line blanks and relevant laboratory blanks. Isotopic or material-fingerprint approaches may help distinguish packaging release from environmental contamination. For recycled PET, feedstock and decontamination history should be integrated with suspect and non-target screening. Effect-directed analysis should be paired with high-resolution chemical </w:t>
      </w:r>
      <w:proofErr w:type="spellStart"/>
      <w:r>
        <w:t>characterisation</w:t>
      </w:r>
      <w:proofErr w:type="spellEnd"/>
      <w:r>
        <w:t xml:space="preserve"> so that an in vitro signal can be traced to a plausible migrant or mixture rather than reported as unexplained "plastic toxicity". This would materially improve both regulation and the scientific interpretation of bioassay findings.</w:t>
      </w:r>
    </w:p>
    <w:p w14:paraId="0C4B0874" w14:textId="77777777" w:rsidR="00E932E0" w:rsidRDefault="00000000">
      <w:pPr>
        <w:pStyle w:val="BodyText"/>
        <w:spacing w:after="100"/>
        <w:ind w:firstLine="360"/>
        <w:jc w:val="both"/>
      </w:pPr>
      <w:r>
        <w:t xml:space="preserve">A third priority is </w:t>
      </w:r>
      <w:proofErr w:type="spellStart"/>
      <w:r>
        <w:t>harmonisation</w:t>
      </w:r>
      <w:proofErr w:type="spellEnd"/>
      <w:r>
        <w:t xml:space="preserve"> of micro- and </w:t>
      </w:r>
      <w:proofErr w:type="spellStart"/>
      <w:r>
        <w:t>nanoplastic</w:t>
      </w:r>
      <w:proofErr w:type="spellEnd"/>
      <w:r>
        <w:t xml:space="preserve"> measurement. Interlaboratory reference materials, recovery standards and contamination-control protocols are needed across Raman, infrared, thermal and emerging nanoscale methods. Reports should state the detected size interval, particle number, size distribution, polymer identity and, where reliable, mass. Parallel analysis of bottle body and closure particles would enable source apportionment. Because </w:t>
      </w:r>
      <w:proofErr w:type="spellStart"/>
      <w:r>
        <w:t>nanoplastic</w:t>
      </w:r>
      <w:proofErr w:type="spellEnd"/>
      <w:r>
        <w:t xml:space="preserve"> counts dominate when lower detection limits shrink, future exposure assessment should not compare studies by particles per </w:t>
      </w:r>
      <w:proofErr w:type="spellStart"/>
      <w:r>
        <w:t>litre</w:t>
      </w:r>
      <w:proofErr w:type="spellEnd"/>
      <w:r>
        <w:t xml:space="preserve"> unless their size windows overlap. Method-comparison studies on the same water samples would be especially valuable for converting historical data into a common exposure framework.</w:t>
      </w:r>
    </w:p>
    <w:p w14:paraId="35901046" w14:textId="77777777" w:rsidR="00E932E0" w:rsidRDefault="00000000">
      <w:pPr>
        <w:pStyle w:val="BodyText"/>
        <w:spacing w:after="100"/>
        <w:ind w:firstLine="360"/>
        <w:jc w:val="both"/>
      </w:pPr>
      <w:r>
        <w:lastRenderedPageBreak/>
        <w:t xml:space="preserve">Toxicology should move from convenient model particles to exposure-relevant materials. Bottle-derived PET and closure particles should be generated under documented thermal, photochemical and mechanical ageing, </w:t>
      </w:r>
      <w:proofErr w:type="spellStart"/>
      <w:r>
        <w:t>characterised</w:t>
      </w:r>
      <w:proofErr w:type="spellEnd"/>
      <w:r>
        <w:t xml:space="preserve"> for size, surface chemistry and associated chemicals, and tested at doses bracketed around plausible gastrointestinal exposure. Advanced intestinal models, co-cultures and physiologically based models can help quantify uptake and clearance before resource-intensive animal or clinical studies are pursued. For chemicals, speciation and mixture composition should be measured at the same time as biological endpoints. The most informative outcome is not whether a very high dose can produce oxidative stress, but where the effect threshold lies relative to realistic human dose distributions.</w:t>
      </w:r>
    </w:p>
    <w:p w14:paraId="72CD27DE" w14:textId="77777777" w:rsidR="00E932E0" w:rsidRDefault="00000000">
      <w:pPr>
        <w:pStyle w:val="BodyText"/>
        <w:spacing w:after="100"/>
        <w:ind w:firstLine="360"/>
        <w:jc w:val="both"/>
      </w:pPr>
      <w:r>
        <w:t xml:space="preserve">Human research requires source-specific exposure assessment. Prospective cohorts could combine repeated bottled-water-use diaries, brand and package information, household water alternatives, dietary and inhalation covariates and validated biomarkers. Short-term controlled crossover studies may be feasible for selected chemical migrants if ethical and analytical conditions are met, comparing ordinary bottled-water use with low-plastic-contact alternatives while measuring exposure biomarkers rather than disease. For micro- and </w:t>
      </w:r>
      <w:proofErr w:type="spellStart"/>
      <w:r>
        <w:t>nanoplastics</w:t>
      </w:r>
      <w:proofErr w:type="spellEnd"/>
      <w:r>
        <w:t>, rigorous validation of human-tissue analytical methods should precede large epidemiological claims. Vulnerable groups such as infants, children and pregnant individuals deserve focused exposure studies because intake relative to body mass and developmental sensitivity may differ, but study design should be driven by measured dose rather than assumption.</w:t>
      </w:r>
    </w:p>
    <w:p w14:paraId="437F52B4" w14:textId="77777777" w:rsidR="00E932E0" w:rsidRDefault="00000000">
      <w:pPr>
        <w:pStyle w:val="BodyText"/>
        <w:spacing w:after="100"/>
        <w:ind w:firstLine="360"/>
        <w:jc w:val="both"/>
      </w:pPr>
      <w:r>
        <w:t>Ecological research should connect the bottle life cycle from litter to weathered leachate and fragmentation. PET-specific studies under realistic sunlight, temperature cycling and freshwater or marine conditions are needed to determine how chemical profiles change over months and years. Experiments should distinguish acute leachate toxicity, chronic sublethal effects, particle effects and changes in microbial carbon processing. Comparative work across virgin and recycled PET can test whether circularity alters environmental chemical release. These data would allow product design, waste management and food-contact safety to be evaluated within a single life-cycle chemical framework instead of as separate policy domains.</w:t>
      </w:r>
    </w:p>
    <w:p w14:paraId="0694A254" w14:textId="77777777" w:rsidR="00E932E0" w:rsidRDefault="00000000">
      <w:pPr>
        <w:pStyle w:val="Heading1"/>
      </w:pPr>
      <w:bookmarkStart w:id="18" w:name="Xe062ab35f5d0c55e2a96d0a65369ec4a2d8f22e"/>
      <w:bookmarkEnd w:id="17"/>
      <w:r>
        <w:rPr>
          <w:rFonts w:ascii="Times New Roman" w:hAnsi="Times New Roman"/>
        </w:rPr>
        <w:t>11. Conclusions</w:t>
      </w:r>
    </w:p>
    <w:p w14:paraId="0F242951" w14:textId="77777777" w:rsidR="00E932E0" w:rsidRDefault="00000000">
      <w:pPr>
        <w:pStyle w:val="FirstParagraph"/>
        <w:spacing w:after="100"/>
        <w:ind w:firstLine="360"/>
        <w:jc w:val="both"/>
      </w:pPr>
      <w:r>
        <w:t xml:space="preserve">The available evidence demonstrates that plastic bottled-water systems can release both dissolved chemicals and polymer particles, and that environmental or use-related stress can modify the magnitude and composition of that release. For PET bottles, antimony is the most consistently source-resolved migrant and shows a reproducible increase with temperature and contact time. Carbonyls and other processing or degradation products also migrate under condition-dependent circumstances. Findings for phthalates, BPA and estrogenic activity are more difficult to attribute specifically to PET because the complete package, recycled feedstock, manufacturing environment and analytical background can contribute. Mechanical wear is particularly relevant at the cap-neck interface, while modern </w:t>
      </w:r>
      <w:proofErr w:type="spellStart"/>
      <w:r>
        <w:t>nanoplastic</w:t>
      </w:r>
      <w:proofErr w:type="spellEnd"/>
      <w:r>
        <w:t xml:space="preserve"> methods reveal far more small particles than earlier methods, making reported counts strongly dependent on analytical size range.</w:t>
      </w:r>
    </w:p>
    <w:p w14:paraId="7951AFC3" w14:textId="77777777" w:rsidR="00E932E0" w:rsidRDefault="00000000">
      <w:pPr>
        <w:pStyle w:val="BodyText"/>
        <w:spacing w:after="100"/>
        <w:ind w:firstLine="360"/>
        <w:jc w:val="both"/>
      </w:pPr>
      <w:r>
        <w:t xml:space="preserve">The toxicological evidence supports biological plausibility for several pathways, including oxidative stress, inflammation and endocrine </w:t>
      </w:r>
      <w:proofErr w:type="spellStart"/>
      <w:r>
        <w:t>signalling</w:t>
      </w:r>
      <w:proofErr w:type="spellEnd"/>
      <w:r>
        <w:t xml:space="preserve">, but direct translation to human disease is constrained by uncertain internal dose, model-particle differences and frequent use of high experimental concentrations. Human biomonitoring establishes multi-source exposure to plastic particles, not a bottled-water-specific disease pathway. Ecological evidence similarly shows that weathered plastics can release biologically active mixtures and persistent particles, but effects differ markedly among polymers and formulations. The most defensible current response is therefore mechanism-based prevention rather than alarm: limit avoidable high-temperature and prolonged sunlight exposure, evaluate the whole package rather than PET alone, improve recycled-feedstock and NIAS control, and </w:t>
      </w:r>
      <w:proofErr w:type="spellStart"/>
      <w:r>
        <w:t>harmonise</w:t>
      </w:r>
      <w:proofErr w:type="spellEnd"/>
      <w:r>
        <w:t xml:space="preserve"> particle measurement. Stronger clinical conclusions will require </w:t>
      </w:r>
      <w:r>
        <w:lastRenderedPageBreak/>
        <w:t>source-resolved exposure assessment and human studies that connect realistic bottled-water dose to validated biological outcomes.</w:t>
      </w:r>
    </w:p>
    <w:p w14:paraId="4DD0B38A" w14:textId="77777777" w:rsidR="00E932E0" w:rsidRDefault="00000000">
      <w:pPr>
        <w:pStyle w:val="Heading1"/>
      </w:pPr>
      <w:bookmarkStart w:id="19" w:name="X7fb20bcc102a11b2e02a64c2f7cbabaea80fc57"/>
      <w:bookmarkEnd w:id="18"/>
      <w:r>
        <w:rPr>
          <w:rFonts w:ascii="Times New Roman" w:hAnsi="Times New Roman"/>
        </w:rPr>
        <w:t>12. Limitations</w:t>
      </w:r>
    </w:p>
    <w:p w14:paraId="5A849DF5" w14:textId="77777777" w:rsidR="00E932E0" w:rsidRDefault="00000000">
      <w:pPr>
        <w:pStyle w:val="FirstParagraph"/>
        <w:spacing w:after="100"/>
        <w:ind w:firstLine="360"/>
        <w:jc w:val="both"/>
      </w:pPr>
      <w:r>
        <w:t xml:space="preserve">As a critical narrative review, this synthesis is intrinsically susceptible to selection and interpretive bias despite the use of a transparent search framework, explicit eligibility criteria and iterative citation checking. The evidence base is highly heterogeneous in bottle composition, water chemistry, stress protocol, analytical detection limit, particle-size window and toxicological model, which precluded meaningful quantitative pooling. English-language literature was used, so relevant evidence published only in other languages may have been missed. Some </w:t>
      </w:r>
      <w:proofErr w:type="spellStart"/>
      <w:r>
        <w:t>specialised</w:t>
      </w:r>
      <w:proofErr w:type="spellEnd"/>
      <w:r>
        <w:t xml:space="preserve"> subscription content was accessible only through bibliographic records or abstracts, limiting assessment of methodological details for a small number of studies. The literature is geographically uneven and often relies on limited brand samples, reducing </w:t>
      </w:r>
      <w:proofErr w:type="spellStart"/>
      <w:r>
        <w:t>generalisability</w:t>
      </w:r>
      <w:proofErr w:type="spellEnd"/>
      <w:r>
        <w:t xml:space="preserve"> to all markets. Human evidence remains predominantly biomonitoring or observational and cannot isolate bottled water from other ingestion and inhalation pathways. Rapid development of </w:t>
      </w:r>
      <w:proofErr w:type="spellStart"/>
      <w:r>
        <w:t>nanoplastic</w:t>
      </w:r>
      <w:proofErr w:type="spellEnd"/>
      <w:r>
        <w:t xml:space="preserve"> methods also means that occurrence estimates are not fully comparable across time. These limitations </w:t>
      </w:r>
      <w:proofErr w:type="spellStart"/>
      <w:r>
        <w:t>favour</w:t>
      </w:r>
      <w:proofErr w:type="spellEnd"/>
      <w:r>
        <w:t xml:space="preserve"> cautious, source-specific conclusions and make absence of a demonstrated clinical effect different from proof of no effect.</w:t>
      </w:r>
    </w:p>
    <w:p w14:paraId="6FC2EBB2" w14:textId="77777777" w:rsidR="00D67B09" w:rsidRDefault="00D67B09" w:rsidP="00D67B09">
      <w:pPr>
        <w:pStyle w:val="BodyText"/>
      </w:pPr>
    </w:p>
    <w:p w14:paraId="54A85C73" w14:textId="77777777" w:rsidR="00D67B09" w:rsidRDefault="00D67B09" w:rsidP="00D67B09">
      <w:pPr>
        <w:spacing w:after="0" w:line="240" w:lineRule="auto"/>
        <w:rPr>
          <w:rFonts w:cs="Times New Roman"/>
          <w:b/>
        </w:rPr>
      </w:pPr>
      <w:r w:rsidRPr="000839CE">
        <w:rPr>
          <w:rFonts w:cs="Times New Roman"/>
          <w:b/>
        </w:rPr>
        <w:t>Declaration of AI Use</w:t>
      </w:r>
    </w:p>
    <w:p w14:paraId="59EF9998" w14:textId="77777777" w:rsidR="00D67B09" w:rsidRDefault="00D67B09" w:rsidP="00D67B09">
      <w:pPr>
        <w:spacing w:after="0" w:line="240" w:lineRule="auto"/>
        <w:rPr>
          <w:rFonts w:cs="Times New Roman"/>
          <w:b/>
        </w:rPr>
      </w:pPr>
    </w:p>
    <w:p w14:paraId="57E432AF" w14:textId="77777777" w:rsidR="00D67B09" w:rsidRDefault="00D67B09" w:rsidP="00D67B09">
      <w:pPr>
        <w:spacing w:after="0" w:line="240" w:lineRule="auto"/>
        <w:rPr>
          <w:rFonts w:cs="Times New Roman"/>
          <w:b/>
        </w:rPr>
      </w:pPr>
    </w:p>
    <w:p w14:paraId="687954F0" w14:textId="77777777" w:rsidR="00D67B09" w:rsidRDefault="00D67B09" w:rsidP="00D67B09">
      <w:pPr>
        <w:spacing w:after="0" w:line="240" w:lineRule="auto"/>
        <w:rPr>
          <w:rFonts w:cs="Times New Roman"/>
          <w:b/>
        </w:rPr>
      </w:pPr>
    </w:p>
    <w:p w14:paraId="11BC7493" w14:textId="77777777" w:rsidR="00D67B09" w:rsidRPr="002D08AC" w:rsidRDefault="00D67B09" w:rsidP="00D67B09">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90DB0F1" w14:textId="77777777" w:rsidR="00D67B09" w:rsidRPr="00D67B09" w:rsidRDefault="00D67B09" w:rsidP="00D67B09">
      <w:pPr>
        <w:pStyle w:val="BodyText"/>
      </w:pPr>
    </w:p>
    <w:p w14:paraId="2CAC9E44" w14:textId="77777777" w:rsidR="00E932E0" w:rsidRDefault="00000000">
      <w:pPr>
        <w:pStyle w:val="Heading1"/>
        <w:pageBreakBefore/>
      </w:pPr>
      <w:bookmarkStart w:id="20" w:name="references"/>
      <w:bookmarkEnd w:id="19"/>
      <w:r>
        <w:lastRenderedPageBreak/>
        <w:t>References</w:t>
      </w:r>
    </w:p>
    <w:p w14:paraId="75405D82" w14:textId="77777777" w:rsidR="00E932E0" w:rsidRDefault="00000000">
      <w:pPr>
        <w:spacing w:after="60" w:line="240" w:lineRule="auto"/>
        <w:ind w:left="432" w:hanging="432"/>
      </w:pPr>
      <w:r>
        <w:rPr>
          <w:sz w:val="19"/>
        </w:rPr>
        <w:t>Al-</w:t>
      </w:r>
      <w:proofErr w:type="spellStart"/>
      <w:r>
        <w:rPr>
          <w:sz w:val="19"/>
        </w:rPr>
        <w:t>Otoum</w:t>
      </w:r>
      <w:proofErr w:type="spellEnd"/>
      <w:r>
        <w:rPr>
          <w:sz w:val="19"/>
        </w:rPr>
        <w:t>, F., Al-</w:t>
      </w:r>
      <w:proofErr w:type="spellStart"/>
      <w:r>
        <w:rPr>
          <w:sz w:val="19"/>
        </w:rPr>
        <w:t>Ghouti</w:t>
      </w:r>
      <w:proofErr w:type="spellEnd"/>
      <w:r>
        <w:rPr>
          <w:sz w:val="19"/>
        </w:rPr>
        <w:t xml:space="preserve">, M. A., Costa, O. S., &amp; </w:t>
      </w:r>
      <w:proofErr w:type="spellStart"/>
      <w:r>
        <w:rPr>
          <w:sz w:val="19"/>
        </w:rPr>
        <w:t>Khraisheh</w:t>
      </w:r>
      <w:proofErr w:type="spellEnd"/>
      <w:r>
        <w:rPr>
          <w:sz w:val="19"/>
        </w:rPr>
        <w:t xml:space="preserve">, M. (2017). Impact of temperature and storage time on the migration of antimony from polyethylene terephthalate (PET) containers into bottled water in Qatar. </w:t>
      </w:r>
      <w:r>
        <w:rPr>
          <w:i/>
          <w:iCs/>
          <w:sz w:val="19"/>
        </w:rPr>
        <w:t>Environmental Monitoring and Assessment, 189</w:t>
      </w:r>
      <w:r>
        <w:rPr>
          <w:sz w:val="19"/>
        </w:rPr>
        <w:t xml:space="preserve">(12), 631. </w:t>
      </w:r>
      <w:hyperlink r:id="rId7">
        <w:r w:rsidR="00E932E0">
          <w:rPr>
            <w:rStyle w:val="Hyperlink"/>
          </w:rPr>
          <w:t>https://doi.org/10.1007/s10661-017-6342-3</w:t>
        </w:r>
      </w:hyperlink>
    </w:p>
    <w:p w14:paraId="41503704" w14:textId="77777777" w:rsidR="00E932E0" w:rsidRDefault="00000000">
      <w:pPr>
        <w:spacing w:after="60" w:line="240" w:lineRule="auto"/>
        <w:ind w:left="432" w:hanging="432"/>
      </w:pPr>
      <w:r>
        <w:rPr>
          <w:sz w:val="19"/>
        </w:rPr>
        <w:t xml:space="preserve">Bach, C., Dauchy, X., Chagnon, M.-C., &amp; Etienne, S. (2012). Chemical compounds and toxicological assessments of drinking water stored in polyethylene terephthalate (PET) bottles: A source of controversy reviewed. </w:t>
      </w:r>
      <w:r>
        <w:rPr>
          <w:i/>
          <w:iCs/>
          <w:sz w:val="19"/>
        </w:rPr>
        <w:t>Water Research, 46</w:t>
      </w:r>
      <w:r>
        <w:rPr>
          <w:sz w:val="19"/>
        </w:rPr>
        <w:t xml:space="preserve">(3), 571-583. </w:t>
      </w:r>
      <w:hyperlink r:id="rId8">
        <w:r w:rsidR="00E932E0">
          <w:rPr>
            <w:rStyle w:val="Hyperlink"/>
          </w:rPr>
          <w:t>https://doi.org/10.1016/j.watres.2011.11.062</w:t>
        </w:r>
      </w:hyperlink>
    </w:p>
    <w:p w14:paraId="3D5B78C8" w14:textId="77777777" w:rsidR="00E932E0" w:rsidRDefault="00000000">
      <w:pPr>
        <w:spacing w:after="60" w:line="240" w:lineRule="auto"/>
        <w:ind w:left="432" w:hanging="432"/>
      </w:pPr>
      <w:r>
        <w:rPr>
          <w:sz w:val="19"/>
        </w:rPr>
        <w:t xml:space="preserve">Bach, C., Dauchy, X., Severin, I., Munoz, J.-F., Etienne, S., &amp; Chagnon, M.-C. (2013). Effect of temperature on the release of intentionally and non-intentionally added substances from polyethylene terephthalate (PET) bottles into water: Chemical analysis and potential toxicity. </w:t>
      </w:r>
      <w:r>
        <w:rPr>
          <w:i/>
          <w:iCs/>
          <w:sz w:val="19"/>
        </w:rPr>
        <w:t>Food Chemistry, 139</w:t>
      </w:r>
      <w:r>
        <w:rPr>
          <w:sz w:val="19"/>
        </w:rPr>
        <w:t xml:space="preserve">(1-4), 672-680. </w:t>
      </w:r>
      <w:hyperlink r:id="rId9">
        <w:r w:rsidR="00E932E0">
          <w:rPr>
            <w:rStyle w:val="Hyperlink"/>
          </w:rPr>
          <w:t>https://doi.org/10.1016/j.foodchem.2013.01.046</w:t>
        </w:r>
      </w:hyperlink>
    </w:p>
    <w:p w14:paraId="793572CF" w14:textId="77777777" w:rsidR="00E932E0" w:rsidRDefault="00000000">
      <w:pPr>
        <w:spacing w:after="60" w:line="240" w:lineRule="auto"/>
        <w:ind w:left="432" w:hanging="432"/>
      </w:pPr>
      <w:r>
        <w:rPr>
          <w:sz w:val="19"/>
        </w:rPr>
        <w:t xml:space="preserve">Bach, C., Dauchy, X., Severin, I., Munoz, J.-F., Etienne, S., &amp; Chagnon, M.-C. (2014). Effect of sunlight exposure on the release of intentionally and/or non-intentionally added substances from polyethylene terephthalate (PET) bottles into water: Chemical analysis and in vitro toxicity. </w:t>
      </w:r>
      <w:r>
        <w:rPr>
          <w:i/>
          <w:iCs/>
          <w:sz w:val="19"/>
        </w:rPr>
        <w:t>Food Chemistry, 162</w:t>
      </w:r>
      <w:r>
        <w:rPr>
          <w:sz w:val="19"/>
        </w:rPr>
        <w:t xml:space="preserve">, 63-71. </w:t>
      </w:r>
      <w:hyperlink r:id="rId10">
        <w:r w:rsidR="00E932E0">
          <w:rPr>
            <w:rStyle w:val="Hyperlink"/>
          </w:rPr>
          <w:t>https://doi.org/10.1016/j.foodchem.2014.04.020</w:t>
        </w:r>
      </w:hyperlink>
    </w:p>
    <w:p w14:paraId="12826D75" w14:textId="77777777" w:rsidR="00E932E0" w:rsidRDefault="00000000">
      <w:pPr>
        <w:spacing w:after="60" w:line="240" w:lineRule="auto"/>
        <w:ind w:left="432" w:hanging="432"/>
      </w:pPr>
      <w:proofErr w:type="spellStart"/>
      <w:r>
        <w:rPr>
          <w:sz w:val="19"/>
        </w:rPr>
        <w:t>Baethge</w:t>
      </w:r>
      <w:proofErr w:type="spellEnd"/>
      <w:r>
        <w:rPr>
          <w:sz w:val="19"/>
        </w:rPr>
        <w:t xml:space="preserve">, C., Goldbeck-Wood, S., &amp; Mertens, S. (2019). SANRA - a scale for the quality assessment of narrative review articles. </w:t>
      </w:r>
      <w:r>
        <w:rPr>
          <w:i/>
          <w:iCs/>
          <w:sz w:val="19"/>
        </w:rPr>
        <w:t>Research Integrity and Peer Review, 4</w:t>
      </w:r>
      <w:r>
        <w:rPr>
          <w:sz w:val="19"/>
        </w:rPr>
        <w:t xml:space="preserve">, 5. </w:t>
      </w:r>
      <w:hyperlink r:id="rId11">
        <w:r w:rsidR="00E932E0">
          <w:rPr>
            <w:rStyle w:val="Hyperlink"/>
          </w:rPr>
          <w:t>https://doi.org/10.1186/s41073-019-0064-8</w:t>
        </w:r>
      </w:hyperlink>
    </w:p>
    <w:p w14:paraId="30ADD787" w14:textId="77777777" w:rsidR="00E932E0" w:rsidRDefault="00000000">
      <w:pPr>
        <w:spacing w:after="60" w:line="240" w:lineRule="auto"/>
        <w:ind w:left="432" w:hanging="432"/>
      </w:pPr>
      <w:proofErr w:type="spellStart"/>
      <w:r>
        <w:rPr>
          <w:sz w:val="19"/>
        </w:rPr>
        <w:t>Bejgarn</w:t>
      </w:r>
      <w:proofErr w:type="spellEnd"/>
      <w:r>
        <w:rPr>
          <w:sz w:val="19"/>
        </w:rPr>
        <w:t xml:space="preserve">, S., MacLeod, M., </w:t>
      </w:r>
      <w:proofErr w:type="spellStart"/>
      <w:r>
        <w:rPr>
          <w:sz w:val="19"/>
        </w:rPr>
        <w:t>Bogdal</w:t>
      </w:r>
      <w:proofErr w:type="spellEnd"/>
      <w:r>
        <w:rPr>
          <w:sz w:val="19"/>
        </w:rPr>
        <w:t xml:space="preserve">, C., &amp; </w:t>
      </w:r>
      <w:proofErr w:type="spellStart"/>
      <w:r>
        <w:rPr>
          <w:sz w:val="19"/>
        </w:rPr>
        <w:t>Breitholtz</w:t>
      </w:r>
      <w:proofErr w:type="spellEnd"/>
      <w:r>
        <w:rPr>
          <w:sz w:val="19"/>
        </w:rPr>
        <w:t xml:space="preserve">, M. (2015). Toxicity of leachate from weathering plastics: An exploratory screening study with </w:t>
      </w:r>
      <w:proofErr w:type="spellStart"/>
      <w:r>
        <w:rPr>
          <w:i/>
          <w:iCs/>
          <w:sz w:val="19"/>
        </w:rPr>
        <w:t>Nitocra</w:t>
      </w:r>
      <w:proofErr w:type="spellEnd"/>
      <w:r>
        <w:rPr>
          <w:i/>
          <w:iCs/>
          <w:sz w:val="19"/>
        </w:rPr>
        <w:t xml:space="preserve"> </w:t>
      </w:r>
      <w:proofErr w:type="spellStart"/>
      <w:r>
        <w:rPr>
          <w:i/>
          <w:iCs/>
          <w:sz w:val="19"/>
        </w:rPr>
        <w:t>spinipes</w:t>
      </w:r>
      <w:proofErr w:type="spellEnd"/>
      <w:r>
        <w:rPr>
          <w:sz w:val="19"/>
        </w:rPr>
        <w:t xml:space="preserve">. </w:t>
      </w:r>
      <w:r>
        <w:rPr>
          <w:i/>
          <w:iCs/>
          <w:sz w:val="19"/>
        </w:rPr>
        <w:t>Chemosphere, 132</w:t>
      </w:r>
      <w:r>
        <w:rPr>
          <w:sz w:val="19"/>
        </w:rPr>
        <w:t xml:space="preserve">, 114-119. </w:t>
      </w:r>
      <w:hyperlink r:id="rId12">
        <w:r w:rsidR="00E932E0">
          <w:rPr>
            <w:rStyle w:val="Hyperlink"/>
          </w:rPr>
          <w:t>https://doi.org/10.1016/j.chemosphere.2015.03.010</w:t>
        </w:r>
      </w:hyperlink>
    </w:p>
    <w:p w14:paraId="18322E76" w14:textId="77777777" w:rsidR="00E932E0" w:rsidRDefault="00000000">
      <w:pPr>
        <w:spacing w:after="60" w:line="240" w:lineRule="auto"/>
        <w:ind w:left="432" w:hanging="432"/>
      </w:pPr>
      <w:r>
        <w:rPr>
          <w:sz w:val="19"/>
        </w:rPr>
        <w:t xml:space="preserve">Cao, X.-L., &amp; Corriveau, J. (2008). Migration of bisphenol A from polycarbonate baby and water bottles into water under severe conditions. </w:t>
      </w:r>
      <w:r>
        <w:rPr>
          <w:i/>
          <w:iCs/>
          <w:sz w:val="19"/>
        </w:rPr>
        <w:t>Journal of Agricultural and Food Chemistry, 56</w:t>
      </w:r>
      <w:r>
        <w:rPr>
          <w:sz w:val="19"/>
        </w:rPr>
        <w:t xml:space="preserve">(15), 6378-6381. </w:t>
      </w:r>
      <w:hyperlink r:id="rId13">
        <w:r w:rsidR="00E932E0">
          <w:rPr>
            <w:rStyle w:val="Hyperlink"/>
          </w:rPr>
          <w:t>https://doi.org/10.1021/jf800870b</w:t>
        </w:r>
      </w:hyperlink>
    </w:p>
    <w:p w14:paraId="582D253B" w14:textId="77777777" w:rsidR="00E932E0" w:rsidRDefault="00000000">
      <w:pPr>
        <w:spacing w:after="60" w:line="240" w:lineRule="auto"/>
        <w:ind w:left="432" w:hanging="432"/>
      </w:pPr>
      <w:r>
        <w:rPr>
          <w:sz w:val="19"/>
        </w:rPr>
        <w:t xml:space="preserve">Capolupo, M., Sørensen, L., Jayasena, K. D. R., Booth, A. M., &amp; Fabbri, E. (2020). Chemical composition and ecotoxicity of plastic and car tire rubber leachates to aquatic organisms. </w:t>
      </w:r>
      <w:r>
        <w:rPr>
          <w:i/>
          <w:iCs/>
          <w:sz w:val="19"/>
        </w:rPr>
        <w:t>Water Research, 169</w:t>
      </w:r>
      <w:r>
        <w:rPr>
          <w:sz w:val="19"/>
        </w:rPr>
        <w:t xml:space="preserve">, 115270. </w:t>
      </w:r>
      <w:hyperlink r:id="rId14">
        <w:r w:rsidR="00E932E0">
          <w:rPr>
            <w:rStyle w:val="Hyperlink"/>
          </w:rPr>
          <w:t>https://doi.org/10.1016/j.watres.2019.115270</w:t>
        </w:r>
      </w:hyperlink>
    </w:p>
    <w:p w14:paraId="56FA2365" w14:textId="77777777" w:rsidR="00E932E0" w:rsidRDefault="00000000">
      <w:pPr>
        <w:spacing w:after="60" w:line="240" w:lineRule="auto"/>
        <w:ind w:left="432" w:hanging="432"/>
      </w:pPr>
      <w:proofErr w:type="spellStart"/>
      <w:r>
        <w:rPr>
          <w:sz w:val="19"/>
        </w:rPr>
        <w:t>Carneado</w:t>
      </w:r>
      <w:proofErr w:type="spellEnd"/>
      <w:r>
        <w:rPr>
          <w:sz w:val="19"/>
        </w:rPr>
        <w:t xml:space="preserve">, S., Hernández-Nataren, E., López-Sánchez, J. F., &amp; </w:t>
      </w:r>
      <w:proofErr w:type="spellStart"/>
      <w:r>
        <w:rPr>
          <w:sz w:val="19"/>
        </w:rPr>
        <w:t>Sahuquillo</w:t>
      </w:r>
      <w:proofErr w:type="spellEnd"/>
      <w:r>
        <w:rPr>
          <w:sz w:val="19"/>
        </w:rPr>
        <w:t xml:space="preserve">, A. (2015). Migration of antimony from polyethylene terephthalate used in mineral water bottles. </w:t>
      </w:r>
      <w:r>
        <w:rPr>
          <w:i/>
          <w:iCs/>
          <w:sz w:val="19"/>
        </w:rPr>
        <w:t>Food Chemistry, 166</w:t>
      </w:r>
      <w:r>
        <w:rPr>
          <w:sz w:val="19"/>
        </w:rPr>
        <w:t xml:space="preserve">, 544-550. </w:t>
      </w:r>
      <w:hyperlink r:id="rId15">
        <w:r w:rsidR="00E932E0">
          <w:rPr>
            <w:rStyle w:val="Hyperlink"/>
          </w:rPr>
          <w:t>https://doi.org/10.1016/j.foodchem.2014.06.041</w:t>
        </w:r>
      </w:hyperlink>
    </w:p>
    <w:p w14:paraId="552CC729" w14:textId="77777777" w:rsidR="00E932E0" w:rsidRDefault="00000000">
      <w:pPr>
        <w:spacing w:after="60" w:line="240" w:lineRule="auto"/>
        <w:ind w:left="432" w:hanging="432"/>
      </w:pPr>
      <w:proofErr w:type="spellStart"/>
      <w:r>
        <w:rPr>
          <w:sz w:val="19"/>
        </w:rPr>
        <w:t>Changmai</w:t>
      </w:r>
      <w:proofErr w:type="spellEnd"/>
      <w:r>
        <w:rPr>
          <w:sz w:val="19"/>
        </w:rPr>
        <w:t xml:space="preserve">, U., </w:t>
      </w:r>
      <w:proofErr w:type="spellStart"/>
      <w:r>
        <w:rPr>
          <w:sz w:val="19"/>
        </w:rPr>
        <w:t>Sk</w:t>
      </w:r>
      <w:proofErr w:type="spellEnd"/>
      <w:r>
        <w:rPr>
          <w:sz w:val="19"/>
        </w:rPr>
        <w:t xml:space="preserve">, S., Gogoi, U., Abbas, E., </w:t>
      </w:r>
      <w:proofErr w:type="spellStart"/>
      <w:r>
        <w:rPr>
          <w:sz w:val="19"/>
        </w:rPr>
        <w:t>Duarah</w:t>
      </w:r>
      <w:proofErr w:type="spellEnd"/>
      <w:r>
        <w:rPr>
          <w:sz w:val="19"/>
        </w:rPr>
        <w:t xml:space="preserve">, P., Goswami, K., Dutta, K., Das, M. R., </w:t>
      </w:r>
      <w:proofErr w:type="spellStart"/>
      <w:r>
        <w:rPr>
          <w:sz w:val="19"/>
        </w:rPr>
        <w:t>Duarah</w:t>
      </w:r>
      <w:proofErr w:type="spellEnd"/>
      <w:r>
        <w:rPr>
          <w:sz w:val="19"/>
        </w:rPr>
        <w:t xml:space="preserve">, R., Bhuyan, M., &amp; Phukan, T. (2026). Mechanical stress-induced microplastic release from bottle caps: Insights on material properties and their impact on cellular toxicity. </w:t>
      </w:r>
      <w:r>
        <w:rPr>
          <w:i/>
          <w:iCs/>
          <w:sz w:val="19"/>
        </w:rPr>
        <w:t>Journal of Hazardous Materials, 508</w:t>
      </w:r>
      <w:r>
        <w:rPr>
          <w:sz w:val="19"/>
        </w:rPr>
        <w:t xml:space="preserve">, 141894. </w:t>
      </w:r>
      <w:hyperlink r:id="rId16">
        <w:r w:rsidR="00E932E0">
          <w:rPr>
            <w:rStyle w:val="Hyperlink"/>
          </w:rPr>
          <w:t>https://doi.org/10.1016/j.jhazmat.2026.141894</w:t>
        </w:r>
      </w:hyperlink>
    </w:p>
    <w:p w14:paraId="31E15832" w14:textId="77777777" w:rsidR="00E932E0" w:rsidRDefault="00000000">
      <w:pPr>
        <w:spacing w:after="60" w:line="240" w:lineRule="auto"/>
        <w:ind w:left="432" w:hanging="432"/>
      </w:pPr>
      <w:r>
        <w:rPr>
          <w:sz w:val="19"/>
        </w:rPr>
        <w:t xml:space="preserve">Chapa-Martínez, C. A., Hinojosa-Reyes, L., Hernández-Ramírez, A., Ruiz-Ruiz, E., Maya-Treviño, L., &amp; Guzmán-Mar, J. L. (2016). An evaluation of the migration of antimony from polyethylene terephthalate (PET) plastic used for bottled drinking water. </w:t>
      </w:r>
      <w:r>
        <w:rPr>
          <w:i/>
          <w:iCs/>
          <w:sz w:val="19"/>
        </w:rPr>
        <w:t>Science of the Total Environment, 565</w:t>
      </w:r>
      <w:r>
        <w:rPr>
          <w:sz w:val="19"/>
        </w:rPr>
        <w:t xml:space="preserve">, 511-518. </w:t>
      </w:r>
      <w:hyperlink r:id="rId17">
        <w:r w:rsidR="00E932E0">
          <w:rPr>
            <w:rStyle w:val="Hyperlink"/>
          </w:rPr>
          <w:t>https://doi.org/10.1016/j.scitotenv.2016.04.184</w:t>
        </w:r>
      </w:hyperlink>
    </w:p>
    <w:p w14:paraId="2D014A03" w14:textId="77777777" w:rsidR="00E932E0" w:rsidRDefault="00000000">
      <w:pPr>
        <w:spacing w:after="60" w:line="240" w:lineRule="auto"/>
        <w:ind w:left="432" w:hanging="432"/>
      </w:pPr>
      <w:r>
        <w:rPr>
          <w:sz w:val="19"/>
        </w:rPr>
        <w:t xml:space="preserve">European Parliament &amp; Council of the European Union. (2020). Directive (EU) 2020/2184 of 16 December 2020 on the quality of water intended for human consumption. </w:t>
      </w:r>
      <w:r>
        <w:rPr>
          <w:i/>
          <w:iCs/>
          <w:sz w:val="19"/>
        </w:rPr>
        <w:t>Official Journal of the European Union, L 435</w:t>
      </w:r>
      <w:r>
        <w:rPr>
          <w:sz w:val="19"/>
        </w:rPr>
        <w:t xml:space="preserve">, 1-62. </w:t>
      </w:r>
      <w:hyperlink r:id="rId18">
        <w:r w:rsidR="00E932E0">
          <w:rPr>
            <w:rStyle w:val="Hyperlink"/>
          </w:rPr>
          <w:t>https://eur-lex.europa.eu/eli/dir/2020/2184/oj</w:t>
        </w:r>
      </w:hyperlink>
    </w:p>
    <w:p w14:paraId="25811262" w14:textId="77777777" w:rsidR="00E932E0" w:rsidRDefault="00000000">
      <w:pPr>
        <w:spacing w:after="60" w:line="240" w:lineRule="auto"/>
        <w:ind w:left="432" w:hanging="432"/>
      </w:pPr>
      <w:r>
        <w:rPr>
          <w:sz w:val="19"/>
        </w:rPr>
        <w:t xml:space="preserve">Fan, Y.-Y., Zheng, J.-L., Ren, J.-H., Luo, J., Cui, X.-Y., &amp; Ma, L. Q. (2014). Effects of storage temperature and duration on release of antimony and bisphenol A from polyethylene terephthalate drinking water bottles of China. </w:t>
      </w:r>
      <w:r>
        <w:rPr>
          <w:i/>
          <w:iCs/>
          <w:sz w:val="19"/>
        </w:rPr>
        <w:t>Environmental Pollution, 192</w:t>
      </w:r>
      <w:r>
        <w:rPr>
          <w:sz w:val="19"/>
        </w:rPr>
        <w:t xml:space="preserve">, 113-120. </w:t>
      </w:r>
      <w:hyperlink r:id="rId19">
        <w:r w:rsidR="00E932E0">
          <w:rPr>
            <w:rStyle w:val="Hyperlink"/>
          </w:rPr>
          <w:t>https://doi.org/10.1016/j.envpol.2014.05.012</w:t>
        </w:r>
      </w:hyperlink>
    </w:p>
    <w:p w14:paraId="63AB0367" w14:textId="77777777" w:rsidR="00E932E0" w:rsidRDefault="00000000">
      <w:pPr>
        <w:spacing w:after="60" w:line="240" w:lineRule="auto"/>
        <w:ind w:left="432" w:hanging="432"/>
      </w:pPr>
      <w:proofErr w:type="spellStart"/>
      <w:r>
        <w:rPr>
          <w:sz w:val="19"/>
        </w:rPr>
        <w:t>Gerassimidou</w:t>
      </w:r>
      <w:proofErr w:type="spellEnd"/>
      <w:r>
        <w:rPr>
          <w:sz w:val="19"/>
        </w:rPr>
        <w:t xml:space="preserve">, S., </w:t>
      </w:r>
      <w:proofErr w:type="spellStart"/>
      <w:r>
        <w:rPr>
          <w:sz w:val="19"/>
        </w:rPr>
        <w:t>Lanska</w:t>
      </w:r>
      <w:proofErr w:type="spellEnd"/>
      <w:r>
        <w:rPr>
          <w:sz w:val="19"/>
        </w:rPr>
        <w:t xml:space="preserve">, P., Hahladakis, J. N., Lovat, E., </w:t>
      </w:r>
      <w:proofErr w:type="spellStart"/>
      <w:r>
        <w:rPr>
          <w:sz w:val="19"/>
        </w:rPr>
        <w:t>Vanzetto</w:t>
      </w:r>
      <w:proofErr w:type="spellEnd"/>
      <w:r>
        <w:rPr>
          <w:sz w:val="19"/>
        </w:rPr>
        <w:t xml:space="preserve">, S., </w:t>
      </w:r>
      <w:proofErr w:type="spellStart"/>
      <w:r>
        <w:rPr>
          <w:sz w:val="19"/>
        </w:rPr>
        <w:t>Geueke</w:t>
      </w:r>
      <w:proofErr w:type="spellEnd"/>
      <w:r>
        <w:rPr>
          <w:sz w:val="19"/>
        </w:rPr>
        <w:t xml:space="preserve">, B., Groh, K. J., </w:t>
      </w:r>
      <w:proofErr w:type="spellStart"/>
      <w:r>
        <w:rPr>
          <w:sz w:val="19"/>
        </w:rPr>
        <w:t>Muncke</w:t>
      </w:r>
      <w:proofErr w:type="spellEnd"/>
      <w:r>
        <w:rPr>
          <w:sz w:val="19"/>
        </w:rPr>
        <w:t xml:space="preserve">, J., </w:t>
      </w:r>
      <w:proofErr w:type="spellStart"/>
      <w:r>
        <w:rPr>
          <w:sz w:val="19"/>
        </w:rPr>
        <w:t>Maffini</w:t>
      </w:r>
      <w:proofErr w:type="spellEnd"/>
      <w:r>
        <w:rPr>
          <w:sz w:val="19"/>
        </w:rPr>
        <w:t xml:space="preserve">, M., Martin, O. V., &amp; </w:t>
      </w:r>
      <w:proofErr w:type="spellStart"/>
      <w:r>
        <w:rPr>
          <w:sz w:val="19"/>
        </w:rPr>
        <w:t>Iacovidou</w:t>
      </w:r>
      <w:proofErr w:type="spellEnd"/>
      <w:r>
        <w:rPr>
          <w:sz w:val="19"/>
        </w:rPr>
        <w:t xml:space="preserve">, E. (2022). Unpacking the complexity of the PET drink bottles value chain: A chemicals perspective. </w:t>
      </w:r>
      <w:r>
        <w:rPr>
          <w:i/>
          <w:iCs/>
          <w:sz w:val="19"/>
        </w:rPr>
        <w:t>Journal of Hazardous Materials, 430</w:t>
      </w:r>
      <w:r>
        <w:rPr>
          <w:sz w:val="19"/>
        </w:rPr>
        <w:t xml:space="preserve">, 128410. </w:t>
      </w:r>
      <w:hyperlink r:id="rId20">
        <w:r w:rsidR="00E932E0">
          <w:rPr>
            <w:rStyle w:val="Hyperlink"/>
          </w:rPr>
          <w:t>https://doi.org/10.1016/j.jhazmat.2022.128410</w:t>
        </w:r>
      </w:hyperlink>
    </w:p>
    <w:p w14:paraId="32AE8366" w14:textId="77777777" w:rsidR="00E932E0" w:rsidRDefault="00000000">
      <w:pPr>
        <w:spacing w:after="60" w:line="240" w:lineRule="auto"/>
        <w:ind w:left="432" w:hanging="432"/>
      </w:pPr>
      <w:r>
        <w:rPr>
          <w:sz w:val="19"/>
        </w:rPr>
        <w:t>Groh, K. J., Backhaus, T., Carney-</w:t>
      </w:r>
      <w:proofErr w:type="spellStart"/>
      <w:r>
        <w:rPr>
          <w:sz w:val="19"/>
        </w:rPr>
        <w:t>Almroth</w:t>
      </w:r>
      <w:proofErr w:type="spellEnd"/>
      <w:r>
        <w:rPr>
          <w:sz w:val="19"/>
        </w:rPr>
        <w:t xml:space="preserve">, B., </w:t>
      </w:r>
      <w:proofErr w:type="spellStart"/>
      <w:r>
        <w:rPr>
          <w:sz w:val="19"/>
        </w:rPr>
        <w:t>Geueke</w:t>
      </w:r>
      <w:proofErr w:type="spellEnd"/>
      <w:r>
        <w:rPr>
          <w:sz w:val="19"/>
        </w:rPr>
        <w:t xml:space="preserve">, B., Inostroza, P. A., Lennquist, A., Leslie, H. A., </w:t>
      </w:r>
      <w:proofErr w:type="spellStart"/>
      <w:r>
        <w:rPr>
          <w:sz w:val="19"/>
        </w:rPr>
        <w:t>Maffini</w:t>
      </w:r>
      <w:proofErr w:type="spellEnd"/>
      <w:r>
        <w:rPr>
          <w:sz w:val="19"/>
        </w:rPr>
        <w:t xml:space="preserve">, M., </w:t>
      </w:r>
      <w:proofErr w:type="spellStart"/>
      <w:r>
        <w:rPr>
          <w:sz w:val="19"/>
        </w:rPr>
        <w:t>Slunge</w:t>
      </w:r>
      <w:proofErr w:type="spellEnd"/>
      <w:r>
        <w:rPr>
          <w:sz w:val="19"/>
        </w:rPr>
        <w:t xml:space="preserve">, D., </w:t>
      </w:r>
      <w:proofErr w:type="spellStart"/>
      <w:r>
        <w:rPr>
          <w:sz w:val="19"/>
        </w:rPr>
        <w:t>Trasande</w:t>
      </w:r>
      <w:proofErr w:type="spellEnd"/>
      <w:r>
        <w:rPr>
          <w:sz w:val="19"/>
        </w:rPr>
        <w:t xml:space="preserve">, L., Warhurst, A. M., &amp; </w:t>
      </w:r>
      <w:proofErr w:type="spellStart"/>
      <w:r>
        <w:rPr>
          <w:sz w:val="19"/>
        </w:rPr>
        <w:t>Muncke</w:t>
      </w:r>
      <w:proofErr w:type="spellEnd"/>
      <w:r>
        <w:rPr>
          <w:sz w:val="19"/>
        </w:rPr>
        <w:t xml:space="preserve">, J. (2019). Overview of known plastic packaging-associated chemicals and their hazards. </w:t>
      </w:r>
      <w:r>
        <w:rPr>
          <w:i/>
          <w:iCs/>
          <w:sz w:val="19"/>
        </w:rPr>
        <w:t>Science of the Total Environment, 651</w:t>
      </w:r>
      <w:r>
        <w:rPr>
          <w:sz w:val="19"/>
        </w:rPr>
        <w:t xml:space="preserve">(Pt 2), 3253-3268. </w:t>
      </w:r>
      <w:hyperlink r:id="rId21">
        <w:r w:rsidR="00E932E0">
          <w:rPr>
            <w:rStyle w:val="Hyperlink"/>
          </w:rPr>
          <w:t>https://doi.org/10.1016/j.scitotenv.2018.10.015</w:t>
        </w:r>
      </w:hyperlink>
    </w:p>
    <w:p w14:paraId="6BF3B8FE" w14:textId="77777777" w:rsidR="00E932E0" w:rsidRDefault="00000000">
      <w:pPr>
        <w:spacing w:after="60" w:line="240" w:lineRule="auto"/>
        <w:ind w:left="432" w:hanging="432"/>
      </w:pPr>
      <w:r>
        <w:rPr>
          <w:sz w:val="19"/>
        </w:rPr>
        <w:t xml:space="preserve">Hahladakis, J. N., Velis, C. A., Weber, R., Iacovidou, E., &amp; Purnell, P. (2018). An overview of chemical additives </w:t>
      </w:r>
      <w:proofErr w:type="gramStart"/>
      <w:r>
        <w:rPr>
          <w:sz w:val="19"/>
        </w:rPr>
        <w:t>present</w:t>
      </w:r>
      <w:proofErr w:type="gramEnd"/>
      <w:r>
        <w:rPr>
          <w:sz w:val="19"/>
        </w:rPr>
        <w:t xml:space="preserve"> in plastics: Migration, release, fate and environmental impact during their use, disposal and recycling. </w:t>
      </w:r>
      <w:r>
        <w:rPr>
          <w:i/>
          <w:iCs/>
          <w:sz w:val="19"/>
        </w:rPr>
        <w:t>Journal of Hazardous Materials, 344</w:t>
      </w:r>
      <w:r>
        <w:rPr>
          <w:sz w:val="19"/>
        </w:rPr>
        <w:t xml:space="preserve">, 179-199. </w:t>
      </w:r>
      <w:hyperlink r:id="rId22">
        <w:r w:rsidR="00E932E0">
          <w:rPr>
            <w:rStyle w:val="Hyperlink"/>
          </w:rPr>
          <w:t>https://doi.org/10.1016/j.jhazmat.2017.10.014</w:t>
        </w:r>
      </w:hyperlink>
    </w:p>
    <w:p w14:paraId="000CD96B" w14:textId="77777777" w:rsidR="00E932E0" w:rsidRDefault="00000000">
      <w:pPr>
        <w:spacing w:after="60" w:line="240" w:lineRule="auto"/>
        <w:ind w:left="432" w:hanging="432"/>
      </w:pPr>
      <w:r>
        <w:rPr>
          <w:sz w:val="19"/>
        </w:rPr>
        <w:t xml:space="preserve">Jamison Hart, M. N., &amp; Lenhart, J. J. (2026). What's in your water? A comparative analysis of micro- and </w:t>
      </w:r>
      <w:proofErr w:type="spellStart"/>
      <w:r>
        <w:rPr>
          <w:sz w:val="19"/>
        </w:rPr>
        <w:t>nanoplastics</w:t>
      </w:r>
      <w:proofErr w:type="spellEnd"/>
      <w:r>
        <w:rPr>
          <w:sz w:val="19"/>
        </w:rPr>
        <w:t xml:space="preserve"> in treated drinking water and bottled water. </w:t>
      </w:r>
      <w:r>
        <w:rPr>
          <w:i/>
          <w:iCs/>
          <w:sz w:val="19"/>
        </w:rPr>
        <w:t>Science of the Total Environment, 1011</w:t>
      </w:r>
      <w:r>
        <w:rPr>
          <w:sz w:val="19"/>
        </w:rPr>
        <w:t xml:space="preserve">, 181148. </w:t>
      </w:r>
      <w:hyperlink r:id="rId23">
        <w:r w:rsidR="00E932E0">
          <w:rPr>
            <w:rStyle w:val="Hyperlink"/>
          </w:rPr>
          <w:t>https://doi.org/10.1016/j.scitotenv.2025.181148</w:t>
        </w:r>
      </w:hyperlink>
    </w:p>
    <w:p w14:paraId="07FD9C24" w14:textId="77777777" w:rsidR="00E932E0" w:rsidRDefault="00000000">
      <w:pPr>
        <w:spacing w:after="60" w:line="240" w:lineRule="auto"/>
        <w:ind w:left="432" w:hanging="432"/>
      </w:pPr>
      <w:r>
        <w:rPr>
          <w:sz w:val="19"/>
        </w:rPr>
        <w:lastRenderedPageBreak/>
        <w:t xml:space="preserve">Jayaweera, M., Perera, H., Bandara, N., Danushika, G., Gunawardana, B., </w:t>
      </w:r>
      <w:proofErr w:type="spellStart"/>
      <w:r>
        <w:rPr>
          <w:sz w:val="19"/>
        </w:rPr>
        <w:t>Somaratne</w:t>
      </w:r>
      <w:proofErr w:type="spellEnd"/>
      <w:r>
        <w:rPr>
          <w:sz w:val="19"/>
        </w:rPr>
        <w:t xml:space="preserve">, C., </w:t>
      </w:r>
      <w:proofErr w:type="spellStart"/>
      <w:r>
        <w:rPr>
          <w:sz w:val="19"/>
        </w:rPr>
        <w:t>Manatunge</w:t>
      </w:r>
      <w:proofErr w:type="spellEnd"/>
      <w:r>
        <w:rPr>
          <w:sz w:val="19"/>
        </w:rPr>
        <w:t xml:space="preserve">, J., Zoysa, K., &amp; </w:t>
      </w:r>
      <w:proofErr w:type="spellStart"/>
      <w:r>
        <w:rPr>
          <w:sz w:val="19"/>
        </w:rPr>
        <w:t>Thathsara</w:t>
      </w:r>
      <w:proofErr w:type="spellEnd"/>
      <w:r>
        <w:rPr>
          <w:sz w:val="19"/>
        </w:rPr>
        <w:t xml:space="preserve">, T. (2020). Migration of phthalates from PET water bottle in events of repeated uses and associated risk assessment. </w:t>
      </w:r>
      <w:r>
        <w:rPr>
          <w:i/>
          <w:iCs/>
          <w:sz w:val="19"/>
        </w:rPr>
        <w:t>Environmental Science and Pollution Research, 27</w:t>
      </w:r>
      <w:r>
        <w:rPr>
          <w:sz w:val="19"/>
        </w:rPr>
        <w:t xml:space="preserve">(31), 39149-39163. </w:t>
      </w:r>
      <w:hyperlink r:id="rId24">
        <w:r w:rsidR="00E932E0">
          <w:rPr>
            <w:rStyle w:val="Hyperlink"/>
          </w:rPr>
          <w:t>https://doi.org/10.1007/s11356-020-09925-4</w:t>
        </w:r>
      </w:hyperlink>
    </w:p>
    <w:p w14:paraId="275BC262" w14:textId="77777777" w:rsidR="00E932E0" w:rsidRDefault="00000000">
      <w:pPr>
        <w:spacing w:after="60" w:line="240" w:lineRule="auto"/>
        <w:ind w:left="432" w:hanging="432"/>
      </w:pPr>
      <w:r>
        <w:rPr>
          <w:sz w:val="19"/>
        </w:rPr>
        <w:t xml:space="preserve">Jenner, L. C., Rotchell, J. M., Bennett, R. T., Cowen, M., </w:t>
      </w:r>
      <w:proofErr w:type="spellStart"/>
      <w:r>
        <w:rPr>
          <w:sz w:val="19"/>
        </w:rPr>
        <w:t>Tentzeris</w:t>
      </w:r>
      <w:proofErr w:type="spellEnd"/>
      <w:r>
        <w:rPr>
          <w:sz w:val="19"/>
        </w:rPr>
        <w:t xml:space="preserve">, V., &amp; Sadofsky, L. R. (2022). Detection of microplastics in human lung tissue using micro-FTIR spectroscopy. </w:t>
      </w:r>
      <w:r>
        <w:rPr>
          <w:i/>
          <w:iCs/>
          <w:sz w:val="19"/>
        </w:rPr>
        <w:t>Science of the Total Environment, 831</w:t>
      </w:r>
      <w:r>
        <w:rPr>
          <w:sz w:val="19"/>
        </w:rPr>
        <w:t xml:space="preserve">, 154907. </w:t>
      </w:r>
      <w:hyperlink r:id="rId25">
        <w:r w:rsidR="00E932E0">
          <w:rPr>
            <w:rStyle w:val="Hyperlink"/>
          </w:rPr>
          <w:t>https://doi.org/10.1016/j.scitotenv.2022.154907</w:t>
        </w:r>
      </w:hyperlink>
    </w:p>
    <w:p w14:paraId="063CFEAB" w14:textId="77777777" w:rsidR="00E932E0" w:rsidRDefault="00000000">
      <w:pPr>
        <w:spacing w:after="60" w:line="240" w:lineRule="auto"/>
        <w:ind w:left="432" w:hanging="432"/>
      </w:pPr>
      <w:r>
        <w:rPr>
          <w:sz w:val="19"/>
        </w:rPr>
        <w:t xml:space="preserve">Keresztes, S., Tatár, E., Czégény, Z., Záray, G., &amp; Mihucz, V. G. (2013). Study on the leaching of phthalates from polyethylene terephthalate bottles into mineral water. </w:t>
      </w:r>
      <w:r>
        <w:rPr>
          <w:i/>
          <w:iCs/>
          <w:sz w:val="19"/>
        </w:rPr>
        <w:t>Science of the Total Environment, 458-460</w:t>
      </w:r>
      <w:r>
        <w:rPr>
          <w:sz w:val="19"/>
        </w:rPr>
        <w:t xml:space="preserve">, 451-458. </w:t>
      </w:r>
      <w:hyperlink r:id="rId26">
        <w:r w:rsidR="00E932E0">
          <w:rPr>
            <w:rStyle w:val="Hyperlink"/>
          </w:rPr>
          <w:t>https://doi.org/10.1016/j.scitotenv.2013.04.056</w:t>
        </w:r>
      </w:hyperlink>
    </w:p>
    <w:p w14:paraId="6D0297F2" w14:textId="77777777" w:rsidR="00E932E0" w:rsidRDefault="00000000">
      <w:pPr>
        <w:spacing w:after="60" w:line="240" w:lineRule="auto"/>
        <w:ind w:left="432" w:hanging="432"/>
      </w:pPr>
      <w:r>
        <w:rPr>
          <w:sz w:val="19"/>
        </w:rPr>
        <w:t xml:space="preserve">Kiyataka, P. H. M., Marangoni Júnior, L., Brito, A. C. A., &amp; Pallone, J. A. L. (2024). Migration of antimony from polyethylene terephthalate bottles to mineral water: Comparison between test conditions proposed by Brazil and the European Union. </w:t>
      </w:r>
      <w:r>
        <w:rPr>
          <w:i/>
          <w:iCs/>
          <w:sz w:val="19"/>
        </w:rPr>
        <w:t>Journal of Food Composition and Analysis, 126</w:t>
      </w:r>
      <w:r>
        <w:rPr>
          <w:sz w:val="19"/>
        </w:rPr>
        <w:t xml:space="preserve">, 105859. </w:t>
      </w:r>
      <w:hyperlink r:id="rId27">
        <w:r w:rsidR="00E932E0">
          <w:rPr>
            <w:rStyle w:val="Hyperlink"/>
          </w:rPr>
          <w:t>https://doi.org/10.1016/j.jfca.2023.105859</w:t>
        </w:r>
      </w:hyperlink>
    </w:p>
    <w:p w14:paraId="178C171A" w14:textId="77777777" w:rsidR="00E932E0" w:rsidRDefault="00000000">
      <w:pPr>
        <w:spacing w:after="60" w:line="240" w:lineRule="auto"/>
        <w:ind w:left="432" w:hanging="432"/>
      </w:pPr>
      <w:r>
        <w:rPr>
          <w:sz w:val="19"/>
        </w:rPr>
        <w:t xml:space="preserve">Kiyataka, P. H. M., Dantas, T. B. H., Brito, A. C. A., Marangoni Júnior, L., &amp; Pallone, J. A. L. (2025). Evaluation of different transport and distribution conditions on antimony migration from PET bottles to mineral water. </w:t>
      </w:r>
      <w:r>
        <w:rPr>
          <w:i/>
          <w:iCs/>
          <w:sz w:val="19"/>
        </w:rPr>
        <w:t>Food Packaging and Shelf Life, 48</w:t>
      </w:r>
      <w:r>
        <w:rPr>
          <w:sz w:val="19"/>
        </w:rPr>
        <w:t xml:space="preserve">, 101450. </w:t>
      </w:r>
      <w:hyperlink r:id="rId28">
        <w:r w:rsidR="00E932E0">
          <w:rPr>
            <w:rStyle w:val="Hyperlink"/>
          </w:rPr>
          <w:t>https://doi.org/10.1016/j.fpsl.2025.101450</w:t>
        </w:r>
      </w:hyperlink>
    </w:p>
    <w:p w14:paraId="745F0168" w14:textId="77777777" w:rsidR="00E932E0" w:rsidRDefault="00000000">
      <w:pPr>
        <w:spacing w:after="60" w:line="240" w:lineRule="auto"/>
        <w:ind w:left="432" w:hanging="432"/>
      </w:pPr>
      <w:proofErr w:type="spellStart"/>
      <w:r>
        <w:rPr>
          <w:sz w:val="19"/>
        </w:rPr>
        <w:t>Koelmans</w:t>
      </w:r>
      <w:proofErr w:type="spellEnd"/>
      <w:r>
        <w:rPr>
          <w:sz w:val="19"/>
        </w:rPr>
        <w:t xml:space="preserve">, A. A., Mohamed Nor, N. H., Hermsen, E., Kooi, M., </w:t>
      </w:r>
      <w:proofErr w:type="spellStart"/>
      <w:r>
        <w:rPr>
          <w:sz w:val="19"/>
        </w:rPr>
        <w:t>Mintenig</w:t>
      </w:r>
      <w:proofErr w:type="spellEnd"/>
      <w:r>
        <w:rPr>
          <w:sz w:val="19"/>
        </w:rPr>
        <w:t xml:space="preserve">, S. M., &amp; De France, J. (2019). Microplastics in freshwaters and drinking water: Critical review and assessment of data quality. </w:t>
      </w:r>
      <w:r>
        <w:rPr>
          <w:i/>
          <w:iCs/>
          <w:sz w:val="19"/>
        </w:rPr>
        <w:t>Water Research, 155</w:t>
      </w:r>
      <w:r>
        <w:rPr>
          <w:sz w:val="19"/>
        </w:rPr>
        <w:t xml:space="preserve">, 410-422. </w:t>
      </w:r>
      <w:hyperlink r:id="rId29">
        <w:r w:rsidR="00E932E0">
          <w:rPr>
            <w:rStyle w:val="Hyperlink"/>
          </w:rPr>
          <w:t>https://doi.org/10.1016/j.watres.2019.02.054</w:t>
        </w:r>
      </w:hyperlink>
    </w:p>
    <w:p w14:paraId="7BC5DF20" w14:textId="77777777" w:rsidR="00E932E0" w:rsidRDefault="00000000">
      <w:pPr>
        <w:spacing w:after="60" w:line="240" w:lineRule="auto"/>
        <w:ind w:left="432" w:hanging="432"/>
      </w:pPr>
      <w:r>
        <w:rPr>
          <w:sz w:val="19"/>
        </w:rPr>
        <w:t xml:space="preserve">Le, H. H., Carlson, E. M., Chua, J. P., &amp; Belcher, S. M. (2008). Bisphenol A is released from polycarbonate drinking bottles and mimics the neurotoxic actions of estrogen in developing cerebellar neurons. </w:t>
      </w:r>
      <w:r>
        <w:rPr>
          <w:i/>
          <w:iCs/>
          <w:sz w:val="19"/>
        </w:rPr>
        <w:t>Toxicology Letters, 176</w:t>
      </w:r>
      <w:r>
        <w:rPr>
          <w:sz w:val="19"/>
        </w:rPr>
        <w:t xml:space="preserve">(2), 149-156. </w:t>
      </w:r>
      <w:hyperlink r:id="rId30">
        <w:r w:rsidR="00E932E0">
          <w:rPr>
            <w:rStyle w:val="Hyperlink"/>
          </w:rPr>
          <w:t>https://doi.org/10.1016/j.toxlet.2007.11.001</w:t>
        </w:r>
      </w:hyperlink>
    </w:p>
    <w:p w14:paraId="710DC1A3" w14:textId="77777777" w:rsidR="00E932E0" w:rsidRDefault="00000000">
      <w:pPr>
        <w:spacing w:after="60" w:line="240" w:lineRule="auto"/>
        <w:ind w:left="432" w:hanging="432"/>
      </w:pPr>
      <w:r>
        <w:rPr>
          <w:sz w:val="19"/>
        </w:rPr>
        <w:t xml:space="preserve">Leslie, H. A., van Velzen, M. J. M., Brandsma, S. H., </w:t>
      </w:r>
      <w:proofErr w:type="spellStart"/>
      <w:r>
        <w:rPr>
          <w:sz w:val="19"/>
        </w:rPr>
        <w:t>Vethaak</w:t>
      </w:r>
      <w:proofErr w:type="spellEnd"/>
      <w:r>
        <w:rPr>
          <w:sz w:val="19"/>
        </w:rPr>
        <w:t xml:space="preserve">, A. D., Garcia-Vallejo, J. J., &amp; Lamoree, M. H. (2022). Discovery and quantification of plastic particle pollution in human blood. </w:t>
      </w:r>
      <w:r>
        <w:rPr>
          <w:i/>
          <w:iCs/>
          <w:sz w:val="19"/>
        </w:rPr>
        <w:t>Environment International, 163</w:t>
      </w:r>
      <w:r>
        <w:rPr>
          <w:sz w:val="19"/>
        </w:rPr>
        <w:t xml:space="preserve">, 107199. </w:t>
      </w:r>
      <w:hyperlink r:id="rId31">
        <w:r w:rsidR="00E932E0">
          <w:rPr>
            <w:rStyle w:val="Hyperlink"/>
          </w:rPr>
          <w:t>https://doi.org/10.1016/j.envint.2022.107199</w:t>
        </w:r>
      </w:hyperlink>
    </w:p>
    <w:p w14:paraId="37CA8386" w14:textId="77777777" w:rsidR="00E932E0" w:rsidRDefault="00000000">
      <w:pPr>
        <w:spacing w:after="60" w:line="240" w:lineRule="auto"/>
        <w:ind w:left="432" w:hanging="432"/>
      </w:pPr>
      <w:proofErr w:type="spellStart"/>
      <w:r>
        <w:rPr>
          <w:sz w:val="19"/>
        </w:rPr>
        <w:t>Marfella</w:t>
      </w:r>
      <w:proofErr w:type="spellEnd"/>
      <w:r>
        <w:rPr>
          <w:sz w:val="19"/>
        </w:rPr>
        <w:t xml:space="preserve">, R., </w:t>
      </w:r>
      <w:proofErr w:type="spellStart"/>
      <w:r>
        <w:rPr>
          <w:sz w:val="19"/>
        </w:rPr>
        <w:t>Prattichizzo</w:t>
      </w:r>
      <w:proofErr w:type="spellEnd"/>
      <w:r>
        <w:rPr>
          <w:sz w:val="19"/>
        </w:rPr>
        <w:t xml:space="preserve">, F., </w:t>
      </w:r>
      <w:proofErr w:type="spellStart"/>
      <w:r>
        <w:rPr>
          <w:sz w:val="19"/>
        </w:rPr>
        <w:t>Sardu</w:t>
      </w:r>
      <w:proofErr w:type="spellEnd"/>
      <w:r>
        <w:rPr>
          <w:sz w:val="19"/>
        </w:rPr>
        <w:t xml:space="preserve">, C., Fulgenzi, G., Graciotti, L., Spadoni, T., D'Onofrio, N., </w:t>
      </w:r>
      <w:proofErr w:type="spellStart"/>
      <w:r>
        <w:rPr>
          <w:sz w:val="19"/>
        </w:rPr>
        <w:t>Scisciola</w:t>
      </w:r>
      <w:proofErr w:type="spellEnd"/>
      <w:r>
        <w:rPr>
          <w:sz w:val="19"/>
        </w:rPr>
        <w:t xml:space="preserve">, L., La Grotta, R., </w:t>
      </w:r>
      <w:proofErr w:type="spellStart"/>
      <w:r>
        <w:rPr>
          <w:sz w:val="19"/>
        </w:rPr>
        <w:t>Frigé</w:t>
      </w:r>
      <w:proofErr w:type="spellEnd"/>
      <w:r>
        <w:rPr>
          <w:sz w:val="19"/>
        </w:rPr>
        <w:t xml:space="preserve">, C., Pellegrini, V., </w:t>
      </w:r>
      <w:proofErr w:type="spellStart"/>
      <w:r>
        <w:rPr>
          <w:sz w:val="19"/>
        </w:rPr>
        <w:t>Municinò</w:t>
      </w:r>
      <w:proofErr w:type="spellEnd"/>
      <w:r>
        <w:rPr>
          <w:sz w:val="19"/>
        </w:rPr>
        <w:t xml:space="preserve">, M., Siniscalchi, M., Spinetti, F., Vigliotti, G., Vecchione, C., </w:t>
      </w:r>
      <w:proofErr w:type="spellStart"/>
      <w:r>
        <w:rPr>
          <w:sz w:val="19"/>
        </w:rPr>
        <w:t>Carrizzo</w:t>
      </w:r>
      <w:proofErr w:type="spellEnd"/>
      <w:r>
        <w:rPr>
          <w:sz w:val="19"/>
        </w:rPr>
        <w:t xml:space="preserve">, A., </w:t>
      </w:r>
      <w:proofErr w:type="spellStart"/>
      <w:r>
        <w:rPr>
          <w:sz w:val="19"/>
        </w:rPr>
        <w:t>Accarino</w:t>
      </w:r>
      <w:proofErr w:type="spellEnd"/>
      <w:r>
        <w:rPr>
          <w:sz w:val="19"/>
        </w:rPr>
        <w:t xml:space="preserve">, G., Squillante, A., ... </w:t>
      </w:r>
      <w:proofErr w:type="spellStart"/>
      <w:r>
        <w:rPr>
          <w:sz w:val="19"/>
        </w:rPr>
        <w:t>Paolisso</w:t>
      </w:r>
      <w:proofErr w:type="spellEnd"/>
      <w:r>
        <w:rPr>
          <w:sz w:val="19"/>
        </w:rPr>
        <w:t xml:space="preserve">, G. (2024). Microplastics and </w:t>
      </w:r>
      <w:proofErr w:type="spellStart"/>
      <w:r>
        <w:rPr>
          <w:sz w:val="19"/>
        </w:rPr>
        <w:t>nanoplastics</w:t>
      </w:r>
      <w:proofErr w:type="spellEnd"/>
      <w:r>
        <w:rPr>
          <w:sz w:val="19"/>
        </w:rPr>
        <w:t xml:space="preserve"> in </w:t>
      </w:r>
      <w:proofErr w:type="spellStart"/>
      <w:r>
        <w:rPr>
          <w:sz w:val="19"/>
        </w:rPr>
        <w:t>atheromas</w:t>
      </w:r>
      <w:proofErr w:type="spellEnd"/>
      <w:r>
        <w:rPr>
          <w:sz w:val="19"/>
        </w:rPr>
        <w:t xml:space="preserve"> and cardiovascular events. </w:t>
      </w:r>
      <w:r>
        <w:rPr>
          <w:i/>
          <w:iCs/>
          <w:sz w:val="19"/>
        </w:rPr>
        <w:t>New England Journal of Medicine, 390</w:t>
      </w:r>
      <w:r>
        <w:rPr>
          <w:sz w:val="19"/>
        </w:rPr>
        <w:t xml:space="preserve">(10), 900-910. </w:t>
      </w:r>
      <w:hyperlink r:id="rId32">
        <w:r w:rsidR="00E932E0">
          <w:rPr>
            <w:rStyle w:val="Hyperlink"/>
          </w:rPr>
          <w:t>https://doi.org/10.1056/NEJMoa2309822</w:t>
        </w:r>
      </w:hyperlink>
    </w:p>
    <w:p w14:paraId="6F248883" w14:textId="77777777" w:rsidR="00E932E0" w:rsidRDefault="00000000">
      <w:pPr>
        <w:spacing w:after="60" w:line="240" w:lineRule="auto"/>
        <w:ind w:left="432" w:hanging="432"/>
      </w:pPr>
      <w:r>
        <w:rPr>
          <w:sz w:val="19"/>
        </w:rPr>
        <w:t xml:space="preserve">Mason, S. A., Welch, V. G., &amp; Neratko, J. (2018). Synthetic polymer contamination in bottled water. </w:t>
      </w:r>
      <w:r>
        <w:rPr>
          <w:i/>
          <w:iCs/>
          <w:sz w:val="19"/>
        </w:rPr>
        <w:t>Frontiers in Chemistry, 6</w:t>
      </w:r>
      <w:r>
        <w:rPr>
          <w:sz w:val="19"/>
        </w:rPr>
        <w:t xml:space="preserve">, 407. </w:t>
      </w:r>
      <w:hyperlink r:id="rId33">
        <w:r w:rsidR="00E932E0">
          <w:rPr>
            <w:rStyle w:val="Hyperlink"/>
          </w:rPr>
          <w:t>https://doi.org/10.3389/fchem.2018.00407</w:t>
        </w:r>
      </w:hyperlink>
    </w:p>
    <w:p w14:paraId="67960BD0" w14:textId="77777777" w:rsidR="00E932E0" w:rsidRDefault="00000000">
      <w:pPr>
        <w:spacing w:after="60" w:line="240" w:lineRule="auto"/>
        <w:ind w:left="432" w:hanging="432"/>
      </w:pPr>
      <w:r>
        <w:rPr>
          <w:sz w:val="19"/>
        </w:rPr>
        <w:t xml:space="preserve">Montuori, P., Jover, E., Morgantini, M., Bayona, J. M., &amp; Triassi, M. (2008). Assessing human exposure to phthalic acid and phthalate esters from mineral water stored in polyethylene terephthalate and glass bottles. </w:t>
      </w:r>
      <w:r>
        <w:rPr>
          <w:i/>
          <w:iCs/>
          <w:sz w:val="19"/>
        </w:rPr>
        <w:t>Food Additives &amp; Contaminants: Part A, 25</w:t>
      </w:r>
      <w:r>
        <w:rPr>
          <w:sz w:val="19"/>
        </w:rPr>
        <w:t xml:space="preserve">(4), 511-518. </w:t>
      </w:r>
      <w:hyperlink r:id="rId34">
        <w:r w:rsidR="00E932E0">
          <w:rPr>
            <w:rStyle w:val="Hyperlink"/>
          </w:rPr>
          <w:t>https://doi.org/10.1080/02652030701551800</w:t>
        </w:r>
      </w:hyperlink>
    </w:p>
    <w:p w14:paraId="02501F15" w14:textId="77777777" w:rsidR="00E932E0" w:rsidRDefault="00000000">
      <w:pPr>
        <w:spacing w:after="60" w:line="240" w:lineRule="auto"/>
        <w:ind w:left="432" w:hanging="432"/>
      </w:pPr>
      <w:proofErr w:type="spellStart"/>
      <w:r>
        <w:rPr>
          <w:sz w:val="19"/>
        </w:rPr>
        <w:t>Mutsuga</w:t>
      </w:r>
      <w:proofErr w:type="spellEnd"/>
      <w:r>
        <w:rPr>
          <w:sz w:val="19"/>
        </w:rPr>
        <w:t xml:space="preserve">, M., Kawamura, Y., Sugita-Konishi, Y., Hara-Kudo, Y., </w:t>
      </w:r>
      <w:proofErr w:type="spellStart"/>
      <w:r>
        <w:rPr>
          <w:sz w:val="19"/>
        </w:rPr>
        <w:t>Takatori</w:t>
      </w:r>
      <w:proofErr w:type="spellEnd"/>
      <w:r>
        <w:rPr>
          <w:sz w:val="19"/>
        </w:rPr>
        <w:t xml:space="preserve">, K., &amp; </w:t>
      </w:r>
      <w:proofErr w:type="spellStart"/>
      <w:r>
        <w:rPr>
          <w:sz w:val="19"/>
        </w:rPr>
        <w:t>Tanamoto</w:t>
      </w:r>
      <w:proofErr w:type="spellEnd"/>
      <w:r>
        <w:rPr>
          <w:sz w:val="19"/>
        </w:rPr>
        <w:t xml:space="preserve">, K. (2006). Migration of formaldehyde and acetaldehyde into mineral water in polyethylene terephthalate (PET) bottles. </w:t>
      </w:r>
      <w:r>
        <w:rPr>
          <w:i/>
          <w:iCs/>
          <w:sz w:val="19"/>
        </w:rPr>
        <w:t>Food Additives &amp; Contaminants, 23</w:t>
      </w:r>
      <w:r>
        <w:rPr>
          <w:sz w:val="19"/>
        </w:rPr>
        <w:t xml:space="preserve">(2), 212-218. </w:t>
      </w:r>
      <w:hyperlink r:id="rId35">
        <w:r w:rsidR="00E932E0">
          <w:rPr>
            <w:rStyle w:val="Hyperlink"/>
          </w:rPr>
          <w:t>https://doi.org/10.1080/02652030500398361</w:t>
        </w:r>
      </w:hyperlink>
    </w:p>
    <w:p w14:paraId="56C5070C" w14:textId="77777777" w:rsidR="00E932E0" w:rsidRDefault="00000000">
      <w:pPr>
        <w:spacing w:after="60" w:line="240" w:lineRule="auto"/>
        <w:ind w:left="432" w:hanging="432"/>
      </w:pPr>
      <w:r>
        <w:rPr>
          <w:sz w:val="19"/>
        </w:rPr>
        <w:t xml:space="preserve">Nawrocki, J., </w:t>
      </w:r>
      <w:proofErr w:type="spellStart"/>
      <w:r>
        <w:rPr>
          <w:sz w:val="19"/>
        </w:rPr>
        <w:t>Dąbrowska</w:t>
      </w:r>
      <w:proofErr w:type="spellEnd"/>
      <w:r>
        <w:rPr>
          <w:sz w:val="19"/>
        </w:rPr>
        <w:t xml:space="preserve">, A., &amp; </w:t>
      </w:r>
      <w:proofErr w:type="spellStart"/>
      <w:r>
        <w:rPr>
          <w:sz w:val="19"/>
        </w:rPr>
        <w:t>Borcz</w:t>
      </w:r>
      <w:proofErr w:type="spellEnd"/>
      <w:r>
        <w:rPr>
          <w:sz w:val="19"/>
        </w:rPr>
        <w:t xml:space="preserve">, A. (2002). Investigation of carbonyl compounds in bottled waters from Poland. </w:t>
      </w:r>
      <w:r>
        <w:rPr>
          <w:i/>
          <w:iCs/>
          <w:sz w:val="19"/>
        </w:rPr>
        <w:t>Water Research, 36</w:t>
      </w:r>
      <w:r>
        <w:rPr>
          <w:sz w:val="19"/>
        </w:rPr>
        <w:t xml:space="preserve">(19), 4893-4901. </w:t>
      </w:r>
      <w:hyperlink r:id="rId36">
        <w:r w:rsidR="00E932E0">
          <w:rPr>
            <w:rStyle w:val="Hyperlink"/>
          </w:rPr>
          <w:t>https://doi.org/10.1016/S0043-1354(02)00201-4</w:t>
        </w:r>
      </w:hyperlink>
    </w:p>
    <w:p w14:paraId="5FAC4DD2" w14:textId="77777777" w:rsidR="00E932E0" w:rsidRDefault="00000000">
      <w:pPr>
        <w:spacing w:after="60" w:line="240" w:lineRule="auto"/>
        <w:ind w:left="432" w:hanging="432"/>
      </w:pPr>
      <w:r>
        <w:rPr>
          <w:sz w:val="19"/>
        </w:rPr>
        <w:t xml:space="preserve">Oßmann, B. E., </w:t>
      </w:r>
      <w:proofErr w:type="spellStart"/>
      <w:r>
        <w:rPr>
          <w:sz w:val="19"/>
        </w:rPr>
        <w:t>Sarau</w:t>
      </w:r>
      <w:proofErr w:type="spellEnd"/>
      <w:r>
        <w:rPr>
          <w:sz w:val="19"/>
        </w:rPr>
        <w:t xml:space="preserve">, G., </w:t>
      </w:r>
      <w:proofErr w:type="spellStart"/>
      <w:r>
        <w:rPr>
          <w:sz w:val="19"/>
        </w:rPr>
        <w:t>Holtmannspötter</w:t>
      </w:r>
      <w:proofErr w:type="spellEnd"/>
      <w:r>
        <w:rPr>
          <w:sz w:val="19"/>
        </w:rPr>
        <w:t xml:space="preserve">, H., </w:t>
      </w:r>
      <w:proofErr w:type="spellStart"/>
      <w:r>
        <w:rPr>
          <w:sz w:val="19"/>
        </w:rPr>
        <w:t>Pischetsrieder</w:t>
      </w:r>
      <w:proofErr w:type="spellEnd"/>
      <w:r>
        <w:rPr>
          <w:sz w:val="19"/>
        </w:rPr>
        <w:t xml:space="preserve">, M., Christiansen, S. H., &amp; Dicke, W. (2018). Small-sized microplastics and pigmented particles in bottled mineral water. </w:t>
      </w:r>
      <w:r>
        <w:rPr>
          <w:i/>
          <w:iCs/>
          <w:sz w:val="19"/>
        </w:rPr>
        <w:t>Water Research, 141</w:t>
      </w:r>
      <w:r>
        <w:rPr>
          <w:sz w:val="19"/>
        </w:rPr>
        <w:t xml:space="preserve">, 307-316. </w:t>
      </w:r>
      <w:hyperlink r:id="rId37">
        <w:r w:rsidR="00E932E0">
          <w:rPr>
            <w:rStyle w:val="Hyperlink"/>
          </w:rPr>
          <w:t>https://doi.org/10.1016/j.watres.2018.05.027</w:t>
        </w:r>
      </w:hyperlink>
    </w:p>
    <w:p w14:paraId="703268CC" w14:textId="77777777" w:rsidR="00E932E0" w:rsidRDefault="00000000">
      <w:pPr>
        <w:spacing w:after="60" w:line="240" w:lineRule="auto"/>
        <w:ind w:left="432" w:hanging="432"/>
      </w:pPr>
      <w:r>
        <w:rPr>
          <w:sz w:val="19"/>
        </w:rPr>
        <w:t xml:space="preserve">Ozaki, A., Kishi, E., </w:t>
      </w:r>
      <w:proofErr w:type="spellStart"/>
      <w:r>
        <w:rPr>
          <w:sz w:val="19"/>
        </w:rPr>
        <w:t>Ooshima</w:t>
      </w:r>
      <w:proofErr w:type="spellEnd"/>
      <w:r>
        <w:rPr>
          <w:sz w:val="19"/>
        </w:rPr>
        <w:t xml:space="preserve">, T., Kakutani, N., Abe, Y., </w:t>
      </w:r>
      <w:proofErr w:type="spellStart"/>
      <w:r>
        <w:rPr>
          <w:sz w:val="19"/>
        </w:rPr>
        <w:t>Mutsuga</w:t>
      </w:r>
      <w:proofErr w:type="spellEnd"/>
      <w:r>
        <w:rPr>
          <w:sz w:val="19"/>
        </w:rPr>
        <w:t xml:space="preserve">, M., Yamaguchi, Y., &amp; Yamano, T. (2022). Determination of potential volatile compounds in polyethylene terephthalate (PET) bottles and their short- and long-term migration into food simulants and soft drink. </w:t>
      </w:r>
      <w:r>
        <w:rPr>
          <w:i/>
          <w:iCs/>
          <w:sz w:val="19"/>
        </w:rPr>
        <w:t>Food Chemistry, 397</w:t>
      </w:r>
      <w:r>
        <w:rPr>
          <w:sz w:val="19"/>
        </w:rPr>
        <w:t xml:space="preserve">, 133758. </w:t>
      </w:r>
      <w:hyperlink r:id="rId38">
        <w:r w:rsidR="00E932E0">
          <w:rPr>
            <w:rStyle w:val="Hyperlink"/>
          </w:rPr>
          <w:t>https://doi.org/10.1016/j.foodchem.2022.133758</w:t>
        </w:r>
      </w:hyperlink>
    </w:p>
    <w:p w14:paraId="58EB4F72" w14:textId="77777777" w:rsidR="00E932E0" w:rsidRDefault="00000000">
      <w:pPr>
        <w:spacing w:after="60" w:line="240" w:lineRule="auto"/>
        <w:ind w:left="432" w:hanging="432"/>
      </w:pPr>
      <w:proofErr w:type="spellStart"/>
      <w:r>
        <w:rPr>
          <w:sz w:val="19"/>
        </w:rPr>
        <w:t>Prüst</w:t>
      </w:r>
      <w:proofErr w:type="spellEnd"/>
      <w:r>
        <w:rPr>
          <w:sz w:val="19"/>
        </w:rPr>
        <w:t xml:space="preserve">, M., Meijer, J., &amp; </w:t>
      </w:r>
      <w:proofErr w:type="spellStart"/>
      <w:r>
        <w:rPr>
          <w:sz w:val="19"/>
        </w:rPr>
        <w:t>Westerink</w:t>
      </w:r>
      <w:proofErr w:type="spellEnd"/>
      <w:r>
        <w:rPr>
          <w:sz w:val="19"/>
        </w:rPr>
        <w:t xml:space="preserve">, R. H. S. (2020). The plastic brain: Neurotoxicity of micro- and </w:t>
      </w:r>
      <w:proofErr w:type="spellStart"/>
      <w:r>
        <w:rPr>
          <w:sz w:val="19"/>
        </w:rPr>
        <w:t>nanoplastics</w:t>
      </w:r>
      <w:proofErr w:type="spellEnd"/>
      <w:r>
        <w:rPr>
          <w:sz w:val="19"/>
        </w:rPr>
        <w:t xml:space="preserve">. </w:t>
      </w:r>
      <w:r>
        <w:rPr>
          <w:i/>
          <w:iCs/>
          <w:sz w:val="19"/>
        </w:rPr>
        <w:t xml:space="preserve">Particle and </w:t>
      </w:r>
      <w:proofErr w:type="spellStart"/>
      <w:r>
        <w:rPr>
          <w:i/>
          <w:iCs/>
          <w:sz w:val="19"/>
        </w:rPr>
        <w:t>Fibre</w:t>
      </w:r>
      <w:proofErr w:type="spellEnd"/>
      <w:r>
        <w:rPr>
          <w:i/>
          <w:iCs/>
          <w:sz w:val="19"/>
        </w:rPr>
        <w:t xml:space="preserve"> Toxicology, 17</w:t>
      </w:r>
      <w:r>
        <w:rPr>
          <w:sz w:val="19"/>
        </w:rPr>
        <w:t xml:space="preserve">, 24. </w:t>
      </w:r>
      <w:hyperlink r:id="rId39">
        <w:r w:rsidR="00E932E0">
          <w:rPr>
            <w:rStyle w:val="Hyperlink"/>
          </w:rPr>
          <w:t>https://doi.org/10.1186/s12989-020-00358-y</w:t>
        </w:r>
      </w:hyperlink>
    </w:p>
    <w:p w14:paraId="5653B3A3" w14:textId="77777777" w:rsidR="00E932E0" w:rsidRDefault="00000000">
      <w:pPr>
        <w:spacing w:after="60" w:line="240" w:lineRule="auto"/>
        <w:ind w:left="432" w:hanging="432"/>
      </w:pPr>
      <w:r>
        <w:rPr>
          <w:sz w:val="19"/>
        </w:rPr>
        <w:t xml:space="preserve">Qian, N., Gao, X., Lang, X., Deng, H., Bratu, T. M., Chen, Q., Stapleton, P., Yan, B., &amp; Min, W. (2024). Rapid single-particle chemical imaging of </w:t>
      </w:r>
      <w:proofErr w:type="spellStart"/>
      <w:r>
        <w:rPr>
          <w:sz w:val="19"/>
        </w:rPr>
        <w:t>nanoplastics</w:t>
      </w:r>
      <w:proofErr w:type="spellEnd"/>
      <w:r>
        <w:rPr>
          <w:sz w:val="19"/>
        </w:rPr>
        <w:t xml:space="preserve"> by SRS microscopy. </w:t>
      </w:r>
      <w:r>
        <w:rPr>
          <w:i/>
          <w:iCs/>
          <w:sz w:val="19"/>
        </w:rPr>
        <w:t>Proceedings of the National Academy of Sciences of the United States of America, 121</w:t>
      </w:r>
      <w:r>
        <w:rPr>
          <w:sz w:val="19"/>
        </w:rPr>
        <w:t xml:space="preserve">(3), e2300582121. </w:t>
      </w:r>
      <w:hyperlink r:id="rId40">
        <w:r w:rsidR="00E932E0">
          <w:rPr>
            <w:rStyle w:val="Hyperlink"/>
          </w:rPr>
          <w:t>https://doi.org/10.1073/pnas.2300582121</w:t>
        </w:r>
      </w:hyperlink>
    </w:p>
    <w:p w14:paraId="641F4B48" w14:textId="77777777" w:rsidR="00E932E0" w:rsidRDefault="00000000">
      <w:pPr>
        <w:spacing w:after="60" w:line="240" w:lineRule="auto"/>
        <w:ind w:left="432" w:hanging="432"/>
      </w:pPr>
      <w:r>
        <w:rPr>
          <w:sz w:val="19"/>
        </w:rPr>
        <w:t xml:space="preserve">Ragusa, A., </w:t>
      </w:r>
      <w:proofErr w:type="spellStart"/>
      <w:r>
        <w:rPr>
          <w:sz w:val="19"/>
        </w:rPr>
        <w:t>Svelato</w:t>
      </w:r>
      <w:proofErr w:type="spellEnd"/>
      <w:r>
        <w:rPr>
          <w:sz w:val="19"/>
        </w:rPr>
        <w:t xml:space="preserve">, A., Santacroce, C., Catalano, P., </w:t>
      </w:r>
      <w:proofErr w:type="spellStart"/>
      <w:r>
        <w:rPr>
          <w:sz w:val="19"/>
        </w:rPr>
        <w:t>Notarstefano</w:t>
      </w:r>
      <w:proofErr w:type="spellEnd"/>
      <w:r>
        <w:rPr>
          <w:sz w:val="19"/>
        </w:rPr>
        <w:t xml:space="preserve">, V., Carnevali, O., Papa, F., Rongioletti, M. C. A., Baiocco, F., Draghi, S., </w:t>
      </w:r>
      <w:proofErr w:type="spellStart"/>
      <w:r>
        <w:rPr>
          <w:sz w:val="19"/>
        </w:rPr>
        <w:t>D'Amore</w:t>
      </w:r>
      <w:proofErr w:type="spellEnd"/>
      <w:r>
        <w:rPr>
          <w:sz w:val="19"/>
        </w:rPr>
        <w:t xml:space="preserve">, E., Rinaldo, D., Matta, M., &amp; Giorgini, E. (2021). </w:t>
      </w:r>
      <w:proofErr w:type="spellStart"/>
      <w:r>
        <w:rPr>
          <w:sz w:val="19"/>
        </w:rPr>
        <w:t>Plasticenta</w:t>
      </w:r>
      <w:proofErr w:type="spellEnd"/>
      <w:r>
        <w:rPr>
          <w:sz w:val="19"/>
        </w:rPr>
        <w:t xml:space="preserve">: First evidence of microplastics in human placenta. </w:t>
      </w:r>
      <w:r>
        <w:rPr>
          <w:i/>
          <w:iCs/>
          <w:sz w:val="19"/>
        </w:rPr>
        <w:t>Environment International, 146</w:t>
      </w:r>
      <w:r>
        <w:rPr>
          <w:sz w:val="19"/>
        </w:rPr>
        <w:t xml:space="preserve">, 106274. </w:t>
      </w:r>
      <w:hyperlink r:id="rId41">
        <w:r w:rsidR="00E932E0">
          <w:rPr>
            <w:rStyle w:val="Hyperlink"/>
          </w:rPr>
          <w:t>https://doi.org/10.1016/j.envint.2020.106274</w:t>
        </w:r>
      </w:hyperlink>
    </w:p>
    <w:p w14:paraId="1F97E58C" w14:textId="77777777" w:rsidR="00E932E0" w:rsidRDefault="00000000">
      <w:pPr>
        <w:spacing w:after="60" w:line="240" w:lineRule="auto"/>
        <w:ind w:left="432" w:hanging="432"/>
      </w:pPr>
      <w:r>
        <w:rPr>
          <w:sz w:val="19"/>
        </w:rPr>
        <w:lastRenderedPageBreak/>
        <w:t xml:space="preserve">Romera-Castillo, C., Pinto, M., Langer, T. M., Álvarez-Salgado, X. A., &amp; </w:t>
      </w:r>
      <w:proofErr w:type="spellStart"/>
      <w:r>
        <w:rPr>
          <w:sz w:val="19"/>
        </w:rPr>
        <w:t>Herndl</w:t>
      </w:r>
      <w:proofErr w:type="spellEnd"/>
      <w:r>
        <w:rPr>
          <w:sz w:val="19"/>
        </w:rPr>
        <w:t xml:space="preserve">, G. J. (2018). Dissolved organic carbon leaching from plastics stimulates microbial activity in the ocean. </w:t>
      </w:r>
      <w:r>
        <w:rPr>
          <w:i/>
          <w:iCs/>
          <w:sz w:val="19"/>
        </w:rPr>
        <w:t>Nature Communications, 9</w:t>
      </w:r>
      <w:r>
        <w:rPr>
          <w:sz w:val="19"/>
        </w:rPr>
        <w:t xml:space="preserve">, 1430. </w:t>
      </w:r>
      <w:hyperlink r:id="rId42">
        <w:r w:rsidR="00E932E0">
          <w:rPr>
            <w:rStyle w:val="Hyperlink"/>
          </w:rPr>
          <w:t>https://doi.org/10.1038/s41467-018-03798-5</w:t>
        </w:r>
      </w:hyperlink>
    </w:p>
    <w:p w14:paraId="214DDDEA" w14:textId="77777777" w:rsidR="00E932E0" w:rsidRDefault="00000000">
      <w:pPr>
        <w:spacing w:after="60" w:line="240" w:lineRule="auto"/>
        <w:ind w:left="432" w:hanging="432"/>
      </w:pPr>
      <w:r>
        <w:rPr>
          <w:sz w:val="19"/>
        </w:rPr>
        <w:t xml:space="preserve">Sajedi, S., An, C., &amp; Chen, Z. (2025). Unveiling the hidden chronic health risks of nano- and microplastics in single-use plastic water bottles: A review. </w:t>
      </w:r>
      <w:r>
        <w:rPr>
          <w:i/>
          <w:iCs/>
          <w:sz w:val="19"/>
        </w:rPr>
        <w:t>Journal of Hazardous Materials, 495</w:t>
      </w:r>
      <w:r>
        <w:rPr>
          <w:sz w:val="19"/>
        </w:rPr>
        <w:t xml:space="preserve">, 138948. </w:t>
      </w:r>
      <w:hyperlink r:id="rId43">
        <w:r w:rsidR="00E932E0">
          <w:rPr>
            <w:rStyle w:val="Hyperlink"/>
          </w:rPr>
          <w:t>https://doi.org/10.1016/j.jhazmat.2025.138948</w:t>
        </w:r>
      </w:hyperlink>
    </w:p>
    <w:p w14:paraId="43471A5F" w14:textId="77777777" w:rsidR="00E932E0" w:rsidRDefault="00000000">
      <w:pPr>
        <w:spacing w:after="60" w:line="240" w:lineRule="auto"/>
        <w:ind w:left="432" w:hanging="432"/>
      </w:pPr>
      <w:r>
        <w:rPr>
          <w:sz w:val="19"/>
        </w:rPr>
        <w:t xml:space="preserve">Schwabl, P., </w:t>
      </w:r>
      <w:proofErr w:type="spellStart"/>
      <w:r>
        <w:rPr>
          <w:sz w:val="19"/>
        </w:rPr>
        <w:t>Köppel</w:t>
      </w:r>
      <w:proofErr w:type="spellEnd"/>
      <w:r>
        <w:rPr>
          <w:sz w:val="19"/>
        </w:rPr>
        <w:t xml:space="preserve">, S., </w:t>
      </w:r>
      <w:proofErr w:type="spellStart"/>
      <w:r>
        <w:rPr>
          <w:sz w:val="19"/>
        </w:rPr>
        <w:t>Königshofer</w:t>
      </w:r>
      <w:proofErr w:type="spellEnd"/>
      <w:r>
        <w:rPr>
          <w:sz w:val="19"/>
        </w:rPr>
        <w:t xml:space="preserve">, P., </w:t>
      </w:r>
      <w:proofErr w:type="spellStart"/>
      <w:r>
        <w:rPr>
          <w:sz w:val="19"/>
        </w:rPr>
        <w:t>Bucsics</w:t>
      </w:r>
      <w:proofErr w:type="spellEnd"/>
      <w:r>
        <w:rPr>
          <w:sz w:val="19"/>
        </w:rPr>
        <w:t xml:space="preserve">, T., Trauner, M., Reiberger, T., &amp; Liebmann, B. (2019). Detection of various microplastics in human stool: A prospective case series. </w:t>
      </w:r>
      <w:r>
        <w:rPr>
          <w:i/>
          <w:iCs/>
          <w:sz w:val="19"/>
        </w:rPr>
        <w:t>Annals of Internal Medicine, 171</w:t>
      </w:r>
      <w:r>
        <w:rPr>
          <w:sz w:val="19"/>
        </w:rPr>
        <w:t xml:space="preserve">(7), 453-457. </w:t>
      </w:r>
      <w:hyperlink r:id="rId44">
        <w:r w:rsidR="00E932E0">
          <w:rPr>
            <w:rStyle w:val="Hyperlink"/>
          </w:rPr>
          <w:t>https://doi.org/10.7326/M19-0618</w:t>
        </w:r>
      </w:hyperlink>
    </w:p>
    <w:p w14:paraId="19CB897A" w14:textId="77777777" w:rsidR="00E932E0" w:rsidRDefault="00000000">
      <w:pPr>
        <w:spacing w:after="60" w:line="240" w:lineRule="auto"/>
        <w:ind w:left="432" w:hanging="432"/>
      </w:pPr>
      <w:r>
        <w:rPr>
          <w:sz w:val="19"/>
        </w:rPr>
        <w:t xml:space="preserve">Schymanski, D., Goldbeck, C., </w:t>
      </w:r>
      <w:proofErr w:type="spellStart"/>
      <w:r>
        <w:rPr>
          <w:sz w:val="19"/>
        </w:rPr>
        <w:t>Humpf</w:t>
      </w:r>
      <w:proofErr w:type="spellEnd"/>
      <w:r>
        <w:rPr>
          <w:sz w:val="19"/>
        </w:rPr>
        <w:t xml:space="preserve">, H.-U., &amp; Fürst, P. (2018). Analysis of microplastics in water by micro-Raman spectroscopy: Release of plastic particles from different packaging into mineral water. </w:t>
      </w:r>
      <w:r>
        <w:rPr>
          <w:i/>
          <w:iCs/>
          <w:sz w:val="19"/>
        </w:rPr>
        <w:t>Water Research, 129</w:t>
      </w:r>
      <w:r>
        <w:rPr>
          <w:sz w:val="19"/>
        </w:rPr>
        <w:t xml:space="preserve">, 154-162. </w:t>
      </w:r>
      <w:hyperlink r:id="rId45">
        <w:r w:rsidR="00E932E0">
          <w:rPr>
            <w:rStyle w:val="Hyperlink"/>
          </w:rPr>
          <w:t>https://doi.org/10.1016/j.watres.2017.11.011</w:t>
        </w:r>
      </w:hyperlink>
    </w:p>
    <w:p w14:paraId="3065D46E" w14:textId="77777777" w:rsidR="00E932E0" w:rsidRDefault="00000000">
      <w:pPr>
        <w:spacing w:after="60" w:line="240" w:lineRule="auto"/>
        <w:ind w:left="432" w:hanging="432"/>
      </w:pPr>
      <w:proofErr w:type="spellStart"/>
      <w:r>
        <w:rPr>
          <w:sz w:val="19"/>
        </w:rPr>
        <w:t>Shotyk</w:t>
      </w:r>
      <w:proofErr w:type="spellEnd"/>
      <w:r>
        <w:rPr>
          <w:sz w:val="19"/>
        </w:rPr>
        <w:t xml:space="preserve">, W., Krachler, M., &amp; Chen, B. (2006). Contamination of Canadian and European bottled waters with antimony from PET containers. </w:t>
      </w:r>
      <w:r>
        <w:rPr>
          <w:i/>
          <w:iCs/>
          <w:sz w:val="19"/>
        </w:rPr>
        <w:t>Journal of Environmental Monitoring, 8</w:t>
      </w:r>
      <w:r>
        <w:rPr>
          <w:sz w:val="19"/>
        </w:rPr>
        <w:t xml:space="preserve">(2), 288-292. </w:t>
      </w:r>
      <w:hyperlink r:id="rId46">
        <w:r w:rsidR="00E932E0">
          <w:rPr>
            <w:rStyle w:val="Hyperlink"/>
          </w:rPr>
          <w:t>https://doi.org/10.1039/B517844B</w:t>
        </w:r>
      </w:hyperlink>
    </w:p>
    <w:p w14:paraId="4D9341E6" w14:textId="77777777" w:rsidR="00E932E0" w:rsidRDefault="00000000">
      <w:pPr>
        <w:spacing w:after="60" w:line="240" w:lineRule="auto"/>
        <w:ind w:left="432" w:hanging="432"/>
      </w:pPr>
      <w:proofErr w:type="spellStart"/>
      <w:r>
        <w:rPr>
          <w:sz w:val="19"/>
        </w:rPr>
        <w:t>Shotyk</w:t>
      </w:r>
      <w:proofErr w:type="spellEnd"/>
      <w:r>
        <w:rPr>
          <w:sz w:val="19"/>
        </w:rPr>
        <w:t xml:space="preserve">, W., &amp; Krachler, M. (2007). Contamination of bottled waters with antimony leaching from polyethylene terephthalate (PET) increases upon storage. </w:t>
      </w:r>
      <w:r>
        <w:rPr>
          <w:i/>
          <w:iCs/>
          <w:sz w:val="19"/>
        </w:rPr>
        <w:t>Environmental Science &amp; Technology, 41</w:t>
      </w:r>
      <w:r>
        <w:rPr>
          <w:sz w:val="19"/>
        </w:rPr>
        <w:t xml:space="preserve">(5), 1560-1563. </w:t>
      </w:r>
      <w:hyperlink r:id="rId47">
        <w:r w:rsidR="00E932E0">
          <w:rPr>
            <w:rStyle w:val="Hyperlink"/>
          </w:rPr>
          <w:t>https://doi.org/10.1021/es061511+</w:t>
        </w:r>
      </w:hyperlink>
    </w:p>
    <w:p w14:paraId="2553E867" w14:textId="77777777" w:rsidR="00E932E0" w:rsidRDefault="00000000">
      <w:pPr>
        <w:spacing w:after="60" w:line="240" w:lineRule="auto"/>
        <w:ind w:left="432" w:hanging="432"/>
      </w:pPr>
      <w:r>
        <w:rPr>
          <w:sz w:val="19"/>
        </w:rPr>
        <w:t xml:space="preserve">Sundar, S., &amp; Chakravarty, J. (2010). Antimony toxicity. </w:t>
      </w:r>
      <w:r>
        <w:rPr>
          <w:i/>
          <w:iCs/>
          <w:sz w:val="19"/>
        </w:rPr>
        <w:t>International Journal of Environmental Research and Public Health, 7</w:t>
      </w:r>
      <w:r>
        <w:rPr>
          <w:sz w:val="19"/>
        </w:rPr>
        <w:t xml:space="preserve">(12), 4267-4277. </w:t>
      </w:r>
      <w:hyperlink r:id="rId48">
        <w:r w:rsidR="00E932E0">
          <w:rPr>
            <w:rStyle w:val="Hyperlink"/>
          </w:rPr>
          <w:t>https://doi.org/10.3390/ijerph7124267</w:t>
        </w:r>
      </w:hyperlink>
    </w:p>
    <w:p w14:paraId="1F0774B6" w14:textId="77777777" w:rsidR="00E932E0" w:rsidRDefault="00000000">
      <w:pPr>
        <w:spacing w:after="60" w:line="240" w:lineRule="auto"/>
        <w:ind w:left="432" w:hanging="432"/>
      </w:pPr>
      <w:r>
        <w:rPr>
          <w:sz w:val="19"/>
        </w:rPr>
        <w:t xml:space="preserve">Tetu, S. G., Sarker, I., </w:t>
      </w:r>
      <w:proofErr w:type="spellStart"/>
      <w:r>
        <w:rPr>
          <w:sz w:val="19"/>
        </w:rPr>
        <w:t>Schrameyer</w:t>
      </w:r>
      <w:proofErr w:type="spellEnd"/>
      <w:r>
        <w:rPr>
          <w:sz w:val="19"/>
        </w:rPr>
        <w:t xml:space="preserve">, V., Pickford, R., </w:t>
      </w:r>
      <w:proofErr w:type="spellStart"/>
      <w:r>
        <w:rPr>
          <w:sz w:val="19"/>
        </w:rPr>
        <w:t>Elbourne</w:t>
      </w:r>
      <w:proofErr w:type="spellEnd"/>
      <w:r>
        <w:rPr>
          <w:sz w:val="19"/>
        </w:rPr>
        <w:t xml:space="preserve">, L. D. H., Moore, L. R., &amp; Paulsen, I. T. (2019). Plastic leachates impair growth and oxygen production in </w:t>
      </w:r>
      <w:r>
        <w:rPr>
          <w:i/>
          <w:iCs/>
          <w:sz w:val="19"/>
        </w:rPr>
        <w:t>Prochlorococcus</w:t>
      </w:r>
      <w:r>
        <w:rPr>
          <w:sz w:val="19"/>
        </w:rPr>
        <w:t xml:space="preserve">, the ocean's most abundant photosynthetic bacteria. </w:t>
      </w:r>
      <w:r>
        <w:rPr>
          <w:i/>
          <w:iCs/>
          <w:sz w:val="19"/>
        </w:rPr>
        <w:t>Communications Biology, 2</w:t>
      </w:r>
      <w:r>
        <w:rPr>
          <w:sz w:val="19"/>
        </w:rPr>
        <w:t xml:space="preserve">, 184. </w:t>
      </w:r>
      <w:hyperlink r:id="rId49">
        <w:r w:rsidR="00E932E0">
          <w:rPr>
            <w:rStyle w:val="Hyperlink"/>
          </w:rPr>
          <w:t>https://doi.org/10.1038/s42003-019-0410-x</w:t>
        </w:r>
      </w:hyperlink>
    </w:p>
    <w:p w14:paraId="7C1533EB" w14:textId="77777777" w:rsidR="00E932E0" w:rsidRDefault="00000000">
      <w:pPr>
        <w:spacing w:after="60" w:line="240" w:lineRule="auto"/>
        <w:ind w:left="432" w:hanging="432"/>
      </w:pPr>
      <w:r>
        <w:rPr>
          <w:sz w:val="19"/>
        </w:rPr>
        <w:t xml:space="preserve">Thoden van Velzen, E. U., Brouwer, M. T., </w:t>
      </w:r>
      <w:proofErr w:type="spellStart"/>
      <w:r>
        <w:rPr>
          <w:sz w:val="19"/>
        </w:rPr>
        <w:t>Stärker</w:t>
      </w:r>
      <w:proofErr w:type="spellEnd"/>
      <w:r>
        <w:rPr>
          <w:sz w:val="19"/>
        </w:rPr>
        <w:t xml:space="preserve">, C., &amp; Welle, F. (2020). Effect of recycled content and </w:t>
      </w:r>
      <w:proofErr w:type="spellStart"/>
      <w:r>
        <w:rPr>
          <w:sz w:val="19"/>
        </w:rPr>
        <w:t>rPET</w:t>
      </w:r>
      <w:proofErr w:type="spellEnd"/>
      <w:r>
        <w:rPr>
          <w:sz w:val="19"/>
        </w:rPr>
        <w:t xml:space="preserve"> quality on the properties of PET bottles, part II: Migration. </w:t>
      </w:r>
      <w:r>
        <w:rPr>
          <w:i/>
          <w:iCs/>
          <w:sz w:val="19"/>
        </w:rPr>
        <w:t>Packaging Technology and Science, 33</w:t>
      </w:r>
      <w:r>
        <w:rPr>
          <w:sz w:val="19"/>
        </w:rPr>
        <w:t xml:space="preserve">(9), 359-371. </w:t>
      </w:r>
      <w:hyperlink r:id="rId50">
        <w:r w:rsidR="00E932E0">
          <w:rPr>
            <w:rStyle w:val="Hyperlink"/>
          </w:rPr>
          <w:t>https://doi.org/10.1002/pts.2528</w:t>
        </w:r>
      </w:hyperlink>
    </w:p>
    <w:p w14:paraId="5475BB5A" w14:textId="77777777" w:rsidR="00E932E0" w:rsidRDefault="00000000">
      <w:pPr>
        <w:spacing w:after="60" w:line="240" w:lineRule="auto"/>
        <w:ind w:left="432" w:hanging="432"/>
      </w:pPr>
      <w:r>
        <w:rPr>
          <w:sz w:val="19"/>
        </w:rPr>
        <w:t xml:space="preserve">Tisler, S., &amp; Christensen, J. H. (2022). Non-target screening for the identification of migrating compounds from reusable plastic bottles into drinking water. </w:t>
      </w:r>
      <w:r>
        <w:rPr>
          <w:i/>
          <w:iCs/>
          <w:sz w:val="19"/>
        </w:rPr>
        <w:t>Journal of Hazardous Materials, 429</w:t>
      </w:r>
      <w:r>
        <w:rPr>
          <w:sz w:val="19"/>
        </w:rPr>
        <w:t xml:space="preserve">, 128331. </w:t>
      </w:r>
      <w:hyperlink r:id="rId51">
        <w:r w:rsidR="00E932E0">
          <w:rPr>
            <w:rStyle w:val="Hyperlink"/>
          </w:rPr>
          <w:t>https://doi.org/10.1016/j.jhazmat.2022.128331</w:t>
        </w:r>
      </w:hyperlink>
    </w:p>
    <w:p w14:paraId="43A144A3" w14:textId="77777777" w:rsidR="00E932E0" w:rsidRDefault="00000000">
      <w:pPr>
        <w:spacing w:after="60" w:line="240" w:lineRule="auto"/>
        <w:ind w:left="432" w:hanging="432"/>
      </w:pPr>
      <w:r>
        <w:rPr>
          <w:sz w:val="19"/>
        </w:rPr>
        <w:t xml:space="preserve">Tisler, S., Kristiansen, N., &amp; Christensen, J. H. (2024). Chemical migration from reusable plastic bottles: Silicone, polyethylene, and polypropylene show highest hazard potential in LC-HRMS analysis. </w:t>
      </w:r>
      <w:r>
        <w:rPr>
          <w:i/>
          <w:iCs/>
          <w:sz w:val="19"/>
        </w:rPr>
        <w:t>Journal of Hazardous Materials, 480</w:t>
      </w:r>
      <w:r>
        <w:rPr>
          <w:sz w:val="19"/>
        </w:rPr>
        <w:t xml:space="preserve">, 136391. </w:t>
      </w:r>
      <w:hyperlink r:id="rId52">
        <w:r w:rsidR="00E932E0">
          <w:rPr>
            <w:rStyle w:val="Hyperlink"/>
          </w:rPr>
          <w:t>https://doi.org/10.1016/j.jhazmat.2024.136391</w:t>
        </w:r>
      </w:hyperlink>
    </w:p>
    <w:p w14:paraId="1CD2EBFF" w14:textId="77777777" w:rsidR="00E932E0" w:rsidRDefault="00000000">
      <w:pPr>
        <w:spacing w:after="60" w:line="240" w:lineRule="auto"/>
        <w:ind w:left="432" w:hanging="432"/>
      </w:pPr>
      <w:r>
        <w:rPr>
          <w:sz w:val="19"/>
        </w:rPr>
        <w:t xml:space="preserve">United States Environmental Protection Agency. (n.d.). </w:t>
      </w:r>
      <w:r>
        <w:rPr>
          <w:i/>
          <w:iCs/>
          <w:sz w:val="19"/>
        </w:rPr>
        <w:t>National Primary Drinking Water Regulations.</w:t>
      </w:r>
      <w:r>
        <w:rPr>
          <w:sz w:val="19"/>
        </w:rPr>
        <w:t xml:space="preserve"> </w:t>
      </w:r>
      <w:hyperlink r:id="rId53">
        <w:r w:rsidR="00E932E0">
          <w:rPr>
            <w:rStyle w:val="Hyperlink"/>
          </w:rPr>
          <w:t>https://www.epa.gov/ground-water-and-drinking-water/national-primary-drinking-water-regulations</w:t>
        </w:r>
      </w:hyperlink>
    </w:p>
    <w:p w14:paraId="62B453C0" w14:textId="77777777" w:rsidR="00E932E0" w:rsidRDefault="00000000">
      <w:pPr>
        <w:spacing w:after="60" w:line="240" w:lineRule="auto"/>
        <w:ind w:left="432" w:hanging="432"/>
      </w:pPr>
      <w:r>
        <w:rPr>
          <w:sz w:val="19"/>
        </w:rPr>
        <w:t xml:space="preserve">Wagner, M., &amp; </w:t>
      </w:r>
      <w:proofErr w:type="spellStart"/>
      <w:r>
        <w:rPr>
          <w:sz w:val="19"/>
        </w:rPr>
        <w:t>Oehlmann</w:t>
      </w:r>
      <w:proofErr w:type="spellEnd"/>
      <w:r>
        <w:rPr>
          <w:sz w:val="19"/>
        </w:rPr>
        <w:t xml:space="preserve">, J. (2009). Endocrine disruptors in bottled mineral water: Total estrogenic burden and migration from plastic bottles. </w:t>
      </w:r>
      <w:r>
        <w:rPr>
          <w:i/>
          <w:iCs/>
          <w:sz w:val="19"/>
        </w:rPr>
        <w:t>Environmental Science and Pollution Research, 16</w:t>
      </w:r>
      <w:r>
        <w:rPr>
          <w:sz w:val="19"/>
        </w:rPr>
        <w:t xml:space="preserve">(3), 278-286. </w:t>
      </w:r>
      <w:hyperlink r:id="rId54">
        <w:r w:rsidR="00E932E0">
          <w:rPr>
            <w:rStyle w:val="Hyperlink"/>
          </w:rPr>
          <w:t>https://doi.org/10.1007/s11356-009-0107-7</w:t>
        </w:r>
      </w:hyperlink>
    </w:p>
    <w:p w14:paraId="3AFDDCD8" w14:textId="77777777" w:rsidR="00E932E0" w:rsidRDefault="00000000">
      <w:pPr>
        <w:spacing w:after="60" w:line="240" w:lineRule="auto"/>
        <w:ind w:left="432" w:hanging="432"/>
      </w:pPr>
      <w:r>
        <w:rPr>
          <w:sz w:val="19"/>
        </w:rPr>
        <w:t xml:space="preserve">Wagner, M., &amp; </w:t>
      </w:r>
      <w:proofErr w:type="spellStart"/>
      <w:r>
        <w:rPr>
          <w:sz w:val="19"/>
        </w:rPr>
        <w:t>Oehlmann</w:t>
      </w:r>
      <w:proofErr w:type="spellEnd"/>
      <w:r>
        <w:rPr>
          <w:sz w:val="19"/>
        </w:rPr>
        <w:t xml:space="preserve">, J. (2011). Endocrine disruptors in bottled mineral water: Estrogenic activity in the E-Screen. </w:t>
      </w:r>
      <w:r>
        <w:rPr>
          <w:i/>
          <w:iCs/>
          <w:sz w:val="19"/>
        </w:rPr>
        <w:t>Journal of Steroid Biochemistry and Molecular Biology, 127</w:t>
      </w:r>
      <w:r>
        <w:rPr>
          <w:sz w:val="19"/>
        </w:rPr>
        <w:t xml:space="preserve">(1-2), 128-135. </w:t>
      </w:r>
      <w:hyperlink r:id="rId55">
        <w:r w:rsidR="00E932E0">
          <w:rPr>
            <w:rStyle w:val="Hyperlink"/>
          </w:rPr>
          <w:t>https://doi.org/10.1016/j.jsbmb.2010.10.007</w:t>
        </w:r>
      </w:hyperlink>
    </w:p>
    <w:p w14:paraId="380E1A1E" w14:textId="77777777" w:rsidR="00E932E0" w:rsidRDefault="00000000">
      <w:pPr>
        <w:spacing w:after="60" w:line="240" w:lineRule="auto"/>
        <w:ind w:left="432" w:hanging="432"/>
      </w:pPr>
      <w:r>
        <w:rPr>
          <w:sz w:val="19"/>
        </w:rPr>
        <w:t xml:space="preserve">Welle, F., &amp; Franz, R. (2011). Migration of antimony from PET bottles into beverages: Determination of the activation energy of diffusion and migration modelling compared with literature data. </w:t>
      </w:r>
      <w:r>
        <w:rPr>
          <w:i/>
          <w:iCs/>
          <w:sz w:val="19"/>
        </w:rPr>
        <w:t>Food Additives &amp; Contaminants: Part A, 28</w:t>
      </w:r>
      <w:r>
        <w:rPr>
          <w:sz w:val="19"/>
        </w:rPr>
        <w:t xml:space="preserve">(1), 115-126. </w:t>
      </w:r>
      <w:hyperlink r:id="rId56">
        <w:r w:rsidR="00E932E0">
          <w:rPr>
            <w:rStyle w:val="Hyperlink"/>
          </w:rPr>
          <w:t>https://doi.org/10.1080/19440049.2010.530296</w:t>
        </w:r>
      </w:hyperlink>
    </w:p>
    <w:p w14:paraId="100CCDF6" w14:textId="77777777" w:rsidR="00E932E0" w:rsidRDefault="00000000">
      <w:pPr>
        <w:spacing w:after="60" w:line="240" w:lineRule="auto"/>
        <w:ind w:left="432" w:hanging="432"/>
      </w:pPr>
      <w:r>
        <w:rPr>
          <w:sz w:val="19"/>
        </w:rPr>
        <w:t xml:space="preserve">Westerhoff, P., </w:t>
      </w:r>
      <w:proofErr w:type="spellStart"/>
      <w:r>
        <w:rPr>
          <w:sz w:val="19"/>
        </w:rPr>
        <w:t>Prapaipong</w:t>
      </w:r>
      <w:proofErr w:type="spellEnd"/>
      <w:r>
        <w:rPr>
          <w:sz w:val="19"/>
        </w:rPr>
        <w:t xml:space="preserve">, P., Shock, E., &amp; </w:t>
      </w:r>
      <w:proofErr w:type="spellStart"/>
      <w:r>
        <w:rPr>
          <w:sz w:val="19"/>
        </w:rPr>
        <w:t>Hillaireau</w:t>
      </w:r>
      <w:proofErr w:type="spellEnd"/>
      <w:r>
        <w:rPr>
          <w:sz w:val="19"/>
        </w:rPr>
        <w:t xml:space="preserve">, A. (2008). Antimony leaching from polyethylene terephthalate (PET) plastic used for bottled drinking water. </w:t>
      </w:r>
      <w:r>
        <w:rPr>
          <w:i/>
          <w:iCs/>
          <w:sz w:val="19"/>
        </w:rPr>
        <w:t>Water Research, 42</w:t>
      </w:r>
      <w:r>
        <w:rPr>
          <w:sz w:val="19"/>
        </w:rPr>
        <w:t xml:space="preserve">(3), 551-556. </w:t>
      </w:r>
      <w:hyperlink r:id="rId57">
        <w:r w:rsidR="00E932E0">
          <w:rPr>
            <w:rStyle w:val="Hyperlink"/>
          </w:rPr>
          <w:t>https://doi.org/10.1016/j.watres.2007.07.048</w:t>
        </w:r>
      </w:hyperlink>
    </w:p>
    <w:p w14:paraId="564620C5" w14:textId="77777777" w:rsidR="00E932E0" w:rsidRDefault="00000000">
      <w:pPr>
        <w:spacing w:after="60" w:line="240" w:lineRule="auto"/>
        <w:ind w:left="432" w:hanging="432"/>
      </w:pPr>
      <w:r>
        <w:rPr>
          <w:sz w:val="19"/>
        </w:rPr>
        <w:t xml:space="preserve">Wiesinger, H., Wang, Z., &amp; Hellweg, S. (2021). Deep dive into plastic monomers, additives, and processing aids. </w:t>
      </w:r>
      <w:r>
        <w:rPr>
          <w:i/>
          <w:iCs/>
          <w:sz w:val="19"/>
        </w:rPr>
        <w:t>Environmental Science &amp; Technology, 55</w:t>
      </w:r>
      <w:r>
        <w:rPr>
          <w:sz w:val="19"/>
        </w:rPr>
        <w:t xml:space="preserve">(13), 9339-9351. </w:t>
      </w:r>
      <w:hyperlink r:id="rId58">
        <w:r w:rsidR="00E932E0">
          <w:rPr>
            <w:rStyle w:val="Hyperlink"/>
          </w:rPr>
          <w:t>https://doi.org/10.1021/acs.est.1c00976</w:t>
        </w:r>
      </w:hyperlink>
    </w:p>
    <w:p w14:paraId="5B640D91" w14:textId="77777777" w:rsidR="00E932E0" w:rsidRDefault="00000000">
      <w:pPr>
        <w:spacing w:after="60" w:line="240" w:lineRule="auto"/>
        <w:ind w:left="432" w:hanging="432"/>
      </w:pPr>
      <w:r>
        <w:rPr>
          <w:sz w:val="19"/>
        </w:rPr>
        <w:t xml:space="preserve">Winkler, A., Santo, N., Ortenzi, M. A., </w:t>
      </w:r>
      <w:proofErr w:type="spellStart"/>
      <w:r>
        <w:rPr>
          <w:sz w:val="19"/>
        </w:rPr>
        <w:t>Bolzoni</w:t>
      </w:r>
      <w:proofErr w:type="spellEnd"/>
      <w:r>
        <w:rPr>
          <w:sz w:val="19"/>
        </w:rPr>
        <w:t xml:space="preserve">, E., Bacchetta, R., &amp; Tremolada, P. (2019). Does mechanical stress cause microplastic release from plastic water bottles? </w:t>
      </w:r>
      <w:r>
        <w:rPr>
          <w:i/>
          <w:iCs/>
          <w:sz w:val="19"/>
        </w:rPr>
        <w:t>Water Research, 166</w:t>
      </w:r>
      <w:r>
        <w:rPr>
          <w:sz w:val="19"/>
        </w:rPr>
        <w:t xml:space="preserve">, 115082. </w:t>
      </w:r>
      <w:hyperlink r:id="rId59">
        <w:r w:rsidR="00E932E0">
          <w:rPr>
            <w:rStyle w:val="Hyperlink"/>
          </w:rPr>
          <w:t>https://doi.org/10.1016/j.watres.2019.115082</w:t>
        </w:r>
      </w:hyperlink>
    </w:p>
    <w:p w14:paraId="28695203" w14:textId="77777777" w:rsidR="00E932E0" w:rsidRDefault="00000000">
      <w:pPr>
        <w:spacing w:after="60" w:line="240" w:lineRule="auto"/>
        <w:ind w:left="432" w:hanging="432"/>
      </w:pPr>
      <w:r>
        <w:rPr>
          <w:sz w:val="19"/>
        </w:rPr>
        <w:t xml:space="preserve">World Health Organization. (2019). </w:t>
      </w:r>
      <w:r>
        <w:rPr>
          <w:i/>
          <w:iCs/>
          <w:sz w:val="19"/>
        </w:rPr>
        <w:t>Microplastics in drinking-water.</w:t>
      </w:r>
      <w:r>
        <w:rPr>
          <w:sz w:val="19"/>
        </w:rPr>
        <w:t xml:space="preserve"> </w:t>
      </w:r>
      <w:hyperlink r:id="rId60">
        <w:r w:rsidR="00E932E0">
          <w:rPr>
            <w:rStyle w:val="Hyperlink"/>
          </w:rPr>
          <w:t>https://www.who.int/publications/i/item/9789241516198</w:t>
        </w:r>
      </w:hyperlink>
    </w:p>
    <w:p w14:paraId="6B7C0ADD" w14:textId="77777777" w:rsidR="00E932E0" w:rsidRDefault="00000000">
      <w:pPr>
        <w:spacing w:after="60" w:line="240" w:lineRule="auto"/>
        <w:ind w:left="432" w:hanging="432"/>
      </w:pPr>
      <w:r>
        <w:rPr>
          <w:sz w:val="19"/>
        </w:rPr>
        <w:t xml:space="preserve">World Health Organization. (2022). </w:t>
      </w:r>
      <w:r>
        <w:rPr>
          <w:i/>
          <w:iCs/>
          <w:sz w:val="19"/>
        </w:rPr>
        <w:t>Dietary and inhalation exposure to nano- and microplastic particles and potential implications for human health.</w:t>
      </w:r>
      <w:r>
        <w:rPr>
          <w:sz w:val="19"/>
        </w:rPr>
        <w:t xml:space="preserve"> </w:t>
      </w:r>
      <w:hyperlink r:id="rId61">
        <w:r w:rsidR="00E932E0">
          <w:rPr>
            <w:rStyle w:val="Hyperlink"/>
          </w:rPr>
          <w:t>https://www.who.int/publications/i/item/9789240054608</w:t>
        </w:r>
      </w:hyperlink>
    </w:p>
    <w:p w14:paraId="10B9AEF5" w14:textId="77777777" w:rsidR="00E932E0" w:rsidRDefault="00000000">
      <w:pPr>
        <w:spacing w:after="60" w:line="240" w:lineRule="auto"/>
        <w:ind w:left="432" w:hanging="432"/>
      </w:pPr>
      <w:r>
        <w:rPr>
          <w:sz w:val="19"/>
        </w:rPr>
        <w:lastRenderedPageBreak/>
        <w:t xml:space="preserve">World Health Organization. (2026). </w:t>
      </w:r>
      <w:r>
        <w:rPr>
          <w:i/>
          <w:iCs/>
          <w:sz w:val="19"/>
        </w:rPr>
        <w:t>Guidelines for drinking-water quality: Fourth edition incorporating the first, second and third addenda.</w:t>
      </w:r>
      <w:r>
        <w:rPr>
          <w:sz w:val="19"/>
        </w:rPr>
        <w:t xml:space="preserve"> </w:t>
      </w:r>
      <w:hyperlink r:id="rId62">
        <w:r w:rsidR="00E932E0">
          <w:rPr>
            <w:rStyle w:val="Hyperlink"/>
          </w:rPr>
          <w:t>https://www.who.int/publications/i/item/9789240121225</w:t>
        </w:r>
      </w:hyperlink>
    </w:p>
    <w:p w14:paraId="3E79AB6B" w14:textId="77777777" w:rsidR="00E932E0" w:rsidRDefault="00000000">
      <w:pPr>
        <w:spacing w:after="60" w:line="240" w:lineRule="auto"/>
        <w:ind w:left="432" w:hanging="432"/>
      </w:pPr>
      <w:r>
        <w:rPr>
          <w:sz w:val="19"/>
        </w:rPr>
        <w:t xml:space="preserve">Xu, X., Zhou, G., Lei, K., LeBlanc, G. A., &amp; An, L. (2020). Phthalate esters and their potential risk in PET bottled water stored under common conditions. </w:t>
      </w:r>
      <w:r>
        <w:rPr>
          <w:i/>
          <w:iCs/>
          <w:sz w:val="19"/>
        </w:rPr>
        <w:t>International Journal of Environmental Research and Public Health, 17</w:t>
      </w:r>
      <w:r>
        <w:rPr>
          <w:sz w:val="19"/>
        </w:rPr>
        <w:t xml:space="preserve">(1), 141. </w:t>
      </w:r>
      <w:hyperlink r:id="rId63">
        <w:r w:rsidR="00E932E0">
          <w:rPr>
            <w:rStyle w:val="Hyperlink"/>
          </w:rPr>
          <w:t>https://doi.org/10.3390/ijerph17010141</w:t>
        </w:r>
      </w:hyperlink>
    </w:p>
    <w:p w14:paraId="5CB20D79" w14:textId="77777777" w:rsidR="00E932E0" w:rsidRDefault="00000000">
      <w:pPr>
        <w:spacing w:after="60" w:line="240" w:lineRule="auto"/>
        <w:ind w:left="432" w:hanging="432"/>
      </w:pPr>
      <w:r>
        <w:rPr>
          <w:sz w:val="19"/>
        </w:rPr>
        <w:t xml:space="preserve">Yang, L., Kang, S., Luo, X., &amp; Wang, Z. (2024). Microplastics in drinking water: A review on methods, occurrence, sources, and potential risks assessment. </w:t>
      </w:r>
      <w:r>
        <w:rPr>
          <w:i/>
          <w:iCs/>
          <w:sz w:val="19"/>
        </w:rPr>
        <w:t>Environmental Pollution, 348</w:t>
      </w:r>
      <w:r>
        <w:rPr>
          <w:sz w:val="19"/>
        </w:rPr>
        <w:t xml:space="preserve">, 123857. </w:t>
      </w:r>
      <w:hyperlink r:id="rId64">
        <w:r w:rsidR="00E932E0">
          <w:rPr>
            <w:rStyle w:val="Hyperlink"/>
          </w:rPr>
          <w:t>https://doi.org/10.1016/j.envpol.2024.123857</w:t>
        </w:r>
      </w:hyperlink>
    </w:p>
    <w:p w14:paraId="35BBC07C" w14:textId="77777777" w:rsidR="00E932E0" w:rsidRDefault="00000000">
      <w:pPr>
        <w:spacing w:after="60" w:line="240" w:lineRule="auto"/>
        <w:ind w:left="432" w:hanging="432"/>
      </w:pPr>
      <w:r>
        <w:rPr>
          <w:sz w:val="19"/>
        </w:rPr>
        <w:t xml:space="preserve">Yong, C. Q. Y., </w:t>
      </w:r>
      <w:proofErr w:type="spellStart"/>
      <w:r>
        <w:rPr>
          <w:sz w:val="19"/>
        </w:rPr>
        <w:t>Valiyaveettil</w:t>
      </w:r>
      <w:proofErr w:type="spellEnd"/>
      <w:r>
        <w:rPr>
          <w:sz w:val="19"/>
        </w:rPr>
        <w:t xml:space="preserve">, S., &amp; Tang, B. L. (2020). Toxicity of microplastics and </w:t>
      </w:r>
      <w:proofErr w:type="spellStart"/>
      <w:r>
        <w:rPr>
          <w:sz w:val="19"/>
        </w:rPr>
        <w:t>nanoplastics</w:t>
      </w:r>
      <w:proofErr w:type="spellEnd"/>
      <w:r>
        <w:rPr>
          <w:sz w:val="19"/>
        </w:rPr>
        <w:t xml:space="preserve"> in mammalian systems. </w:t>
      </w:r>
      <w:r>
        <w:rPr>
          <w:i/>
          <w:iCs/>
          <w:sz w:val="19"/>
        </w:rPr>
        <w:t>International Journal of Environmental Research and Public Health, 17</w:t>
      </w:r>
      <w:r>
        <w:rPr>
          <w:sz w:val="19"/>
        </w:rPr>
        <w:t xml:space="preserve">(5), 1509. </w:t>
      </w:r>
      <w:hyperlink r:id="rId65">
        <w:r w:rsidR="00E932E0">
          <w:rPr>
            <w:rStyle w:val="Hyperlink"/>
          </w:rPr>
          <w:t>https://doi.org/10.3390/ijerph17051509</w:t>
        </w:r>
      </w:hyperlink>
    </w:p>
    <w:p w14:paraId="7ED4339A" w14:textId="77777777" w:rsidR="00E932E0" w:rsidRDefault="00000000">
      <w:pPr>
        <w:spacing w:after="60" w:line="240" w:lineRule="auto"/>
        <w:ind w:left="432" w:hanging="432"/>
      </w:pPr>
      <w:r>
        <w:rPr>
          <w:sz w:val="19"/>
        </w:rPr>
        <w:t xml:space="preserve">Zimmermann, L., Dierkes, G., Ternes, T. A., Völker, C., &amp; Wagner, M. (2019). Benchmarking the in vitro toxicity and chemical composition of plastic consumer products. </w:t>
      </w:r>
      <w:r>
        <w:rPr>
          <w:i/>
          <w:iCs/>
          <w:sz w:val="19"/>
        </w:rPr>
        <w:t>Environmental Science &amp; Technology, 53</w:t>
      </w:r>
      <w:r>
        <w:rPr>
          <w:sz w:val="19"/>
        </w:rPr>
        <w:t xml:space="preserve">(19), 11467-11477. </w:t>
      </w:r>
      <w:hyperlink r:id="rId66">
        <w:r w:rsidR="00E932E0">
          <w:rPr>
            <w:rStyle w:val="Hyperlink"/>
          </w:rPr>
          <w:t>https://doi.org/10.1021/acs.est.9b02293</w:t>
        </w:r>
      </w:hyperlink>
    </w:p>
    <w:p w14:paraId="2DCCA3FE" w14:textId="77777777" w:rsidR="00E932E0" w:rsidRDefault="00000000">
      <w:pPr>
        <w:spacing w:after="60" w:line="240" w:lineRule="auto"/>
        <w:ind w:left="432" w:hanging="432"/>
      </w:pPr>
      <w:r>
        <w:rPr>
          <w:sz w:val="19"/>
        </w:rPr>
        <w:t xml:space="preserve">Zimmermann, L., </w:t>
      </w:r>
      <w:proofErr w:type="spellStart"/>
      <w:r>
        <w:rPr>
          <w:sz w:val="19"/>
        </w:rPr>
        <w:t>Bartosova</w:t>
      </w:r>
      <w:proofErr w:type="spellEnd"/>
      <w:r>
        <w:rPr>
          <w:sz w:val="19"/>
        </w:rPr>
        <w:t xml:space="preserve">, Z., Braun, K., Oehlmann, J., Völker, C., &amp; Wagner, M. (2021). Plastic products leach chemicals that induce in vitro toxicity under realistic use conditions. </w:t>
      </w:r>
      <w:r>
        <w:rPr>
          <w:i/>
          <w:iCs/>
          <w:sz w:val="19"/>
        </w:rPr>
        <w:t>Environmental Science &amp; Technology, 55</w:t>
      </w:r>
      <w:r>
        <w:rPr>
          <w:sz w:val="19"/>
        </w:rPr>
        <w:t xml:space="preserve">(17), 11814-11823. </w:t>
      </w:r>
      <w:hyperlink r:id="rId67">
        <w:r w:rsidR="00E932E0">
          <w:rPr>
            <w:rStyle w:val="Hyperlink"/>
          </w:rPr>
          <w:t>https://doi.org/10.1021/acs.est.1c01103</w:t>
        </w:r>
      </w:hyperlink>
      <w:bookmarkEnd w:id="20"/>
    </w:p>
    <w:sectPr w:rsidR="00E932E0">
      <w:headerReference w:type="even" r:id="rId68"/>
      <w:headerReference w:type="default" r:id="rId69"/>
      <w:footerReference w:type="even" r:id="rId70"/>
      <w:footerReference w:type="default" r:id="rId71"/>
      <w:headerReference w:type="first" r:id="rId72"/>
      <w:footerReference w:type="first" r:id="rId73"/>
      <w:pgSz w:w="12240" w:h="15840"/>
      <w:pgMar w:top="1152"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0AE47" w14:textId="77777777" w:rsidR="00937BAA" w:rsidRDefault="00937BAA">
      <w:pPr>
        <w:spacing w:after="0" w:line="240" w:lineRule="auto"/>
      </w:pPr>
      <w:r>
        <w:separator/>
      </w:r>
    </w:p>
  </w:endnote>
  <w:endnote w:type="continuationSeparator" w:id="0">
    <w:p w14:paraId="7BC341A9" w14:textId="77777777" w:rsidR="00937BAA" w:rsidRDefault="00937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D226" w14:textId="77777777" w:rsidR="00CE2656" w:rsidRDefault="00CE2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0487" w14:textId="77777777" w:rsidR="00CE2656" w:rsidRDefault="00CE26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9EFC1" w14:textId="77777777" w:rsidR="00CE2656" w:rsidRDefault="00CE2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7AA49" w14:textId="77777777" w:rsidR="00937BAA" w:rsidRDefault="00937BAA">
      <w:r>
        <w:separator/>
      </w:r>
    </w:p>
  </w:footnote>
  <w:footnote w:type="continuationSeparator" w:id="0">
    <w:p w14:paraId="00F2DBC1" w14:textId="77777777" w:rsidR="00937BAA" w:rsidRDefault="00937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9A6C" w14:textId="18208FCD" w:rsidR="00CE2656" w:rsidRDefault="00CE2656">
    <w:pPr>
      <w:pStyle w:val="Header"/>
    </w:pPr>
    <w:r>
      <w:rPr>
        <w:noProof/>
      </w:rPr>
      <w:pict w14:anchorId="00ECD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2688"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39D9" w14:textId="3BDC1A4A" w:rsidR="00CE2656" w:rsidRDefault="00CE2656">
    <w:pPr>
      <w:pStyle w:val="Header"/>
    </w:pPr>
    <w:r>
      <w:rPr>
        <w:noProof/>
      </w:rPr>
      <w:pict w14:anchorId="60C68B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2689"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6EAE" w14:textId="67996D75" w:rsidR="00CE2656" w:rsidRDefault="00CE2656">
    <w:pPr>
      <w:pStyle w:val="Header"/>
    </w:pPr>
    <w:r>
      <w:rPr>
        <w:noProof/>
      </w:rPr>
      <w:pict w14:anchorId="65D641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2687"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8E4D0F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55076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2E0"/>
    <w:rsid w:val="0010481E"/>
    <w:rsid w:val="007C1CDD"/>
    <w:rsid w:val="00937BAA"/>
    <w:rsid w:val="00AB5064"/>
    <w:rsid w:val="00B05796"/>
    <w:rsid w:val="00CE2656"/>
    <w:rsid w:val="00D67B09"/>
    <w:rsid w:val="00E932E0"/>
    <w:rsid w:val="00E935B2"/>
    <w:rsid w:val="00F33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217A0"/>
  <w15:docId w15:val="{EBFC9550-252D-4C2B-BA5A-DB5228E5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00" w:line="269" w:lineRule="auto"/>
    </w:pPr>
    <w:rPr>
      <w:rFonts w:ascii="Times New Roman" w:hAnsi="Times New Roman"/>
      <w:sz w:val="22"/>
    </w:rPr>
  </w:style>
  <w:style w:type="paragraph" w:styleId="Heading1">
    <w:name w:val="heading 1"/>
    <w:basedOn w:val="Normal"/>
    <w:next w:val="BodyText"/>
    <w:uiPriority w:val="9"/>
    <w:qFormat/>
    <w:pPr>
      <w:keepNext/>
      <w:keepLines/>
      <w:spacing w:before="180" w:after="80"/>
      <w:outlineLvl w:val="0"/>
    </w:pPr>
    <w:rPr>
      <w:rFonts w:asciiTheme="majorHAnsi" w:eastAsiaTheme="majorEastAsia" w:hAnsiTheme="majorHAnsi" w:cstheme="majorBidi"/>
      <w:b/>
      <w:bCs/>
      <w:color w:val="000000"/>
      <w:sz w:val="26"/>
      <w:szCs w:val="32"/>
    </w:rPr>
  </w:style>
  <w:style w:type="paragraph" w:styleId="Heading2">
    <w:name w:val="heading 2"/>
    <w:basedOn w:val="Normal"/>
    <w:next w:val="BodyText"/>
    <w:uiPriority w:val="9"/>
    <w:unhideWhenUsed/>
    <w:qFormat/>
    <w:pPr>
      <w:keepNext/>
      <w:keepLines/>
      <w:spacing w:before="120" w:after="80"/>
      <w:outlineLvl w:val="1"/>
    </w:pPr>
    <w:rPr>
      <w:rFonts w:asciiTheme="majorHAnsi" w:eastAsiaTheme="majorEastAsia" w:hAnsiTheme="majorHAnsi" w:cstheme="majorBidi"/>
      <w:b/>
      <w:bCs/>
      <w:color w:val="000000"/>
      <w:sz w:val="23"/>
      <w:szCs w:val="28"/>
    </w:rPr>
  </w:style>
  <w:style w:type="paragraph" w:styleId="Heading3">
    <w:name w:val="heading 3"/>
    <w:basedOn w:val="Normal"/>
    <w:next w:val="BodyText"/>
    <w:uiPriority w:val="9"/>
    <w:unhideWhenUsed/>
    <w:qFormat/>
    <w:pPr>
      <w:keepNext/>
      <w:keepLines/>
      <w:spacing w:before="120" w:after="80"/>
      <w:outlineLvl w:val="2"/>
    </w:pPr>
    <w:rPr>
      <w:rFonts w:asciiTheme="majorHAnsi" w:eastAsiaTheme="majorEastAsia" w:hAnsiTheme="majorHAnsi" w:cstheme="majorBidi"/>
      <w:b/>
      <w:bCs/>
      <w:color w:val="000000"/>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ManuscriptTitle">
    <w:name w:val="Manuscript Title"/>
    <w:pPr>
      <w:keepNext/>
      <w:spacing w:after="280"/>
      <w:jc w:val="center"/>
    </w:pPr>
    <w:rPr>
      <w:rFonts w:ascii="Times New Roman" w:hAnsi="Times New Roman"/>
      <w:b/>
      <w:color w:val="000000"/>
      <w:sz w:val="32"/>
    </w:rPr>
  </w:style>
  <w:style w:type="table" w:styleId="PlainTable2">
    <w:name w:val="Plain Table 2"/>
    <w:basedOn w:val="TableNormal"/>
    <w:rsid w:val="00F3372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rsid w:val="00CE2656"/>
    <w:pPr>
      <w:tabs>
        <w:tab w:val="center" w:pos="4513"/>
        <w:tab w:val="right" w:pos="9026"/>
      </w:tabs>
      <w:spacing w:after="0" w:line="240" w:lineRule="auto"/>
    </w:pPr>
  </w:style>
  <w:style w:type="character" w:customStyle="1" w:styleId="HeaderChar">
    <w:name w:val="Header Char"/>
    <w:basedOn w:val="DefaultParagraphFont"/>
    <w:link w:val="Header"/>
    <w:rsid w:val="00CE2656"/>
    <w:rPr>
      <w:rFonts w:ascii="Times New Roman" w:hAnsi="Times New Roman"/>
      <w:sz w:val="22"/>
    </w:rPr>
  </w:style>
  <w:style w:type="paragraph" w:styleId="Footer">
    <w:name w:val="footer"/>
    <w:basedOn w:val="Normal"/>
    <w:link w:val="FooterChar"/>
    <w:rsid w:val="00CE2656"/>
    <w:pPr>
      <w:tabs>
        <w:tab w:val="center" w:pos="4513"/>
        <w:tab w:val="right" w:pos="9026"/>
      </w:tabs>
      <w:spacing w:after="0" w:line="240" w:lineRule="auto"/>
    </w:pPr>
  </w:style>
  <w:style w:type="character" w:customStyle="1" w:styleId="FooterChar">
    <w:name w:val="Footer Char"/>
    <w:basedOn w:val="DefaultParagraphFont"/>
    <w:link w:val="Footer"/>
    <w:rsid w:val="00CE2656"/>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scitotenv.2013.04.056" TargetMode="External"/><Relationship Id="rId21" Type="http://schemas.openxmlformats.org/officeDocument/2006/relationships/hyperlink" Target="https://doi.org/10.1016/j.scitotenv.2018.10.015" TargetMode="External"/><Relationship Id="rId42" Type="http://schemas.openxmlformats.org/officeDocument/2006/relationships/hyperlink" Target="https://doi.org/10.1038/s41467-018-03798-5" TargetMode="External"/><Relationship Id="rId47" Type="http://schemas.openxmlformats.org/officeDocument/2006/relationships/hyperlink" Target="https://doi.org/10.1021/es061511+" TargetMode="External"/><Relationship Id="rId63" Type="http://schemas.openxmlformats.org/officeDocument/2006/relationships/hyperlink" Target="https://doi.org/10.3390/ijerph17010141" TargetMode="External"/><Relationship Id="rId6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6/j.jhazmat.2026.141894" TargetMode="External"/><Relationship Id="rId29" Type="http://schemas.openxmlformats.org/officeDocument/2006/relationships/hyperlink" Target="https://doi.org/10.1016/j.watres.2019.02.054" TargetMode="External"/><Relationship Id="rId11" Type="http://schemas.openxmlformats.org/officeDocument/2006/relationships/hyperlink" Target="https://doi.org/10.1186/s41073-019-0064-8" TargetMode="External"/><Relationship Id="rId24" Type="http://schemas.openxmlformats.org/officeDocument/2006/relationships/hyperlink" Target="https://doi.org/10.1007/s11356-020-09925-4" TargetMode="External"/><Relationship Id="rId32" Type="http://schemas.openxmlformats.org/officeDocument/2006/relationships/hyperlink" Target="https://doi.org/10.1056/NEJMoa2309822" TargetMode="External"/><Relationship Id="rId37" Type="http://schemas.openxmlformats.org/officeDocument/2006/relationships/hyperlink" Target="https://doi.org/10.1016/j.watres.2018.05.027" TargetMode="External"/><Relationship Id="rId40" Type="http://schemas.openxmlformats.org/officeDocument/2006/relationships/hyperlink" Target="https://doi.org/10.1073/pnas.2300582121" TargetMode="External"/><Relationship Id="rId45" Type="http://schemas.openxmlformats.org/officeDocument/2006/relationships/hyperlink" Target="https://doi.org/10.1016/j.watres.2017.11.011" TargetMode="External"/><Relationship Id="rId53" Type="http://schemas.openxmlformats.org/officeDocument/2006/relationships/hyperlink" Target="https://www.epa.gov/ground-water-and-drinking-water/national-primary-drinking-water-regulations" TargetMode="External"/><Relationship Id="rId58" Type="http://schemas.openxmlformats.org/officeDocument/2006/relationships/hyperlink" Target="https://doi.org/10.1021/acs.est.1c00976" TargetMode="External"/><Relationship Id="rId66" Type="http://schemas.openxmlformats.org/officeDocument/2006/relationships/hyperlink" Target="https://doi.org/10.1021/acs.est.9b02293"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who.int/publications/i/item/9789240054608" TargetMode="External"/><Relationship Id="rId19" Type="http://schemas.openxmlformats.org/officeDocument/2006/relationships/hyperlink" Target="https://doi.org/10.1016/j.envpol.2014.05.012" TargetMode="External"/><Relationship Id="rId14" Type="http://schemas.openxmlformats.org/officeDocument/2006/relationships/hyperlink" Target="https://doi.org/10.1016/j.watres.2019.115270" TargetMode="External"/><Relationship Id="rId22" Type="http://schemas.openxmlformats.org/officeDocument/2006/relationships/hyperlink" Target="https://doi.org/10.1016/j.jhazmat.2017.10.014" TargetMode="External"/><Relationship Id="rId27" Type="http://schemas.openxmlformats.org/officeDocument/2006/relationships/hyperlink" Target="https://doi.org/10.1016/j.jfca.2023.105859" TargetMode="External"/><Relationship Id="rId30" Type="http://schemas.openxmlformats.org/officeDocument/2006/relationships/hyperlink" Target="https://doi.org/10.1016/j.toxlet.2007.11.001" TargetMode="External"/><Relationship Id="rId35" Type="http://schemas.openxmlformats.org/officeDocument/2006/relationships/hyperlink" Target="https://doi.org/10.1080/02652030500398361" TargetMode="External"/><Relationship Id="rId43" Type="http://schemas.openxmlformats.org/officeDocument/2006/relationships/hyperlink" Target="https://doi.org/10.1016/j.jhazmat.2025.138948" TargetMode="External"/><Relationship Id="rId48" Type="http://schemas.openxmlformats.org/officeDocument/2006/relationships/hyperlink" Target="https://doi.org/10.3390/ijerph7124267" TargetMode="External"/><Relationship Id="rId56" Type="http://schemas.openxmlformats.org/officeDocument/2006/relationships/hyperlink" Target="https://doi.org/10.1080/19440049.2010.530296" TargetMode="External"/><Relationship Id="rId64" Type="http://schemas.openxmlformats.org/officeDocument/2006/relationships/hyperlink" Target="https://doi.org/10.1016/j.envpol.2024.123857" TargetMode="External"/><Relationship Id="rId69" Type="http://schemas.openxmlformats.org/officeDocument/2006/relationships/header" Target="header2.xml"/><Relationship Id="rId8" Type="http://schemas.openxmlformats.org/officeDocument/2006/relationships/hyperlink" Target="https://doi.org/10.1016/j.watres.2011.11.062" TargetMode="External"/><Relationship Id="rId51" Type="http://schemas.openxmlformats.org/officeDocument/2006/relationships/hyperlink" Target="https://doi.org/10.1016/j.jhazmat.2022.128331" TargetMode="External"/><Relationship Id="rId72"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doi.org/10.1016/j.chemosphere.2015.03.010" TargetMode="External"/><Relationship Id="rId17" Type="http://schemas.openxmlformats.org/officeDocument/2006/relationships/hyperlink" Target="https://doi.org/10.1016/j.scitotenv.2016.04.184" TargetMode="External"/><Relationship Id="rId25" Type="http://schemas.openxmlformats.org/officeDocument/2006/relationships/hyperlink" Target="https://doi.org/10.1016/j.scitotenv.2022.154907" TargetMode="External"/><Relationship Id="rId33" Type="http://schemas.openxmlformats.org/officeDocument/2006/relationships/hyperlink" Target="https://doi.org/10.3389/fchem.2018.00407" TargetMode="External"/><Relationship Id="rId38" Type="http://schemas.openxmlformats.org/officeDocument/2006/relationships/hyperlink" Target="https://doi.org/10.1016/j.foodchem.2022.133758" TargetMode="External"/><Relationship Id="rId46" Type="http://schemas.openxmlformats.org/officeDocument/2006/relationships/hyperlink" Target="https://doi.org/10.1039/B517844B" TargetMode="External"/><Relationship Id="rId59" Type="http://schemas.openxmlformats.org/officeDocument/2006/relationships/hyperlink" Target="https://doi.org/10.1016/j.watres.2019.115082" TargetMode="External"/><Relationship Id="rId67" Type="http://schemas.openxmlformats.org/officeDocument/2006/relationships/hyperlink" Target="https://doi.org/10.1021/acs.est.1c01103" TargetMode="External"/><Relationship Id="rId20" Type="http://schemas.openxmlformats.org/officeDocument/2006/relationships/hyperlink" Target="https://doi.org/10.1016/j.jhazmat.2022.128410" TargetMode="External"/><Relationship Id="rId41" Type="http://schemas.openxmlformats.org/officeDocument/2006/relationships/hyperlink" Target="https://doi.org/10.1016/j.envint.2020.106274" TargetMode="External"/><Relationship Id="rId54" Type="http://schemas.openxmlformats.org/officeDocument/2006/relationships/hyperlink" Target="https://doi.org/10.1007/s11356-009-0107-7" TargetMode="External"/><Relationship Id="rId62" Type="http://schemas.openxmlformats.org/officeDocument/2006/relationships/hyperlink" Target="https://www.who.int/publications/i/item/9789240121225"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foodchem.2014.06.041" TargetMode="External"/><Relationship Id="rId23" Type="http://schemas.openxmlformats.org/officeDocument/2006/relationships/hyperlink" Target="https://doi.org/10.1016/j.scitotenv.2025.181148" TargetMode="External"/><Relationship Id="rId28" Type="http://schemas.openxmlformats.org/officeDocument/2006/relationships/hyperlink" Target="https://doi.org/10.1016/j.fpsl.2025.101450" TargetMode="External"/><Relationship Id="rId36" Type="http://schemas.openxmlformats.org/officeDocument/2006/relationships/hyperlink" Target="https://doi.org/10.1016/S0043-1354(02)00201-4" TargetMode="External"/><Relationship Id="rId49" Type="http://schemas.openxmlformats.org/officeDocument/2006/relationships/hyperlink" Target="https://doi.org/10.1038/s42003-019-0410-x" TargetMode="External"/><Relationship Id="rId57" Type="http://schemas.openxmlformats.org/officeDocument/2006/relationships/hyperlink" Target="https://doi.org/10.1016/j.watres.2007.07.048" TargetMode="External"/><Relationship Id="rId10" Type="http://schemas.openxmlformats.org/officeDocument/2006/relationships/hyperlink" Target="https://doi.org/10.1016/j.foodchem.2014.04.020" TargetMode="External"/><Relationship Id="rId31" Type="http://schemas.openxmlformats.org/officeDocument/2006/relationships/hyperlink" Target="https://doi.org/10.1016/j.envint.2022.107199" TargetMode="External"/><Relationship Id="rId44" Type="http://schemas.openxmlformats.org/officeDocument/2006/relationships/hyperlink" Target="https://doi.org/10.7326/M19-0618" TargetMode="External"/><Relationship Id="rId52" Type="http://schemas.openxmlformats.org/officeDocument/2006/relationships/hyperlink" Target="https://doi.org/10.1016/j.jhazmat.2024.136391" TargetMode="External"/><Relationship Id="rId60" Type="http://schemas.openxmlformats.org/officeDocument/2006/relationships/hyperlink" Target="https://www.who.int/publications/i/item/9789241516198" TargetMode="External"/><Relationship Id="rId65" Type="http://schemas.openxmlformats.org/officeDocument/2006/relationships/hyperlink" Target="https://doi.org/10.3390/ijerph17051509" TargetMode="External"/><Relationship Id="rId73"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16/j.foodchem.2013.01.046" TargetMode="External"/><Relationship Id="rId13" Type="http://schemas.openxmlformats.org/officeDocument/2006/relationships/hyperlink" Target="https://doi.org/10.1021/jf800870b" TargetMode="External"/><Relationship Id="rId18" Type="http://schemas.openxmlformats.org/officeDocument/2006/relationships/hyperlink" Target="https://eur-lex.europa.eu/eli/dir/2020/2184/oj" TargetMode="External"/><Relationship Id="rId39" Type="http://schemas.openxmlformats.org/officeDocument/2006/relationships/hyperlink" Target="https://doi.org/10.1186/s12989-020-00358-y" TargetMode="External"/><Relationship Id="rId34" Type="http://schemas.openxmlformats.org/officeDocument/2006/relationships/hyperlink" Target="https://doi.org/10.1080/02652030701551800" TargetMode="External"/><Relationship Id="rId50" Type="http://schemas.openxmlformats.org/officeDocument/2006/relationships/hyperlink" Target="https://doi.org/10.1002/pts.2528" TargetMode="External"/><Relationship Id="rId55" Type="http://schemas.openxmlformats.org/officeDocument/2006/relationships/hyperlink" Target="https://doi.org/10.1016/j.jsbmb.2010.10.007" TargetMode="External"/><Relationship Id="rId7" Type="http://schemas.openxmlformats.org/officeDocument/2006/relationships/hyperlink" Target="https://doi.org/10.1007/s10661-017-6342-3" TargetMode="Externa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23</Pages>
  <Words>15034</Words>
  <Characters>85698</Characters>
  <Application>Microsoft Office Word</Application>
  <DocSecurity>0</DocSecurity>
  <Lines>714</Lines>
  <Paragraphs>201</Paragraphs>
  <ScaleCrop>false</ScaleCrop>
  <Company>HP</Company>
  <LinksUpToDate>false</LinksUpToDate>
  <CharactersWithSpaces>100531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Migration from Plastic Bottled-Water Containers under Environmental Stress: A Critical Review of Toxicological Mechanisms, Ecological Effects and Clinical Health Implications</dc:title>
  <dc:subject>Critical narrative review of chemical migration and particle release from plastic bottled-water containers under environmental stress</dc:subject>
  <dc:creator/>
  <cp:keywords>bottled water; polyethylene terephthalate; antimony; non-intentionally added substances; microplastics; environmental stress; exposure assessment</cp:keywords>
  <dc:description/>
  <cp:lastModifiedBy>SDI 1166</cp:lastModifiedBy>
  <cp:revision>4</cp:revision>
  <dcterms:created xsi:type="dcterms:W3CDTF">2026-08-21T17:14:00Z</dcterms:created>
  <dcterms:modified xsi:type="dcterms:W3CDTF">2026-08-22T11:43:00Z</dcterms:modified>
</cp:coreProperties>
</file>