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B950" w14:textId="77777777" w:rsidR="00900A11" w:rsidRPr="00900A11" w:rsidRDefault="00900A11" w:rsidP="00900A11">
      <w:pPr>
        <w:spacing w:before="100" w:beforeAutospacing="1" w:after="100" w:afterAutospacing="1"/>
        <w:jc w:val="center"/>
        <w:rPr>
          <w:b/>
          <w:bCs/>
          <w:i/>
          <w:iCs/>
          <w:color w:val="000000"/>
          <w:sz w:val="28"/>
          <w:szCs w:val="28"/>
          <w:u w:val="single"/>
          <w:lang w:val="en-US"/>
        </w:rPr>
      </w:pPr>
      <w:r w:rsidRPr="00900A11">
        <w:rPr>
          <w:b/>
          <w:bCs/>
          <w:i/>
          <w:iCs/>
          <w:color w:val="000000"/>
          <w:sz w:val="28"/>
          <w:szCs w:val="28"/>
          <w:u w:val="single"/>
          <w:lang w:val="en-US"/>
        </w:rPr>
        <w:t>Review Article</w:t>
      </w:r>
    </w:p>
    <w:p w14:paraId="52EEA991" w14:textId="77777777" w:rsidR="00D9234C" w:rsidRDefault="00000000" w:rsidP="00E6294C">
      <w:pPr>
        <w:spacing w:before="100" w:beforeAutospacing="1" w:after="100" w:afterAutospacing="1"/>
        <w:jc w:val="center"/>
      </w:pPr>
      <w:r>
        <w:rPr>
          <w:b/>
          <w:bCs/>
          <w:color w:val="000000"/>
          <w:sz w:val="28"/>
          <w:szCs w:val="28"/>
        </w:rPr>
        <w:t>Green Chemistry in Pharmaceutical Manufacturing: A Critical Synthesis of Sustainable Synthesis, Digital Intelligence and Circular Production</w:t>
      </w:r>
    </w:p>
    <w:p w14:paraId="28EBF5D8" w14:textId="77777777" w:rsidR="00D9234C" w:rsidRDefault="00000000" w:rsidP="00E6294C">
      <w:pPr>
        <w:pStyle w:val="Heading1"/>
        <w:spacing w:before="100" w:beforeAutospacing="1" w:after="100" w:afterAutospacing="1"/>
      </w:pPr>
      <w:r>
        <w:rPr>
          <w:b/>
          <w:bCs/>
          <w:color w:val="000000"/>
          <w:sz w:val="26"/>
          <w:szCs w:val="26"/>
        </w:rPr>
        <w:t>Abstract</w:t>
      </w:r>
    </w:p>
    <w:p w14:paraId="7F4334F5" w14:textId="77777777" w:rsidR="00D9234C" w:rsidRDefault="00000000" w:rsidP="00E6294C">
      <w:pPr>
        <w:spacing w:before="100" w:beforeAutospacing="1" w:after="100" w:afterAutospacing="1"/>
        <w:jc w:val="both"/>
      </w:pPr>
      <w:r>
        <w:rPr>
          <w:color w:val="000000"/>
        </w:rPr>
        <w:t>Pharmaceutical manufacturing occupies an unusual position in the sustainability debate. It produces goods of exceptional social value through processes that are among the most material-intensive in the chemical sector, and it does so under regulatory constraints that penalise process change. Three research programmes have developed in response: the redesign of synthetic chemistry around catalysis and benign solvents, the application of computational and data-driven methods to route and process design, and the reorganisation of production around material recovery and reuse. These programmes are usually reviewed separately, which obscures the extent to which they depend upon, and occasionally undermine, one another. This critical narrative review examines the small-molecule and synthetic-peptide manufacturing literature published between 1998 and June 2026, with emphasis on evidence generated at pilot or manufacturing scale rather than at laboratory scale alone. Literature was identified through structured bibliographic searching of a metadata registry, targeted scholarly web searching and the publications of intergovernmental and regulatory bodies, and was appraised for design adequacy, scale of demonstration, independence of confirmation and transparency of reporting. The evidence is strongest for biocatalytic substitution of stoichiometric and precious-metal chemistry, where independent manufacturing-scale demonstrations and consistent mass-efficiency gains converge. It is moderate for solvent substitution and continuous processing, where selection guides and case studies are abundant but comparative and independently audited data remain scarce. It is weak, though not negative, for photochemical, electrochemical and mechanochemical activation at manufacturing scale, and for digital methods, whose reported gains derive predominantly from retrospective or single-laboratory studies. Circularity remains largely confined to solvent recovery; broader material loops are asserted more often than measured. Mass-based metrics, principally process mass intensity, have driven substantial improvement but conceal energy, toxicity and upstream burdens, and they compare poorly across therapeutic modalities. Progress now depends less on new chemistry than on comparable measurement, independent verification and regulatory pathways that permit process improvement after approval.</w:t>
      </w:r>
    </w:p>
    <w:p w14:paraId="5053A4DF" w14:textId="77777777" w:rsidR="00D9234C" w:rsidRDefault="00000000" w:rsidP="00E6294C">
      <w:pPr>
        <w:pStyle w:val="Heading1"/>
        <w:spacing w:before="100" w:beforeAutospacing="1" w:after="100" w:afterAutospacing="1"/>
      </w:pPr>
      <w:r>
        <w:rPr>
          <w:b/>
          <w:bCs/>
          <w:color w:val="000000"/>
          <w:sz w:val="26"/>
          <w:szCs w:val="26"/>
        </w:rPr>
        <w:t>Keywords</w:t>
      </w:r>
    </w:p>
    <w:p w14:paraId="33E8E13E" w14:textId="77777777" w:rsidR="00D9234C" w:rsidRDefault="00000000" w:rsidP="00E6294C">
      <w:pPr>
        <w:spacing w:before="100" w:beforeAutospacing="1" w:after="100" w:afterAutospacing="1"/>
        <w:jc w:val="both"/>
      </w:pPr>
      <w:r>
        <w:rPr>
          <w:color w:val="000000"/>
        </w:rPr>
        <w:t>Process mass intensity; biocatalysis; continuous manufacturing; solvent selection; machine learning; circular economy; life cycle assessment</w:t>
      </w:r>
    </w:p>
    <w:p w14:paraId="0815E663" w14:textId="77777777" w:rsidR="00D9234C" w:rsidRDefault="00000000" w:rsidP="00E6294C">
      <w:pPr>
        <w:pStyle w:val="Heading1"/>
        <w:spacing w:before="100" w:beforeAutospacing="1" w:after="100" w:afterAutospacing="1"/>
      </w:pPr>
      <w:r>
        <w:rPr>
          <w:b/>
          <w:bCs/>
          <w:color w:val="000000"/>
          <w:sz w:val="26"/>
          <w:szCs w:val="26"/>
        </w:rPr>
        <w:t>1. Introduction</w:t>
      </w:r>
    </w:p>
    <w:p w14:paraId="4B3415CB" w14:textId="77777777" w:rsidR="00D9234C" w:rsidRDefault="00000000" w:rsidP="00E6294C">
      <w:pPr>
        <w:spacing w:before="100" w:beforeAutospacing="1" w:after="100" w:afterAutospacing="1"/>
        <w:jc w:val="both"/>
      </w:pPr>
      <w:r>
        <w:rPr>
          <w:color w:val="000000"/>
        </w:rPr>
        <w:t>The chemical synthesis of medicines generates more waste per unit of product than almost any other manufacturing activity of comparable economic scale. Estimates compiled across sectors place the mass of waste generated per unit mass of pharmaceutical product an order of magnitude above that of bulk and fine chemicals production, a disparity that reflects molecular complexity, multi-step convergent routes, extensive purification and the regulatory premium placed on purity (Sheldon, 2017, 2023). The disparity has been recognised for three decades, yet the industry has changed more slowly than the analytical framework used to describe it.</w:t>
      </w:r>
    </w:p>
    <w:p w14:paraId="2834DE92" w14:textId="77777777" w:rsidR="00D9234C" w:rsidRDefault="00000000" w:rsidP="00E6294C">
      <w:pPr>
        <w:spacing w:before="100" w:beforeAutospacing="1" w:after="100" w:afterAutospacing="1"/>
        <w:jc w:val="both"/>
      </w:pPr>
      <w:r>
        <w:rPr>
          <w:color w:val="000000"/>
        </w:rPr>
        <w:t xml:space="preserve">Green chemistry supplied that framework. The twelve principles articulated at the end of the 1990s reframed waste as a design failure rather than an inevitable by-product, and directed attention upstream to route selection, catalysis, solvent choice and the intrinsic hazard of reagents (Anastas &amp; </w:t>
      </w:r>
      <w:r>
        <w:rPr>
          <w:color w:val="000000"/>
        </w:rPr>
        <w:lastRenderedPageBreak/>
        <w:t>Eghbali, 2010). Two decades of subsequent development broadened the field from reaction-level substitution towards systems-level design, incorporating renewable feedstocks, degradability, and the integration of chemical design with life cycle thinking (</w:t>
      </w:r>
      <w:proofErr w:type="spellStart"/>
      <w:r>
        <w:rPr>
          <w:color w:val="000000"/>
        </w:rPr>
        <w:t>Erythropel</w:t>
      </w:r>
      <w:proofErr w:type="spellEnd"/>
      <w:r>
        <w:rPr>
          <w:color w:val="000000"/>
        </w:rPr>
        <w:t xml:space="preserve"> et al., 2018; Zimmerman et al., 2020). The parallel concept of sustainable chemistry extended the remit further, requiring that chemical products and processes be evaluated against social and planetary boundaries rather than against incremental improvement on a prior process (</w:t>
      </w:r>
      <w:proofErr w:type="spellStart"/>
      <w:r>
        <w:rPr>
          <w:color w:val="000000"/>
        </w:rPr>
        <w:t>Kümmerer</w:t>
      </w:r>
      <w:proofErr w:type="spellEnd"/>
      <w:r>
        <w:rPr>
          <w:color w:val="000000"/>
        </w:rPr>
        <w:t>, 2017).</w:t>
      </w:r>
    </w:p>
    <w:p w14:paraId="0F4B4801" w14:textId="77777777" w:rsidR="00D9234C" w:rsidRDefault="00000000" w:rsidP="00E6294C">
      <w:pPr>
        <w:spacing w:before="100" w:beforeAutospacing="1" w:after="100" w:afterAutospacing="1"/>
        <w:jc w:val="both"/>
      </w:pPr>
      <w:r>
        <w:rPr>
          <w:color w:val="000000"/>
        </w:rPr>
        <w:t xml:space="preserve">Within pharmaceutical manufacturing this agenda acquired institutional form through pre-competitive collaboration among manufacturers, which produced shared metrics, solvent selection guides and periodic statements of research priority (Constable et al., 2007; Bryan et al., 2018). The most consequential output was </w:t>
      </w:r>
      <w:proofErr w:type="gramStart"/>
      <w:r>
        <w:rPr>
          <w:color w:val="000000"/>
        </w:rPr>
        <w:t>process</w:t>
      </w:r>
      <w:proofErr w:type="gramEnd"/>
      <w:r>
        <w:rPr>
          <w:color w:val="000000"/>
        </w:rPr>
        <w:t xml:space="preserve"> mass intensity, adopted as the principal mass-efficiency metric because it captures all material inputs, including water and solvents, and because it aligns environmental improvement with cost reduction (Jiménez-González, Ponder, et al., 2011). Benchmarking against this metric has coincided with measurable improvement in reported process efficiency and with the diffusion of catalytic and biocatalytic methods into commercial routes (Benison &amp; Payne, 2022; Colberg et al., 2025).</w:t>
      </w:r>
    </w:p>
    <w:p w14:paraId="56161458" w14:textId="77777777" w:rsidR="00D9234C" w:rsidRDefault="00000000" w:rsidP="00E6294C">
      <w:pPr>
        <w:spacing w:before="100" w:beforeAutospacing="1" w:after="100" w:afterAutospacing="1"/>
        <w:jc w:val="both"/>
      </w:pPr>
      <w:r>
        <w:rPr>
          <w:color w:val="000000"/>
        </w:rPr>
        <w:t>Three developments have complicated this picture. First, the therapeutic portfolio has shifted. Synthetic peptides and oligonucleotides now constitute a substantial share of development pipelines, and their solid-phase manufacture is far more material-intensive than small-molecule synthesis, so that aggregate improvement in small-molecule efficiency can coexist with deteriorating portfolio-level performance (</w:t>
      </w:r>
      <w:proofErr w:type="spellStart"/>
      <w:r>
        <w:rPr>
          <w:color w:val="000000"/>
        </w:rPr>
        <w:t>Kekessie</w:t>
      </w:r>
      <w:proofErr w:type="spellEnd"/>
      <w:r>
        <w:rPr>
          <w:color w:val="000000"/>
        </w:rPr>
        <w:t xml:space="preserve"> et al., 2024). Second, computational methods have moved from retrosynthetic curiosity to operational tools, raising the possibility that route sustainability can be predicted rather than discovered experimentally, while also introducing an energy and data burden that is rarely accounted for (Segler et al., 2018; Schwaller et al., 2022). Third, decarbonisation commitments have redirected attention from process waste towards supply-chain emissions, where pharmaceutical manufacturers depend on intermediates produced by suppliers whose environmental performance is poorly documented (Belkhir &amp; </w:t>
      </w:r>
      <w:proofErr w:type="spellStart"/>
      <w:r>
        <w:rPr>
          <w:color w:val="000000"/>
        </w:rPr>
        <w:t>Elmeligi</w:t>
      </w:r>
      <w:proofErr w:type="spellEnd"/>
      <w:r>
        <w:rPr>
          <w:color w:val="000000"/>
        </w:rPr>
        <w:t>, 2019; Colberg et al., 2025).</w:t>
      </w:r>
    </w:p>
    <w:p w14:paraId="281766D6" w14:textId="77777777" w:rsidR="00D9234C" w:rsidRDefault="00000000" w:rsidP="00E6294C">
      <w:pPr>
        <w:spacing w:before="100" w:beforeAutospacing="1" w:after="100" w:afterAutospacing="1"/>
        <w:jc w:val="both"/>
      </w:pPr>
      <w:r>
        <w:rPr>
          <w:color w:val="000000"/>
        </w:rPr>
        <w:t>Existing reviews address these developments in isolation. Solvent selection, biocatalysis, flow chemistry and machine-learning-assisted synthesis each possess authoritative and recent syntheses, and the metric literature has been reviewed at intervals since the early 2000s (Clarke et al., 2018; Sheldon &amp; Woodley, 2018; Taylor et al., 2023). Reviews that treat pharmaceutical sustainability as a whole tend to be organised around management or supply-chain constructs and engage only lightly with the chemistry (Milanesi et al., 2020). What is missing is a critical account that treats sustainable synthesis, digital intelligence and circular production as interacting subsystems, asks whether the evidence supporting each is of comparable strength, and identifies the points at which improvement in one domain is achieved by displacing burden into another.</w:t>
      </w:r>
    </w:p>
    <w:p w14:paraId="24D0E4AE" w14:textId="77777777" w:rsidR="00D9234C" w:rsidRDefault="00000000" w:rsidP="00E6294C">
      <w:pPr>
        <w:pStyle w:val="Heading2"/>
        <w:spacing w:before="100" w:beforeAutospacing="1" w:after="100" w:afterAutospacing="1"/>
      </w:pPr>
      <w:r>
        <w:rPr>
          <w:b/>
          <w:bCs/>
          <w:color w:val="000000"/>
          <w:sz w:val="24"/>
          <w:szCs w:val="24"/>
        </w:rPr>
        <w:t>1.1 Scope, Research Gap and Objectives</w:t>
      </w:r>
    </w:p>
    <w:p w14:paraId="7CE19EE1" w14:textId="77777777" w:rsidR="00D9234C" w:rsidRDefault="00000000" w:rsidP="00E6294C">
      <w:pPr>
        <w:spacing w:before="100" w:beforeAutospacing="1" w:after="100" w:afterAutospacing="1"/>
        <w:jc w:val="both"/>
      </w:pPr>
      <w:r>
        <w:rPr>
          <w:color w:val="000000"/>
        </w:rPr>
        <w:t>This review covers the manufacture of small-molecule active pharmaceutical ingredients and synthetic peptides, from route selection through isolation and purification, together with the solvent and material flows associated with those operations. It examines three interacting domains: synthetic methodology and its associated metrics, computational and data-driven process design, and material circularity within manufacturing and its immediate supply chain.</w:t>
      </w:r>
    </w:p>
    <w:p w14:paraId="76991C5D" w14:textId="77777777" w:rsidR="00D9234C" w:rsidRDefault="00000000" w:rsidP="00E6294C">
      <w:pPr>
        <w:spacing w:before="100" w:beforeAutospacing="1" w:after="100" w:afterAutospacing="1"/>
        <w:jc w:val="both"/>
      </w:pPr>
      <w:r>
        <w:rPr>
          <w:color w:val="000000"/>
        </w:rPr>
        <w:t>The gap addressed is the absence of an integrated critical appraisal that compares the strength of evidence across these domains using consistent criteria, and that examines whether claimed sustainability gains survive scrutiny when scale of demonstration, independence of confirmation and burden displacement are taken into account. Prior syntheses either treat one domain in depth or treat the whole descriptively; neither approach reveals where the domains conflict.</w:t>
      </w:r>
    </w:p>
    <w:p w14:paraId="6AE21B16" w14:textId="77777777" w:rsidR="00D9234C" w:rsidRDefault="00000000" w:rsidP="00E6294C">
      <w:pPr>
        <w:spacing w:before="100" w:beforeAutospacing="1" w:after="100" w:afterAutospacing="1"/>
        <w:jc w:val="both"/>
      </w:pPr>
      <w:r>
        <w:rPr>
          <w:color w:val="000000"/>
        </w:rPr>
        <w:lastRenderedPageBreak/>
        <w:t>Four objectives follow. The first is to evaluate the adequacy of prevailing metrics as instruments for directing and verifying improvement. The second is to compare the demonstrated, as distinct from asserted, environmental performance of the principal synthetic and processing technologies. The third is to assess whether computational methods have yet delivered verifiable sustainability benefit in regulated manufacture. The fourth is to determine how far circular production has progressed beyond solvent recovery, and what constrains further progress.</w:t>
      </w:r>
    </w:p>
    <w:p w14:paraId="7F360C35" w14:textId="77777777" w:rsidR="00D9234C" w:rsidRDefault="00000000" w:rsidP="00E6294C">
      <w:pPr>
        <w:spacing w:before="100" w:beforeAutospacing="1" w:after="100" w:afterAutospacing="1"/>
        <w:jc w:val="both"/>
      </w:pPr>
      <w:r>
        <w:rPr>
          <w:color w:val="000000"/>
        </w:rPr>
        <w:t>The intended contribution is an evidence-graded map of the field that distinguishes well-supported from provisional conclusions and specifies what would be required to resolve the principal disagreements. Biologics manufactured by fermentation or cell culture, drug product formulation, packaging, distribution, clinical use and patient-derived environmental emissions fall outside the scope, as do analytical chemistry and drug discovery, except where they bear directly on manufacturing route selection.</w:t>
      </w:r>
    </w:p>
    <w:p w14:paraId="577F38C6" w14:textId="77777777" w:rsidR="00D9234C" w:rsidRDefault="00000000" w:rsidP="00E6294C">
      <w:pPr>
        <w:pStyle w:val="Heading1"/>
        <w:spacing w:before="100" w:beforeAutospacing="1" w:after="100" w:afterAutospacing="1"/>
      </w:pPr>
      <w:r>
        <w:rPr>
          <w:b/>
          <w:bCs/>
          <w:color w:val="000000"/>
          <w:sz w:val="26"/>
          <w:szCs w:val="26"/>
        </w:rPr>
        <w:t>2. Methods for Literature Selection</w:t>
      </w:r>
    </w:p>
    <w:p w14:paraId="46B1F6F2" w14:textId="77777777" w:rsidR="00D9234C" w:rsidRDefault="00000000" w:rsidP="00E6294C">
      <w:pPr>
        <w:pStyle w:val="Heading2"/>
        <w:spacing w:before="100" w:beforeAutospacing="1" w:after="100" w:afterAutospacing="1"/>
      </w:pPr>
      <w:r>
        <w:rPr>
          <w:b/>
          <w:bCs/>
          <w:color w:val="000000"/>
          <w:sz w:val="24"/>
          <w:szCs w:val="24"/>
        </w:rPr>
        <w:t>2.1 Review Design and Rationale</w:t>
      </w:r>
    </w:p>
    <w:p w14:paraId="345B74C9" w14:textId="77777777" w:rsidR="00D9234C" w:rsidRDefault="00000000" w:rsidP="00E6294C">
      <w:pPr>
        <w:spacing w:before="100" w:beforeAutospacing="1" w:after="100" w:afterAutospacing="1"/>
        <w:jc w:val="both"/>
      </w:pPr>
      <w:r>
        <w:rPr>
          <w:color w:val="000000"/>
        </w:rPr>
        <w:t>A critical narrative design was selected because the review question concerns the comparative strength and coherence of evidence across three heterogeneous domains rather than the magnitude of a defined effect. The constituent literatures differ in design, outcome definition and reporting convention: process chemistry contributes case reports and industrial perspectives, computational chemistry contributes benchmark studies on curated datasets, and circularity research contributes life cycle assessments and management analyses. No common effect measure exists, and no meaningful pooled estimate could be constructed, which excludes meta-analysis. A systematic review restricted to a single comparison would have produced a defensible but narrow answer that could not address the interaction between domains; a scoping review would have mapped activity without appraising it.</w:t>
      </w:r>
    </w:p>
    <w:p w14:paraId="339C18D0" w14:textId="77777777" w:rsidR="00D9234C" w:rsidRDefault="00000000" w:rsidP="00E6294C">
      <w:pPr>
        <w:spacing w:before="100" w:beforeAutospacing="1" w:after="100" w:afterAutospacing="1"/>
        <w:jc w:val="both"/>
      </w:pPr>
      <w:r>
        <w:rPr>
          <w:color w:val="000000"/>
        </w:rPr>
        <w:t>The narrative form does not license selective citation. Search concepts, sources, eligibility criteria and appraisal criteria are stated below, conflicting findings are reported rather than reconciled, and the confidence attached to each conclusion is stated explicitly in the synthesis. Where the design permits interpretive latitude, that latitude is acknowledged in the concluding section on limitations. Methodological guidance on transparent conduct and appraisal of narrative reviews of green chemistry evidence informed this structure, particularly the requirement that metric-based claims be traced to the assumptions of the underlying metric rather than accepted at face value (Sheldon et al., 2022; Imbert &amp; Ladu, 2023).</w:t>
      </w:r>
    </w:p>
    <w:p w14:paraId="0670BC95" w14:textId="77777777" w:rsidR="00D9234C" w:rsidRDefault="00000000" w:rsidP="00E6294C">
      <w:pPr>
        <w:pStyle w:val="Heading2"/>
        <w:spacing w:before="100" w:beforeAutospacing="1" w:after="100" w:afterAutospacing="1"/>
      </w:pPr>
      <w:r>
        <w:rPr>
          <w:b/>
          <w:bCs/>
          <w:color w:val="000000"/>
          <w:sz w:val="24"/>
          <w:szCs w:val="24"/>
        </w:rPr>
        <w:t>2.2 Information Sources</w:t>
      </w:r>
    </w:p>
    <w:p w14:paraId="2DFF4B84" w14:textId="77777777" w:rsidR="00D9234C" w:rsidRDefault="00000000" w:rsidP="00E6294C">
      <w:pPr>
        <w:spacing w:before="100" w:beforeAutospacing="1" w:after="100" w:afterAutospacing="1"/>
        <w:jc w:val="both"/>
      </w:pPr>
      <w:r>
        <w:rPr>
          <w:color w:val="000000"/>
        </w:rPr>
        <w:t xml:space="preserve">Three categories of source were searched. Structured bibliographic searching was conducted against a scholarly metadata registry, </w:t>
      </w:r>
      <w:proofErr w:type="spellStart"/>
      <w:r>
        <w:rPr>
          <w:color w:val="000000"/>
        </w:rPr>
        <w:t>Crossref</w:t>
      </w:r>
      <w:proofErr w:type="spellEnd"/>
      <w:r>
        <w:rPr>
          <w:color w:val="000000"/>
        </w:rPr>
        <w:t xml:space="preserve"> Metadata Search, using its public programmatic interface, which permits querying by bibliographic string with restriction by publication date and record type. Targeted web-based scholarly searching was used to identify recent perspectives, consensus documents and technical guidance that are indexed inconsistently in metadata registries. Institutional sources comprised the publication repositories of an intergovernmental health body and an international regulatory harmonisation body.</w:t>
      </w:r>
    </w:p>
    <w:p w14:paraId="3600C0F3" w14:textId="77777777" w:rsidR="00D9234C" w:rsidRDefault="00000000" w:rsidP="00E6294C">
      <w:pPr>
        <w:spacing w:before="100" w:beforeAutospacing="1" w:after="100" w:afterAutospacing="1"/>
        <w:jc w:val="both"/>
      </w:pPr>
      <w:r>
        <w:rPr>
          <w:color w:val="000000"/>
        </w:rPr>
        <w:t xml:space="preserve">Bibliographic identity was confirmed for every retained record through the metadata registry, and every Digital Object Identifier was independently resolved through the global resolution service to confirm that it directed to the cited article. Subscription-based abstract and citation indexes, including Web of Science Core Collection, Scopus and Embase, were not accessible during the preparation of </w:t>
      </w:r>
      <w:r>
        <w:rPr>
          <w:color w:val="000000"/>
        </w:rPr>
        <w:lastRenderedPageBreak/>
        <w:t>this review and were therefore not searched; no claim of coverage equivalent to those resources is made, and the implications are considered among the limitations.</w:t>
      </w:r>
    </w:p>
    <w:p w14:paraId="55F6F461" w14:textId="77777777" w:rsidR="00D9234C" w:rsidRDefault="00000000" w:rsidP="00E6294C">
      <w:pPr>
        <w:pStyle w:val="Heading2"/>
        <w:spacing w:before="100" w:beforeAutospacing="1" w:after="100" w:afterAutospacing="1"/>
      </w:pPr>
      <w:r>
        <w:rPr>
          <w:b/>
          <w:bCs/>
          <w:color w:val="000000"/>
          <w:sz w:val="24"/>
          <w:szCs w:val="24"/>
        </w:rPr>
        <w:t>2.3 Search Strategy and Search Period</w:t>
      </w:r>
    </w:p>
    <w:p w14:paraId="7E0A1FBA" w14:textId="77777777" w:rsidR="00D9234C" w:rsidRDefault="00000000" w:rsidP="00E6294C">
      <w:pPr>
        <w:spacing w:before="100" w:beforeAutospacing="1" w:after="100" w:afterAutospacing="1"/>
        <w:jc w:val="both"/>
      </w:pPr>
      <w:r>
        <w:rPr>
          <w:color w:val="000000"/>
        </w:rPr>
        <w:t>Search concepts were derived from the review question and combined with Boolean operators. The first concept set covered the domain, using terms such as pharmaceutical manufacturing, active pharmaceutical ingredient, process chemistry and peptide synthesis. The second covered the sustainability framework, using green chemistry, sustainable chemistry, process mass intensity, E factor, atom economy and life cycle assessment. The third covered synthetic technology, using biocatalysis, enzyme engineering, continuous flow, process intensification, photocatalysis, electrochemistry, mechanochemistry and solvent selection. The fourth covered digital methods, using machine learning, retrosynthesis, computer-aided synthesis planning, Bayesian optimisation, self-driving laboratory, digital twin and process analytical technology. The fifth covered circularity and systemic outcomes, using circular economy, solvent recovery, waste valorisation, carbon footprint, supply chain emissions and pharmaceutical pollution.</w:t>
      </w:r>
    </w:p>
    <w:p w14:paraId="65701163" w14:textId="77777777" w:rsidR="00D9234C" w:rsidRDefault="00000000" w:rsidP="00E6294C">
      <w:pPr>
        <w:spacing w:before="100" w:beforeAutospacing="1" w:after="100" w:afterAutospacing="1"/>
        <w:jc w:val="both"/>
      </w:pPr>
      <w:r>
        <w:rPr>
          <w:color w:val="000000"/>
        </w:rPr>
        <w:t>Representative strings combined concepts across sets, for example: ("pharmaceutical manufacturing" OR "active pharmaceutical ingredient") AND ("green chemistry" OR "process mass intensity" OR "life cycle assessment"); (biocatalysis OR "enzyme engineering") AND ("industrial synthesis" OR manufacturing) AND (sustainability OR "green chemistry"); ("machine learning" OR "artificial intelligence") AND (retrosynthesis OR "reaction optimisation" OR "process design") AND (sustainable OR green); ("circular economy" OR "solvent recovery") AND pharmaceutical AND (manufacturing OR waste). Strings were adapted iteratively as terminology varied across disciplines, and searches were repeated for each thematic subsection rather than executed once.</w:t>
      </w:r>
    </w:p>
    <w:p w14:paraId="1757F5AF" w14:textId="77777777" w:rsidR="00D9234C" w:rsidRDefault="00000000" w:rsidP="00E6294C">
      <w:pPr>
        <w:spacing w:before="100" w:beforeAutospacing="1" w:after="100" w:afterAutospacing="1"/>
        <w:jc w:val="both"/>
      </w:pPr>
      <w:r>
        <w:rPr>
          <w:color w:val="000000"/>
        </w:rPr>
        <w:t>The search period began in 1998, the year in which the twelve principles of green chemistry were formalised and the conceptual vocabulary used throughout this review entered general use. The final search date was 5 June 2026. Foundational publications preceding 1998 were eligible where necessary to explain the historical development of waste metrics or established synthetic methods, but no such publication ultimately met the relevance criteria.</w:t>
      </w:r>
    </w:p>
    <w:p w14:paraId="2478F193" w14:textId="77777777" w:rsidR="00D9234C" w:rsidRDefault="00000000" w:rsidP="00E6294C">
      <w:pPr>
        <w:pStyle w:val="Heading2"/>
        <w:spacing w:before="100" w:beforeAutospacing="1" w:after="100" w:afterAutospacing="1"/>
      </w:pPr>
      <w:r>
        <w:rPr>
          <w:b/>
          <w:bCs/>
          <w:color w:val="000000"/>
          <w:sz w:val="24"/>
          <w:szCs w:val="24"/>
        </w:rPr>
        <w:t>2.4 Eligibility Criteria</w:t>
      </w:r>
    </w:p>
    <w:p w14:paraId="4ED85451" w14:textId="77777777" w:rsidR="00D9234C" w:rsidRDefault="00000000" w:rsidP="00E6294C">
      <w:pPr>
        <w:spacing w:before="100" w:beforeAutospacing="1" w:after="100" w:afterAutospacing="1"/>
        <w:jc w:val="both"/>
      </w:pPr>
      <w:r>
        <w:rPr>
          <w:color w:val="000000"/>
        </w:rPr>
        <w:t>Eligible publications were peer-reviewed journal articles, including original research, industrial perspectives, methodological analyses and critical or systematic reviews, together with technical guidance issued by intergovernmental or regulatory bodies. Publications were required to address the manufacture of synthetic active pharmaceutical ingredients or peptides, or to address a method, metric or system with demonstrable application to that context. English-language publications were eligible. Records were excluded where the subject was drug discovery, formulation, packaging, distribution or clinical use without manufacturing relevance; where the work concerned biologics produced by cell culture; where sustainability claims were made without any quantitative or methodological basis; where the outlet could not be verified; and where the publication was a preprint for which peer-reviewed equivalent evidence existed. Conference abstracts, trade publications, commercial material and non-scholarly commentary were excluded throughout.</w:t>
      </w:r>
    </w:p>
    <w:p w14:paraId="5C277EF1" w14:textId="77777777" w:rsidR="00D9234C" w:rsidRDefault="00000000" w:rsidP="00E6294C">
      <w:pPr>
        <w:spacing w:before="100" w:beforeAutospacing="1" w:after="100" w:afterAutospacing="1"/>
        <w:jc w:val="both"/>
      </w:pPr>
      <w:r>
        <w:rPr>
          <w:color w:val="000000"/>
        </w:rPr>
        <w:t>Priority was given to publications reporting evidence at pilot or manufacturing scale, to independent confirmation of previously reported results, and to work that reported negative, null or contradictory findings, since the case-report convention of process chemistry favours successful demonstrations and produces an evidence base skewed towards positive outcomes.</w:t>
      </w:r>
    </w:p>
    <w:p w14:paraId="723DC362" w14:textId="77777777" w:rsidR="00D9234C" w:rsidRDefault="00000000" w:rsidP="00E6294C">
      <w:pPr>
        <w:pStyle w:val="Heading2"/>
        <w:spacing w:before="100" w:beforeAutospacing="1" w:after="100" w:afterAutospacing="1"/>
      </w:pPr>
      <w:r>
        <w:rPr>
          <w:b/>
          <w:bCs/>
          <w:color w:val="000000"/>
          <w:sz w:val="24"/>
          <w:szCs w:val="24"/>
        </w:rPr>
        <w:t>2.5 Screening, Duplicate Handling and Study Selection</w:t>
      </w:r>
    </w:p>
    <w:p w14:paraId="467D6CA7" w14:textId="77777777" w:rsidR="00D9234C" w:rsidRDefault="00000000" w:rsidP="00E6294C">
      <w:pPr>
        <w:spacing w:before="100" w:beforeAutospacing="1" w:after="100" w:afterAutospacing="1"/>
        <w:jc w:val="both"/>
      </w:pPr>
      <w:r>
        <w:rPr>
          <w:color w:val="000000"/>
        </w:rPr>
        <w:lastRenderedPageBreak/>
        <w:t>Records retrieved by each search were screened first by title and, where the title was uninformative, by abstract, against the eligibility criteria. Records passing this stage were assessed against the bibliographic registry to confirm authorship, journal, year, volume, issue and pagination, and to obtain a resolvable identifier. Full-text or full-abstract content was then assessed for relevance to the specific claim for which the source was being considered. Duplicates arising from the same record being returned by multiple searches, or from separate registrations of an article and its supplementary components, were identified by identifier and title matching and removed before appraisal, with the version of record retained in every case. Where metadata disagreed between the registry and the publisher record, the corrected metadata were adopted, and where a record could not be verified it was discarded rather than cited. Records identified but inaccessible in full text were retained only where the abstract and verified metadata were sufficient to support the specific claim made, and were otherwise excluded. Because selection was purposive and iterative rather than exhaustive, no screening counts are reported and no flow diagram is presented; reporting such figures would misrepresent a narrative process as a systematic one.</w:t>
      </w:r>
    </w:p>
    <w:p w14:paraId="54BE2BCB" w14:textId="77777777" w:rsidR="00D9234C" w:rsidRDefault="00000000" w:rsidP="00E6294C">
      <w:pPr>
        <w:pStyle w:val="Heading2"/>
        <w:spacing w:before="100" w:beforeAutospacing="1" w:after="100" w:afterAutospacing="1"/>
      </w:pPr>
      <w:r>
        <w:rPr>
          <w:b/>
          <w:bCs/>
          <w:color w:val="000000"/>
          <w:sz w:val="24"/>
          <w:szCs w:val="24"/>
        </w:rPr>
        <w:t>2.6 Critical Appraisal and Evidence Synthesis</w:t>
      </w:r>
    </w:p>
    <w:p w14:paraId="1EA2DE85" w14:textId="77777777" w:rsidR="00D9234C" w:rsidRDefault="00000000" w:rsidP="00E6294C">
      <w:pPr>
        <w:spacing w:before="100" w:beforeAutospacing="1" w:after="100" w:afterAutospacing="1"/>
        <w:jc w:val="both"/>
      </w:pPr>
      <w:r>
        <w:rPr>
          <w:color w:val="000000"/>
        </w:rPr>
        <w:t>Each retained source was appraised against criteria appropriate to its design. Process chemistry reports were assessed for the scale at which results were obtained, the completeness of mass and energy accounting, the transparency of the comparison baseline, and whether the comparator was a genuine incumbent process or a laboratory route never intended for manufacture. Computational studies were assessed for dataset provenance, the presence of held-out or prospective validation, the appropriateness of the performance measure, and whether reported gains were demonstrated experimentally or inferred. Life cycle assessments were assessed for system boundary, functional unit, data quality and sensitivity analysis. Industrial perspectives and consensus documents were treated as evidence of practitioner priority and of aggregate benchmarking, but not as independent empirical evidence, since their data are self-reported by participating organisations. Formal risk-of-bias instruments were not applied, because no recognised tool exists for the dominant study designs in this field and because the information required to apply one is frequently absent.</w:t>
      </w:r>
    </w:p>
    <w:p w14:paraId="693F4AA3" w14:textId="77777777" w:rsidR="00D9234C" w:rsidRDefault="00000000" w:rsidP="00E6294C">
      <w:pPr>
        <w:spacing w:before="100" w:beforeAutospacing="1" w:after="100" w:afterAutospacing="1"/>
        <w:jc w:val="both"/>
      </w:pPr>
      <w:r>
        <w:rPr>
          <w:color w:val="000000"/>
        </w:rPr>
        <w:t>Themes were developed inductively from the appraised evidence and organised around mechanisms, contested claims and methodological problems rather than around technologies. Where findings conflicted, the disagreement was examined for its likely source, distinguishing differences in system boundary, scale, comparator selection, therapeutic modality and reporting incentive. Confidence in each conclusion is characterised qualitatively as strong, moderate or weak, reflecting the consistency of findings, the scale at which they were obtained, and whether they have been confirmed by parties independent of the originating organisation.</w:t>
      </w:r>
    </w:p>
    <w:p w14:paraId="3C1F4381" w14:textId="77777777" w:rsidR="00D9234C" w:rsidRDefault="00000000" w:rsidP="00E6294C">
      <w:pPr>
        <w:pStyle w:val="Heading1"/>
        <w:spacing w:before="100" w:beforeAutospacing="1" w:after="100" w:afterAutospacing="1"/>
      </w:pPr>
      <w:r>
        <w:rPr>
          <w:b/>
          <w:bCs/>
          <w:color w:val="000000"/>
          <w:sz w:val="26"/>
          <w:szCs w:val="26"/>
        </w:rPr>
        <w:t>3. Metrics as the Contested Foundation of Improvement</w:t>
      </w:r>
    </w:p>
    <w:p w14:paraId="166D821C" w14:textId="77777777" w:rsidR="00D9234C" w:rsidRDefault="00000000" w:rsidP="00E6294C">
      <w:pPr>
        <w:pStyle w:val="Heading2"/>
        <w:spacing w:before="100" w:beforeAutospacing="1" w:after="100" w:afterAutospacing="1"/>
      </w:pPr>
      <w:r>
        <w:rPr>
          <w:b/>
          <w:bCs/>
          <w:color w:val="000000"/>
          <w:sz w:val="24"/>
          <w:szCs w:val="24"/>
        </w:rPr>
        <w:t>3.1 From atom economy to process mass intensity</w:t>
      </w:r>
    </w:p>
    <w:p w14:paraId="02252246" w14:textId="77777777" w:rsidR="00D9234C" w:rsidRDefault="00000000" w:rsidP="00E6294C">
      <w:pPr>
        <w:spacing w:before="100" w:beforeAutospacing="1" w:after="100" w:afterAutospacing="1"/>
        <w:jc w:val="both"/>
      </w:pPr>
      <w:r>
        <w:rPr>
          <w:color w:val="000000"/>
        </w:rPr>
        <w:t>Measurement determines what is improved. The earliest quantitative expressions of chemical efficiency, atom economy and the environmental factor, were designed to expose the material cost concealed by percentage yield. Atom economy is a property of a balanced equation and can be computed before any experiment; the environmental factor is a property of a realised process and captures everything the equation omits, including solvents, work-up materials and losses (Sheldon, 2017). The two were never equivalent, and treating them as interchangeable produced early confusion, since a reaction of high atom economy conducted in dilute solution with aqueous work-up can generate more waste than a stoichiometric transformation run neat.</w:t>
      </w:r>
    </w:p>
    <w:p w14:paraId="65A09073" w14:textId="77777777" w:rsidR="00D9234C" w:rsidRDefault="00000000" w:rsidP="00E6294C">
      <w:pPr>
        <w:spacing w:before="100" w:beforeAutospacing="1" w:after="100" w:afterAutospacing="1"/>
        <w:jc w:val="both"/>
      </w:pPr>
      <w:r>
        <w:rPr>
          <w:color w:val="000000"/>
        </w:rPr>
        <w:lastRenderedPageBreak/>
        <w:t>A systematic comparison of candidate metrics conducted within the industry concluded that mass-based measures capturing total input were more informative for process development than measures restricted to the reaction stoichiometry, and that simplicity mattered more than theoretical completeness if a metric were to be adopted across many sites (Constable et al., 2002). Process mass intensity, defined as the total mass of materials used per unit mass of isolated product, emerged from that reasoning. Its adoption was argued on the grounds that it counts water and recovered solvents on the same basis as reagents, that it correlates with cost, and that it directs attention to the steps where material consumption is concentrated (Jiménez-González, Ponder, et al., 2011). Fifteen years of collaborative benchmarking against this measure produced consistent reductions in reported intensity for commercial routes and extended its application from synthesis into plant cleaning and ancillary operations (Benison &amp; Payne, 2022).</w:t>
      </w:r>
    </w:p>
    <w:p w14:paraId="5BD26E62" w14:textId="77777777" w:rsidR="00D9234C" w:rsidRDefault="00000000" w:rsidP="00E6294C">
      <w:pPr>
        <w:pStyle w:val="Heading2"/>
        <w:spacing w:before="100" w:beforeAutospacing="1" w:after="100" w:afterAutospacing="1"/>
      </w:pPr>
      <w:r>
        <w:rPr>
          <w:b/>
          <w:bCs/>
          <w:color w:val="000000"/>
          <w:sz w:val="24"/>
          <w:szCs w:val="24"/>
        </w:rPr>
        <w:t>3.2 Normalisation, aspiration and the persistence of mass-based accounting</w:t>
      </w:r>
    </w:p>
    <w:p w14:paraId="32E197F1" w14:textId="77777777" w:rsidR="00D9234C" w:rsidRDefault="00000000" w:rsidP="00E6294C">
      <w:pPr>
        <w:spacing w:before="100" w:beforeAutospacing="1" w:after="100" w:afterAutospacing="1"/>
        <w:jc w:val="both"/>
      </w:pPr>
      <w:r>
        <w:rPr>
          <w:color w:val="000000"/>
        </w:rPr>
        <w:t xml:space="preserve">A metric that rewards absolute reduction penalises molecular complexity. Two syntheses with identical process mass intensity are not equally accomplished if one produces a simple achiral compound and the other a polycyclic molecule with several </w:t>
      </w:r>
      <w:proofErr w:type="spellStart"/>
      <w:r>
        <w:rPr>
          <w:color w:val="000000"/>
        </w:rPr>
        <w:t>stereocentres</w:t>
      </w:r>
      <w:proofErr w:type="spellEnd"/>
      <w:r>
        <w:rPr>
          <w:color w:val="000000"/>
        </w:rPr>
        <w:t>. The green aspiration level was introduced to address this by normalising performance against the complexity of the target, expressing achievement relative to an expected intensity derived from the number and type of bond-forming operations required (</w:t>
      </w:r>
      <w:proofErr w:type="spellStart"/>
      <w:r>
        <w:rPr>
          <w:color w:val="000000"/>
        </w:rPr>
        <w:t>Roschangar</w:t>
      </w:r>
      <w:proofErr w:type="spellEnd"/>
      <w:r>
        <w:rPr>
          <w:color w:val="000000"/>
        </w:rPr>
        <w:t xml:space="preserve"> et al., 2015). A revised formulation converted the concept into a relative process greenness score intended to permit comparison across molecules and across companies (</w:t>
      </w:r>
      <w:proofErr w:type="spellStart"/>
      <w:r>
        <w:rPr>
          <w:color w:val="000000"/>
        </w:rPr>
        <w:t>Roschangar</w:t>
      </w:r>
      <w:proofErr w:type="spellEnd"/>
      <w:r>
        <w:rPr>
          <w:color w:val="000000"/>
        </w:rPr>
        <w:t xml:space="preserve"> et al., 2018). A subsequent approach used cumulative complexity meta-metrics computed from route topology to predict process mass intensity during route design, before laboratory work commences, which shifts the metric from retrospective scoring towards prospective selection (Angelini et al., 2023).</w:t>
      </w:r>
    </w:p>
    <w:p w14:paraId="138ED970" w14:textId="77777777" w:rsidR="00D9234C" w:rsidRDefault="00000000" w:rsidP="00E6294C">
      <w:pPr>
        <w:spacing w:before="100" w:beforeAutospacing="1" w:after="100" w:afterAutospacing="1"/>
        <w:jc w:val="both"/>
      </w:pPr>
      <w:r>
        <w:rPr>
          <w:color w:val="000000"/>
        </w:rPr>
        <w:t>These refinements share a limitation. All remain mass-based, and mass is a weak proxy for environmental burden. A process that substitutes a large volume of a benign, readily recovered solvent for a small volume of a persistent halogenated one may report a higher process mass intensity while producing a lower life cycle impact. Conversely, energy-intensive separations, cryogenic operations and long cycle times are invisible to mass accounting. Life cycle assessment of solvent flows in pharmaceutical production established that the environmental burden of a solvent is dominated by its production and its end-of-life treatment rather than by the mass used in the reactor, and that recovery therefore alters the ranking of solvents substantially (Raymond et al., 2010). Recent full life cycle assessment of an active pharmaceutical ingredient reached a comparable conclusion, attributing a large share of total impact to upstream raw material production rather than to the manufacturing operations that mass metrics capture (Kaji et al., 2025). Reviews of the metric landscape have made the same point in general terms, noting that no single indicator captures resource use, hazard, energy and circularity simultaneously, and that indicator proliferation has outpaced indicator validation (Sheldon, 2018; Sheldon et al., 2022; Imbert &amp; Ladu, 2023).</w:t>
      </w:r>
    </w:p>
    <w:p w14:paraId="6A384BD7" w14:textId="77777777" w:rsidR="00D9234C" w:rsidRDefault="00000000" w:rsidP="00E6294C">
      <w:pPr>
        <w:pStyle w:val="Heading2"/>
        <w:spacing w:before="100" w:beforeAutospacing="1" w:after="100" w:afterAutospacing="1"/>
      </w:pPr>
      <w:r>
        <w:rPr>
          <w:b/>
          <w:bCs/>
          <w:color w:val="000000"/>
          <w:sz w:val="24"/>
          <w:szCs w:val="24"/>
        </w:rPr>
        <w:t>3.3 Modality dependence and the limits of cross-portfolio comparison</w:t>
      </w:r>
    </w:p>
    <w:p w14:paraId="0CC2731E" w14:textId="77777777" w:rsidR="00D9234C" w:rsidRDefault="00000000" w:rsidP="00E6294C">
      <w:pPr>
        <w:spacing w:before="100" w:beforeAutospacing="1" w:after="100" w:afterAutospacing="1"/>
        <w:jc w:val="both"/>
      </w:pPr>
      <w:r>
        <w:rPr>
          <w:color w:val="000000"/>
        </w:rPr>
        <w:t>The most serious challenge to the prevailing metric framework is that it does not transfer across therapeutic modalities. An industry-wide compilation of process mass intensity for peptide manufacture found values far above the range typical of small-molecule active pharmaceutical ingredients, driven principally by the solvent consumption of solid-phase synthesis and by the resin, coupling reagent and deprotection cycles it requires (</w:t>
      </w:r>
      <w:proofErr w:type="spellStart"/>
      <w:r>
        <w:rPr>
          <w:color w:val="000000"/>
        </w:rPr>
        <w:t>Kekessie</w:t>
      </w:r>
      <w:proofErr w:type="spellEnd"/>
      <w:r>
        <w:rPr>
          <w:color w:val="000000"/>
        </w:rPr>
        <w:t xml:space="preserve"> et al., 2024). Twin-screw extrusion has since been applied to peptide bond formation with the explicit aim of reducing this solvent dependence, and has produced pharmaceutically relevant peptides under continuous, largely solvent-free conditions at laboratory and small pilot scale (Daurio et al., 2025). The relevant point for measurement is that a manufacturer whose portfolio shifts towards peptides may report deteriorating </w:t>
      </w:r>
      <w:r>
        <w:rPr>
          <w:color w:val="000000"/>
        </w:rPr>
        <w:lastRenderedPageBreak/>
        <w:t>aggregate intensity while every individual process improves, and a manufacturer whose portfolio shifts away from peptides may report improvement without changing any process. Aggregate benchmarking figures therefore require portfolio composition to be reported alongside them, which is not current practice.</w:t>
      </w:r>
    </w:p>
    <w:p w14:paraId="1AC6EA9E" w14:textId="77777777" w:rsidR="00D9234C" w:rsidRDefault="00000000" w:rsidP="00E6294C">
      <w:pPr>
        <w:spacing w:before="100" w:beforeAutospacing="1" w:after="100" w:afterAutospacing="1"/>
        <w:jc w:val="both"/>
      </w:pPr>
      <w:r>
        <w:rPr>
          <w:color w:val="000000"/>
        </w:rPr>
        <w:t>A second limitation concerns the boundary of the measurement. Process mass intensity conventionally begins at the manufacturer's registered starting material, so material consumed in producing that starting material, frequently by a contract supplier in another jurisdiction, is excluded. Industry perspectives have acknowledged that the resulting blind spot coincides with the largest component of sector emissions and have identified supply-chain data as a priority for the coming decade (Colberg et al., 2025). Until upstream data are available on a comparable basis, reported improvement in process mass intensity is compatible with unchanged or increased total burden, and the metric functions more reliably as an internal improvement tool than as an environmental claim.</w:t>
      </w:r>
    </w:p>
    <w:p w14:paraId="5C236306" w14:textId="77777777" w:rsidR="00D9234C" w:rsidRDefault="00000000" w:rsidP="00E6294C">
      <w:pPr>
        <w:spacing w:before="100" w:beforeAutospacing="1" w:after="100" w:afterAutospacing="1"/>
        <w:jc w:val="both"/>
      </w:pPr>
      <w:r>
        <w:rPr>
          <w:color w:val="000000"/>
        </w:rPr>
        <w:t xml:space="preserve">Sector-level analyses of metric use in pharmaceutical manufacturing have reached similar conclusions, describing a system in which mass metrics are well embedded, energy and hazard metrics are used inconsistently, and integrated indicators are discussed more than applied (Becker et al., 2022). Table 1 compares the principal metrics against what each </w:t>
      </w:r>
      <w:proofErr w:type="gramStart"/>
      <w:r>
        <w:rPr>
          <w:color w:val="000000"/>
        </w:rPr>
        <w:t>measures</w:t>
      </w:r>
      <w:proofErr w:type="gramEnd"/>
      <w:r>
        <w:rPr>
          <w:color w:val="000000"/>
        </w:rPr>
        <w:t>, the strongest argument for its use and the constraint that limits its interpretation. The comparison shows that the metrics are complementary rather than competing, and that the practical problem is not the absence of suitable indicators but the absence of any convention requiring more than one to be reported.</w:t>
      </w:r>
    </w:p>
    <w:p w14:paraId="549ABCCA" w14:textId="77777777" w:rsidR="00D9234C" w:rsidRDefault="00000000" w:rsidP="00E6294C">
      <w:pPr>
        <w:spacing w:before="100" w:beforeAutospacing="1" w:after="100" w:afterAutospacing="1"/>
      </w:pPr>
      <w:r>
        <w:rPr>
          <w:b/>
          <w:bCs/>
          <w:color w:val="000000"/>
          <w:sz w:val="20"/>
          <w:szCs w:val="20"/>
        </w:rPr>
        <w:t>Table 1. Principal metrics used to assess environmental performance in pharmaceutical process development, with their interpretive constraints.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416"/>
        <w:gridCol w:w="1982"/>
        <w:gridCol w:w="1982"/>
        <w:gridCol w:w="2455"/>
        <w:gridCol w:w="1793"/>
      </w:tblGrid>
      <w:tr w:rsidR="00D9234C" w14:paraId="3A79C3A1" w14:textId="77777777" w:rsidTr="00E6294C">
        <w:trPr>
          <w:tblHeader/>
        </w:trPr>
        <w:tc>
          <w:tcPr>
            <w:tcW w:w="735" w:type="pct"/>
            <w:shd w:val="clear" w:color="auto" w:fill="E8E8E8"/>
            <w:tcMar>
              <w:top w:w="60" w:type="dxa"/>
              <w:left w:w="90" w:type="dxa"/>
              <w:bottom w:w="60" w:type="dxa"/>
              <w:right w:w="90" w:type="dxa"/>
            </w:tcMar>
          </w:tcPr>
          <w:p w14:paraId="4F496288" w14:textId="77777777" w:rsidR="00D9234C" w:rsidRDefault="00000000" w:rsidP="00E6294C">
            <w:pPr>
              <w:spacing w:before="100" w:beforeAutospacing="1" w:after="100" w:afterAutospacing="1"/>
            </w:pPr>
            <w:r>
              <w:rPr>
                <w:b/>
                <w:bCs/>
                <w:color w:val="000000"/>
                <w:sz w:val="18"/>
                <w:szCs w:val="18"/>
              </w:rPr>
              <w:t>Metric</w:t>
            </w:r>
          </w:p>
        </w:tc>
        <w:tc>
          <w:tcPr>
            <w:tcW w:w="1029" w:type="pct"/>
            <w:shd w:val="clear" w:color="auto" w:fill="E8E8E8"/>
            <w:tcMar>
              <w:top w:w="60" w:type="dxa"/>
              <w:left w:w="90" w:type="dxa"/>
              <w:bottom w:w="60" w:type="dxa"/>
              <w:right w:w="90" w:type="dxa"/>
            </w:tcMar>
          </w:tcPr>
          <w:p w14:paraId="4D55CA61" w14:textId="77777777" w:rsidR="00D9234C" w:rsidRDefault="00000000" w:rsidP="00E6294C">
            <w:pPr>
              <w:spacing w:before="100" w:beforeAutospacing="1" w:after="100" w:afterAutospacing="1"/>
            </w:pPr>
            <w:r>
              <w:rPr>
                <w:b/>
                <w:bCs/>
                <w:color w:val="000000"/>
                <w:sz w:val="18"/>
                <w:szCs w:val="18"/>
              </w:rPr>
              <w:t>Quantity measured</w:t>
            </w:r>
          </w:p>
        </w:tc>
        <w:tc>
          <w:tcPr>
            <w:tcW w:w="1029" w:type="pct"/>
            <w:shd w:val="clear" w:color="auto" w:fill="E8E8E8"/>
            <w:tcMar>
              <w:top w:w="60" w:type="dxa"/>
              <w:left w:w="90" w:type="dxa"/>
              <w:bottom w:w="60" w:type="dxa"/>
              <w:right w:w="90" w:type="dxa"/>
            </w:tcMar>
          </w:tcPr>
          <w:p w14:paraId="6F41D64F" w14:textId="77777777" w:rsidR="00D9234C" w:rsidRDefault="00000000" w:rsidP="00E6294C">
            <w:pPr>
              <w:spacing w:before="100" w:beforeAutospacing="1" w:after="100" w:afterAutospacing="1"/>
            </w:pPr>
            <w:r>
              <w:rPr>
                <w:b/>
                <w:bCs/>
                <w:color w:val="000000"/>
                <w:sz w:val="18"/>
                <w:szCs w:val="18"/>
              </w:rPr>
              <w:t>Principal strength</w:t>
            </w:r>
          </w:p>
        </w:tc>
        <w:tc>
          <w:tcPr>
            <w:tcW w:w="1275" w:type="pct"/>
            <w:shd w:val="clear" w:color="auto" w:fill="E8E8E8"/>
            <w:tcMar>
              <w:top w:w="60" w:type="dxa"/>
              <w:left w:w="90" w:type="dxa"/>
              <w:bottom w:w="60" w:type="dxa"/>
              <w:right w:w="90" w:type="dxa"/>
            </w:tcMar>
          </w:tcPr>
          <w:p w14:paraId="4BC78431" w14:textId="77777777" w:rsidR="00D9234C" w:rsidRDefault="00000000" w:rsidP="00E6294C">
            <w:pPr>
              <w:spacing w:before="100" w:beforeAutospacing="1" w:after="100" w:afterAutospacing="1"/>
            </w:pPr>
            <w:r>
              <w:rPr>
                <w:b/>
                <w:bCs/>
                <w:color w:val="000000"/>
                <w:sz w:val="18"/>
                <w:szCs w:val="18"/>
              </w:rPr>
              <w:t>Principal interpretive constraint</w:t>
            </w:r>
          </w:p>
        </w:tc>
        <w:tc>
          <w:tcPr>
            <w:tcW w:w="931" w:type="pct"/>
            <w:shd w:val="clear" w:color="auto" w:fill="E8E8E8"/>
            <w:tcMar>
              <w:top w:w="60" w:type="dxa"/>
              <w:left w:w="90" w:type="dxa"/>
              <w:bottom w:w="60" w:type="dxa"/>
              <w:right w:w="90" w:type="dxa"/>
            </w:tcMar>
          </w:tcPr>
          <w:p w14:paraId="4027306E" w14:textId="77777777" w:rsidR="00D9234C" w:rsidRDefault="00000000" w:rsidP="00E6294C">
            <w:pPr>
              <w:spacing w:before="100" w:beforeAutospacing="1" w:after="100" w:afterAutospacing="1"/>
            </w:pPr>
            <w:r>
              <w:rPr>
                <w:b/>
                <w:bCs/>
                <w:color w:val="000000"/>
                <w:sz w:val="18"/>
                <w:szCs w:val="18"/>
              </w:rPr>
              <w:t>Supporting references</w:t>
            </w:r>
          </w:p>
        </w:tc>
      </w:tr>
      <w:tr w:rsidR="00D9234C" w14:paraId="009524DD" w14:textId="77777777" w:rsidTr="00E6294C">
        <w:tc>
          <w:tcPr>
            <w:tcW w:w="735" w:type="pct"/>
            <w:tcMar>
              <w:top w:w="60" w:type="dxa"/>
              <w:left w:w="90" w:type="dxa"/>
              <w:bottom w:w="60" w:type="dxa"/>
              <w:right w:w="90" w:type="dxa"/>
            </w:tcMar>
          </w:tcPr>
          <w:p w14:paraId="6C52BEE4" w14:textId="77777777" w:rsidR="00D9234C" w:rsidRDefault="00000000" w:rsidP="00E6294C">
            <w:pPr>
              <w:spacing w:before="100" w:beforeAutospacing="1" w:after="100" w:afterAutospacing="1"/>
            </w:pPr>
            <w:r>
              <w:rPr>
                <w:color w:val="000000"/>
                <w:sz w:val="18"/>
                <w:szCs w:val="18"/>
              </w:rPr>
              <w:t>Atom economy</w:t>
            </w:r>
          </w:p>
        </w:tc>
        <w:tc>
          <w:tcPr>
            <w:tcW w:w="1029" w:type="pct"/>
            <w:tcMar>
              <w:top w:w="60" w:type="dxa"/>
              <w:left w:w="90" w:type="dxa"/>
              <w:bottom w:w="60" w:type="dxa"/>
              <w:right w:w="90" w:type="dxa"/>
            </w:tcMar>
          </w:tcPr>
          <w:p w14:paraId="3D723501" w14:textId="77777777" w:rsidR="00D9234C" w:rsidRDefault="00000000" w:rsidP="00E6294C">
            <w:pPr>
              <w:spacing w:before="100" w:beforeAutospacing="1" w:after="100" w:afterAutospacing="1"/>
            </w:pPr>
            <w:r>
              <w:rPr>
                <w:color w:val="000000"/>
                <w:sz w:val="18"/>
                <w:szCs w:val="18"/>
              </w:rPr>
              <w:t>Proportion of reactant mass appearing in the product according to the balanced equation</w:t>
            </w:r>
          </w:p>
        </w:tc>
        <w:tc>
          <w:tcPr>
            <w:tcW w:w="1029" w:type="pct"/>
            <w:tcMar>
              <w:top w:w="60" w:type="dxa"/>
              <w:left w:w="90" w:type="dxa"/>
              <w:bottom w:w="60" w:type="dxa"/>
              <w:right w:w="90" w:type="dxa"/>
            </w:tcMar>
          </w:tcPr>
          <w:p w14:paraId="61682AB9" w14:textId="77777777" w:rsidR="00D9234C" w:rsidRDefault="00000000" w:rsidP="00E6294C">
            <w:pPr>
              <w:spacing w:before="100" w:beforeAutospacing="1" w:after="100" w:afterAutospacing="1"/>
            </w:pPr>
            <w:r>
              <w:rPr>
                <w:color w:val="000000"/>
                <w:sz w:val="18"/>
                <w:szCs w:val="18"/>
              </w:rPr>
              <w:t>Computable before experiment; exposes stoichiometric inefficiency at route-design stage</w:t>
            </w:r>
          </w:p>
        </w:tc>
        <w:tc>
          <w:tcPr>
            <w:tcW w:w="1275" w:type="pct"/>
            <w:tcMar>
              <w:top w:w="60" w:type="dxa"/>
              <w:left w:w="90" w:type="dxa"/>
              <w:bottom w:w="60" w:type="dxa"/>
              <w:right w:w="90" w:type="dxa"/>
            </w:tcMar>
          </w:tcPr>
          <w:p w14:paraId="743BE05B" w14:textId="77777777" w:rsidR="00D9234C" w:rsidRDefault="00000000" w:rsidP="00E6294C">
            <w:pPr>
              <w:spacing w:before="100" w:beforeAutospacing="1" w:after="100" w:afterAutospacing="1"/>
            </w:pPr>
            <w:r>
              <w:rPr>
                <w:color w:val="000000"/>
                <w:sz w:val="18"/>
                <w:szCs w:val="18"/>
              </w:rPr>
              <w:t>Ignores solvents, catalysts, work-up and losses; a high value is compatible with a wasteful process</w:t>
            </w:r>
          </w:p>
        </w:tc>
        <w:tc>
          <w:tcPr>
            <w:tcW w:w="931" w:type="pct"/>
            <w:tcMar>
              <w:top w:w="60" w:type="dxa"/>
              <w:left w:w="90" w:type="dxa"/>
              <w:bottom w:w="60" w:type="dxa"/>
              <w:right w:w="90" w:type="dxa"/>
            </w:tcMar>
          </w:tcPr>
          <w:p w14:paraId="381B0B81" w14:textId="77777777" w:rsidR="00D9234C" w:rsidRDefault="00000000" w:rsidP="00E6294C">
            <w:pPr>
              <w:spacing w:before="100" w:beforeAutospacing="1" w:after="100" w:afterAutospacing="1"/>
            </w:pPr>
            <w:r>
              <w:rPr>
                <w:color w:val="000000"/>
                <w:sz w:val="18"/>
                <w:szCs w:val="18"/>
              </w:rPr>
              <w:t>Sheldon (2017, 2023)</w:t>
            </w:r>
          </w:p>
        </w:tc>
      </w:tr>
      <w:tr w:rsidR="00D9234C" w14:paraId="61AEBC06" w14:textId="77777777" w:rsidTr="00E6294C">
        <w:tc>
          <w:tcPr>
            <w:tcW w:w="735" w:type="pct"/>
            <w:tcMar>
              <w:top w:w="60" w:type="dxa"/>
              <w:left w:w="90" w:type="dxa"/>
              <w:bottom w:w="60" w:type="dxa"/>
              <w:right w:w="90" w:type="dxa"/>
            </w:tcMar>
          </w:tcPr>
          <w:p w14:paraId="74B3F352" w14:textId="77777777" w:rsidR="00D9234C" w:rsidRDefault="00000000" w:rsidP="00E6294C">
            <w:pPr>
              <w:spacing w:before="100" w:beforeAutospacing="1" w:after="100" w:afterAutospacing="1"/>
            </w:pPr>
            <w:r>
              <w:rPr>
                <w:color w:val="000000"/>
                <w:sz w:val="18"/>
                <w:szCs w:val="18"/>
              </w:rPr>
              <w:t>E factor</w:t>
            </w:r>
          </w:p>
        </w:tc>
        <w:tc>
          <w:tcPr>
            <w:tcW w:w="1029" w:type="pct"/>
            <w:tcMar>
              <w:top w:w="60" w:type="dxa"/>
              <w:left w:w="90" w:type="dxa"/>
              <w:bottom w:w="60" w:type="dxa"/>
              <w:right w:w="90" w:type="dxa"/>
            </w:tcMar>
          </w:tcPr>
          <w:p w14:paraId="368A841B" w14:textId="77777777" w:rsidR="00D9234C" w:rsidRDefault="00000000" w:rsidP="00E6294C">
            <w:pPr>
              <w:spacing w:before="100" w:beforeAutospacing="1" w:after="100" w:afterAutospacing="1"/>
            </w:pPr>
            <w:r>
              <w:rPr>
                <w:color w:val="000000"/>
                <w:sz w:val="18"/>
                <w:szCs w:val="18"/>
              </w:rPr>
              <w:t>Mass of waste generated per unit mass of product</w:t>
            </w:r>
          </w:p>
        </w:tc>
        <w:tc>
          <w:tcPr>
            <w:tcW w:w="1029" w:type="pct"/>
            <w:tcMar>
              <w:top w:w="60" w:type="dxa"/>
              <w:left w:w="90" w:type="dxa"/>
              <w:bottom w:w="60" w:type="dxa"/>
              <w:right w:w="90" w:type="dxa"/>
            </w:tcMar>
          </w:tcPr>
          <w:p w14:paraId="7AFAD3CD" w14:textId="77777777" w:rsidR="00D9234C" w:rsidRDefault="00000000" w:rsidP="00E6294C">
            <w:pPr>
              <w:spacing w:before="100" w:beforeAutospacing="1" w:after="100" w:afterAutospacing="1"/>
            </w:pPr>
            <w:r>
              <w:rPr>
                <w:color w:val="000000"/>
                <w:sz w:val="18"/>
                <w:szCs w:val="18"/>
              </w:rPr>
              <w:t>Captures realised process performance including solvents and losses; comparable across sectors</w:t>
            </w:r>
          </w:p>
        </w:tc>
        <w:tc>
          <w:tcPr>
            <w:tcW w:w="1275" w:type="pct"/>
            <w:tcMar>
              <w:top w:w="60" w:type="dxa"/>
              <w:left w:w="90" w:type="dxa"/>
              <w:bottom w:w="60" w:type="dxa"/>
              <w:right w:w="90" w:type="dxa"/>
            </w:tcMar>
          </w:tcPr>
          <w:p w14:paraId="039C5111" w14:textId="77777777" w:rsidR="00D9234C" w:rsidRDefault="00000000" w:rsidP="00E6294C">
            <w:pPr>
              <w:spacing w:before="100" w:beforeAutospacing="1" w:after="100" w:afterAutospacing="1"/>
            </w:pPr>
            <w:r>
              <w:rPr>
                <w:color w:val="000000"/>
                <w:sz w:val="18"/>
                <w:szCs w:val="18"/>
              </w:rPr>
              <w:t>Definition of waste varies, particularly regarding water and recovered solvent; sensitive to system boundary</w:t>
            </w:r>
          </w:p>
        </w:tc>
        <w:tc>
          <w:tcPr>
            <w:tcW w:w="931" w:type="pct"/>
            <w:tcMar>
              <w:top w:w="60" w:type="dxa"/>
              <w:left w:w="90" w:type="dxa"/>
              <w:bottom w:w="60" w:type="dxa"/>
              <w:right w:w="90" w:type="dxa"/>
            </w:tcMar>
          </w:tcPr>
          <w:p w14:paraId="1EDEBABE" w14:textId="77777777" w:rsidR="00D9234C" w:rsidRDefault="00000000" w:rsidP="00E6294C">
            <w:pPr>
              <w:spacing w:before="100" w:beforeAutospacing="1" w:after="100" w:afterAutospacing="1"/>
            </w:pPr>
            <w:r>
              <w:rPr>
                <w:color w:val="000000"/>
                <w:sz w:val="18"/>
                <w:szCs w:val="18"/>
              </w:rPr>
              <w:t>Constable et al. (2002); Sheldon (2017, 2023); Sheldon et al. (2022)</w:t>
            </w:r>
          </w:p>
        </w:tc>
      </w:tr>
      <w:tr w:rsidR="00D9234C" w14:paraId="39C5478A" w14:textId="77777777" w:rsidTr="00E6294C">
        <w:tc>
          <w:tcPr>
            <w:tcW w:w="735" w:type="pct"/>
            <w:tcMar>
              <w:top w:w="60" w:type="dxa"/>
              <w:left w:w="90" w:type="dxa"/>
              <w:bottom w:w="60" w:type="dxa"/>
              <w:right w:w="90" w:type="dxa"/>
            </w:tcMar>
          </w:tcPr>
          <w:p w14:paraId="07702A72" w14:textId="77777777" w:rsidR="00D9234C" w:rsidRDefault="00000000" w:rsidP="00E6294C">
            <w:pPr>
              <w:spacing w:before="100" w:beforeAutospacing="1" w:after="100" w:afterAutospacing="1"/>
            </w:pPr>
            <w:r>
              <w:rPr>
                <w:color w:val="000000"/>
                <w:sz w:val="18"/>
                <w:szCs w:val="18"/>
              </w:rPr>
              <w:t>Process mass intensity (PMI)</w:t>
            </w:r>
          </w:p>
        </w:tc>
        <w:tc>
          <w:tcPr>
            <w:tcW w:w="1029" w:type="pct"/>
            <w:tcMar>
              <w:top w:w="60" w:type="dxa"/>
              <w:left w:w="90" w:type="dxa"/>
              <w:bottom w:w="60" w:type="dxa"/>
              <w:right w:w="90" w:type="dxa"/>
            </w:tcMar>
          </w:tcPr>
          <w:p w14:paraId="7518F8FB" w14:textId="77777777" w:rsidR="00D9234C" w:rsidRDefault="00000000" w:rsidP="00E6294C">
            <w:pPr>
              <w:spacing w:before="100" w:beforeAutospacing="1" w:after="100" w:afterAutospacing="1"/>
            </w:pPr>
            <w:r>
              <w:rPr>
                <w:color w:val="000000"/>
                <w:sz w:val="18"/>
                <w:szCs w:val="18"/>
              </w:rPr>
              <w:t>Total mass of materials input per unit mass of isolated product</w:t>
            </w:r>
          </w:p>
        </w:tc>
        <w:tc>
          <w:tcPr>
            <w:tcW w:w="1029" w:type="pct"/>
            <w:tcMar>
              <w:top w:w="60" w:type="dxa"/>
              <w:left w:w="90" w:type="dxa"/>
              <w:bottom w:w="60" w:type="dxa"/>
              <w:right w:w="90" w:type="dxa"/>
            </w:tcMar>
          </w:tcPr>
          <w:p w14:paraId="5A149D68" w14:textId="77777777" w:rsidR="00D9234C" w:rsidRDefault="00000000" w:rsidP="00E6294C">
            <w:pPr>
              <w:spacing w:before="100" w:beforeAutospacing="1" w:after="100" w:afterAutospacing="1"/>
            </w:pPr>
            <w:r>
              <w:rPr>
                <w:color w:val="000000"/>
                <w:sz w:val="18"/>
                <w:szCs w:val="18"/>
              </w:rPr>
              <w:t>Aligns environmental and cost objectives; simple to compute and audit; widely benchmarked</w:t>
            </w:r>
          </w:p>
        </w:tc>
        <w:tc>
          <w:tcPr>
            <w:tcW w:w="1275" w:type="pct"/>
            <w:tcMar>
              <w:top w:w="60" w:type="dxa"/>
              <w:left w:w="90" w:type="dxa"/>
              <w:bottom w:w="60" w:type="dxa"/>
              <w:right w:w="90" w:type="dxa"/>
            </w:tcMar>
          </w:tcPr>
          <w:p w14:paraId="63E79218" w14:textId="77777777" w:rsidR="00D9234C" w:rsidRDefault="00000000" w:rsidP="00E6294C">
            <w:pPr>
              <w:spacing w:before="100" w:beforeAutospacing="1" w:after="100" w:afterAutospacing="1"/>
            </w:pPr>
            <w:r>
              <w:rPr>
                <w:color w:val="000000"/>
                <w:sz w:val="18"/>
                <w:szCs w:val="18"/>
              </w:rPr>
              <w:t>Mass is a weak proxy for impact; excludes energy and hazard; conventionally begins at the registered starting material</w:t>
            </w:r>
          </w:p>
        </w:tc>
        <w:tc>
          <w:tcPr>
            <w:tcW w:w="931" w:type="pct"/>
            <w:tcMar>
              <w:top w:w="60" w:type="dxa"/>
              <w:left w:w="90" w:type="dxa"/>
              <w:bottom w:w="60" w:type="dxa"/>
              <w:right w:w="90" w:type="dxa"/>
            </w:tcMar>
          </w:tcPr>
          <w:p w14:paraId="45DC9176" w14:textId="77777777" w:rsidR="00D9234C" w:rsidRDefault="00000000" w:rsidP="00E6294C">
            <w:pPr>
              <w:spacing w:before="100" w:beforeAutospacing="1" w:after="100" w:afterAutospacing="1"/>
            </w:pPr>
            <w:r>
              <w:rPr>
                <w:color w:val="000000"/>
                <w:sz w:val="18"/>
                <w:szCs w:val="18"/>
              </w:rPr>
              <w:t>Jiménez-González, Ponder, et al. (2011); Benison &amp; Payne (2022); Colberg et al. (2025)</w:t>
            </w:r>
          </w:p>
        </w:tc>
      </w:tr>
      <w:tr w:rsidR="00D9234C" w14:paraId="7898CF76" w14:textId="77777777" w:rsidTr="00E6294C">
        <w:tc>
          <w:tcPr>
            <w:tcW w:w="735" w:type="pct"/>
            <w:tcMar>
              <w:top w:w="60" w:type="dxa"/>
              <w:left w:w="90" w:type="dxa"/>
              <w:bottom w:w="60" w:type="dxa"/>
              <w:right w:w="90" w:type="dxa"/>
            </w:tcMar>
          </w:tcPr>
          <w:p w14:paraId="605653A5" w14:textId="77777777" w:rsidR="00D9234C" w:rsidRDefault="00000000" w:rsidP="00E6294C">
            <w:pPr>
              <w:spacing w:before="100" w:beforeAutospacing="1" w:after="100" w:afterAutospacing="1"/>
            </w:pPr>
            <w:r>
              <w:rPr>
                <w:color w:val="000000"/>
                <w:sz w:val="18"/>
                <w:szCs w:val="18"/>
              </w:rPr>
              <w:t>Green aspiration level and derived greenness score</w:t>
            </w:r>
          </w:p>
        </w:tc>
        <w:tc>
          <w:tcPr>
            <w:tcW w:w="1029" w:type="pct"/>
            <w:tcMar>
              <w:top w:w="60" w:type="dxa"/>
              <w:left w:w="90" w:type="dxa"/>
              <w:bottom w:w="60" w:type="dxa"/>
              <w:right w:w="90" w:type="dxa"/>
            </w:tcMar>
          </w:tcPr>
          <w:p w14:paraId="6AD3CAF6" w14:textId="77777777" w:rsidR="00D9234C" w:rsidRDefault="00000000" w:rsidP="00E6294C">
            <w:pPr>
              <w:spacing w:before="100" w:beforeAutospacing="1" w:after="100" w:afterAutospacing="1"/>
            </w:pPr>
            <w:r>
              <w:rPr>
                <w:color w:val="000000"/>
                <w:sz w:val="18"/>
                <w:szCs w:val="18"/>
              </w:rPr>
              <w:t>PMI normalised against the synthetic complexity of the target molecule</w:t>
            </w:r>
          </w:p>
        </w:tc>
        <w:tc>
          <w:tcPr>
            <w:tcW w:w="1029" w:type="pct"/>
            <w:tcMar>
              <w:top w:w="60" w:type="dxa"/>
              <w:left w:w="90" w:type="dxa"/>
              <w:bottom w:w="60" w:type="dxa"/>
              <w:right w:w="90" w:type="dxa"/>
            </w:tcMar>
          </w:tcPr>
          <w:p w14:paraId="5A1E4064" w14:textId="77777777" w:rsidR="00D9234C" w:rsidRDefault="00000000" w:rsidP="00E6294C">
            <w:pPr>
              <w:spacing w:before="100" w:beforeAutospacing="1" w:after="100" w:afterAutospacing="1"/>
            </w:pPr>
            <w:r>
              <w:rPr>
                <w:color w:val="000000"/>
                <w:sz w:val="18"/>
                <w:szCs w:val="18"/>
              </w:rPr>
              <w:t>Permits comparison across molecules of unequal difficulty; rewards route innovation rather than target simplicity</w:t>
            </w:r>
          </w:p>
        </w:tc>
        <w:tc>
          <w:tcPr>
            <w:tcW w:w="1275" w:type="pct"/>
            <w:tcMar>
              <w:top w:w="60" w:type="dxa"/>
              <w:left w:w="90" w:type="dxa"/>
              <w:bottom w:w="60" w:type="dxa"/>
              <w:right w:w="90" w:type="dxa"/>
            </w:tcMar>
          </w:tcPr>
          <w:p w14:paraId="55993470" w14:textId="77777777" w:rsidR="00D9234C" w:rsidRDefault="00000000" w:rsidP="00E6294C">
            <w:pPr>
              <w:spacing w:before="100" w:beforeAutospacing="1" w:after="100" w:afterAutospacing="1"/>
            </w:pPr>
            <w:r>
              <w:rPr>
                <w:color w:val="000000"/>
                <w:sz w:val="18"/>
                <w:szCs w:val="18"/>
              </w:rPr>
              <w:t>Complexity estimation is model-dependent; normalisation can obscure absolute material consumption</w:t>
            </w:r>
          </w:p>
        </w:tc>
        <w:tc>
          <w:tcPr>
            <w:tcW w:w="931" w:type="pct"/>
            <w:tcMar>
              <w:top w:w="60" w:type="dxa"/>
              <w:left w:w="90" w:type="dxa"/>
              <w:bottom w:w="60" w:type="dxa"/>
              <w:right w:w="90" w:type="dxa"/>
            </w:tcMar>
          </w:tcPr>
          <w:p w14:paraId="717D8D0B" w14:textId="77777777" w:rsidR="00D9234C" w:rsidRDefault="00000000" w:rsidP="00E6294C">
            <w:pPr>
              <w:spacing w:before="100" w:beforeAutospacing="1" w:after="100" w:afterAutospacing="1"/>
            </w:pPr>
            <w:proofErr w:type="spellStart"/>
            <w:r>
              <w:rPr>
                <w:color w:val="000000"/>
                <w:sz w:val="18"/>
                <w:szCs w:val="18"/>
              </w:rPr>
              <w:t>Roschangar</w:t>
            </w:r>
            <w:proofErr w:type="spellEnd"/>
            <w:r>
              <w:rPr>
                <w:color w:val="000000"/>
                <w:sz w:val="18"/>
                <w:szCs w:val="18"/>
              </w:rPr>
              <w:t xml:space="preserve"> et al. (2015, 2018)</w:t>
            </w:r>
          </w:p>
        </w:tc>
      </w:tr>
      <w:tr w:rsidR="00D9234C" w14:paraId="199ABE11" w14:textId="77777777" w:rsidTr="00E6294C">
        <w:tc>
          <w:tcPr>
            <w:tcW w:w="735" w:type="pct"/>
            <w:tcMar>
              <w:top w:w="60" w:type="dxa"/>
              <w:left w:w="90" w:type="dxa"/>
              <w:bottom w:w="60" w:type="dxa"/>
              <w:right w:w="90" w:type="dxa"/>
            </w:tcMar>
          </w:tcPr>
          <w:p w14:paraId="195BD46F" w14:textId="77777777" w:rsidR="00D9234C" w:rsidRDefault="00000000" w:rsidP="00E6294C">
            <w:pPr>
              <w:spacing w:before="100" w:beforeAutospacing="1" w:after="100" w:afterAutospacing="1"/>
            </w:pPr>
            <w:r>
              <w:rPr>
                <w:color w:val="000000"/>
                <w:sz w:val="18"/>
                <w:szCs w:val="18"/>
              </w:rPr>
              <w:t>Cumulative complexity meta-metrics</w:t>
            </w:r>
          </w:p>
        </w:tc>
        <w:tc>
          <w:tcPr>
            <w:tcW w:w="1029" w:type="pct"/>
            <w:tcMar>
              <w:top w:w="60" w:type="dxa"/>
              <w:left w:w="90" w:type="dxa"/>
              <w:bottom w:w="60" w:type="dxa"/>
              <w:right w:w="90" w:type="dxa"/>
            </w:tcMar>
          </w:tcPr>
          <w:p w14:paraId="72F175D2" w14:textId="77777777" w:rsidR="00D9234C" w:rsidRDefault="00000000" w:rsidP="00E6294C">
            <w:pPr>
              <w:spacing w:before="100" w:beforeAutospacing="1" w:after="100" w:afterAutospacing="1"/>
            </w:pPr>
            <w:r>
              <w:rPr>
                <w:color w:val="000000"/>
                <w:sz w:val="18"/>
                <w:szCs w:val="18"/>
              </w:rPr>
              <w:t>Route topology descriptors used to predict PMI before laboratory work</w:t>
            </w:r>
          </w:p>
        </w:tc>
        <w:tc>
          <w:tcPr>
            <w:tcW w:w="1029" w:type="pct"/>
            <w:tcMar>
              <w:top w:w="60" w:type="dxa"/>
              <w:left w:w="90" w:type="dxa"/>
              <w:bottom w:w="60" w:type="dxa"/>
              <w:right w:w="90" w:type="dxa"/>
            </w:tcMar>
          </w:tcPr>
          <w:p w14:paraId="3441EEC7" w14:textId="77777777" w:rsidR="00D9234C" w:rsidRDefault="00000000" w:rsidP="00E6294C">
            <w:pPr>
              <w:spacing w:before="100" w:beforeAutospacing="1" w:after="100" w:afterAutospacing="1"/>
            </w:pPr>
            <w:r>
              <w:rPr>
                <w:color w:val="000000"/>
                <w:sz w:val="18"/>
                <w:szCs w:val="18"/>
              </w:rPr>
              <w:t>Enables prospective route screening; reduces reliance on retrospective scoring</w:t>
            </w:r>
          </w:p>
        </w:tc>
        <w:tc>
          <w:tcPr>
            <w:tcW w:w="1275" w:type="pct"/>
            <w:tcMar>
              <w:top w:w="60" w:type="dxa"/>
              <w:left w:w="90" w:type="dxa"/>
              <w:bottom w:w="60" w:type="dxa"/>
              <w:right w:w="90" w:type="dxa"/>
            </w:tcMar>
          </w:tcPr>
          <w:p w14:paraId="60721AF0" w14:textId="77777777" w:rsidR="00D9234C" w:rsidRDefault="00000000" w:rsidP="00E6294C">
            <w:pPr>
              <w:spacing w:before="100" w:beforeAutospacing="1" w:after="100" w:afterAutospacing="1"/>
            </w:pPr>
            <w:r>
              <w:rPr>
                <w:color w:val="000000"/>
                <w:sz w:val="18"/>
                <w:szCs w:val="18"/>
              </w:rPr>
              <w:t>Predictive performance established on limited internal datasets; external validation not yet reported</w:t>
            </w:r>
          </w:p>
        </w:tc>
        <w:tc>
          <w:tcPr>
            <w:tcW w:w="931" w:type="pct"/>
            <w:tcMar>
              <w:top w:w="60" w:type="dxa"/>
              <w:left w:w="90" w:type="dxa"/>
              <w:bottom w:w="60" w:type="dxa"/>
              <w:right w:w="90" w:type="dxa"/>
            </w:tcMar>
          </w:tcPr>
          <w:p w14:paraId="14805071" w14:textId="77777777" w:rsidR="00D9234C" w:rsidRDefault="00000000" w:rsidP="00E6294C">
            <w:pPr>
              <w:spacing w:before="100" w:beforeAutospacing="1" w:after="100" w:afterAutospacing="1"/>
            </w:pPr>
            <w:r>
              <w:rPr>
                <w:color w:val="000000"/>
                <w:sz w:val="18"/>
                <w:szCs w:val="18"/>
              </w:rPr>
              <w:t>Angelini et al. (2023)</w:t>
            </w:r>
          </w:p>
        </w:tc>
      </w:tr>
      <w:tr w:rsidR="00D9234C" w14:paraId="3B9ABF37" w14:textId="77777777" w:rsidTr="00E6294C">
        <w:tc>
          <w:tcPr>
            <w:tcW w:w="735" w:type="pct"/>
            <w:tcMar>
              <w:top w:w="60" w:type="dxa"/>
              <w:left w:w="90" w:type="dxa"/>
              <w:bottom w:w="60" w:type="dxa"/>
              <w:right w:w="90" w:type="dxa"/>
            </w:tcMar>
          </w:tcPr>
          <w:p w14:paraId="607A62CC" w14:textId="77777777" w:rsidR="00D9234C" w:rsidRDefault="00000000" w:rsidP="00E6294C">
            <w:pPr>
              <w:spacing w:before="100" w:beforeAutospacing="1" w:after="100" w:afterAutospacing="1"/>
            </w:pPr>
            <w:r>
              <w:rPr>
                <w:color w:val="000000"/>
                <w:sz w:val="18"/>
                <w:szCs w:val="18"/>
              </w:rPr>
              <w:t>Life cycle assessment</w:t>
            </w:r>
          </w:p>
        </w:tc>
        <w:tc>
          <w:tcPr>
            <w:tcW w:w="1029" w:type="pct"/>
            <w:tcMar>
              <w:top w:w="60" w:type="dxa"/>
              <w:left w:w="90" w:type="dxa"/>
              <w:bottom w:w="60" w:type="dxa"/>
              <w:right w:w="90" w:type="dxa"/>
            </w:tcMar>
          </w:tcPr>
          <w:p w14:paraId="522D1708" w14:textId="77777777" w:rsidR="00D9234C" w:rsidRDefault="00000000" w:rsidP="00E6294C">
            <w:pPr>
              <w:spacing w:before="100" w:beforeAutospacing="1" w:after="100" w:afterAutospacing="1"/>
            </w:pPr>
            <w:r>
              <w:rPr>
                <w:color w:val="000000"/>
                <w:sz w:val="18"/>
                <w:szCs w:val="18"/>
              </w:rPr>
              <w:t>Cradle-to-gate or cradle-to-grave environmental impacts across multiple categories</w:t>
            </w:r>
          </w:p>
        </w:tc>
        <w:tc>
          <w:tcPr>
            <w:tcW w:w="1029" w:type="pct"/>
            <w:tcMar>
              <w:top w:w="60" w:type="dxa"/>
              <w:left w:w="90" w:type="dxa"/>
              <w:bottom w:w="60" w:type="dxa"/>
              <w:right w:w="90" w:type="dxa"/>
            </w:tcMar>
          </w:tcPr>
          <w:p w14:paraId="26D96F77" w14:textId="77777777" w:rsidR="00D9234C" w:rsidRDefault="00000000" w:rsidP="00E6294C">
            <w:pPr>
              <w:spacing w:before="100" w:beforeAutospacing="1" w:after="100" w:afterAutospacing="1"/>
            </w:pPr>
            <w:r>
              <w:rPr>
                <w:color w:val="000000"/>
                <w:sz w:val="18"/>
                <w:szCs w:val="18"/>
              </w:rPr>
              <w:t>Captures upstream production and end-of-life burdens invisible to mass metrics; supports trade-off analysis</w:t>
            </w:r>
          </w:p>
        </w:tc>
        <w:tc>
          <w:tcPr>
            <w:tcW w:w="1275" w:type="pct"/>
            <w:tcMar>
              <w:top w:w="60" w:type="dxa"/>
              <w:left w:w="90" w:type="dxa"/>
              <w:bottom w:w="60" w:type="dxa"/>
              <w:right w:w="90" w:type="dxa"/>
            </w:tcMar>
          </w:tcPr>
          <w:p w14:paraId="7E95EEBC" w14:textId="77777777" w:rsidR="00D9234C" w:rsidRDefault="00000000" w:rsidP="00E6294C">
            <w:pPr>
              <w:spacing w:before="100" w:beforeAutospacing="1" w:after="100" w:afterAutospacing="1"/>
            </w:pPr>
            <w:r>
              <w:rPr>
                <w:color w:val="000000"/>
                <w:sz w:val="18"/>
                <w:szCs w:val="18"/>
              </w:rPr>
              <w:t>Data-intensive and boundary-sensitive; inventory data for pharmaceutical intermediates are frequently unavailable</w:t>
            </w:r>
          </w:p>
        </w:tc>
        <w:tc>
          <w:tcPr>
            <w:tcW w:w="931" w:type="pct"/>
            <w:tcMar>
              <w:top w:w="60" w:type="dxa"/>
              <w:left w:w="90" w:type="dxa"/>
              <w:bottom w:w="60" w:type="dxa"/>
              <w:right w:w="90" w:type="dxa"/>
            </w:tcMar>
          </w:tcPr>
          <w:p w14:paraId="58F49F93" w14:textId="77777777" w:rsidR="00D9234C" w:rsidRDefault="00000000" w:rsidP="00E6294C">
            <w:pPr>
              <w:spacing w:before="100" w:beforeAutospacing="1" w:after="100" w:afterAutospacing="1"/>
            </w:pPr>
            <w:r>
              <w:rPr>
                <w:color w:val="000000"/>
                <w:sz w:val="18"/>
                <w:szCs w:val="18"/>
              </w:rPr>
              <w:t>Raymond et al. (2010); Kaji et al. (2025)</w:t>
            </w:r>
          </w:p>
        </w:tc>
      </w:tr>
      <w:tr w:rsidR="00D9234C" w14:paraId="74C3A9E7" w14:textId="77777777" w:rsidTr="00E6294C">
        <w:tc>
          <w:tcPr>
            <w:tcW w:w="735" w:type="pct"/>
            <w:tcMar>
              <w:top w:w="60" w:type="dxa"/>
              <w:left w:w="90" w:type="dxa"/>
              <w:bottom w:w="60" w:type="dxa"/>
              <w:right w:w="90" w:type="dxa"/>
            </w:tcMar>
          </w:tcPr>
          <w:p w14:paraId="3AA681A3" w14:textId="77777777" w:rsidR="00D9234C" w:rsidRDefault="00000000" w:rsidP="00E6294C">
            <w:pPr>
              <w:spacing w:before="100" w:beforeAutospacing="1" w:after="100" w:afterAutospacing="1"/>
            </w:pPr>
            <w:r>
              <w:rPr>
                <w:color w:val="000000"/>
                <w:sz w:val="18"/>
                <w:szCs w:val="18"/>
              </w:rPr>
              <w:lastRenderedPageBreak/>
              <w:t>Integrated and sector-level indicator sets</w:t>
            </w:r>
          </w:p>
        </w:tc>
        <w:tc>
          <w:tcPr>
            <w:tcW w:w="1029" w:type="pct"/>
            <w:tcMar>
              <w:top w:w="60" w:type="dxa"/>
              <w:left w:w="90" w:type="dxa"/>
              <w:bottom w:w="60" w:type="dxa"/>
              <w:right w:w="90" w:type="dxa"/>
            </w:tcMar>
          </w:tcPr>
          <w:p w14:paraId="20C83032" w14:textId="77777777" w:rsidR="00D9234C" w:rsidRDefault="00000000" w:rsidP="00E6294C">
            <w:pPr>
              <w:spacing w:before="100" w:beforeAutospacing="1" w:after="100" w:afterAutospacing="1"/>
            </w:pPr>
            <w:r>
              <w:rPr>
                <w:color w:val="000000"/>
                <w:sz w:val="18"/>
                <w:szCs w:val="18"/>
              </w:rPr>
              <w:t>Combined resource, energy, hazard and circularity indicators</w:t>
            </w:r>
          </w:p>
        </w:tc>
        <w:tc>
          <w:tcPr>
            <w:tcW w:w="1029" w:type="pct"/>
            <w:tcMar>
              <w:top w:w="60" w:type="dxa"/>
              <w:left w:w="90" w:type="dxa"/>
              <w:bottom w:w="60" w:type="dxa"/>
              <w:right w:w="90" w:type="dxa"/>
            </w:tcMar>
          </w:tcPr>
          <w:p w14:paraId="3AEDA9CF" w14:textId="77777777" w:rsidR="00D9234C" w:rsidRDefault="00000000" w:rsidP="00E6294C">
            <w:pPr>
              <w:spacing w:before="100" w:beforeAutospacing="1" w:after="100" w:afterAutospacing="1"/>
            </w:pPr>
            <w:r>
              <w:rPr>
                <w:color w:val="000000"/>
                <w:sz w:val="18"/>
                <w:szCs w:val="18"/>
              </w:rPr>
              <w:t>Addresses the incompleteness of any single measure</w:t>
            </w:r>
          </w:p>
        </w:tc>
        <w:tc>
          <w:tcPr>
            <w:tcW w:w="1275" w:type="pct"/>
            <w:tcMar>
              <w:top w:w="60" w:type="dxa"/>
              <w:left w:w="90" w:type="dxa"/>
              <w:bottom w:w="60" w:type="dxa"/>
              <w:right w:w="90" w:type="dxa"/>
            </w:tcMar>
          </w:tcPr>
          <w:p w14:paraId="4A983427" w14:textId="77777777" w:rsidR="00D9234C" w:rsidRDefault="00000000" w:rsidP="00E6294C">
            <w:pPr>
              <w:spacing w:before="100" w:beforeAutospacing="1" w:after="100" w:afterAutospacing="1"/>
            </w:pPr>
            <w:r>
              <w:rPr>
                <w:color w:val="000000"/>
                <w:sz w:val="18"/>
                <w:szCs w:val="18"/>
              </w:rPr>
              <w:t>Rarely applied in practice; no accepted weighting convention; comparability between schemes is poor</w:t>
            </w:r>
          </w:p>
        </w:tc>
        <w:tc>
          <w:tcPr>
            <w:tcW w:w="931" w:type="pct"/>
            <w:tcMar>
              <w:top w:w="60" w:type="dxa"/>
              <w:left w:w="90" w:type="dxa"/>
              <w:bottom w:w="60" w:type="dxa"/>
              <w:right w:w="90" w:type="dxa"/>
            </w:tcMar>
          </w:tcPr>
          <w:p w14:paraId="4C15A0B9" w14:textId="77777777" w:rsidR="00D9234C" w:rsidRDefault="00000000" w:rsidP="00E6294C">
            <w:pPr>
              <w:spacing w:before="100" w:beforeAutospacing="1" w:after="100" w:afterAutospacing="1"/>
            </w:pPr>
            <w:r>
              <w:rPr>
                <w:color w:val="000000"/>
                <w:sz w:val="18"/>
                <w:szCs w:val="18"/>
              </w:rPr>
              <w:t>Becker et al. (2022); Imbert &amp; Ladu (2023)</w:t>
            </w:r>
          </w:p>
        </w:tc>
      </w:tr>
    </w:tbl>
    <w:p w14:paraId="1159F4D0" w14:textId="77777777" w:rsidR="00D9234C" w:rsidRDefault="00000000" w:rsidP="00E6294C">
      <w:pPr>
        <w:spacing w:before="100" w:beforeAutospacing="1" w:after="100" w:afterAutospacing="1"/>
      </w:pPr>
      <w:r>
        <w:rPr>
          <w:color w:val="000000"/>
          <w:sz w:val="16"/>
          <w:szCs w:val="16"/>
        </w:rPr>
        <w:t>Note. PMI = process mass intensity. Entries describe metrics as applied to synthetic active pharmaceutical ingredient and peptide manufacture; applicability to biologics is not implied. The table is illustrative of the metrics most frequently encountered in the reviewed literature and is not an exhaustive inventory of proposed indicators.</w:t>
      </w:r>
    </w:p>
    <w:p w14:paraId="431186A3" w14:textId="77777777" w:rsidR="00D9234C" w:rsidRDefault="00000000" w:rsidP="00E6294C">
      <w:pPr>
        <w:pStyle w:val="Heading1"/>
        <w:spacing w:before="100" w:beforeAutospacing="1" w:after="100" w:afterAutospacing="1"/>
      </w:pPr>
      <w:r>
        <w:rPr>
          <w:b/>
          <w:bCs/>
          <w:color w:val="000000"/>
          <w:sz w:val="26"/>
          <w:szCs w:val="26"/>
        </w:rPr>
        <w:t>4. Sustainable Synthesis: Where the Evidence Is Strong and Where It Is Asserted</w:t>
      </w:r>
    </w:p>
    <w:p w14:paraId="1266E21A" w14:textId="77777777" w:rsidR="00D9234C" w:rsidRDefault="00000000" w:rsidP="00E6294C">
      <w:pPr>
        <w:pStyle w:val="Heading2"/>
        <w:spacing w:before="100" w:beforeAutospacing="1" w:after="100" w:afterAutospacing="1"/>
      </w:pPr>
      <w:r>
        <w:rPr>
          <w:b/>
          <w:bCs/>
          <w:color w:val="000000"/>
          <w:sz w:val="24"/>
          <w:szCs w:val="24"/>
        </w:rPr>
        <w:t>4.1 Solvents as the dominant material and impact term</w:t>
      </w:r>
    </w:p>
    <w:p w14:paraId="0FFCAC7B" w14:textId="77777777" w:rsidR="00D9234C" w:rsidRDefault="00000000" w:rsidP="00E6294C">
      <w:pPr>
        <w:spacing w:before="100" w:beforeAutospacing="1" w:after="100" w:afterAutospacing="1"/>
        <w:jc w:val="both"/>
      </w:pPr>
      <w:r>
        <w:rPr>
          <w:color w:val="000000"/>
        </w:rPr>
        <w:t>Solvents account for the largest share of material consumed in the manufacture of small-molecule active pharmaceutical ingredients, and their selection determines a substantial part of the associated environmental, health and safety burden. Recognition of this led to the publication of solvent selection guides that rank solvents by a combination of safety, health, environmental and process criteria, of which the guide developed within a European public–private consortium is among the most widely adopted because it applies transparent, reproducible scoring rather than proprietary judgement (Prat et al., 2016). Comparative analysis of the available guides established that they agree on the extreme cases, unambiguously discouraging chlorinated hydrocarbons, benzene and certain ethers, and unambiguously favouring water, short-chain alcohols and esters, but diverge substantially in the intermediate range where most practical decisions are made (Byrne et al., 2016).</w:t>
      </w:r>
    </w:p>
    <w:p w14:paraId="6B71A487" w14:textId="77777777" w:rsidR="00D9234C" w:rsidRDefault="00000000" w:rsidP="00E6294C">
      <w:pPr>
        <w:spacing w:before="100" w:beforeAutospacing="1" w:after="100" w:afterAutospacing="1"/>
        <w:jc w:val="both"/>
      </w:pPr>
      <w:r>
        <w:rPr>
          <w:color w:val="000000"/>
        </w:rPr>
        <w:t>The divergence has a methodological explanation. Guides differ in the impact categories included, in whether recovery is assumed, and in whether they weight occupational exposure against ecotoxicity. A guide constructed principally around workplace hazard will rank a volatile but readily recovered solvent differently from a guide constructed around aquatic toxicity. Critical reviews of green and sustainable solvents have emphasised that the label attached to a solvent class carries little information without a specified basis of comparison, and that several solvent families promoted as inherently green, including certain ionic liquids and deep eutectic mixtures, perform poorly when their synthesis, purification and end-of-life treatment are included (Clarke et al., 2018; Hessel et al., 2022). This is a recurring pattern in the field: the environmental credentials of a substitute are frequently established against the incumbent's use phase alone.</w:t>
      </w:r>
    </w:p>
    <w:p w14:paraId="01C1B194" w14:textId="77777777" w:rsidR="00D9234C" w:rsidRDefault="00000000" w:rsidP="00E6294C">
      <w:pPr>
        <w:spacing w:before="100" w:beforeAutospacing="1" w:after="100" w:afterAutospacing="1"/>
        <w:jc w:val="both"/>
      </w:pPr>
      <w:r>
        <w:rPr>
          <w:color w:val="000000"/>
        </w:rPr>
        <w:t>Practical substitution has proved hardest for dipolar aprotic solvents and for ethereal solvents, which combine solvating power and reaction compatibility that alternatives match only partially. A comprehensive review of replacement candidates concluded that no single substitute matches the performance of the restricted amide solvents across reaction classes, that most successful replacements are reaction-specific, and that reformulation frequently requires changes in temperature, concentration or base that alter the impurity profile and therefore require regulatory assessment (Jordan et al., 2022). Data-driven selection tools have been proposed to address the intermediate range where guides disagree, combining physicochemical descriptors, predicted process performance and sustainability scores within a single platform (Ma et al., 2025). Machine learning applied to solvent descriptors has also been used to select solvents for asymmetric catalysis with performance exceeding chemist-selected baselines in the reported case (Amar et al., 2019). These approaches are promising but have been demonstrated on narrow reaction classes, and none has yet been shown to transfer to a manufacturing process without re-optimisation.</w:t>
      </w:r>
    </w:p>
    <w:p w14:paraId="7EC628D8" w14:textId="77777777" w:rsidR="00D9234C" w:rsidRDefault="00000000" w:rsidP="00E6294C">
      <w:pPr>
        <w:spacing w:before="100" w:beforeAutospacing="1" w:after="100" w:afterAutospacing="1"/>
        <w:jc w:val="both"/>
      </w:pPr>
      <w:r>
        <w:rPr>
          <w:color w:val="000000"/>
        </w:rPr>
        <w:t xml:space="preserve">A more searching test of solvent-focused improvement comes from applying a full metrics toolkit to routes that are described as green. Detailed reanalysis of published syntheses of amines from renewable feedstocks, using a standardised toolkit, found that many such routes performed worse </w:t>
      </w:r>
      <w:r>
        <w:rPr>
          <w:color w:val="000000"/>
        </w:rPr>
        <w:lastRenderedPageBreak/>
        <w:t>than their petrochemical counterparts once solvent volume, catalyst loading, purification and energy were included, and that the renewable label had frequently been applied on feedstock origin alone (Afanasenko et al., 2025). The finding is significant beyond amine chemistry, because it demonstrates that green designation in the primary literature is often assigned without the analysis required to support it.</w:t>
      </w:r>
    </w:p>
    <w:p w14:paraId="1319DB83" w14:textId="77777777" w:rsidR="00D9234C" w:rsidRDefault="00000000" w:rsidP="00E6294C">
      <w:pPr>
        <w:spacing w:before="100" w:beforeAutospacing="1" w:after="100" w:afterAutospacing="1"/>
        <w:jc w:val="both"/>
      </w:pPr>
      <w:r>
        <w:rPr>
          <w:color w:val="000000"/>
        </w:rPr>
        <w:t>Table 2 summarises the principal solvent-related interventions and the strength of the evidence supporting each. The pattern that emerges is that measures which reduce solvent quantity are better supported than measures which substitute one solvent for another, because quantity reduction produces benefit under any weighting scheme whereas substitution depends on the impact categories chosen.</w:t>
      </w:r>
    </w:p>
    <w:p w14:paraId="6206F080" w14:textId="77777777" w:rsidR="00D9234C" w:rsidRDefault="00000000" w:rsidP="00E6294C">
      <w:pPr>
        <w:spacing w:before="100" w:beforeAutospacing="1" w:after="100" w:afterAutospacing="1"/>
      </w:pPr>
      <w:r>
        <w:rPr>
          <w:b/>
          <w:bCs/>
          <w:color w:val="000000"/>
          <w:sz w:val="20"/>
          <w:szCs w:val="20"/>
        </w:rPr>
        <w:t>Table 2. Solvent-related interventions in active pharmaceutical ingredient manufacture, with evidence strength and unresolved issues.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605"/>
        <w:gridCol w:w="2077"/>
        <w:gridCol w:w="1415"/>
        <w:gridCol w:w="2455"/>
        <w:gridCol w:w="2076"/>
      </w:tblGrid>
      <w:tr w:rsidR="00D9234C" w14:paraId="3016B78C" w14:textId="77777777" w:rsidTr="00E6294C">
        <w:trPr>
          <w:tblHeader/>
        </w:trPr>
        <w:tc>
          <w:tcPr>
            <w:tcW w:w="833" w:type="pct"/>
            <w:shd w:val="clear" w:color="auto" w:fill="E8E8E8"/>
            <w:tcMar>
              <w:top w:w="60" w:type="dxa"/>
              <w:left w:w="90" w:type="dxa"/>
              <w:bottom w:w="60" w:type="dxa"/>
              <w:right w:w="90" w:type="dxa"/>
            </w:tcMar>
          </w:tcPr>
          <w:p w14:paraId="3F455C61" w14:textId="77777777" w:rsidR="00D9234C" w:rsidRDefault="00000000" w:rsidP="00E6294C">
            <w:pPr>
              <w:spacing w:before="100" w:beforeAutospacing="1" w:after="100" w:afterAutospacing="1"/>
            </w:pPr>
            <w:r>
              <w:rPr>
                <w:b/>
                <w:bCs/>
                <w:color w:val="000000"/>
                <w:sz w:val="18"/>
                <w:szCs w:val="18"/>
              </w:rPr>
              <w:t>Intervention</w:t>
            </w:r>
          </w:p>
        </w:tc>
        <w:tc>
          <w:tcPr>
            <w:tcW w:w="1078" w:type="pct"/>
            <w:shd w:val="clear" w:color="auto" w:fill="E8E8E8"/>
            <w:tcMar>
              <w:top w:w="60" w:type="dxa"/>
              <w:left w:w="90" w:type="dxa"/>
              <w:bottom w:w="60" w:type="dxa"/>
              <w:right w:w="90" w:type="dxa"/>
            </w:tcMar>
          </w:tcPr>
          <w:p w14:paraId="62F5D512" w14:textId="77777777" w:rsidR="00D9234C" w:rsidRDefault="00000000" w:rsidP="00E6294C">
            <w:pPr>
              <w:spacing w:before="100" w:beforeAutospacing="1" w:after="100" w:afterAutospacing="1"/>
            </w:pPr>
            <w:r>
              <w:rPr>
                <w:b/>
                <w:bCs/>
                <w:color w:val="000000"/>
                <w:sz w:val="18"/>
                <w:szCs w:val="18"/>
              </w:rPr>
              <w:t>Mechanism of burden reduction</w:t>
            </w:r>
          </w:p>
        </w:tc>
        <w:tc>
          <w:tcPr>
            <w:tcW w:w="735" w:type="pct"/>
            <w:shd w:val="clear" w:color="auto" w:fill="E8E8E8"/>
            <w:tcMar>
              <w:top w:w="60" w:type="dxa"/>
              <w:left w:w="90" w:type="dxa"/>
              <w:bottom w:w="60" w:type="dxa"/>
              <w:right w:w="90" w:type="dxa"/>
            </w:tcMar>
          </w:tcPr>
          <w:p w14:paraId="0BFBF998" w14:textId="77777777" w:rsidR="00D9234C" w:rsidRDefault="00000000" w:rsidP="00E6294C">
            <w:pPr>
              <w:spacing w:before="100" w:beforeAutospacing="1" w:after="100" w:afterAutospacing="1"/>
            </w:pPr>
            <w:r>
              <w:rPr>
                <w:b/>
                <w:bCs/>
                <w:color w:val="000000"/>
                <w:sz w:val="18"/>
                <w:szCs w:val="18"/>
              </w:rPr>
              <w:t>Strength of supporting evidence</w:t>
            </w:r>
          </w:p>
        </w:tc>
        <w:tc>
          <w:tcPr>
            <w:tcW w:w="1275" w:type="pct"/>
            <w:shd w:val="clear" w:color="auto" w:fill="E8E8E8"/>
            <w:tcMar>
              <w:top w:w="60" w:type="dxa"/>
              <w:left w:w="90" w:type="dxa"/>
              <w:bottom w:w="60" w:type="dxa"/>
              <w:right w:w="90" w:type="dxa"/>
            </w:tcMar>
          </w:tcPr>
          <w:p w14:paraId="5CA2FED4" w14:textId="77777777" w:rsidR="00D9234C" w:rsidRDefault="00000000" w:rsidP="00E6294C">
            <w:pPr>
              <w:spacing w:before="100" w:beforeAutospacing="1" w:after="100" w:afterAutospacing="1"/>
            </w:pPr>
            <w:r>
              <w:rPr>
                <w:b/>
                <w:bCs/>
                <w:color w:val="000000"/>
                <w:sz w:val="18"/>
                <w:szCs w:val="18"/>
              </w:rPr>
              <w:t>Principal unresolved issue</w:t>
            </w:r>
          </w:p>
        </w:tc>
        <w:tc>
          <w:tcPr>
            <w:tcW w:w="1078" w:type="pct"/>
            <w:shd w:val="clear" w:color="auto" w:fill="E8E8E8"/>
            <w:tcMar>
              <w:top w:w="60" w:type="dxa"/>
              <w:left w:w="90" w:type="dxa"/>
              <w:bottom w:w="60" w:type="dxa"/>
              <w:right w:w="90" w:type="dxa"/>
            </w:tcMar>
          </w:tcPr>
          <w:p w14:paraId="7416F736" w14:textId="77777777" w:rsidR="00D9234C" w:rsidRDefault="00000000" w:rsidP="00E6294C">
            <w:pPr>
              <w:spacing w:before="100" w:beforeAutospacing="1" w:after="100" w:afterAutospacing="1"/>
            </w:pPr>
            <w:r>
              <w:rPr>
                <w:b/>
                <w:bCs/>
                <w:color w:val="000000"/>
                <w:sz w:val="18"/>
                <w:szCs w:val="18"/>
              </w:rPr>
              <w:t>Supporting references</w:t>
            </w:r>
          </w:p>
        </w:tc>
      </w:tr>
      <w:tr w:rsidR="00D9234C" w14:paraId="15F5A996" w14:textId="77777777" w:rsidTr="00E6294C">
        <w:tc>
          <w:tcPr>
            <w:tcW w:w="833" w:type="pct"/>
            <w:tcMar>
              <w:top w:w="60" w:type="dxa"/>
              <w:left w:w="90" w:type="dxa"/>
              <w:bottom w:w="60" w:type="dxa"/>
              <w:right w:w="90" w:type="dxa"/>
            </w:tcMar>
          </w:tcPr>
          <w:p w14:paraId="728C431C" w14:textId="77777777" w:rsidR="00D9234C" w:rsidRDefault="00000000" w:rsidP="00E6294C">
            <w:pPr>
              <w:spacing w:before="100" w:beforeAutospacing="1" w:after="100" w:afterAutospacing="1"/>
            </w:pPr>
            <w:r>
              <w:rPr>
                <w:color w:val="000000"/>
                <w:sz w:val="18"/>
                <w:szCs w:val="18"/>
              </w:rPr>
              <w:t>Guide-based solvent substitution</w:t>
            </w:r>
          </w:p>
        </w:tc>
        <w:tc>
          <w:tcPr>
            <w:tcW w:w="1078" w:type="pct"/>
            <w:tcMar>
              <w:top w:w="60" w:type="dxa"/>
              <w:left w:w="90" w:type="dxa"/>
              <w:bottom w:w="60" w:type="dxa"/>
              <w:right w:w="90" w:type="dxa"/>
            </w:tcMar>
          </w:tcPr>
          <w:p w14:paraId="09F76D6E" w14:textId="77777777" w:rsidR="00D9234C" w:rsidRDefault="00000000" w:rsidP="00E6294C">
            <w:pPr>
              <w:spacing w:before="100" w:beforeAutospacing="1" w:after="100" w:afterAutospacing="1"/>
            </w:pPr>
            <w:r>
              <w:rPr>
                <w:color w:val="000000"/>
                <w:sz w:val="18"/>
                <w:szCs w:val="18"/>
              </w:rPr>
              <w:t>Replacement of high-hazard solvents with lower-hazard alternatives of comparable function</w:t>
            </w:r>
          </w:p>
        </w:tc>
        <w:tc>
          <w:tcPr>
            <w:tcW w:w="735" w:type="pct"/>
            <w:tcMar>
              <w:top w:w="60" w:type="dxa"/>
              <w:left w:w="90" w:type="dxa"/>
              <w:bottom w:w="60" w:type="dxa"/>
              <w:right w:w="90" w:type="dxa"/>
            </w:tcMar>
          </w:tcPr>
          <w:p w14:paraId="742DC9EF" w14:textId="77777777" w:rsidR="00D9234C" w:rsidRDefault="00000000" w:rsidP="00E6294C">
            <w:pPr>
              <w:spacing w:before="100" w:beforeAutospacing="1" w:after="100" w:afterAutospacing="1"/>
            </w:pPr>
            <w:r>
              <w:rPr>
                <w:color w:val="000000"/>
                <w:sz w:val="18"/>
                <w:szCs w:val="18"/>
              </w:rPr>
              <w:t>Moderate for extreme cases; weak in the intermediate range</w:t>
            </w:r>
          </w:p>
        </w:tc>
        <w:tc>
          <w:tcPr>
            <w:tcW w:w="1275" w:type="pct"/>
            <w:tcMar>
              <w:top w:w="60" w:type="dxa"/>
              <w:left w:w="90" w:type="dxa"/>
              <w:bottom w:w="60" w:type="dxa"/>
              <w:right w:w="90" w:type="dxa"/>
            </w:tcMar>
          </w:tcPr>
          <w:p w14:paraId="1BA8BFC6" w14:textId="77777777" w:rsidR="00D9234C" w:rsidRDefault="00000000" w:rsidP="00E6294C">
            <w:pPr>
              <w:spacing w:before="100" w:beforeAutospacing="1" w:after="100" w:afterAutospacing="1"/>
            </w:pPr>
            <w:r>
              <w:rPr>
                <w:color w:val="000000"/>
                <w:sz w:val="18"/>
                <w:szCs w:val="18"/>
              </w:rPr>
              <w:t>Guides diverge where most decisions are made because impact categories and weightings differ</w:t>
            </w:r>
          </w:p>
        </w:tc>
        <w:tc>
          <w:tcPr>
            <w:tcW w:w="1078" w:type="pct"/>
            <w:tcMar>
              <w:top w:w="60" w:type="dxa"/>
              <w:left w:w="90" w:type="dxa"/>
              <w:bottom w:w="60" w:type="dxa"/>
              <w:right w:w="90" w:type="dxa"/>
            </w:tcMar>
          </w:tcPr>
          <w:p w14:paraId="33D1E2C7" w14:textId="77777777" w:rsidR="00D9234C" w:rsidRDefault="00000000" w:rsidP="00E6294C">
            <w:pPr>
              <w:spacing w:before="100" w:beforeAutospacing="1" w:after="100" w:afterAutospacing="1"/>
            </w:pPr>
            <w:r>
              <w:rPr>
                <w:color w:val="000000"/>
                <w:sz w:val="18"/>
                <w:szCs w:val="18"/>
              </w:rPr>
              <w:t>Prat et al. (2016); Byrne et al. (2016)</w:t>
            </w:r>
          </w:p>
        </w:tc>
      </w:tr>
      <w:tr w:rsidR="00D9234C" w14:paraId="5B9706B7" w14:textId="77777777" w:rsidTr="00E6294C">
        <w:tc>
          <w:tcPr>
            <w:tcW w:w="833" w:type="pct"/>
            <w:tcMar>
              <w:top w:w="60" w:type="dxa"/>
              <w:left w:w="90" w:type="dxa"/>
              <w:bottom w:w="60" w:type="dxa"/>
              <w:right w:w="90" w:type="dxa"/>
            </w:tcMar>
          </w:tcPr>
          <w:p w14:paraId="0C77A94D" w14:textId="77777777" w:rsidR="00D9234C" w:rsidRDefault="00000000" w:rsidP="00E6294C">
            <w:pPr>
              <w:spacing w:before="100" w:beforeAutospacing="1" w:after="100" w:afterAutospacing="1"/>
            </w:pPr>
            <w:r>
              <w:rPr>
                <w:color w:val="000000"/>
                <w:sz w:val="18"/>
                <w:szCs w:val="18"/>
              </w:rPr>
              <w:t>Replacement of dipolar aprotic and ethereal solvents</w:t>
            </w:r>
          </w:p>
        </w:tc>
        <w:tc>
          <w:tcPr>
            <w:tcW w:w="1078" w:type="pct"/>
            <w:tcMar>
              <w:top w:w="60" w:type="dxa"/>
              <w:left w:w="90" w:type="dxa"/>
              <w:bottom w:w="60" w:type="dxa"/>
              <w:right w:w="90" w:type="dxa"/>
            </w:tcMar>
          </w:tcPr>
          <w:p w14:paraId="65A69F39" w14:textId="77777777" w:rsidR="00D9234C" w:rsidRDefault="00000000" w:rsidP="00E6294C">
            <w:pPr>
              <w:spacing w:before="100" w:beforeAutospacing="1" w:after="100" w:afterAutospacing="1"/>
            </w:pPr>
            <w:r>
              <w:rPr>
                <w:color w:val="000000"/>
                <w:sz w:val="18"/>
                <w:szCs w:val="18"/>
              </w:rPr>
              <w:t>Elimination of reprotoxic and peroxide-forming solvents from regulated processes</w:t>
            </w:r>
          </w:p>
        </w:tc>
        <w:tc>
          <w:tcPr>
            <w:tcW w:w="735" w:type="pct"/>
            <w:tcMar>
              <w:top w:w="60" w:type="dxa"/>
              <w:left w:w="90" w:type="dxa"/>
              <w:bottom w:w="60" w:type="dxa"/>
              <w:right w:w="90" w:type="dxa"/>
            </w:tcMar>
          </w:tcPr>
          <w:p w14:paraId="44374D03" w14:textId="77777777" w:rsidR="00D9234C" w:rsidRDefault="00000000" w:rsidP="00E6294C">
            <w:pPr>
              <w:spacing w:before="100" w:beforeAutospacing="1" w:after="100" w:afterAutospacing="1"/>
            </w:pPr>
            <w:r>
              <w:rPr>
                <w:color w:val="000000"/>
                <w:sz w:val="18"/>
                <w:szCs w:val="18"/>
              </w:rPr>
              <w:t>Moderate; extensive reaction-level evidence, limited manufacturing-scale confirmation</w:t>
            </w:r>
          </w:p>
        </w:tc>
        <w:tc>
          <w:tcPr>
            <w:tcW w:w="1275" w:type="pct"/>
            <w:tcMar>
              <w:top w:w="60" w:type="dxa"/>
              <w:left w:w="90" w:type="dxa"/>
              <w:bottom w:w="60" w:type="dxa"/>
              <w:right w:w="90" w:type="dxa"/>
            </w:tcMar>
          </w:tcPr>
          <w:p w14:paraId="189236DF" w14:textId="77777777" w:rsidR="00D9234C" w:rsidRDefault="00000000" w:rsidP="00E6294C">
            <w:pPr>
              <w:spacing w:before="100" w:beforeAutospacing="1" w:after="100" w:afterAutospacing="1"/>
            </w:pPr>
            <w:r>
              <w:rPr>
                <w:color w:val="000000"/>
                <w:sz w:val="18"/>
                <w:szCs w:val="18"/>
              </w:rPr>
              <w:t>No general substitute exists; replacements are reaction-specific and alter impurity profiles</w:t>
            </w:r>
          </w:p>
        </w:tc>
        <w:tc>
          <w:tcPr>
            <w:tcW w:w="1078" w:type="pct"/>
            <w:tcMar>
              <w:top w:w="60" w:type="dxa"/>
              <w:left w:w="90" w:type="dxa"/>
              <w:bottom w:w="60" w:type="dxa"/>
              <w:right w:w="90" w:type="dxa"/>
            </w:tcMar>
          </w:tcPr>
          <w:p w14:paraId="3C4FC721" w14:textId="77777777" w:rsidR="00D9234C" w:rsidRDefault="00000000" w:rsidP="00E6294C">
            <w:pPr>
              <w:spacing w:before="100" w:beforeAutospacing="1" w:after="100" w:afterAutospacing="1"/>
            </w:pPr>
            <w:r>
              <w:rPr>
                <w:color w:val="000000"/>
                <w:sz w:val="18"/>
                <w:szCs w:val="18"/>
              </w:rPr>
              <w:t>Jordan et al. (2022)</w:t>
            </w:r>
          </w:p>
        </w:tc>
      </w:tr>
      <w:tr w:rsidR="00D9234C" w14:paraId="4DD721BD" w14:textId="77777777" w:rsidTr="00E6294C">
        <w:tc>
          <w:tcPr>
            <w:tcW w:w="833" w:type="pct"/>
            <w:tcMar>
              <w:top w:w="60" w:type="dxa"/>
              <w:left w:w="90" w:type="dxa"/>
              <w:bottom w:w="60" w:type="dxa"/>
              <w:right w:w="90" w:type="dxa"/>
            </w:tcMar>
          </w:tcPr>
          <w:p w14:paraId="4BE9907E" w14:textId="77777777" w:rsidR="00D9234C" w:rsidRDefault="00000000" w:rsidP="00E6294C">
            <w:pPr>
              <w:spacing w:before="100" w:beforeAutospacing="1" w:after="100" w:afterAutospacing="1"/>
            </w:pPr>
            <w:r>
              <w:rPr>
                <w:color w:val="000000"/>
                <w:sz w:val="18"/>
                <w:szCs w:val="18"/>
              </w:rPr>
              <w:t>Neoteric solvent classes (ionic liquids, deep eutectic mixtures)</w:t>
            </w:r>
          </w:p>
        </w:tc>
        <w:tc>
          <w:tcPr>
            <w:tcW w:w="1078" w:type="pct"/>
            <w:tcMar>
              <w:top w:w="60" w:type="dxa"/>
              <w:left w:w="90" w:type="dxa"/>
              <w:bottom w:w="60" w:type="dxa"/>
              <w:right w:w="90" w:type="dxa"/>
            </w:tcMar>
          </w:tcPr>
          <w:p w14:paraId="5A590ED5" w14:textId="77777777" w:rsidR="00D9234C" w:rsidRDefault="00000000" w:rsidP="00E6294C">
            <w:pPr>
              <w:spacing w:before="100" w:beforeAutospacing="1" w:after="100" w:afterAutospacing="1"/>
            </w:pPr>
            <w:r>
              <w:rPr>
                <w:color w:val="000000"/>
                <w:sz w:val="18"/>
                <w:szCs w:val="18"/>
              </w:rPr>
              <w:t>Reduced volatility and improved recyclability relative to conventional organic solvents</w:t>
            </w:r>
          </w:p>
        </w:tc>
        <w:tc>
          <w:tcPr>
            <w:tcW w:w="735" w:type="pct"/>
            <w:tcMar>
              <w:top w:w="60" w:type="dxa"/>
              <w:left w:w="90" w:type="dxa"/>
              <w:bottom w:w="60" w:type="dxa"/>
              <w:right w:w="90" w:type="dxa"/>
            </w:tcMar>
          </w:tcPr>
          <w:p w14:paraId="259AF226" w14:textId="77777777" w:rsidR="00D9234C" w:rsidRDefault="00000000" w:rsidP="00E6294C">
            <w:pPr>
              <w:spacing w:before="100" w:beforeAutospacing="1" w:after="100" w:afterAutospacing="1"/>
            </w:pPr>
            <w:r>
              <w:rPr>
                <w:color w:val="000000"/>
                <w:sz w:val="18"/>
                <w:szCs w:val="18"/>
              </w:rPr>
              <w:t>Weak at manufacturing scale; laboratory evidence abundant</w:t>
            </w:r>
          </w:p>
        </w:tc>
        <w:tc>
          <w:tcPr>
            <w:tcW w:w="1275" w:type="pct"/>
            <w:tcMar>
              <w:top w:w="60" w:type="dxa"/>
              <w:left w:w="90" w:type="dxa"/>
              <w:bottom w:w="60" w:type="dxa"/>
              <w:right w:w="90" w:type="dxa"/>
            </w:tcMar>
          </w:tcPr>
          <w:p w14:paraId="44485D71" w14:textId="77777777" w:rsidR="00D9234C" w:rsidRDefault="00000000" w:rsidP="00E6294C">
            <w:pPr>
              <w:spacing w:before="100" w:beforeAutospacing="1" w:after="100" w:afterAutospacing="1"/>
            </w:pPr>
            <w:r>
              <w:rPr>
                <w:color w:val="000000"/>
                <w:sz w:val="18"/>
                <w:szCs w:val="18"/>
              </w:rPr>
              <w:t>Cradle-to-gate burdens of solvent synthesis and difficulties of end-of-life treatment frequently omitted</w:t>
            </w:r>
          </w:p>
        </w:tc>
        <w:tc>
          <w:tcPr>
            <w:tcW w:w="1078" w:type="pct"/>
            <w:tcMar>
              <w:top w:w="60" w:type="dxa"/>
              <w:left w:w="90" w:type="dxa"/>
              <w:bottom w:w="60" w:type="dxa"/>
              <w:right w:w="90" w:type="dxa"/>
            </w:tcMar>
          </w:tcPr>
          <w:p w14:paraId="27359663" w14:textId="77777777" w:rsidR="00D9234C" w:rsidRDefault="00000000" w:rsidP="00E6294C">
            <w:pPr>
              <w:spacing w:before="100" w:beforeAutospacing="1" w:after="100" w:afterAutospacing="1"/>
            </w:pPr>
            <w:r>
              <w:rPr>
                <w:color w:val="000000"/>
                <w:sz w:val="18"/>
                <w:szCs w:val="18"/>
              </w:rPr>
              <w:t>Clarke et al. (2018); Hessel et al. (2022)</w:t>
            </w:r>
          </w:p>
        </w:tc>
      </w:tr>
      <w:tr w:rsidR="00D9234C" w14:paraId="2707087F" w14:textId="77777777" w:rsidTr="00E6294C">
        <w:tc>
          <w:tcPr>
            <w:tcW w:w="833" w:type="pct"/>
            <w:tcMar>
              <w:top w:w="60" w:type="dxa"/>
              <w:left w:w="90" w:type="dxa"/>
              <w:bottom w:w="60" w:type="dxa"/>
              <w:right w:w="90" w:type="dxa"/>
            </w:tcMar>
          </w:tcPr>
          <w:p w14:paraId="51363E54" w14:textId="77777777" w:rsidR="00D9234C" w:rsidRDefault="00000000" w:rsidP="00E6294C">
            <w:pPr>
              <w:spacing w:before="100" w:beforeAutospacing="1" w:after="100" w:afterAutospacing="1"/>
            </w:pPr>
            <w:r>
              <w:rPr>
                <w:color w:val="000000"/>
                <w:sz w:val="18"/>
                <w:szCs w:val="18"/>
              </w:rPr>
              <w:t>Solvent quantity reduction through concentration and telescoping</w:t>
            </w:r>
          </w:p>
        </w:tc>
        <w:tc>
          <w:tcPr>
            <w:tcW w:w="1078" w:type="pct"/>
            <w:tcMar>
              <w:top w:w="60" w:type="dxa"/>
              <w:left w:w="90" w:type="dxa"/>
              <w:bottom w:w="60" w:type="dxa"/>
              <w:right w:w="90" w:type="dxa"/>
            </w:tcMar>
          </w:tcPr>
          <w:p w14:paraId="29020139" w14:textId="77777777" w:rsidR="00D9234C" w:rsidRDefault="00000000" w:rsidP="00E6294C">
            <w:pPr>
              <w:spacing w:before="100" w:beforeAutospacing="1" w:after="100" w:afterAutospacing="1"/>
            </w:pPr>
            <w:r>
              <w:rPr>
                <w:color w:val="000000"/>
                <w:sz w:val="18"/>
                <w:szCs w:val="18"/>
              </w:rPr>
              <w:t>Direct reduction of total input mass without changing solvent identity</w:t>
            </w:r>
          </w:p>
        </w:tc>
        <w:tc>
          <w:tcPr>
            <w:tcW w:w="735" w:type="pct"/>
            <w:tcMar>
              <w:top w:w="60" w:type="dxa"/>
              <w:left w:w="90" w:type="dxa"/>
              <w:bottom w:w="60" w:type="dxa"/>
              <w:right w:w="90" w:type="dxa"/>
            </w:tcMar>
          </w:tcPr>
          <w:p w14:paraId="4CF59FFA" w14:textId="77777777" w:rsidR="00D9234C" w:rsidRDefault="00000000" w:rsidP="00E6294C">
            <w:pPr>
              <w:spacing w:before="100" w:beforeAutospacing="1" w:after="100" w:afterAutospacing="1"/>
            </w:pPr>
            <w:r>
              <w:rPr>
                <w:color w:val="000000"/>
                <w:sz w:val="18"/>
                <w:szCs w:val="18"/>
              </w:rPr>
              <w:t>Moderate to strong; benefit is independent of impact weighting</w:t>
            </w:r>
          </w:p>
        </w:tc>
        <w:tc>
          <w:tcPr>
            <w:tcW w:w="1275" w:type="pct"/>
            <w:tcMar>
              <w:top w:w="60" w:type="dxa"/>
              <w:left w:w="90" w:type="dxa"/>
              <w:bottom w:w="60" w:type="dxa"/>
              <w:right w:w="90" w:type="dxa"/>
            </w:tcMar>
          </w:tcPr>
          <w:p w14:paraId="06072379" w14:textId="77777777" w:rsidR="00D9234C" w:rsidRDefault="00000000" w:rsidP="00E6294C">
            <w:pPr>
              <w:spacing w:before="100" w:beforeAutospacing="1" w:after="100" w:afterAutospacing="1"/>
            </w:pPr>
            <w:r>
              <w:rPr>
                <w:color w:val="000000"/>
                <w:sz w:val="18"/>
                <w:szCs w:val="18"/>
              </w:rPr>
              <w:t>Constrained by solubility, heat transfer and impurity rejection; rarely reported as a distinct intervention</w:t>
            </w:r>
          </w:p>
        </w:tc>
        <w:tc>
          <w:tcPr>
            <w:tcW w:w="1078" w:type="pct"/>
            <w:tcMar>
              <w:top w:w="60" w:type="dxa"/>
              <w:left w:w="90" w:type="dxa"/>
              <w:bottom w:w="60" w:type="dxa"/>
              <w:right w:w="90" w:type="dxa"/>
            </w:tcMar>
          </w:tcPr>
          <w:p w14:paraId="5AE890C7" w14:textId="77777777" w:rsidR="00D9234C" w:rsidRDefault="00000000" w:rsidP="00E6294C">
            <w:pPr>
              <w:spacing w:before="100" w:beforeAutospacing="1" w:after="100" w:afterAutospacing="1"/>
            </w:pPr>
            <w:r>
              <w:rPr>
                <w:color w:val="000000"/>
                <w:sz w:val="18"/>
                <w:szCs w:val="18"/>
              </w:rPr>
              <w:t>Constable et al. (2007); Bryan et al. (2018)</w:t>
            </w:r>
          </w:p>
        </w:tc>
      </w:tr>
      <w:tr w:rsidR="00D9234C" w14:paraId="00AD8AF2" w14:textId="77777777" w:rsidTr="00E6294C">
        <w:tc>
          <w:tcPr>
            <w:tcW w:w="833" w:type="pct"/>
            <w:tcMar>
              <w:top w:w="60" w:type="dxa"/>
              <w:left w:w="90" w:type="dxa"/>
              <w:bottom w:w="60" w:type="dxa"/>
              <w:right w:w="90" w:type="dxa"/>
            </w:tcMar>
          </w:tcPr>
          <w:p w14:paraId="53DDC0AF" w14:textId="77777777" w:rsidR="00D9234C" w:rsidRDefault="00000000" w:rsidP="00E6294C">
            <w:pPr>
              <w:spacing w:before="100" w:beforeAutospacing="1" w:after="100" w:afterAutospacing="1"/>
            </w:pPr>
            <w:r>
              <w:rPr>
                <w:color w:val="000000"/>
                <w:sz w:val="18"/>
                <w:szCs w:val="18"/>
              </w:rPr>
              <w:t>Solvent-free and reduced-solvent mechanochemical processing</w:t>
            </w:r>
          </w:p>
        </w:tc>
        <w:tc>
          <w:tcPr>
            <w:tcW w:w="1078" w:type="pct"/>
            <w:tcMar>
              <w:top w:w="60" w:type="dxa"/>
              <w:left w:w="90" w:type="dxa"/>
              <w:bottom w:w="60" w:type="dxa"/>
              <w:right w:w="90" w:type="dxa"/>
            </w:tcMar>
          </w:tcPr>
          <w:p w14:paraId="7D35DD86" w14:textId="77777777" w:rsidR="00D9234C" w:rsidRDefault="00000000" w:rsidP="00E6294C">
            <w:pPr>
              <w:spacing w:before="100" w:beforeAutospacing="1" w:after="100" w:afterAutospacing="1"/>
            </w:pPr>
            <w:r>
              <w:rPr>
                <w:color w:val="000000"/>
                <w:sz w:val="18"/>
                <w:szCs w:val="18"/>
              </w:rPr>
              <w:t>Elimination of bulk solvent from the bond-forming step</w:t>
            </w:r>
          </w:p>
        </w:tc>
        <w:tc>
          <w:tcPr>
            <w:tcW w:w="735" w:type="pct"/>
            <w:tcMar>
              <w:top w:w="60" w:type="dxa"/>
              <w:left w:w="90" w:type="dxa"/>
              <w:bottom w:w="60" w:type="dxa"/>
              <w:right w:w="90" w:type="dxa"/>
            </w:tcMar>
          </w:tcPr>
          <w:p w14:paraId="168069B9" w14:textId="77777777" w:rsidR="00D9234C" w:rsidRDefault="00000000" w:rsidP="00E6294C">
            <w:pPr>
              <w:spacing w:before="100" w:beforeAutospacing="1" w:after="100" w:afterAutospacing="1"/>
            </w:pPr>
            <w:r>
              <w:rPr>
                <w:color w:val="000000"/>
                <w:sz w:val="18"/>
                <w:szCs w:val="18"/>
              </w:rPr>
              <w:t>Weak to moderate; scalable demonstrations emerging for peptides</w:t>
            </w:r>
          </w:p>
        </w:tc>
        <w:tc>
          <w:tcPr>
            <w:tcW w:w="1275" w:type="pct"/>
            <w:tcMar>
              <w:top w:w="60" w:type="dxa"/>
              <w:left w:w="90" w:type="dxa"/>
              <w:bottom w:w="60" w:type="dxa"/>
              <w:right w:w="90" w:type="dxa"/>
            </w:tcMar>
          </w:tcPr>
          <w:p w14:paraId="5764A46A" w14:textId="77777777" w:rsidR="00D9234C" w:rsidRDefault="00000000" w:rsidP="00E6294C">
            <w:pPr>
              <w:spacing w:before="100" w:beforeAutospacing="1" w:after="100" w:afterAutospacing="1"/>
            </w:pPr>
            <w:r>
              <w:rPr>
                <w:color w:val="000000"/>
                <w:sz w:val="18"/>
                <w:szCs w:val="18"/>
              </w:rPr>
              <w:t>Energy accounting, heat management and equipment cleaning burdens not yet quantified at scale</w:t>
            </w:r>
          </w:p>
        </w:tc>
        <w:tc>
          <w:tcPr>
            <w:tcW w:w="1078" w:type="pct"/>
            <w:tcMar>
              <w:top w:w="60" w:type="dxa"/>
              <w:left w:w="90" w:type="dxa"/>
              <w:bottom w:w="60" w:type="dxa"/>
              <w:right w:w="90" w:type="dxa"/>
            </w:tcMar>
          </w:tcPr>
          <w:p w14:paraId="4B0457EA" w14:textId="77777777" w:rsidR="00D9234C" w:rsidRDefault="00000000" w:rsidP="00E6294C">
            <w:pPr>
              <w:spacing w:before="100" w:beforeAutospacing="1" w:after="100" w:afterAutospacing="1"/>
            </w:pPr>
            <w:r>
              <w:rPr>
                <w:color w:val="000000"/>
                <w:sz w:val="18"/>
                <w:szCs w:val="18"/>
              </w:rPr>
              <w:t>Ardila-Fierro &amp; Hernández (2021); Daurio et al. (2025)</w:t>
            </w:r>
          </w:p>
        </w:tc>
      </w:tr>
      <w:tr w:rsidR="00D9234C" w14:paraId="63E4571E" w14:textId="77777777" w:rsidTr="00E6294C">
        <w:tc>
          <w:tcPr>
            <w:tcW w:w="833" w:type="pct"/>
            <w:tcMar>
              <w:top w:w="60" w:type="dxa"/>
              <w:left w:w="90" w:type="dxa"/>
              <w:bottom w:w="60" w:type="dxa"/>
              <w:right w:w="90" w:type="dxa"/>
            </w:tcMar>
          </w:tcPr>
          <w:p w14:paraId="1CB81EB6" w14:textId="77777777" w:rsidR="00D9234C" w:rsidRDefault="00000000" w:rsidP="00E6294C">
            <w:pPr>
              <w:spacing w:before="100" w:beforeAutospacing="1" w:after="100" w:afterAutospacing="1"/>
            </w:pPr>
            <w:r>
              <w:rPr>
                <w:color w:val="000000"/>
                <w:sz w:val="18"/>
                <w:szCs w:val="18"/>
              </w:rPr>
              <w:t>Data-driven and machine-learning solvent selection</w:t>
            </w:r>
          </w:p>
        </w:tc>
        <w:tc>
          <w:tcPr>
            <w:tcW w:w="1078" w:type="pct"/>
            <w:tcMar>
              <w:top w:w="60" w:type="dxa"/>
              <w:left w:w="90" w:type="dxa"/>
              <w:bottom w:w="60" w:type="dxa"/>
              <w:right w:w="90" w:type="dxa"/>
            </w:tcMar>
          </w:tcPr>
          <w:p w14:paraId="5E7EF9D1" w14:textId="77777777" w:rsidR="00D9234C" w:rsidRDefault="00000000" w:rsidP="00E6294C">
            <w:pPr>
              <w:spacing w:before="100" w:beforeAutospacing="1" w:after="100" w:afterAutospacing="1"/>
            </w:pPr>
            <w:r>
              <w:rPr>
                <w:color w:val="000000"/>
                <w:sz w:val="18"/>
                <w:szCs w:val="18"/>
              </w:rPr>
              <w:t>Systematic exploration of solvent space against combined performance and sustainability criteria</w:t>
            </w:r>
          </w:p>
        </w:tc>
        <w:tc>
          <w:tcPr>
            <w:tcW w:w="735" w:type="pct"/>
            <w:tcMar>
              <w:top w:w="60" w:type="dxa"/>
              <w:left w:w="90" w:type="dxa"/>
              <w:bottom w:w="60" w:type="dxa"/>
              <w:right w:w="90" w:type="dxa"/>
            </w:tcMar>
          </w:tcPr>
          <w:p w14:paraId="4842BA21" w14:textId="77777777" w:rsidR="00D9234C" w:rsidRDefault="00000000" w:rsidP="00E6294C">
            <w:pPr>
              <w:spacing w:before="100" w:beforeAutospacing="1" w:after="100" w:afterAutospacing="1"/>
            </w:pPr>
            <w:r>
              <w:rPr>
                <w:color w:val="000000"/>
                <w:sz w:val="18"/>
                <w:szCs w:val="18"/>
              </w:rPr>
              <w:t>Weak; demonstrated on narrow reaction classes</w:t>
            </w:r>
          </w:p>
        </w:tc>
        <w:tc>
          <w:tcPr>
            <w:tcW w:w="1275" w:type="pct"/>
            <w:tcMar>
              <w:top w:w="60" w:type="dxa"/>
              <w:left w:w="90" w:type="dxa"/>
              <w:bottom w:w="60" w:type="dxa"/>
              <w:right w:w="90" w:type="dxa"/>
            </w:tcMar>
          </w:tcPr>
          <w:p w14:paraId="42EB5510" w14:textId="77777777" w:rsidR="00D9234C" w:rsidRDefault="00000000" w:rsidP="00E6294C">
            <w:pPr>
              <w:spacing w:before="100" w:beforeAutospacing="1" w:after="100" w:afterAutospacing="1"/>
            </w:pPr>
            <w:r>
              <w:rPr>
                <w:color w:val="000000"/>
                <w:sz w:val="18"/>
                <w:szCs w:val="18"/>
              </w:rPr>
              <w:t>Transferability to new chemistry and to regulated processes unproven; training data are unrepresentative of manufacturing conditions</w:t>
            </w:r>
          </w:p>
        </w:tc>
        <w:tc>
          <w:tcPr>
            <w:tcW w:w="1078" w:type="pct"/>
            <w:tcMar>
              <w:top w:w="60" w:type="dxa"/>
              <w:left w:w="90" w:type="dxa"/>
              <w:bottom w:w="60" w:type="dxa"/>
              <w:right w:w="90" w:type="dxa"/>
            </w:tcMar>
          </w:tcPr>
          <w:p w14:paraId="592B0ED1" w14:textId="77777777" w:rsidR="00D9234C" w:rsidRDefault="00000000" w:rsidP="00E6294C">
            <w:pPr>
              <w:spacing w:before="100" w:beforeAutospacing="1" w:after="100" w:afterAutospacing="1"/>
            </w:pPr>
            <w:r>
              <w:rPr>
                <w:color w:val="000000"/>
                <w:sz w:val="18"/>
                <w:szCs w:val="18"/>
              </w:rPr>
              <w:t>Amar et al. (2019); Ma et al. (2025)</w:t>
            </w:r>
          </w:p>
        </w:tc>
      </w:tr>
      <w:tr w:rsidR="00D9234C" w14:paraId="31C10A4C" w14:textId="77777777" w:rsidTr="00E6294C">
        <w:tc>
          <w:tcPr>
            <w:tcW w:w="833" w:type="pct"/>
            <w:tcMar>
              <w:top w:w="60" w:type="dxa"/>
              <w:left w:w="90" w:type="dxa"/>
              <w:bottom w:w="60" w:type="dxa"/>
              <w:right w:w="90" w:type="dxa"/>
            </w:tcMar>
          </w:tcPr>
          <w:p w14:paraId="49EF0904" w14:textId="77777777" w:rsidR="00D9234C" w:rsidRDefault="00000000" w:rsidP="00E6294C">
            <w:pPr>
              <w:spacing w:before="100" w:beforeAutospacing="1" w:after="100" w:afterAutospacing="1"/>
            </w:pPr>
            <w:r>
              <w:rPr>
                <w:color w:val="000000"/>
                <w:sz w:val="18"/>
                <w:szCs w:val="18"/>
              </w:rPr>
              <w:t>Solvent recovery and reuse</w:t>
            </w:r>
          </w:p>
        </w:tc>
        <w:tc>
          <w:tcPr>
            <w:tcW w:w="1078" w:type="pct"/>
            <w:tcMar>
              <w:top w:w="60" w:type="dxa"/>
              <w:left w:w="90" w:type="dxa"/>
              <w:bottom w:w="60" w:type="dxa"/>
              <w:right w:w="90" w:type="dxa"/>
            </w:tcMar>
          </w:tcPr>
          <w:p w14:paraId="7239C69A" w14:textId="77777777" w:rsidR="00D9234C" w:rsidRDefault="00000000" w:rsidP="00E6294C">
            <w:pPr>
              <w:spacing w:before="100" w:beforeAutospacing="1" w:after="100" w:afterAutospacing="1"/>
            </w:pPr>
            <w:r>
              <w:rPr>
                <w:color w:val="000000"/>
                <w:sz w:val="18"/>
                <w:szCs w:val="18"/>
              </w:rPr>
              <w:t>Displacement of virgin solvent production and of incineration burdens</w:t>
            </w:r>
          </w:p>
        </w:tc>
        <w:tc>
          <w:tcPr>
            <w:tcW w:w="735" w:type="pct"/>
            <w:tcMar>
              <w:top w:w="60" w:type="dxa"/>
              <w:left w:w="90" w:type="dxa"/>
              <w:bottom w:w="60" w:type="dxa"/>
              <w:right w:w="90" w:type="dxa"/>
            </w:tcMar>
          </w:tcPr>
          <w:p w14:paraId="2D84EE38" w14:textId="77777777" w:rsidR="00D9234C" w:rsidRDefault="00000000" w:rsidP="00E6294C">
            <w:pPr>
              <w:spacing w:before="100" w:beforeAutospacing="1" w:after="100" w:afterAutospacing="1"/>
            </w:pPr>
            <w:r>
              <w:rPr>
                <w:color w:val="000000"/>
                <w:sz w:val="18"/>
                <w:szCs w:val="18"/>
              </w:rPr>
              <w:t>Moderate; life cycle evidence consistent where recovery is practised</w:t>
            </w:r>
          </w:p>
        </w:tc>
        <w:tc>
          <w:tcPr>
            <w:tcW w:w="1275" w:type="pct"/>
            <w:tcMar>
              <w:top w:w="60" w:type="dxa"/>
              <w:left w:w="90" w:type="dxa"/>
              <w:bottom w:w="60" w:type="dxa"/>
              <w:right w:w="90" w:type="dxa"/>
            </w:tcMar>
          </w:tcPr>
          <w:p w14:paraId="5FB39FF3" w14:textId="77777777" w:rsidR="00D9234C" w:rsidRDefault="00000000" w:rsidP="00E6294C">
            <w:pPr>
              <w:spacing w:before="100" w:beforeAutospacing="1" w:after="100" w:afterAutospacing="1"/>
            </w:pPr>
            <w:r>
              <w:rPr>
                <w:color w:val="000000"/>
                <w:sz w:val="18"/>
                <w:szCs w:val="18"/>
              </w:rPr>
              <w:t>Recovery economics depend on purity specification and scale; cross-contamination risk constrains reuse in regulated manufacture</w:t>
            </w:r>
          </w:p>
        </w:tc>
        <w:tc>
          <w:tcPr>
            <w:tcW w:w="1078" w:type="pct"/>
            <w:tcMar>
              <w:top w:w="60" w:type="dxa"/>
              <w:left w:w="90" w:type="dxa"/>
              <w:bottom w:w="60" w:type="dxa"/>
              <w:right w:w="90" w:type="dxa"/>
            </w:tcMar>
          </w:tcPr>
          <w:p w14:paraId="090C23AB" w14:textId="77777777" w:rsidR="00D9234C" w:rsidRDefault="00000000" w:rsidP="00E6294C">
            <w:pPr>
              <w:spacing w:before="100" w:beforeAutospacing="1" w:after="100" w:afterAutospacing="1"/>
            </w:pPr>
            <w:r>
              <w:rPr>
                <w:color w:val="000000"/>
                <w:sz w:val="18"/>
                <w:szCs w:val="18"/>
              </w:rPr>
              <w:t>Raymond et al. (2010); Yin et al. (2025)</w:t>
            </w:r>
          </w:p>
        </w:tc>
      </w:tr>
    </w:tbl>
    <w:p w14:paraId="55B4E1C5" w14:textId="77777777" w:rsidR="00D9234C" w:rsidRDefault="00000000" w:rsidP="00E6294C">
      <w:pPr>
        <w:spacing w:before="100" w:beforeAutospacing="1" w:after="100" w:afterAutospacing="1"/>
      </w:pPr>
      <w:r>
        <w:rPr>
          <w:color w:val="000000"/>
          <w:sz w:val="16"/>
          <w:szCs w:val="16"/>
        </w:rPr>
        <w:t>Note. Evidence strength reflects consistency of findings, the scale at which they were obtained and whether independent confirmation exists, as defined in Section 2.6. Assessments apply to synthetic active pharmaceutical ingredient and peptide manufacture.</w:t>
      </w:r>
    </w:p>
    <w:p w14:paraId="17462C71" w14:textId="77777777" w:rsidR="00D9234C" w:rsidRDefault="00000000" w:rsidP="00E6294C">
      <w:pPr>
        <w:pStyle w:val="Heading2"/>
        <w:spacing w:before="100" w:beforeAutospacing="1" w:after="100" w:afterAutospacing="1"/>
      </w:pPr>
      <w:r>
        <w:rPr>
          <w:b/>
          <w:bCs/>
          <w:color w:val="000000"/>
          <w:sz w:val="24"/>
          <w:szCs w:val="24"/>
        </w:rPr>
        <w:lastRenderedPageBreak/>
        <w:t>4.2 Catalysis and the persistence of stoichiometric chemistry</w:t>
      </w:r>
    </w:p>
    <w:p w14:paraId="7A23B7C6" w14:textId="77777777" w:rsidR="00D9234C" w:rsidRDefault="00000000" w:rsidP="00E6294C">
      <w:pPr>
        <w:spacing w:before="100" w:beforeAutospacing="1" w:after="100" w:afterAutospacing="1"/>
        <w:jc w:val="both"/>
      </w:pPr>
      <w:r>
        <w:rPr>
          <w:color w:val="000000"/>
        </w:rPr>
        <w:t>Successive statements of research priority issued by pharmaceutical manufacturers have identified the same unresolved problems across more than a decade, which is itself informative. Amide bond formation without poor-atom-economy coupling reagents, oxidation and reduction without stoichiometric metal or hydride reagents, and general methods for carbon–hydrogen activation appeared as priorities in 2007 and reappeared, with only modest reformulation, in 2018 (Constable et al., 2007; Bryan et al., 2018). The persistence indicates that these are not problems awaiting attention but problems that resist solution under manufacturing constraints.</w:t>
      </w:r>
    </w:p>
    <w:p w14:paraId="474E2722" w14:textId="77777777" w:rsidR="00D9234C" w:rsidRDefault="00000000" w:rsidP="00E6294C">
      <w:pPr>
        <w:spacing w:before="100" w:beforeAutospacing="1" w:after="100" w:afterAutospacing="1"/>
        <w:jc w:val="both"/>
      </w:pPr>
      <w:r>
        <w:rPr>
          <w:color w:val="000000"/>
        </w:rPr>
        <w:t xml:space="preserve">Amide bond formation illustrates the difficulty. It is among the most frequently executed transformations in medicinal and process chemistry, and the coupling reagents that dominate practice generate stoichiometric waste of high molecular mass. Catalytic alternatives, including boron-based and metal-catalysed direct </w:t>
      </w:r>
      <w:proofErr w:type="spellStart"/>
      <w:r>
        <w:rPr>
          <w:color w:val="000000"/>
        </w:rPr>
        <w:t>amidation</w:t>
      </w:r>
      <w:proofErr w:type="spellEnd"/>
      <w:r>
        <w:rPr>
          <w:color w:val="000000"/>
        </w:rPr>
        <w:t>, have been developed and reviewed critically, and the assessment is that catalytic methods are viable for a defined subset of substrate pairs but that substrate scope, catalyst loading and the requirement for azeotropic water removal have prevented general adoption (Sabatini et al., 2019). The obstacle is not the absence of a catalytic reaction but the mismatch between the breadth of substrates encountered in development and the scope of any individual catalytic method.</w:t>
      </w:r>
    </w:p>
    <w:p w14:paraId="1C40151A" w14:textId="77777777" w:rsidR="00D9234C" w:rsidRDefault="00000000" w:rsidP="00E6294C">
      <w:pPr>
        <w:spacing w:before="100" w:beforeAutospacing="1" w:after="100" w:afterAutospacing="1"/>
        <w:jc w:val="both"/>
      </w:pPr>
      <w:r>
        <w:rPr>
          <w:color w:val="000000"/>
        </w:rPr>
        <w:t>This mismatch explains a structural feature of the field. Manufacturing route selection favours robustness and predictability over efficiency, because a route that fails on one campaign imposes costs far exceeding the material savings available from a more efficient but less reliable alternative. Stoichiometric chemistry persists because it is general. Any technology that competes with it must therefore be evaluated not only on efficiency but on breadth of applicability, a criterion under which most catalytic advances perform poorly relative to their laboratory performance.</w:t>
      </w:r>
    </w:p>
    <w:p w14:paraId="61764070" w14:textId="77777777" w:rsidR="00D9234C" w:rsidRDefault="00000000" w:rsidP="00E6294C">
      <w:pPr>
        <w:pStyle w:val="Heading2"/>
        <w:spacing w:before="100" w:beforeAutospacing="1" w:after="100" w:afterAutospacing="1"/>
      </w:pPr>
      <w:r>
        <w:rPr>
          <w:b/>
          <w:bCs/>
          <w:color w:val="000000"/>
          <w:sz w:val="24"/>
          <w:szCs w:val="24"/>
        </w:rPr>
        <w:t>4.3 Biocatalysis: the strongest evidence in the field</w:t>
      </w:r>
    </w:p>
    <w:p w14:paraId="1092F928" w14:textId="77777777" w:rsidR="00D9234C" w:rsidRDefault="00000000" w:rsidP="00E6294C">
      <w:pPr>
        <w:spacing w:before="100" w:beforeAutospacing="1" w:after="100" w:afterAutospacing="1"/>
        <w:jc w:val="both"/>
      </w:pPr>
      <w:r>
        <w:rPr>
          <w:color w:val="000000"/>
        </w:rPr>
        <w:t>Biocatalysis is the one domain in which the sustainability case rests on manufacturing-scale evidence rather than extrapolation. Enzymes operate in water or in low-hazard organic media at moderate temperature and pressure, achieve selectivity that removes protecting group manipulations, and generate biodegradable protein waste, so that the mechanistic argument for reduced burden is unusually direct (Sheldon &amp; Woodley, 2018). The mechanistic argument would carry limited weight without demonstration, and demonstration exists.</w:t>
      </w:r>
    </w:p>
    <w:p w14:paraId="716D3FA8" w14:textId="77777777" w:rsidR="00D9234C" w:rsidRDefault="00000000" w:rsidP="00E6294C">
      <w:pPr>
        <w:spacing w:before="100" w:beforeAutospacing="1" w:after="100" w:afterAutospacing="1"/>
        <w:jc w:val="both"/>
      </w:pPr>
      <w:r>
        <w:rPr>
          <w:color w:val="000000"/>
        </w:rPr>
        <w:t xml:space="preserve">The transaminase-catalysed synthesis of sitagliptin replaced a rhodium-catalysed asymmetric hydrogenation operating at elevated pressure with an enzymatic step requiring neither precious metal nor specialised pressure equipment, delivering higher yield and volumetric productivity together with reduced total waste, and doing so in commercial manufacture rather than in a laboratory demonstration (Savile et al., 2010). The construction of a multi-enzyme cascade for </w:t>
      </w:r>
      <w:proofErr w:type="spellStart"/>
      <w:r>
        <w:rPr>
          <w:color w:val="000000"/>
        </w:rPr>
        <w:t>islatravir</w:t>
      </w:r>
      <w:proofErr w:type="spellEnd"/>
      <w:r>
        <w:rPr>
          <w:color w:val="000000"/>
        </w:rPr>
        <w:t xml:space="preserve">, in which a sequence of engineered enzymes assembled the nucleoside analogue in a single vessel from simple precursors, compressed a substantially longer chemical route and represents the most complete demonstration to date that cascade design can replace multi-step synthesis rather than merely improving one step within it (Huffman et al., 2019). Independent reviews and industrial surveys record steady expansion of the enzyme classes used in commercial processes, from hydrolases and </w:t>
      </w:r>
      <w:proofErr w:type="spellStart"/>
      <w:r>
        <w:rPr>
          <w:color w:val="000000"/>
        </w:rPr>
        <w:t>ketoreductases</w:t>
      </w:r>
      <w:proofErr w:type="spellEnd"/>
      <w:r>
        <w:rPr>
          <w:color w:val="000000"/>
        </w:rPr>
        <w:t xml:space="preserve"> towards imine reductases, transaminases, oxidases and carbon–carbon bond-forming enzymes (Devine et al., 2018; Wu et al., 2021; Bell et al., 2021; Sheldon et al., 2020). A recent cross-company perspective describes routine deployment across development portfolios and identifies enzyme supply, immobilisation cost and cofactor recycling rather than catalytic capability as the current constraints (Falcioni et al., 2025).</w:t>
      </w:r>
    </w:p>
    <w:p w14:paraId="072FFEDB" w14:textId="77777777" w:rsidR="00D9234C" w:rsidRDefault="00000000" w:rsidP="00E6294C">
      <w:pPr>
        <w:spacing w:before="100" w:beforeAutospacing="1" w:after="100" w:afterAutospacing="1"/>
        <w:jc w:val="both"/>
      </w:pPr>
      <w:r>
        <w:rPr>
          <w:color w:val="000000"/>
        </w:rPr>
        <w:lastRenderedPageBreak/>
        <w:t>Two qualifications limit generalisation. The first is that the flagship demonstrations required substantial protein engineering campaigns, and the resource intensity of those campaigns is not reflected in the process metrics reported for the resulting route. A process whose mass intensity is low but whose development consumed years of directed evolution has displaced burden into development rather than eliminating it, and no published accounting reconciles the two. The second is publication asymmetry. Failed enzyme engineering campaigns and routes abandoned because no enzyme of adequate activity could be obtained are rarely reported, so the apparent success rate of biocatalytic substitution is inflated by selection. Confidence that biocatalysis reduces manufacturing burden where it is successfully applied is strong; confidence in the proportion of targets for which it can be applied is weak.</w:t>
      </w:r>
    </w:p>
    <w:p w14:paraId="5750BD8C" w14:textId="77777777" w:rsidR="00D9234C" w:rsidRDefault="00000000" w:rsidP="00E6294C">
      <w:pPr>
        <w:spacing w:before="100" w:beforeAutospacing="1" w:after="100" w:afterAutospacing="1"/>
        <w:jc w:val="both"/>
      </w:pPr>
      <w:r>
        <w:rPr>
          <w:color w:val="000000"/>
        </w:rPr>
        <w:t>Continuous operation with immobilised enzymes addresses part of the cost constraint by permitting catalyst reuse and by decoupling residence time from batch cycle time, and has been demonstrated for fine chemical synthesis with retained activity over extended operation (Thompson et al., 2019). Immobilisation nonetheless introduces its own material burden through support synthesis and activity loss on binding, and comparative accounting that includes the support has not been reported systematically.</w:t>
      </w:r>
    </w:p>
    <w:p w14:paraId="4F848138" w14:textId="77777777" w:rsidR="00D9234C" w:rsidRDefault="00000000" w:rsidP="00E6294C">
      <w:pPr>
        <w:pStyle w:val="Heading2"/>
        <w:spacing w:before="100" w:beforeAutospacing="1" w:after="100" w:afterAutospacing="1"/>
      </w:pPr>
      <w:r>
        <w:rPr>
          <w:b/>
          <w:bCs/>
          <w:color w:val="000000"/>
          <w:sz w:val="24"/>
          <w:szCs w:val="24"/>
        </w:rPr>
        <w:t>4.4 Photochemical, electrochemical and mechanochemical activation</w:t>
      </w:r>
    </w:p>
    <w:p w14:paraId="295E279F" w14:textId="77777777" w:rsidR="00D9234C" w:rsidRDefault="00000000" w:rsidP="00E6294C">
      <w:pPr>
        <w:spacing w:before="100" w:beforeAutospacing="1" w:after="100" w:afterAutospacing="1"/>
        <w:jc w:val="both"/>
      </w:pPr>
      <w:r>
        <w:rPr>
          <w:color w:val="000000"/>
        </w:rPr>
        <w:t>Three activation modes have been promoted as intrinsically green because they replace stoichiometric chemical reagents with photons, electrons or mechanical energy. The mechanistic argument is sound in each case, but the evidence supporting environmental benefit at manufacturing scale is thinner than the volume of publication suggests.</w:t>
      </w:r>
    </w:p>
    <w:p w14:paraId="1C22D648" w14:textId="77777777" w:rsidR="00D9234C" w:rsidRDefault="00000000" w:rsidP="00E6294C">
      <w:pPr>
        <w:spacing w:before="100" w:beforeAutospacing="1" w:after="100" w:afterAutospacing="1"/>
        <w:jc w:val="both"/>
      </w:pPr>
      <w:r>
        <w:rPr>
          <w:color w:val="000000"/>
        </w:rPr>
        <w:t>Photochemical methods have advanced from laboratory curiosity to credible process technology principally through flow reactor design, which resolves the photon penetration problem that prevents scale-up in batch vessels, and through high-throughput screening of photocatalyst and condition combinations (</w:t>
      </w:r>
      <w:proofErr w:type="spellStart"/>
      <w:r>
        <w:rPr>
          <w:color w:val="000000"/>
        </w:rPr>
        <w:t>Buglioni</w:t>
      </w:r>
      <w:proofErr w:type="spellEnd"/>
      <w:r>
        <w:rPr>
          <w:color w:val="000000"/>
        </w:rPr>
        <w:t xml:space="preserve"> et al., 2022). A comprehensive assessment of photocatalysis within the life science industry documented adoption in medicinal chemistry and early development but found comparatively few examples carried into commercial manufacture, attributing the gap to equipment availability, photocatalyst cost and the difficulty of demonstrating consistent photon delivery at scale (</w:t>
      </w:r>
      <w:proofErr w:type="spellStart"/>
      <w:r>
        <w:rPr>
          <w:color w:val="000000"/>
        </w:rPr>
        <w:t>Candish</w:t>
      </w:r>
      <w:proofErr w:type="spellEnd"/>
      <w:r>
        <w:rPr>
          <w:color w:val="000000"/>
        </w:rPr>
        <w:t xml:space="preserve"> et al., 2022). Electrochemical synthesis presents a comparable pattern: the substitution of electrons for chemical oxidants and reductants is attractive, practical guidance for adoption has improved substantially, and yet electrode fouling, cell design, scale-dependent current distribution and supporting electrolyte recovery remain unresolved at manufacturing scale (Kingston et al., 2020). Neither technology has been the subject of a published life cycle assessment comparing it with the incumbent process on a manufacturing basis, so claims of reduced burden rest on the absence of stoichiometric reagents rather than on measurement. Where electricity is generated from fossil sources, the substitution of chemical for electrical energy may transfer burden rather than reduce it, a possibility that the promotional literature rarely addresses.</w:t>
      </w:r>
    </w:p>
    <w:p w14:paraId="7F83419F" w14:textId="77777777" w:rsidR="00D9234C" w:rsidRDefault="00000000" w:rsidP="00E6294C">
      <w:pPr>
        <w:spacing w:before="100" w:beforeAutospacing="1" w:after="100" w:afterAutospacing="1"/>
        <w:jc w:val="both"/>
      </w:pPr>
      <w:r>
        <w:rPr>
          <w:color w:val="000000"/>
        </w:rPr>
        <w:t xml:space="preserve">Mechanochemistry has the most direct mechanistic claim, since eliminating bulk solvent removes the dominant mass term. Systematic assessment against the twelve principles concluded that mechanochemical methods perform strongly on waste prevention, solvent use and safety, but that energy consumption, heat dissipation and the scalability of milling equipment are inadequately characterised, and that the discipline has not established standard reporting for energy input (Ardila-Fierro &amp; Hernández, 2021). Synthetic capability has expanded considerably, including transformations previously thought to require solution conditions (Friščić et al., 2020). The most consequential recent development for pharmaceutical relevance is the application of twin-screw extrusion, an established continuous processing technology, to peptide bond formation, producing pharmaceutically relevant peptides under continuous and largely solvent-free conditions (Daurio et </w:t>
      </w:r>
      <w:r>
        <w:rPr>
          <w:color w:val="000000"/>
        </w:rPr>
        <w:lastRenderedPageBreak/>
        <w:t>al., 2025). This is significant because it addresses the modality with the worst mass intensity using equipment already familiar to pharmaceutical manufacture. The demonstrations remain below commercial scale and no comparative life cycle assessment against solid-phase synthesis has been published, so the magnitude of benefit is not yet established even though its direction is plausible.</w:t>
      </w:r>
    </w:p>
    <w:p w14:paraId="69797D2D" w14:textId="77777777" w:rsidR="00D9234C" w:rsidRDefault="00000000" w:rsidP="00E6294C">
      <w:pPr>
        <w:pStyle w:val="Heading1"/>
        <w:spacing w:before="100" w:beforeAutospacing="1" w:after="100" w:afterAutospacing="1"/>
      </w:pPr>
      <w:r>
        <w:rPr>
          <w:b/>
          <w:bCs/>
          <w:color w:val="000000"/>
          <w:sz w:val="26"/>
          <w:szCs w:val="26"/>
        </w:rPr>
        <w:t>5. Continuous Manufacturing and Process Intensification: A Contested Environmental Case</w:t>
      </w:r>
    </w:p>
    <w:p w14:paraId="74C41078" w14:textId="77777777" w:rsidR="00D9234C" w:rsidRDefault="00000000" w:rsidP="00E6294C">
      <w:pPr>
        <w:pStyle w:val="Heading2"/>
        <w:spacing w:before="100" w:beforeAutospacing="1" w:after="100" w:afterAutospacing="1"/>
      </w:pPr>
      <w:r>
        <w:rPr>
          <w:b/>
          <w:bCs/>
          <w:color w:val="000000"/>
          <w:sz w:val="24"/>
          <w:szCs w:val="24"/>
        </w:rPr>
        <w:t>5.1 The mechanistic argument and its assumptions</w:t>
      </w:r>
    </w:p>
    <w:p w14:paraId="20B8C5BB" w14:textId="77777777" w:rsidR="00D9234C" w:rsidRDefault="00000000" w:rsidP="00E6294C">
      <w:pPr>
        <w:spacing w:before="100" w:beforeAutospacing="1" w:after="100" w:afterAutospacing="1"/>
        <w:jc w:val="both"/>
      </w:pPr>
      <w:r>
        <w:rPr>
          <w:color w:val="000000"/>
        </w:rPr>
        <w:t>The case for continuous processing rests on several linked arguments. Small reactor volumes improve heat and mass transfer, which permits operation at higher concentration and closer to the thermodynamic optimum; precise residence time control suppresses over-reaction and by-product formation; telescoping of steps without isolation removes solvent-intensive work-up and drying operations; and reduced inventory of hazardous intermediates lowers the consequence of loss of containment (</w:t>
      </w:r>
      <w:proofErr w:type="spellStart"/>
      <w:r>
        <w:rPr>
          <w:color w:val="000000"/>
        </w:rPr>
        <w:t>Plutschack</w:t>
      </w:r>
      <w:proofErr w:type="spellEnd"/>
      <w:r>
        <w:rPr>
          <w:color w:val="000000"/>
        </w:rPr>
        <w:t xml:space="preserve"> et al., 2017). Integration of these arguments into a coherent manufacturing proposition was demonstrated by a reconfigurable system capable of producing several finished pharmaceutical products from advanced intermediates within a footprint far smaller than a conventional plant (Adamo et al., 2016). Broader assessments of enabling technologies have positioned continuous processing as the organising platform into which photochemical, electrochemical and biocatalytic steps can be integrated, rather than as a competing technology (Fitzpatrick et al., 2016).</w:t>
      </w:r>
    </w:p>
    <w:p w14:paraId="6B864D67" w14:textId="77777777" w:rsidR="00D9234C" w:rsidRDefault="00000000" w:rsidP="00E6294C">
      <w:pPr>
        <w:spacing w:before="100" w:beforeAutospacing="1" w:after="100" w:afterAutospacing="1"/>
        <w:jc w:val="both"/>
      </w:pPr>
      <w:r>
        <w:rPr>
          <w:color w:val="000000"/>
        </w:rPr>
        <w:t>Each argument carries an assumption. Higher concentration assumes solubility permits it; telescoping assumes impurity carry-over is acceptable; smaller inventory assumes equivalent throughput is achieved by extending operation rather than by increasing scale. Where these assumptions fail, the environmental advantage diminishes or reverses.</w:t>
      </w:r>
    </w:p>
    <w:p w14:paraId="1A546AA5" w14:textId="77777777" w:rsidR="00D9234C" w:rsidRDefault="00000000" w:rsidP="00E6294C">
      <w:pPr>
        <w:pStyle w:val="Heading2"/>
        <w:spacing w:before="100" w:beforeAutospacing="1" w:after="100" w:afterAutospacing="1"/>
      </w:pPr>
      <w:r>
        <w:rPr>
          <w:b/>
          <w:bCs/>
          <w:color w:val="000000"/>
          <w:sz w:val="24"/>
          <w:szCs w:val="24"/>
        </w:rPr>
        <w:t>5.2 What the empirical evidence supports</w:t>
      </w:r>
    </w:p>
    <w:p w14:paraId="338C0A18" w14:textId="77777777" w:rsidR="00D9234C" w:rsidRDefault="00000000" w:rsidP="00E6294C">
      <w:pPr>
        <w:spacing w:before="100" w:beforeAutospacing="1" w:after="100" w:afterAutospacing="1"/>
        <w:jc w:val="both"/>
      </w:pPr>
      <w:r>
        <w:rPr>
          <w:color w:val="000000"/>
        </w:rPr>
        <w:t>The most careful examination of whether continuous manufacturing delivers its environmental promise concluded that the promise is conditional rather than general (Rogers &amp; Jensen, 2019). Benefit is reliably obtained where the chemistry is fast, exothermic, hazardous in batch, or limited by mixing or heat transfer, and where telescoping eliminates isolation steps. Benefit is small or negative where the chemistry is slow, where solids handling is required, where product changeover is frequent, or where extended operation increases the energy associated with maintaining the plant in a steady state. The analysis also identified a reporting problem: comparisons are typically made against a laboratory batch procedure rather than against an optimised batch manufacturing process, which systematically favours the continuous option.</w:t>
      </w:r>
    </w:p>
    <w:p w14:paraId="1E6BFF81" w14:textId="77777777" w:rsidR="00D9234C" w:rsidRDefault="00000000" w:rsidP="00E6294C">
      <w:pPr>
        <w:spacing w:before="100" w:beforeAutospacing="1" w:after="100" w:afterAutospacing="1"/>
        <w:jc w:val="both"/>
      </w:pPr>
      <w:r>
        <w:rPr>
          <w:color w:val="000000"/>
        </w:rPr>
        <w:t>Industrial perspectives written from within the sector describe a similar picture, reporting that continuous methods have been adopted selectively for specific transformations, particularly those involving hazardous reagents or unstable intermediates, rather than as a general replacement for batch operation, and that capital cost, regulatory precedent and workforce capability rather than chemistry determine the pace of adoption (Baumann et al., 2020). Analysis of the opportunity in regions without established batch infrastructure has argued that continuous manufacturing may be adopted more readily where there is no incumbent plant to displace, since the principal barrier is the replacement of depreciated batch assets rather than the technology itself (</w:t>
      </w:r>
      <w:proofErr w:type="spellStart"/>
      <w:r>
        <w:rPr>
          <w:color w:val="000000"/>
        </w:rPr>
        <w:t>Nqeketo</w:t>
      </w:r>
      <w:proofErr w:type="spellEnd"/>
      <w:r>
        <w:rPr>
          <w:color w:val="000000"/>
        </w:rPr>
        <w:t xml:space="preserve"> &amp; </w:t>
      </w:r>
      <w:proofErr w:type="spellStart"/>
      <w:r>
        <w:rPr>
          <w:color w:val="000000"/>
        </w:rPr>
        <w:t>Sagandira</w:t>
      </w:r>
      <w:proofErr w:type="spellEnd"/>
      <w:r>
        <w:rPr>
          <w:color w:val="000000"/>
        </w:rPr>
        <w:t>, 2024). This argument is plausible and has policy relevance for pharmaceutical manufacturing capacity in low- and middle-income settings, but it remains an argument rather than a demonstrated outcome.</w:t>
      </w:r>
    </w:p>
    <w:p w14:paraId="3035C7F7" w14:textId="77777777" w:rsidR="00D9234C" w:rsidRDefault="00000000" w:rsidP="00E6294C">
      <w:pPr>
        <w:pStyle w:val="Heading2"/>
        <w:spacing w:before="100" w:beforeAutospacing="1" w:after="100" w:afterAutospacing="1"/>
      </w:pPr>
      <w:r>
        <w:rPr>
          <w:b/>
          <w:bCs/>
          <w:color w:val="000000"/>
          <w:sz w:val="24"/>
          <w:szCs w:val="24"/>
        </w:rPr>
        <w:t>5.3 Regulatory and organisational constraints</w:t>
      </w:r>
    </w:p>
    <w:p w14:paraId="1A4508E1" w14:textId="77777777" w:rsidR="00D9234C" w:rsidRDefault="00000000" w:rsidP="00E6294C">
      <w:pPr>
        <w:spacing w:before="100" w:beforeAutospacing="1" w:after="100" w:afterAutospacing="1"/>
        <w:jc w:val="both"/>
      </w:pPr>
      <w:r>
        <w:rPr>
          <w:color w:val="000000"/>
        </w:rPr>
        <w:lastRenderedPageBreak/>
        <w:t>The regulatory environment has changed materially. Regulatory analysis published a decade ago identified the absence of an agreed framework for continuous processes as the principal obstacle to adoption, noting that batch definition, control strategy and process validation all required reinterpretation (Lee et al., 2015). That gap has since been addressed through an internationally harmonised guideline specifying expectations for the control strategy, batch definition, process dynamics and material traceability of continuous manufacturing for drug substances and drug products (International Council for Harmonisation of Technical Requirements for Pharmaceuticals for Human Use [ICH], 2022). The existence of the guideline removes the argument that continuous manufacturing lacks a regulatory pathway.</w:t>
      </w:r>
    </w:p>
    <w:p w14:paraId="6572516A" w14:textId="77777777" w:rsidR="00D9234C" w:rsidRDefault="00000000" w:rsidP="00E6294C">
      <w:pPr>
        <w:spacing w:before="100" w:beforeAutospacing="1" w:after="100" w:afterAutospacing="1"/>
        <w:jc w:val="both"/>
      </w:pPr>
      <w:r>
        <w:rPr>
          <w:color w:val="000000"/>
        </w:rPr>
        <w:t xml:space="preserve">A different constraint persists and is more consequential for sustainability than technology choice. Post-approval change to a manufacturing process requires regulatory submission and, in many jurisdictions, approval before implementation, with the burden increasing where multiple markets are involved. The consequence is that the greenest available route is not necessarily the route in use, because a process improvement identified after approval must overcome a regulatory cost that a pre-approval improvement does not face. This asymmetry channels environmental improvement into the development phase and effectively freezes commercial processes at the </w:t>
      </w:r>
      <w:proofErr w:type="gramStart"/>
      <w:r>
        <w:rPr>
          <w:color w:val="000000"/>
        </w:rPr>
        <w:t>state of the art</w:t>
      </w:r>
      <w:proofErr w:type="gramEnd"/>
      <w:r>
        <w:rPr>
          <w:color w:val="000000"/>
        </w:rPr>
        <w:t xml:space="preserve"> prevailing at approval. The point is acknowledged in industry perspectives but has not been examined empirically; no published study quantifies the magnitude of foregone improvement attributable to post-approval change requirements (Bryan et al., 2018; Colberg et al., 2025).</w:t>
      </w:r>
    </w:p>
    <w:p w14:paraId="6DAA39C1" w14:textId="77777777" w:rsidR="00D9234C" w:rsidRDefault="00000000" w:rsidP="00E6294C">
      <w:pPr>
        <w:spacing w:before="100" w:beforeAutospacing="1" w:after="100" w:afterAutospacing="1"/>
        <w:jc w:val="both"/>
      </w:pPr>
      <w:r>
        <w:rPr>
          <w:color w:val="000000"/>
        </w:rPr>
        <w:t>Table 3 assesses the principal enabling technologies against the benefits claimed for them and the scale at which those benefits have been demonstrated. The distribution is uneven: technologies with the strongest mechanistic arguments are not those with the strongest evidence, and the gap between laboratory demonstration and manufacturing evidence is widest precisely where publication activity is greatest.</w:t>
      </w:r>
    </w:p>
    <w:p w14:paraId="367690AF" w14:textId="77777777" w:rsidR="00D9234C" w:rsidRDefault="00000000" w:rsidP="00E6294C">
      <w:pPr>
        <w:spacing w:before="100" w:beforeAutospacing="1" w:after="100" w:afterAutospacing="1"/>
      </w:pPr>
      <w:r>
        <w:rPr>
          <w:b/>
          <w:bCs/>
          <w:color w:val="000000"/>
          <w:sz w:val="20"/>
          <w:szCs w:val="20"/>
        </w:rPr>
        <w:t>Table 3. Enabling synthetic and processing technologies: claimed sustainability benefits compared with demonstrated evidence.</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511"/>
        <w:gridCol w:w="2077"/>
        <w:gridCol w:w="1794"/>
        <w:gridCol w:w="2359"/>
        <w:gridCol w:w="1887"/>
      </w:tblGrid>
      <w:tr w:rsidR="00D9234C" w14:paraId="363DA3AA" w14:textId="77777777" w:rsidTr="00E6294C">
        <w:trPr>
          <w:tblHeader/>
        </w:trPr>
        <w:tc>
          <w:tcPr>
            <w:tcW w:w="784" w:type="pct"/>
            <w:shd w:val="clear" w:color="auto" w:fill="E8E8E8"/>
            <w:tcMar>
              <w:top w:w="60" w:type="dxa"/>
              <w:left w:w="90" w:type="dxa"/>
              <w:bottom w:w="60" w:type="dxa"/>
              <w:right w:w="90" w:type="dxa"/>
            </w:tcMar>
          </w:tcPr>
          <w:p w14:paraId="7D994EE1" w14:textId="77777777" w:rsidR="00D9234C" w:rsidRDefault="00000000" w:rsidP="00E6294C">
            <w:pPr>
              <w:spacing w:before="100" w:beforeAutospacing="1" w:after="100" w:afterAutospacing="1"/>
            </w:pPr>
            <w:r>
              <w:rPr>
                <w:b/>
                <w:bCs/>
                <w:color w:val="000000"/>
                <w:sz w:val="18"/>
                <w:szCs w:val="18"/>
              </w:rPr>
              <w:t>Technology</w:t>
            </w:r>
          </w:p>
        </w:tc>
        <w:tc>
          <w:tcPr>
            <w:tcW w:w="1078" w:type="pct"/>
            <w:shd w:val="clear" w:color="auto" w:fill="E8E8E8"/>
            <w:tcMar>
              <w:top w:w="60" w:type="dxa"/>
              <w:left w:w="90" w:type="dxa"/>
              <w:bottom w:w="60" w:type="dxa"/>
              <w:right w:w="90" w:type="dxa"/>
            </w:tcMar>
          </w:tcPr>
          <w:p w14:paraId="7D740E9D" w14:textId="77777777" w:rsidR="00D9234C" w:rsidRDefault="00000000" w:rsidP="00E6294C">
            <w:pPr>
              <w:spacing w:before="100" w:beforeAutospacing="1" w:after="100" w:afterAutospacing="1"/>
            </w:pPr>
            <w:r>
              <w:rPr>
                <w:b/>
                <w:bCs/>
                <w:color w:val="000000"/>
                <w:sz w:val="18"/>
                <w:szCs w:val="18"/>
              </w:rPr>
              <w:t>Principal claimed benefit</w:t>
            </w:r>
          </w:p>
        </w:tc>
        <w:tc>
          <w:tcPr>
            <w:tcW w:w="931" w:type="pct"/>
            <w:shd w:val="clear" w:color="auto" w:fill="E8E8E8"/>
            <w:tcMar>
              <w:top w:w="60" w:type="dxa"/>
              <w:left w:w="90" w:type="dxa"/>
              <w:bottom w:w="60" w:type="dxa"/>
              <w:right w:w="90" w:type="dxa"/>
            </w:tcMar>
          </w:tcPr>
          <w:p w14:paraId="6861870E" w14:textId="77777777" w:rsidR="00D9234C" w:rsidRDefault="00000000" w:rsidP="00E6294C">
            <w:pPr>
              <w:spacing w:before="100" w:beforeAutospacing="1" w:after="100" w:afterAutospacing="1"/>
            </w:pPr>
            <w:r>
              <w:rPr>
                <w:b/>
                <w:bCs/>
                <w:color w:val="000000"/>
                <w:sz w:val="18"/>
                <w:szCs w:val="18"/>
              </w:rPr>
              <w:t>Highest scale of published demonstration in pharmaceutical manufacture</w:t>
            </w:r>
          </w:p>
        </w:tc>
        <w:tc>
          <w:tcPr>
            <w:tcW w:w="1225" w:type="pct"/>
            <w:shd w:val="clear" w:color="auto" w:fill="E8E8E8"/>
            <w:tcMar>
              <w:top w:w="60" w:type="dxa"/>
              <w:left w:w="90" w:type="dxa"/>
              <w:bottom w:w="60" w:type="dxa"/>
              <w:right w:w="90" w:type="dxa"/>
            </w:tcMar>
          </w:tcPr>
          <w:p w14:paraId="00872531" w14:textId="77777777" w:rsidR="00D9234C" w:rsidRDefault="00000000" w:rsidP="00E6294C">
            <w:pPr>
              <w:spacing w:before="100" w:beforeAutospacing="1" w:after="100" w:afterAutospacing="1"/>
            </w:pPr>
            <w:r>
              <w:rPr>
                <w:b/>
                <w:bCs/>
                <w:color w:val="000000"/>
                <w:sz w:val="18"/>
                <w:szCs w:val="18"/>
              </w:rPr>
              <w:t>Principal evidential limitation</w:t>
            </w:r>
          </w:p>
        </w:tc>
        <w:tc>
          <w:tcPr>
            <w:tcW w:w="980" w:type="pct"/>
            <w:shd w:val="clear" w:color="auto" w:fill="E8E8E8"/>
            <w:tcMar>
              <w:top w:w="60" w:type="dxa"/>
              <w:left w:w="90" w:type="dxa"/>
              <w:bottom w:w="60" w:type="dxa"/>
              <w:right w:w="90" w:type="dxa"/>
            </w:tcMar>
          </w:tcPr>
          <w:p w14:paraId="5BAA7B00" w14:textId="77777777" w:rsidR="00D9234C" w:rsidRDefault="00000000" w:rsidP="00E6294C">
            <w:pPr>
              <w:spacing w:before="100" w:beforeAutospacing="1" w:after="100" w:afterAutospacing="1"/>
            </w:pPr>
            <w:r>
              <w:rPr>
                <w:b/>
                <w:bCs/>
                <w:color w:val="000000"/>
                <w:sz w:val="18"/>
                <w:szCs w:val="18"/>
              </w:rPr>
              <w:t>Supporting references</w:t>
            </w:r>
          </w:p>
        </w:tc>
      </w:tr>
      <w:tr w:rsidR="00D9234C" w14:paraId="46D9C939" w14:textId="77777777" w:rsidTr="00E6294C">
        <w:tc>
          <w:tcPr>
            <w:tcW w:w="784" w:type="pct"/>
            <w:tcMar>
              <w:top w:w="60" w:type="dxa"/>
              <w:left w:w="90" w:type="dxa"/>
              <w:bottom w:w="60" w:type="dxa"/>
              <w:right w:w="90" w:type="dxa"/>
            </w:tcMar>
          </w:tcPr>
          <w:p w14:paraId="75BC8EF1" w14:textId="77777777" w:rsidR="00D9234C" w:rsidRDefault="00000000" w:rsidP="00E6294C">
            <w:pPr>
              <w:spacing w:before="100" w:beforeAutospacing="1" w:after="100" w:afterAutospacing="1"/>
            </w:pPr>
            <w:r>
              <w:rPr>
                <w:color w:val="000000"/>
                <w:sz w:val="18"/>
                <w:szCs w:val="18"/>
              </w:rPr>
              <w:t>Enzymatic catalysis (single step)</w:t>
            </w:r>
          </w:p>
        </w:tc>
        <w:tc>
          <w:tcPr>
            <w:tcW w:w="1078" w:type="pct"/>
            <w:tcMar>
              <w:top w:w="60" w:type="dxa"/>
              <w:left w:w="90" w:type="dxa"/>
              <w:bottom w:w="60" w:type="dxa"/>
              <w:right w:w="90" w:type="dxa"/>
            </w:tcMar>
          </w:tcPr>
          <w:p w14:paraId="5DC499C0" w14:textId="77777777" w:rsidR="00D9234C" w:rsidRDefault="00000000" w:rsidP="00E6294C">
            <w:pPr>
              <w:spacing w:before="100" w:beforeAutospacing="1" w:after="100" w:afterAutospacing="1"/>
            </w:pPr>
            <w:r>
              <w:rPr>
                <w:color w:val="000000"/>
                <w:sz w:val="18"/>
                <w:szCs w:val="18"/>
              </w:rPr>
              <w:t>Removal of precious-metal and stoichiometric chiral auxiliaries; aqueous, ambient operation</w:t>
            </w:r>
          </w:p>
        </w:tc>
        <w:tc>
          <w:tcPr>
            <w:tcW w:w="931" w:type="pct"/>
            <w:tcMar>
              <w:top w:w="60" w:type="dxa"/>
              <w:left w:w="90" w:type="dxa"/>
              <w:bottom w:w="60" w:type="dxa"/>
              <w:right w:w="90" w:type="dxa"/>
            </w:tcMar>
          </w:tcPr>
          <w:p w14:paraId="5A4B51A9" w14:textId="77777777" w:rsidR="00D9234C" w:rsidRDefault="00000000" w:rsidP="00E6294C">
            <w:pPr>
              <w:spacing w:before="100" w:beforeAutospacing="1" w:after="100" w:afterAutospacing="1"/>
            </w:pPr>
            <w:r>
              <w:rPr>
                <w:color w:val="000000"/>
                <w:sz w:val="18"/>
                <w:szCs w:val="18"/>
              </w:rPr>
              <w:t>Commercial manufacture</w:t>
            </w:r>
          </w:p>
        </w:tc>
        <w:tc>
          <w:tcPr>
            <w:tcW w:w="1225" w:type="pct"/>
            <w:tcMar>
              <w:top w:w="60" w:type="dxa"/>
              <w:left w:w="90" w:type="dxa"/>
              <w:bottom w:w="60" w:type="dxa"/>
              <w:right w:w="90" w:type="dxa"/>
            </w:tcMar>
          </w:tcPr>
          <w:p w14:paraId="1688A45A" w14:textId="77777777" w:rsidR="00D9234C" w:rsidRDefault="00000000" w:rsidP="00E6294C">
            <w:pPr>
              <w:spacing w:before="100" w:beforeAutospacing="1" w:after="100" w:afterAutospacing="1"/>
            </w:pPr>
            <w:r>
              <w:rPr>
                <w:color w:val="000000"/>
                <w:sz w:val="18"/>
                <w:szCs w:val="18"/>
              </w:rPr>
              <w:t>Development burden of enzyme engineering not accounted for in process metrics; failed campaigns unpublished</w:t>
            </w:r>
          </w:p>
        </w:tc>
        <w:tc>
          <w:tcPr>
            <w:tcW w:w="980" w:type="pct"/>
            <w:tcMar>
              <w:top w:w="60" w:type="dxa"/>
              <w:left w:w="90" w:type="dxa"/>
              <w:bottom w:w="60" w:type="dxa"/>
              <w:right w:w="90" w:type="dxa"/>
            </w:tcMar>
          </w:tcPr>
          <w:p w14:paraId="1315D003" w14:textId="77777777" w:rsidR="00D9234C" w:rsidRDefault="00000000" w:rsidP="00E6294C">
            <w:pPr>
              <w:spacing w:before="100" w:beforeAutospacing="1" w:after="100" w:afterAutospacing="1"/>
            </w:pPr>
            <w:r>
              <w:rPr>
                <w:color w:val="000000"/>
                <w:sz w:val="18"/>
                <w:szCs w:val="18"/>
              </w:rPr>
              <w:t>Savile et al. (2010); Sheldon &amp; Woodley (2018); Wu et al. (2021)</w:t>
            </w:r>
          </w:p>
        </w:tc>
      </w:tr>
      <w:tr w:rsidR="00D9234C" w14:paraId="1A177A0A" w14:textId="77777777" w:rsidTr="00E6294C">
        <w:tc>
          <w:tcPr>
            <w:tcW w:w="784" w:type="pct"/>
            <w:tcMar>
              <w:top w:w="60" w:type="dxa"/>
              <w:left w:w="90" w:type="dxa"/>
              <w:bottom w:w="60" w:type="dxa"/>
              <w:right w:w="90" w:type="dxa"/>
            </w:tcMar>
          </w:tcPr>
          <w:p w14:paraId="2C096A26" w14:textId="77777777" w:rsidR="00D9234C" w:rsidRDefault="00000000" w:rsidP="00E6294C">
            <w:pPr>
              <w:spacing w:before="100" w:beforeAutospacing="1" w:after="100" w:afterAutospacing="1"/>
            </w:pPr>
            <w:r>
              <w:rPr>
                <w:color w:val="000000"/>
                <w:sz w:val="18"/>
                <w:szCs w:val="18"/>
              </w:rPr>
              <w:t>Multi-enzyme cascades</w:t>
            </w:r>
          </w:p>
        </w:tc>
        <w:tc>
          <w:tcPr>
            <w:tcW w:w="1078" w:type="pct"/>
            <w:tcMar>
              <w:top w:w="60" w:type="dxa"/>
              <w:left w:w="90" w:type="dxa"/>
              <w:bottom w:w="60" w:type="dxa"/>
              <w:right w:w="90" w:type="dxa"/>
            </w:tcMar>
          </w:tcPr>
          <w:p w14:paraId="0039F080" w14:textId="77777777" w:rsidR="00D9234C" w:rsidRDefault="00000000" w:rsidP="00E6294C">
            <w:pPr>
              <w:spacing w:before="100" w:beforeAutospacing="1" w:after="100" w:afterAutospacing="1"/>
            </w:pPr>
            <w:r>
              <w:rPr>
                <w:color w:val="000000"/>
                <w:sz w:val="18"/>
                <w:szCs w:val="18"/>
              </w:rPr>
              <w:t>Replacement of multi-step sequences with a single-vessel biotransformation</w:t>
            </w:r>
          </w:p>
        </w:tc>
        <w:tc>
          <w:tcPr>
            <w:tcW w:w="931" w:type="pct"/>
            <w:tcMar>
              <w:top w:w="60" w:type="dxa"/>
              <w:left w:w="90" w:type="dxa"/>
              <w:bottom w:w="60" w:type="dxa"/>
              <w:right w:w="90" w:type="dxa"/>
            </w:tcMar>
          </w:tcPr>
          <w:p w14:paraId="49CC16EC" w14:textId="77777777" w:rsidR="00D9234C" w:rsidRDefault="00000000" w:rsidP="00E6294C">
            <w:pPr>
              <w:spacing w:before="100" w:beforeAutospacing="1" w:after="100" w:afterAutospacing="1"/>
            </w:pPr>
            <w:r>
              <w:rPr>
                <w:color w:val="000000"/>
                <w:sz w:val="18"/>
                <w:szCs w:val="18"/>
              </w:rPr>
              <w:t>Demonstrated manufacture of a clinical candidate</w:t>
            </w:r>
          </w:p>
        </w:tc>
        <w:tc>
          <w:tcPr>
            <w:tcW w:w="1225" w:type="pct"/>
            <w:tcMar>
              <w:top w:w="60" w:type="dxa"/>
              <w:left w:w="90" w:type="dxa"/>
              <w:bottom w:w="60" w:type="dxa"/>
              <w:right w:w="90" w:type="dxa"/>
            </w:tcMar>
          </w:tcPr>
          <w:p w14:paraId="35982CF6" w14:textId="77777777" w:rsidR="00D9234C" w:rsidRDefault="00000000" w:rsidP="00E6294C">
            <w:pPr>
              <w:spacing w:before="100" w:beforeAutospacing="1" w:after="100" w:afterAutospacing="1"/>
            </w:pPr>
            <w:r>
              <w:rPr>
                <w:color w:val="000000"/>
                <w:sz w:val="18"/>
                <w:szCs w:val="18"/>
              </w:rPr>
              <w:t>Few targets addressed; cofactor recycling and enzyme supply economics unresolved at scale</w:t>
            </w:r>
          </w:p>
        </w:tc>
        <w:tc>
          <w:tcPr>
            <w:tcW w:w="980" w:type="pct"/>
            <w:tcMar>
              <w:top w:w="60" w:type="dxa"/>
              <w:left w:w="90" w:type="dxa"/>
              <w:bottom w:w="60" w:type="dxa"/>
              <w:right w:w="90" w:type="dxa"/>
            </w:tcMar>
          </w:tcPr>
          <w:p w14:paraId="2A019756" w14:textId="77777777" w:rsidR="00D9234C" w:rsidRDefault="00000000" w:rsidP="00E6294C">
            <w:pPr>
              <w:spacing w:before="100" w:beforeAutospacing="1" w:after="100" w:afterAutospacing="1"/>
            </w:pPr>
            <w:r>
              <w:rPr>
                <w:color w:val="000000"/>
                <w:sz w:val="18"/>
                <w:szCs w:val="18"/>
              </w:rPr>
              <w:t>Huffman et al. (2019); Bell et al. (2021); Falcioni et al. (2025)</w:t>
            </w:r>
          </w:p>
        </w:tc>
      </w:tr>
      <w:tr w:rsidR="00D9234C" w14:paraId="571FB419" w14:textId="77777777" w:rsidTr="00E6294C">
        <w:tc>
          <w:tcPr>
            <w:tcW w:w="784" w:type="pct"/>
            <w:tcMar>
              <w:top w:w="60" w:type="dxa"/>
              <w:left w:w="90" w:type="dxa"/>
              <w:bottom w:w="60" w:type="dxa"/>
              <w:right w:w="90" w:type="dxa"/>
            </w:tcMar>
          </w:tcPr>
          <w:p w14:paraId="11B1832A" w14:textId="77777777" w:rsidR="00D9234C" w:rsidRDefault="00000000" w:rsidP="00E6294C">
            <w:pPr>
              <w:spacing w:before="100" w:beforeAutospacing="1" w:after="100" w:afterAutospacing="1"/>
            </w:pPr>
            <w:r>
              <w:rPr>
                <w:color w:val="000000"/>
                <w:sz w:val="18"/>
                <w:szCs w:val="18"/>
              </w:rPr>
              <w:t>Continuous flow processing</w:t>
            </w:r>
          </w:p>
        </w:tc>
        <w:tc>
          <w:tcPr>
            <w:tcW w:w="1078" w:type="pct"/>
            <w:tcMar>
              <w:top w:w="60" w:type="dxa"/>
              <w:left w:w="90" w:type="dxa"/>
              <w:bottom w:w="60" w:type="dxa"/>
              <w:right w:w="90" w:type="dxa"/>
            </w:tcMar>
          </w:tcPr>
          <w:p w14:paraId="62019834" w14:textId="77777777" w:rsidR="00D9234C" w:rsidRDefault="00000000" w:rsidP="00E6294C">
            <w:pPr>
              <w:spacing w:before="100" w:beforeAutospacing="1" w:after="100" w:afterAutospacing="1"/>
            </w:pPr>
            <w:r>
              <w:rPr>
                <w:color w:val="000000"/>
                <w:sz w:val="18"/>
                <w:szCs w:val="18"/>
              </w:rPr>
              <w:t>Higher concentration, telescoping, reduced hazardous inventory, smaller plant footprint</w:t>
            </w:r>
          </w:p>
        </w:tc>
        <w:tc>
          <w:tcPr>
            <w:tcW w:w="931" w:type="pct"/>
            <w:tcMar>
              <w:top w:w="60" w:type="dxa"/>
              <w:left w:w="90" w:type="dxa"/>
              <w:bottom w:w="60" w:type="dxa"/>
              <w:right w:w="90" w:type="dxa"/>
            </w:tcMar>
          </w:tcPr>
          <w:p w14:paraId="7238FAB3" w14:textId="77777777" w:rsidR="00D9234C" w:rsidRDefault="00000000" w:rsidP="00E6294C">
            <w:pPr>
              <w:spacing w:before="100" w:beforeAutospacing="1" w:after="100" w:afterAutospacing="1"/>
            </w:pPr>
            <w:r>
              <w:rPr>
                <w:color w:val="000000"/>
                <w:sz w:val="18"/>
                <w:szCs w:val="18"/>
              </w:rPr>
              <w:t>Commercial manufacture for selected transformations</w:t>
            </w:r>
          </w:p>
        </w:tc>
        <w:tc>
          <w:tcPr>
            <w:tcW w:w="1225" w:type="pct"/>
            <w:tcMar>
              <w:top w:w="60" w:type="dxa"/>
              <w:left w:w="90" w:type="dxa"/>
              <w:bottom w:w="60" w:type="dxa"/>
              <w:right w:w="90" w:type="dxa"/>
            </w:tcMar>
          </w:tcPr>
          <w:p w14:paraId="0EF68FE1" w14:textId="77777777" w:rsidR="00D9234C" w:rsidRDefault="00000000" w:rsidP="00E6294C">
            <w:pPr>
              <w:spacing w:before="100" w:beforeAutospacing="1" w:after="100" w:afterAutospacing="1"/>
            </w:pPr>
            <w:r>
              <w:rPr>
                <w:color w:val="000000"/>
                <w:sz w:val="18"/>
                <w:szCs w:val="18"/>
              </w:rPr>
              <w:t>Comparisons frequently made against laboratory batch rather than optimised batch manufacture</w:t>
            </w:r>
          </w:p>
        </w:tc>
        <w:tc>
          <w:tcPr>
            <w:tcW w:w="980" w:type="pct"/>
            <w:tcMar>
              <w:top w:w="60" w:type="dxa"/>
              <w:left w:w="90" w:type="dxa"/>
              <w:bottom w:w="60" w:type="dxa"/>
              <w:right w:w="90" w:type="dxa"/>
            </w:tcMar>
          </w:tcPr>
          <w:p w14:paraId="23FA5F1D" w14:textId="77777777" w:rsidR="00D9234C" w:rsidRDefault="00000000" w:rsidP="00E6294C">
            <w:pPr>
              <w:spacing w:before="100" w:beforeAutospacing="1" w:after="100" w:afterAutospacing="1"/>
            </w:pPr>
            <w:r>
              <w:rPr>
                <w:color w:val="000000"/>
                <w:sz w:val="18"/>
                <w:szCs w:val="18"/>
              </w:rPr>
              <w:t>Adamo et al. (2016); Rogers &amp; Jensen (2019); Baumann et al. (2020)</w:t>
            </w:r>
          </w:p>
        </w:tc>
      </w:tr>
      <w:tr w:rsidR="00D9234C" w14:paraId="7FC8FC11" w14:textId="77777777" w:rsidTr="00E6294C">
        <w:tc>
          <w:tcPr>
            <w:tcW w:w="784" w:type="pct"/>
            <w:tcMar>
              <w:top w:w="60" w:type="dxa"/>
              <w:left w:w="90" w:type="dxa"/>
              <w:bottom w:w="60" w:type="dxa"/>
              <w:right w:w="90" w:type="dxa"/>
            </w:tcMar>
          </w:tcPr>
          <w:p w14:paraId="764D17BE" w14:textId="77777777" w:rsidR="00D9234C" w:rsidRDefault="00000000" w:rsidP="00E6294C">
            <w:pPr>
              <w:spacing w:before="100" w:beforeAutospacing="1" w:after="100" w:afterAutospacing="1"/>
            </w:pPr>
            <w:r>
              <w:rPr>
                <w:color w:val="000000"/>
                <w:sz w:val="18"/>
                <w:szCs w:val="18"/>
              </w:rPr>
              <w:t>Continuous biocatalysis with immobilised enzymes</w:t>
            </w:r>
          </w:p>
        </w:tc>
        <w:tc>
          <w:tcPr>
            <w:tcW w:w="1078" w:type="pct"/>
            <w:tcMar>
              <w:top w:w="60" w:type="dxa"/>
              <w:left w:w="90" w:type="dxa"/>
              <w:bottom w:w="60" w:type="dxa"/>
              <w:right w:w="90" w:type="dxa"/>
            </w:tcMar>
          </w:tcPr>
          <w:p w14:paraId="0694CD1D" w14:textId="77777777" w:rsidR="00D9234C" w:rsidRDefault="00000000" w:rsidP="00E6294C">
            <w:pPr>
              <w:spacing w:before="100" w:beforeAutospacing="1" w:after="100" w:afterAutospacing="1"/>
            </w:pPr>
            <w:r>
              <w:rPr>
                <w:color w:val="000000"/>
                <w:sz w:val="18"/>
                <w:szCs w:val="18"/>
              </w:rPr>
              <w:t>Catalyst reuse; decoupling of residence time from batch cycle time</w:t>
            </w:r>
          </w:p>
        </w:tc>
        <w:tc>
          <w:tcPr>
            <w:tcW w:w="931" w:type="pct"/>
            <w:tcMar>
              <w:top w:w="60" w:type="dxa"/>
              <w:left w:w="90" w:type="dxa"/>
              <w:bottom w:w="60" w:type="dxa"/>
              <w:right w:w="90" w:type="dxa"/>
            </w:tcMar>
          </w:tcPr>
          <w:p w14:paraId="158D7308" w14:textId="77777777" w:rsidR="00D9234C" w:rsidRDefault="00000000" w:rsidP="00E6294C">
            <w:pPr>
              <w:spacing w:before="100" w:beforeAutospacing="1" w:after="100" w:afterAutospacing="1"/>
            </w:pPr>
            <w:r>
              <w:rPr>
                <w:color w:val="000000"/>
                <w:sz w:val="18"/>
                <w:szCs w:val="18"/>
              </w:rPr>
              <w:t>Pilot scale for fine chemicals</w:t>
            </w:r>
          </w:p>
        </w:tc>
        <w:tc>
          <w:tcPr>
            <w:tcW w:w="1225" w:type="pct"/>
            <w:tcMar>
              <w:top w:w="60" w:type="dxa"/>
              <w:left w:w="90" w:type="dxa"/>
              <w:bottom w:w="60" w:type="dxa"/>
              <w:right w:w="90" w:type="dxa"/>
            </w:tcMar>
          </w:tcPr>
          <w:p w14:paraId="6E82B4CC" w14:textId="77777777" w:rsidR="00D9234C" w:rsidRDefault="00000000" w:rsidP="00E6294C">
            <w:pPr>
              <w:spacing w:before="100" w:beforeAutospacing="1" w:after="100" w:afterAutospacing="1"/>
            </w:pPr>
            <w:r>
              <w:rPr>
                <w:color w:val="000000"/>
                <w:sz w:val="18"/>
                <w:szCs w:val="18"/>
              </w:rPr>
              <w:t>Material burden of immobilisation support rarely included in comparative accounting</w:t>
            </w:r>
          </w:p>
        </w:tc>
        <w:tc>
          <w:tcPr>
            <w:tcW w:w="980" w:type="pct"/>
            <w:tcMar>
              <w:top w:w="60" w:type="dxa"/>
              <w:left w:w="90" w:type="dxa"/>
              <w:bottom w:w="60" w:type="dxa"/>
              <w:right w:w="90" w:type="dxa"/>
            </w:tcMar>
          </w:tcPr>
          <w:p w14:paraId="275EED79" w14:textId="77777777" w:rsidR="00D9234C" w:rsidRDefault="00000000" w:rsidP="00E6294C">
            <w:pPr>
              <w:spacing w:before="100" w:beforeAutospacing="1" w:after="100" w:afterAutospacing="1"/>
            </w:pPr>
            <w:r>
              <w:rPr>
                <w:color w:val="000000"/>
                <w:sz w:val="18"/>
                <w:szCs w:val="18"/>
              </w:rPr>
              <w:t>Thompson et al. (2019)</w:t>
            </w:r>
          </w:p>
        </w:tc>
      </w:tr>
      <w:tr w:rsidR="00D9234C" w14:paraId="1924F121" w14:textId="77777777" w:rsidTr="00E6294C">
        <w:tc>
          <w:tcPr>
            <w:tcW w:w="784" w:type="pct"/>
            <w:tcMar>
              <w:top w:w="60" w:type="dxa"/>
              <w:left w:w="90" w:type="dxa"/>
              <w:bottom w:w="60" w:type="dxa"/>
              <w:right w:w="90" w:type="dxa"/>
            </w:tcMar>
          </w:tcPr>
          <w:p w14:paraId="5C7B1275" w14:textId="77777777" w:rsidR="00D9234C" w:rsidRDefault="00000000" w:rsidP="00E6294C">
            <w:pPr>
              <w:spacing w:before="100" w:beforeAutospacing="1" w:after="100" w:afterAutospacing="1"/>
            </w:pPr>
            <w:r>
              <w:rPr>
                <w:color w:val="000000"/>
                <w:sz w:val="18"/>
                <w:szCs w:val="18"/>
              </w:rPr>
              <w:t>Photochemical activation</w:t>
            </w:r>
          </w:p>
        </w:tc>
        <w:tc>
          <w:tcPr>
            <w:tcW w:w="1078" w:type="pct"/>
            <w:tcMar>
              <w:top w:w="60" w:type="dxa"/>
              <w:left w:w="90" w:type="dxa"/>
              <w:bottom w:w="60" w:type="dxa"/>
              <w:right w:w="90" w:type="dxa"/>
            </w:tcMar>
          </w:tcPr>
          <w:p w14:paraId="787FFD20" w14:textId="77777777" w:rsidR="00D9234C" w:rsidRDefault="00000000" w:rsidP="00E6294C">
            <w:pPr>
              <w:spacing w:before="100" w:beforeAutospacing="1" w:after="100" w:afterAutospacing="1"/>
            </w:pPr>
            <w:r>
              <w:rPr>
                <w:color w:val="000000"/>
                <w:sz w:val="18"/>
                <w:szCs w:val="18"/>
              </w:rPr>
              <w:t>Substitution of photons for stoichiometric oxidants and radical initiators</w:t>
            </w:r>
          </w:p>
        </w:tc>
        <w:tc>
          <w:tcPr>
            <w:tcW w:w="931" w:type="pct"/>
            <w:tcMar>
              <w:top w:w="60" w:type="dxa"/>
              <w:left w:w="90" w:type="dxa"/>
              <w:bottom w:w="60" w:type="dxa"/>
              <w:right w:w="90" w:type="dxa"/>
            </w:tcMar>
          </w:tcPr>
          <w:p w14:paraId="611EA0AB" w14:textId="77777777" w:rsidR="00D9234C" w:rsidRDefault="00000000" w:rsidP="00E6294C">
            <w:pPr>
              <w:spacing w:before="100" w:beforeAutospacing="1" w:after="100" w:afterAutospacing="1"/>
            </w:pPr>
            <w:r>
              <w:rPr>
                <w:color w:val="000000"/>
                <w:sz w:val="18"/>
                <w:szCs w:val="18"/>
              </w:rPr>
              <w:t>Pilot scale; limited commercial adoption</w:t>
            </w:r>
          </w:p>
        </w:tc>
        <w:tc>
          <w:tcPr>
            <w:tcW w:w="1225" w:type="pct"/>
            <w:tcMar>
              <w:top w:w="60" w:type="dxa"/>
              <w:left w:w="90" w:type="dxa"/>
              <w:bottom w:w="60" w:type="dxa"/>
              <w:right w:w="90" w:type="dxa"/>
            </w:tcMar>
          </w:tcPr>
          <w:p w14:paraId="6F06BDA0" w14:textId="77777777" w:rsidR="00D9234C" w:rsidRDefault="00000000" w:rsidP="00E6294C">
            <w:pPr>
              <w:spacing w:before="100" w:beforeAutospacing="1" w:after="100" w:afterAutospacing="1"/>
            </w:pPr>
            <w:r>
              <w:rPr>
                <w:color w:val="000000"/>
                <w:sz w:val="18"/>
                <w:szCs w:val="18"/>
              </w:rPr>
              <w:t>No published manufacturing-scale life cycle comparison; photocatalyst cost and photon delivery unresolved</w:t>
            </w:r>
          </w:p>
        </w:tc>
        <w:tc>
          <w:tcPr>
            <w:tcW w:w="980" w:type="pct"/>
            <w:tcMar>
              <w:top w:w="60" w:type="dxa"/>
              <w:left w:w="90" w:type="dxa"/>
              <w:bottom w:w="60" w:type="dxa"/>
              <w:right w:w="90" w:type="dxa"/>
            </w:tcMar>
          </w:tcPr>
          <w:p w14:paraId="70A5867A" w14:textId="77777777" w:rsidR="00D9234C" w:rsidRDefault="00000000" w:rsidP="00E6294C">
            <w:pPr>
              <w:spacing w:before="100" w:beforeAutospacing="1" w:after="100" w:afterAutospacing="1"/>
            </w:pPr>
            <w:proofErr w:type="spellStart"/>
            <w:r>
              <w:rPr>
                <w:color w:val="000000"/>
                <w:sz w:val="18"/>
                <w:szCs w:val="18"/>
              </w:rPr>
              <w:t>Buglioni</w:t>
            </w:r>
            <w:proofErr w:type="spellEnd"/>
            <w:r>
              <w:rPr>
                <w:color w:val="000000"/>
                <w:sz w:val="18"/>
                <w:szCs w:val="18"/>
              </w:rPr>
              <w:t xml:space="preserve"> et al. (2022); </w:t>
            </w:r>
            <w:proofErr w:type="spellStart"/>
            <w:r>
              <w:rPr>
                <w:color w:val="000000"/>
                <w:sz w:val="18"/>
                <w:szCs w:val="18"/>
              </w:rPr>
              <w:t>Candish</w:t>
            </w:r>
            <w:proofErr w:type="spellEnd"/>
            <w:r>
              <w:rPr>
                <w:color w:val="000000"/>
                <w:sz w:val="18"/>
                <w:szCs w:val="18"/>
              </w:rPr>
              <w:t xml:space="preserve"> et al. (2022)</w:t>
            </w:r>
          </w:p>
        </w:tc>
      </w:tr>
      <w:tr w:rsidR="00D9234C" w14:paraId="2EEA331E" w14:textId="77777777" w:rsidTr="00E6294C">
        <w:tc>
          <w:tcPr>
            <w:tcW w:w="784" w:type="pct"/>
            <w:tcMar>
              <w:top w:w="60" w:type="dxa"/>
              <w:left w:w="90" w:type="dxa"/>
              <w:bottom w:w="60" w:type="dxa"/>
              <w:right w:w="90" w:type="dxa"/>
            </w:tcMar>
          </w:tcPr>
          <w:p w14:paraId="39434DBD" w14:textId="77777777" w:rsidR="00D9234C" w:rsidRDefault="00000000" w:rsidP="00E6294C">
            <w:pPr>
              <w:spacing w:before="100" w:beforeAutospacing="1" w:after="100" w:afterAutospacing="1"/>
            </w:pPr>
            <w:r>
              <w:rPr>
                <w:color w:val="000000"/>
                <w:sz w:val="18"/>
                <w:szCs w:val="18"/>
              </w:rPr>
              <w:lastRenderedPageBreak/>
              <w:t>Electrochemical activation</w:t>
            </w:r>
          </w:p>
        </w:tc>
        <w:tc>
          <w:tcPr>
            <w:tcW w:w="1078" w:type="pct"/>
            <w:tcMar>
              <w:top w:w="60" w:type="dxa"/>
              <w:left w:w="90" w:type="dxa"/>
              <w:bottom w:w="60" w:type="dxa"/>
              <w:right w:w="90" w:type="dxa"/>
            </w:tcMar>
          </w:tcPr>
          <w:p w14:paraId="660A21D3" w14:textId="77777777" w:rsidR="00D9234C" w:rsidRDefault="00000000" w:rsidP="00E6294C">
            <w:pPr>
              <w:spacing w:before="100" w:beforeAutospacing="1" w:after="100" w:afterAutospacing="1"/>
            </w:pPr>
            <w:r>
              <w:rPr>
                <w:color w:val="000000"/>
                <w:sz w:val="18"/>
                <w:szCs w:val="18"/>
              </w:rPr>
              <w:t>Substitution of electrons for chemical oxidants and reductants</w:t>
            </w:r>
          </w:p>
        </w:tc>
        <w:tc>
          <w:tcPr>
            <w:tcW w:w="931" w:type="pct"/>
            <w:tcMar>
              <w:top w:w="60" w:type="dxa"/>
              <w:left w:w="90" w:type="dxa"/>
              <w:bottom w:w="60" w:type="dxa"/>
              <w:right w:w="90" w:type="dxa"/>
            </w:tcMar>
          </w:tcPr>
          <w:p w14:paraId="2DC09783" w14:textId="77777777" w:rsidR="00D9234C" w:rsidRDefault="00000000" w:rsidP="00E6294C">
            <w:pPr>
              <w:spacing w:before="100" w:beforeAutospacing="1" w:after="100" w:afterAutospacing="1"/>
            </w:pPr>
            <w:r>
              <w:rPr>
                <w:color w:val="000000"/>
                <w:sz w:val="18"/>
                <w:szCs w:val="18"/>
              </w:rPr>
              <w:t>Laboratory to early pilot scale</w:t>
            </w:r>
          </w:p>
        </w:tc>
        <w:tc>
          <w:tcPr>
            <w:tcW w:w="1225" w:type="pct"/>
            <w:tcMar>
              <w:top w:w="60" w:type="dxa"/>
              <w:left w:w="90" w:type="dxa"/>
              <w:bottom w:w="60" w:type="dxa"/>
              <w:right w:w="90" w:type="dxa"/>
            </w:tcMar>
          </w:tcPr>
          <w:p w14:paraId="508139BB" w14:textId="77777777" w:rsidR="00D9234C" w:rsidRDefault="00000000" w:rsidP="00E6294C">
            <w:pPr>
              <w:spacing w:before="100" w:beforeAutospacing="1" w:after="100" w:afterAutospacing="1"/>
            </w:pPr>
            <w:r>
              <w:rPr>
                <w:color w:val="000000"/>
                <w:sz w:val="18"/>
                <w:szCs w:val="18"/>
              </w:rPr>
              <w:t>Electrode fouling, current distribution and electrolyte recovery unresolved; benefit contingent on electricity source</w:t>
            </w:r>
          </w:p>
        </w:tc>
        <w:tc>
          <w:tcPr>
            <w:tcW w:w="980" w:type="pct"/>
            <w:tcMar>
              <w:top w:w="60" w:type="dxa"/>
              <w:left w:w="90" w:type="dxa"/>
              <w:bottom w:w="60" w:type="dxa"/>
              <w:right w:w="90" w:type="dxa"/>
            </w:tcMar>
          </w:tcPr>
          <w:p w14:paraId="08909D2B" w14:textId="77777777" w:rsidR="00D9234C" w:rsidRDefault="00000000" w:rsidP="00E6294C">
            <w:pPr>
              <w:spacing w:before="100" w:beforeAutospacing="1" w:after="100" w:afterAutospacing="1"/>
            </w:pPr>
            <w:r>
              <w:rPr>
                <w:color w:val="000000"/>
                <w:sz w:val="18"/>
                <w:szCs w:val="18"/>
              </w:rPr>
              <w:t>Kingston et al. (2020)</w:t>
            </w:r>
          </w:p>
        </w:tc>
      </w:tr>
      <w:tr w:rsidR="00D9234C" w14:paraId="1B91230A" w14:textId="77777777" w:rsidTr="00E6294C">
        <w:tc>
          <w:tcPr>
            <w:tcW w:w="784" w:type="pct"/>
            <w:tcMar>
              <w:top w:w="60" w:type="dxa"/>
              <w:left w:w="90" w:type="dxa"/>
              <w:bottom w:w="60" w:type="dxa"/>
              <w:right w:w="90" w:type="dxa"/>
            </w:tcMar>
          </w:tcPr>
          <w:p w14:paraId="69B7DE16" w14:textId="77777777" w:rsidR="00D9234C" w:rsidRDefault="00000000" w:rsidP="00E6294C">
            <w:pPr>
              <w:spacing w:before="100" w:beforeAutospacing="1" w:after="100" w:afterAutospacing="1"/>
            </w:pPr>
            <w:r>
              <w:rPr>
                <w:color w:val="000000"/>
                <w:sz w:val="18"/>
                <w:szCs w:val="18"/>
              </w:rPr>
              <w:t>Mechanochemical activation and twin-screw extrusion</w:t>
            </w:r>
          </w:p>
        </w:tc>
        <w:tc>
          <w:tcPr>
            <w:tcW w:w="1078" w:type="pct"/>
            <w:tcMar>
              <w:top w:w="60" w:type="dxa"/>
              <w:left w:w="90" w:type="dxa"/>
              <w:bottom w:w="60" w:type="dxa"/>
              <w:right w:w="90" w:type="dxa"/>
            </w:tcMar>
          </w:tcPr>
          <w:p w14:paraId="4DCFEA2D" w14:textId="77777777" w:rsidR="00D9234C" w:rsidRDefault="00000000" w:rsidP="00E6294C">
            <w:pPr>
              <w:spacing w:before="100" w:beforeAutospacing="1" w:after="100" w:afterAutospacing="1"/>
            </w:pPr>
            <w:r>
              <w:rPr>
                <w:color w:val="000000"/>
                <w:sz w:val="18"/>
                <w:szCs w:val="18"/>
              </w:rPr>
              <w:t>Elimination of bulk solvent from the bond-forming step</w:t>
            </w:r>
          </w:p>
        </w:tc>
        <w:tc>
          <w:tcPr>
            <w:tcW w:w="931" w:type="pct"/>
            <w:tcMar>
              <w:top w:w="60" w:type="dxa"/>
              <w:left w:w="90" w:type="dxa"/>
              <w:bottom w:w="60" w:type="dxa"/>
              <w:right w:w="90" w:type="dxa"/>
            </w:tcMar>
          </w:tcPr>
          <w:p w14:paraId="3C57A7AD" w14:textId="77777777" w:rsidR="00D9234C" w:rsidRDefault="00000000" w:rsidP="00E6294C">
            <w:pPr>
              <w:spacing w:before="100" w:beforeAutospacing="1" w:after="100" w:afterAutospacing="1"/>
            </w:pPr>
            <w:r>
              <w:rPr>
                <w:color w:val="000000"/>
                <w:sz w:val="18"/>
                <w:szCs w:val="18"/>
              </w:rPr>
              <w:t>Laboratory and small pilot scale for peptides</w:t>
            </w:r>
          </w:p>
        </w:tc>
        <w:tc>
          <w:tcPr>
            <w:tcW w:w="1225" w:type="pct"/>
            <w:tcMar>
              <w:top w:w="60" w:type="dxa"/>
              <w:left w:w="90" w:type="dxa"/>
              <w:bottom w:w="60" w:type="dxa"/>
              <w:right w:w="90" w:type="dxa"/>
            </w:tcMar>
          </w:tcPr>
          <w:p w14:paraId="09C85DD6" w14:textId="77777777" w:rsidR="00D9234C" w:rsidRDefault="00000000" w:rsidP="00E6294C">
            <w:pPr>
              <w:spacing w:before="100" w:beforeAutospacing="1" w:after="100" w:afterAutospacing="1"/>
            </w:pPr>
            <w:r>
              <w:rPr>
                <w:color w:val="000000"/>
                <w:sz w:val="18"/>
                <w:szCs w:val="18"/>
              </w:rPr>
              <w:t>Energy input reporting not standardised; no comparative life cycle assessment against solid-phase synthesis</w:t>
            </w:r>
          </w:p>
        </w:tc>
        <w:tc>
          <w:tcPr>
            <w:tcW w:w="980" w:type="pct"/>
            <w:tcMar>
              <w:top w:w="60" w:type="dxa"/>
              <w:left w:w="90" w:type="dxa"/>
              <w:bottom w:w="60" w:type="dxa"/>
              <w:right w:w="90" w:type="dxa"/>
            </w:tcMar>
          </w:tcPr>
          <w:p w14:paraId="66C480E1" w14:textId="77777777" w:rsidR="00D9234C" w:rsidRDefault="00000000" w:rsidP="00E6294C">
            <w:pPr>
              <w:spacing w:before="100" w:beforeAutospacing="1" w:after="100" w:afterAutospacing="1"/>
            </w:pPr>
            <w:r>
              <w:rPr>
                <w:color w:val="000000"/>
                <w:sz w:val="18"/>
                <w:szCs w:val="18"/>
              </w:rPr>
              <w:t>Ardila-Fierro &amp; Hernández (2021); Friščić et al. (2020); Daurio et al. (2025)</w:t>
            </w:r>
          </w:p>
        </w:tc>
      </w:tr>
    </w:tbl>
    <w:p w14:paraId="29F9EE4E" w14:textId="77777777" w:rsidR="00D9234C" w:rsidRDefault="00000000" w:rsidP="00E6294C">
      <w:pPr>
        <w:spacing w:before="100" w:beforeAutospacing="1" w:after="100" w:afterAutospacing="1"/>
      </w:pPr>
      <w:r>
        <w:rPr>
          <w:color w:val="000000"/>
          <w:sz w:val="16"/>
          <w:szCs w:val="16"/>
        </w:rPr>
        <w:t>Note. Scale of demonstration refers to the highest scale reported in the peer-reviewed sources cited, not to unpublished industrial practice, which may be more advanced. Absence of published manufacturing-scale evidence is not evidence that a technology performs poorly at that scale.</w:t>
      </w:r>
    </w:p>
    <w:p w14:paraId="7437FE99" w14:textId="77777777" w:rsidR="00D9234C" w:rsidRDefault="00000000" w:rsidP="00E6294C">
      <w:pPr>
        <w:pStyle w:val="Heading1"/>
        <w:spacing w:before="100" w:beforeAutospacing="1" w:after="100" w:afterAutospacing="1"/>
      </w:pPr>
      <w:r>
        <w:rPr>
          <w:b/>
          <w:bCs/>
          <w:color w:val="000000"/>
          <w:sz w:val="26"/>
          <w:szCs w:val="26"/>
        </w:rPr>
        <w:t>6. Digital Intelligence: Capability Demonstrated, Sustainability Benefit Assumed</w:t>
      </w:r>
    </w:p>
    <w:p w14:paraId="232F32BD" w14:textId="77777777" w:rsidR="00D9234C" w:rsidRDefault="00000000" w:rsidP="00E6294C">
      <w:pPr>
        <w:pStyle w:val="Heading2"/>
        <w:spacing w:before="100" w:beforeAutospacing="1" w:after="100" w:afterAutospacing="1"/>
      </w:pPr>
      <w:r>
        <w:rPr>
          <w:b/>
          <w:bCs/>
          <w:color w:val="000000"/>
          <w:sz w:val="24"/>
          <w:szCs w:val="24"/>
        </w:rPr>
        <w:t>6.1 Retrosynthetic prediction and route-level environmental selection</w:t>
      </w:r>
    </w:p>
    <w:p w14:paraId="64BA3993" w14:textId="77777777" w:rsidR="00D9234C" w:rsidRDefault="00000000" w:rsidP="00E6294C">
      <w:pPr>
        <w:spacing w:before="100" w:beforeAutospacing="1" w:after="100" w:afterAutospacing="1"/>
        <w:jc w:val="both"/>
      </w:pPr>
      <w:r>
        <w:rPr>
          <w:color w:val="000000"/>
        </w:rPr>
        <w:t>Computational retrosynthesis progressed from rule-based systems of limited coverage to neural models trained on reaction corpora that propose routes at a speed and breadth no chemist can match. A hybrid approach combining neural policy networks with Monte Carlo tree search produced routes that experienced chemists could not reliably distinguish from literature routes in blinded comparison, establishing that the models had captured usable synthetic knowledge rather than memorised patterns (Segler et al., 2018). Sequence-to-sequence modelling of reaction transformations subsequently delivered forward prediction with calibrated uncertainty, permitting a model to indicate when its prediction should not be trusted, which matters more for process application than raw accuracy (Schwaller et al., 2019). Critical reviews of the field have documented rapid improvement in benchmark performance alongside persistent concerns regarding dataset provenance, the near-absence of reported negative results in training corpora, and the weak correspondence between benchmark metrics and laboratory utility (Schwaller et al., 2022). Related work has focused specifically on predicting reaction conditions rather than connectivity, which is where most environmental burden is determined (Han et al., 2024).</w:t>
      </w:r>
    </w:p>
    <w:p w14:paraId="573FB017" w14:textId="77777777" w:rsidR="00D9234C" w:rsidRDefault="00000000" w:rsidP="00E6294C">
      <w:pPr>
        <w:spacing w:before="100" w:beforeAutospacing="1" w:after="100" w:afterAutospacing="1"/>
        <w:jc w:val="both"/>
      </w:pPr>
      <w:r>
        <w:rPr>
          <w:color w:val="000000"/>
        </w:rPr>
        <w:t>The connection between this capability and sustainability is where the evidence becomes thin. A model trained on the published reaction record learns the preferences embedded in that record, including its reliance on dipolar aprotic solvents, palladium catalysis and chlorinated extraction solvents. Absent an explicit sustainability objective, a retrosynthetic model will propose conventional chemistry efficiently. Route scoring that incorporates green metrics has been proposed, and complexity-based prediction of process mass intensity provides a mechanism by which route candidates could be ranked environmentally before experiment (Angelini et al., 2023). No published study, however, reports a manufacturing process whose route was selected by an environmentally weighted computational method and whose realised environmental performance was subsequently measured against the alternative. The claim that computational route design improves sustainability is at present mechanistically plausible and empirically unsupported.</w:t>
      </w:r>
    </w:p>
    <w:p w14:paraId="41534D94" w14:textId="77777777" w:rsidR="00D9234C" w:rsidRDefault="00000000" w:rsidP="00E6294C">
      <w:pPr>
        <w:pStyle w:val="Heading2"/>
        <w:spacing w:before="100" w:beforeAutospacing="1" w:after="100" w:afterAutospacing="1"/>
      </w:pPr>
      <w:r>
        <w:rPr>
          <w:b/>
          <w:bCs/>
          <w:color w:val="000000"/>
          <w:sz w:val="24"/>
          <w:szCs w:val="24"/>
        </w:rPr>
        <w:t>6.2 Closed-loop optimisation and autonomous experimentation</w:t>
      </w:r>
    </w:p>
    <w:p w14:paraId="33D3FDD5" w14:textId="77777777" w:rsidR="00D9234C" w:rsidRDefault="00000000" w:rsidP="00E6294C">
      <w:pPr>
        <w:spacing w:before="100" w:beforeAutospacing="1" w:after="100" w:afterAutospacing="1"/>
        <w:jc w:val="both"/>
      </w:pPr>
      <w:r>
        <w:rPr>
          <w:color w:val="000000"/>
        </w:rPr>
        <w:t xml:space="preserve">Reaction optimisation is the stage at which environmental performance is most directly determined, since it fixes solvent, concentration, temperature, catalyst loading and stoichiometry. Bayesian optimisation applied to reaction conditions outperformed human experts, including experienced process chemists, in a controlled comparison on a defined optimisation problem, and did so with </w:t>
      </w:r>
      <w:r>
        <w:rPr>
          <w:color w:val="000000"/>
        </w:rPr>
        <w:lastRenderedPageBreak/>
        <w:t>fewer experiments (Shields et al., 2021). Extension to the identification of generally applicable conditions across substrate classes, rather than conditions optimal for a single substrate, addressed a limitation of greater industrial relevance, since manufacturing benefits more from robust general conditions than from narrowly optimal ones (Angello et al., 2022). Critical review of the optimisation literature has emphasised that algorithm choice matters less than the definition of the objective function and the quality of the experimental platform, and that comparisons between optimisation methods are frequently confounded by differences in the underlying hardware (Taylor et al., 2023).</w:t>
      </w:r>
    </w:p>
    <w:p w14:paraId="66BDB0C3" w14:textId="77777777" w:rsidR="00D9234C" w:rsidRDefault="00000000" w:rsidP="00E6294C">
      <w:pPr>
        <w:spacing w:before="100" w:beforeAutospacing="1" w:after="100" w:afterAutospacing="1"/>
        <w:jc w:val="both"/>
      </w:pPr>
      <w:r>
        <w:rPr>
          <w:color w:val="000000"/>
        </w:rPr>
        <w:t xml:space="preserve">Autonomous platforms extend optimisation into unattended operation. Integration of computational route planning with robotic flow synthesis demonstrated that a system could plan and execute the synthesis of multiple targets with limited human intervention (Coley et al., 2019). A mobile robotic system operating in a conventional laboratory conducted an extended autonomous campaign in a large parameter space, demonstrating that autonomy need not require purpose-built facilities (Burger et al., 2020). Reviews of self-driving laboratories have described the field as advancing rapidly in capability while lacking standardisation, reproducibility conventions and shared benchmarks (Bennett &amp; </w:t>
      </w:r>
      <w:proofErr w:type="spellStart"/>
      <w:r>
        <w:rPr>
          <w:color w:val="000000"/>
        </w:rPr>
        <w:t>Abolhasani</w:t>
      </w:r>
      <w:proofErr w:type="spellEnd"/>
      <w:r>
        <w:rPr>
          <w:color w:val="000000"/>
        </w:rPr>
        <w:t>, 2022; Bayley et al., 2024). Multi-objective operation is the development of greatest relevance here: autonomous mapping of a Pareto front between competing objectives permits explicit trade-off between yield, cost and material efficiency rather than optimisation of yield alone (Bennett et al., 2024). Large language models have been applied to plan and execute experimental sequences from natural-language instructions, extending autonomy from parameter search towards task specification, though the reported demonstrations concern well-precedented reactions and the reliability of such systems on unfamiliar chemistry is untested (Boiko et al., 2023). Automated synthesis platforms for small molecules developed along a parallel path, motivated by throughput rather than sustainability, and the two lines of work have not yet been systematically integrated (Trobe &amp; Burke, 2018).</w:t>
      </w:r>
    </w:p>
    <w:p w14:paraId="1633279F" w14:textId="77777777" w:rsidR="00D9234C" w:rsidRDefault="00000000" w:rsidP="00E6294C">
      <w:pPr>
        <w:spacing w:before="100" w:beforeAutospacing="1" w:after="100" w:afterAutospacing="1"/>
        <w:jc w:val="both"/>
      </w:pPr>
      <w:r>
        <w:rPr>
          <w:color w:val="000000"/>
        </w:rPr>
        <w:t>The sustainability argument for autonomous optimisation is that it finds better conditions with fewer experiments, and that better conditions consume less material. Both parts are supported in principle, but the reported gains concern the efficiency of the optimisation campaign rather than the environmental performance of the resulting process. The relevant comparison, between the environmental performance of an autonomously optimised manufacturing process and that of a conventionally developed one, has not been published.</w:t>
      </w:r>
    </w:p>
    <w:p w14:paraId="4383BF20" w14:textId="77777777" w:rsidR="00D9234C" w:rsidRDefault="00000000" w:rsidP="00E6294C">
      <w:pPr>
        <w:pStyle w:val="Heading2"/>
        <w:spacing w:before="100" w:beforeAutospacing="1" w:after="100" w:afterAutospacing="1"/>
      </w:pPr>
      <w:r>
        <w:rPr>
          <w:b/>
          <w:bCs/>
          <w:color w:val="000000"/>
          <w:sz w:val="24"/>
          <w:szCs w:val="24"/>
        </w:rPr>
        <w:t>6.3 Enzyme design, process systems modelling and digital process control</w:t>
      </w:r>
    </w:p>
    <w:p w14:paraId="30480997" w14:textId="77777777" w:rsidR="00D9234C" w:rsidRDefault="00000000" w:rsidP="00E6294C">
      <w:pPr>
        <w:spacing w:before="100" w:beforeAutospacing="1" w:after="100" w:afterAutospacing="1"/>
        <w:jc w:val="both"/>
      </w:pPr>
      <w:r>
        <w:rPr>
          <w:color w:val="000000"/>
        </w:rPr>
        <w:t>Machine learning has entered enzyme engineering, where it addresses the development burden identified in Section 4.3 as the principal unaccounted cost of biocatalysis. Generative models now propose sequence variants with improved activity, stability or substrate scope, reducing the number of variants that must be screened experimentally (Wen et al., 2025). Reviews of the transition from directed evolution towards computationally guided design describe substantial reduction in screening effort for well-characterised enzyme families, with performance falling away for novel folds and for activities without close natural precedent (</w:t>
      </w:r>
      <w:proofErr w:type="spellStart"/>
      <w:r>
        <w:rPr>
          <w:color w:val="000000"/>
        </w:rPr>
        <w:t>Lv</w:t>
      </w:r>
      <w:proofErr w:type="spellEnd"/>
      <w:r>
        <w:rPr>
          <w:color w:val="000000"/>
        </w:rPr>
        <w:t xml:space="preserve"> et al., 2026). If these methods generalise, they would materially alter the economics of biocatalytic route selection by shortening the engineering campaign that currently restricts biocatalysis to high-value targets. The evidence is recent and largely retrospective, and prospective demonstration of a manufacturing process whose enzyme was designed rather than evolved has not been reported.</w:t>
      </w:r>
    </w:p>
    <w:p w14:paraId="56A4ACF6" w14:textId="77777777" w:rsidR="00D9234C" w:rsidRDefault="00000000" w:rsidP="00E6294C">
      <w:pPr>
        <w:spacing w:before="100" w:beforeAutospacing="1" w:after="100" w:afterAutospacing="1"/>
        <w:jc w:val="both"/>
      </w:pPr>
      <w:r>
        <w:rPr>
          <w:color w:val="000000"/>
        </w:rPr>
        <w:t xml:space="preserve">At the process systems level, machine learning has been combined with conventional process modelling to support design and operation under sustainability objectives, principally through surrogate modelling that reduces the computational cost of optimisation and through data-driven identification of relationships that mechanistic models capture poorly (Torres et al., 2025). Digital twins, in which a validated model runs in parallel with the physical process, have been reviewed for </w:t>
      </w:r>
      <w:r>
        <w:rPr>
          <w:color w:val="000000"/>
        </w:rPr>
        <w:lastRenderedPageBreak/>
        <w:t>pharmaceutical and biopharmaceutical manufacturing, with the assessment that most published implementations address unit operations rather than integrated processes and that model validation and maintenance under changing raw material properties remain the principal obstacles (Chen et al., 2020). These constraints are consequential for sustainability, since the environmental benefit of a digital twin arises from tighter control and reduced batch rejection, both of which depend on the model remaining accurate over the operational lifetime.</w:t>
      </w:r>
    </w:p>
    <w:p w14:paraId="068C41AC" w14:textId="77777777" w:rsidR="00D9234C" w:rsidRDefault="00000000" w:rsidP="00E6294C">
      <w:pPr>
        <w:spacing w:before="100" w:beforeAutospacing="1" w:after="100" w:afterAutospacing="1"/>
        <w:jc w:val="both"/>
      </w:pPr>
      <w:r>
        <w:rPr>
          <w:color w:val="000000"/>
        </w:rPr>
        <w:t>Digital control of manufacturing depends on measurement. Process analytical technology provides the in-process measurement on which real-time control and real-time release depend, and comprehensive assessment of the field identified spectroscopic and imaging methods as mature for many applications while noting persistent difficulties in calibration transfer, model maintenance and the handling of measurement drift (Simon et al., 2015). Quality by design supplies the framework linking process understanding to control strategy, and systematic review of its implementation found adoption uneven, with the design space concept applied more often in submission documents than in operational decision-making (Grangeia et al., 2020). The environmental relevance is direct but indirect in mechanism: reduced variability lowers batch failure, and a failed batch represents the total material and energy input of the process converted entirely to waste. No published analysis quantifies the aggregate environmental benefit of improved control across a manufacturing portfolio, which is a notable omission given that the mechanism is uncontested.</w:t>
      </w:r>
    </w:p>
    <w:p w14:paraId="4DC010F7" w14:textId="77777777" w:rsidR="00D9234C" w:rsidRDefault="00000000" w:rsidP="00E6294C">
      <w:pPr>
        <w:pStyle w:val="Heading2"/>
        <w:spacing w:before="100" w:beforeAutospacing="1" w:after="100" w:afterAutospacing="1"/>
      </w:pPr>
      <w:r>
        <w:rPr>
          <w:b/>
          <w:bCs/>
          <w:color w:val="000000"/>
          <w:sz w:val="24"/>
          <w:szCs w:val="24"/>
        </w:rPr>
        <w:t>6.4 The unaccounted footprint and the data problem</w:t>
      </w:r>
    </w:p>
    <w:p w14:paraId="5C57B762" w14:textId="77777777" w:rsidR="00D9234C" w:rsidRDefault="00000000" w:rsidP="00E6294C">
      <w:pPr>
        <w:spacing w:before="100" w:beforeAutospacing="1" w:after="100" w:afterAutospacing="1"/>
        <w:jc w:val="both"/>
      </w:pPr>
      <w:r>
        <w:rPr>
          <w:color w:val="000000"/>
        </w:rPr>
        <w:t>Two systematic weaknesses run through the digital literature. The first is that the energy and material cost of computation is almost never included in the sustainability accounting of computational methods. Training large reaction models, running extended optimisation campaigns and operating autonomous platforms consume energy and specialised hardware, and the comparison between a computationally optimised process and a conventionally developed one is incomplete without that term. No study identified in this review reported it.</w:t>
      </w:r>
    </w:p>
    <w:p w14:paraId="2C231AC5" w14:textId="77777777" w:rsidR="00D9234C" w:rsidRDefault="00000000" w:rsidP="00E6294C">
      <w:pPr>
        <w:spacing w:before="100" w:beforeAutospacing="1" w:after="100" w:afterAutospacing="1"/>
        <w:jc w:val="both"/>
      </w:pPr>
      <w:r>
        <w:rPr>
          <w:color w:val="000000"/>
        </w:rPr>
        <w:t>The second is dependence on data whose properties are poorly matched to the application. Reaction databases record what was published, not what was attempted, so negative and failed results are largely absent; conditions are recorded incompletely; and the distribution of reactions reflects medicinal chemistry practice rather than manufacturing practice (Schwaller et al., 2022). A model trained on such data will predict well for reaction types that are already well precedented and poorly for the underexplored chemistry where environmental improvement is most available. This is a structural constraint rather than a temporary one, and it will not be resolved by larger models.</w:t>
      </w:r>
    </w:p>
    <w:p w14:paraId="59C6CE2F" w14:textId="77777777" w:rsidR="00D9234C" w:rsidRDefault="00000000" w:rsidP="00E6294C">
      <w:pPr>
        <w:spacing w:before="100" w:beforeAutospacing="1" w:after="100" w:afterAutospacing="1"/>
        <w:jc w:val="both"/>
      </w:pPr>
      <w:r>
        <w:rPr>
          <w:color w:val="000000"/>
        </w:rPr>
        <w:t>Table 4 assesses the principal digital approaches against their function, maturity for application in regulated manufacture and the specific evidence gap that limits confidence. The pattern is consistent across approaches: capability is well demonstrated, environmental benefit is inferred rather than measured, and the inference depends on assumptions that have not been tested at manufacturing scale.</w:t>
      </w:r>
    </w:p>
    <w:p w14:paraId="3AE0BA04" w14:textId="77777777" w:rsidR="00D9234C" w:rsidRDefault="00000000" w:rsidP="00E6294C">
      <w:pPr>
        <w:spacing w:before="100" w:beforeAutospacing="1" w:after="100" w:afterAutospacing="1"/>
      </w:pPr>
      <w:r>
        <w:rPr>
          <w:b/>
          <w:bCs/>
          <w:color w:val="000000"/>
          <w:sz w:val="20"/>
          <w:szCs w:val="20"/>
        </w:rPr>
        <w:t>Table 4. Digital and computational approaches to pharmaceutical process design, with maturity for regulated manufacture and evidence gaps.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605"/>
        <w:gridCol w:w="2077"/>
        <w:gridCol w:w="1511"/>
        <w:gridCol w:w="2359"/>
        <w:gridCol w:w="2076"/>
      </w:tblGrid>
      <w:tr w:rsidR="00D9234C" w14:paraId="523F471D" w14:textId="77777777" w:rsidTr="00E6294C">
        <w:trPr>
          <w:tblHeader/>
        </w:trPr>
        <w:tc>
          <w:tcPr>
            <w:tcW w:w="833" w:type="pct"/>
            <w:shd w:val="clear" w:color="auto" w:fill="E8E8E8"/>
            <w:tcMar>
              <w:top w:w="60" w:type="dxa"/>
              <w:left w:w="90" w:type="dxa"/>
              <w:bottom w:w="60" w:type="dxa"/>
              <w:right w:w="90" w:type="dxa"/>
            </w:tcMar>
          </w:tcPr>
          <w:p w14:paraId="5A4CF63B" w14:textId="77777777" w:rsidR="00D9234C" w:rsidRDefault="00000000" w:rsidP="00E6294C">
            <w:pPr>
              <w:spacing w:before="100" w:beforeAutospacing="1" w:after="100" w:afterAutospacing="1"/>
            </w:pPr>
            <w:r>
              <w:rPr>
                <w:b/>
                <w:bCs/>
                <w:color w:val="000000"/>
                <w:sz w:val="18"/>
                <w:szCs w:val="18"/>
              </w:rPr>
              <w:t>Approach</w:t>
            </w:r>
          </w:p>
        </w:tc>
        <w:tc>
          <w:tcPr>
            <w:tcW w:w="1078" w:type="pct"/>
            <w:shd w:val="clear" w:color="auto" w:fill="E8E8E8"/>
            <w:tcMar>
              <w:top w:w="60" w:type="dxa"/>
              <w:left w:w="90" w:type="dxa"/>
              <w:bottom w:w="60" w:type="dxa"/>
              <w:right w:w="90" w:type="dxa"/>
            </w:tcMar>
          </w:tcPr>
          <w:p w14:paraId="558F19E9" w14:textId="77777777" w:rsidR="00D9234C" w:rsidRDefault="00000000" w:rsidP="00E6294C">
            <w:pPr>
              <w:spacing w:before="100" w:beforeAutospacing="1" w:after="100" w:afterAutospacing="1"/>
            </w:pPr>
            <w:r>
              <w:rPr>
                <w:b/>
                <w:bCs/>
                <w:color w:val="000000"/>
                <w:sz w:val="18"/>
                <w:szCs w:val="18"/>
              </w:rPr>
              <w:t>Function in process development</w:t>
            </w:r>
          </w:p>
        </w:tc>
        <w:tc>
          <w:tcPr>
            <w:tcW w:w="784" w:type="pct"/>
            <w:shd w:val="clear" w:color="auto" w:fill="E8E8E8"/>
            <w:tcMar>
              <w:top w:w="60" w:type="dxa"/>
              <w:left w:w="90" w:type="dxa"/>
              <w:bottom w:w="60" w:type="dxa"/>
              <w:right w:w="90" w:type="dxa"/>
            </w:tcMar>
          </w:tcPr>
          <w:p w14:paraId="6DE1EFBC" w14:textId="77777777" w:rsidR="00D9234C" w:rsidRDefault="00000000" w:rsidP="00E6294C">
            <w:pPr>
              <w:spacing w:before="100" w:beforeAutospacing="1" w:after="100" w:afterAutospacing="1"/>
            </w:pPr>
            <w:r>
              <w:rPr>
                <w:b/>
                <w:bCs/>
                <w:color w:val="000000"/>
                <w:sz w:val="18"/>
                <w:szCs w:val="18"/>
              </w:rPr>
              <w:t>Maturity for regulated manufacture</w:t>
            </w:r>
          </w:p>
        </w:tc>
        <w:tc>
          <w:tcPr>
            <w:tcW w:w="1225" w:type="pct"/>
            <w:shd w:val="clear" w:color="auto" w:fill="E8E8E8"/>
            <w:tcMar>
              <w:top w:w="60" w:type="dxa"/>
              <w:left w:w="90" w:type="dxa"/>
              <w:bottom w:w="60" w:type="dxa"/>
              <w:right w:w="90" w:type="dxa"/>
            </w:tcMar>
          </w:tcPr>
          <w:p w14:paraId="0FB6F550" w14:textId="77777777" w:rsidR="00D9234C" w:rsidRDefault="00000000" w:rsidP="00E6294C">
            <w:pPr>
              <w:spacing w:before="100" w:beforeAutospacing="1" w:after="100" w:afterAutospacing="1"/>
            </w:pPr>
            <w:r>
              <w:rPr>
                <w:b/>
                <w:bCs/>
                <w:color w:val="000000"/>
                <w:sz w:val="18"/>
                <w:szCs w:val="18"/>
              </w:rPr>
              <w:t>Principal evidence gap</w:t>
            </w:r>
          </w:p>
        </w:tc>
        <w:tc>
          <w:tcPr>
            <w:tcW w:w="1078" w:type="pct"/>
            <w:shd w:val="clear" w:color="auto" w:fill="E8E8E8"/>
            <w:tcMar>
              <w:top w:w="60" w:type="dxa"/>
              <w:left w:w="90" w:type="dxa"/>
              <w:bottom w:w="60" w:type="dxa"/>
              <w:right w:w="90" w:type="dxa"/>
            </w:tcMar>
          </w:tcPr>
          <w:p w14:paraId="78EDB4D5" w14:textId="77777777" w:rsidR="00D9234C" w:rsidRDefault="00000000" w:rsidP="00E6294C">
            <w:pPr>
              <w:spacing w:before="100" w:beforeAutospacing="1" w:after="100" w:afterAutospacing="1"/>
            </w:pPr>
            <w:r>
              <w:rPr>
                <w:b/>
                <w:bCs/>
                <w:color w:val="000000"/>
                <w:sz w:val="18"/>
                <w:szCs w:val="18"/>
              </w:rPr>
              <w:t>Supporting references</w:t>
            </w:r>
          </w:p>
        </w:tc>
      </w:tr>
      <w:tr w:rsidR="00D9234C" w14:paraId="75B79227" w14:textId="77777777" w:rsidTr="00E6294C">
        <w:tc>
          <w:tcPr>
            <w:tcW w:w="833" w:type="pct"/>
            <w:tcMar>
              <w:top w:w="60" w:type="dxa"/>
              <w:left w:w="90" w:type="dxa"/>
              <w:bottom w:w="60" w:type="dxa"/>
              <w:right w:w="90" w:type="dxa"/>
            </w:tcMar>
          </w:tcPr>
          <w:p w14:paraId="60980790" w14:textId="77777777" w:rsidR="00D9234C" w:rsidRDefault="00000000" w:rsidP="00E6294C">
            <w:pPr>
              <w:spacing w:before="100" w:beforeAutospacing="1" w:after="100" w:afterAutospacing="1"/>
            </w:pPr>
            <w:r>
              <w:rPr>
                <w:color w:val="000000"/>
                <w:sz w:val="18"/>
                <w:szCs w:val="18"/>
              </w:rPr>
              <w:t>Neural retrosynthesis and route planning</w:t>
            </w:r>
          </w:p>
        </w:tc>
        <w:tc>
          <w:tcPr>
            <w:tcW w:w="1078" w:type="pct"/>
            <w:tcMar>
              <w:top w:w="60" w:type="dxa"/>
              <w:left w:w="90" w:type="dxa"/>
              <w:bottom w:w="60" w:type="dxa"/>
              <w:right w:w="90" w:type="dxa"/>
            </w:tcMar>
          </w:tcPr>
          <w:p w14:paraId="43670BF5" w14:textId="77777777" w:rsidR="00D9234C" w:rsidRDefault="00000000" w:rsidP="00E6294C">
            <w:pPr>
              <w:spacing w:before="100" w:beforeAutospacing="1" w:after="100" w:afterAutospacing="1"/>
            </w:pPr>
            <w:r>
              <w:rPr>
                <w:color w:val="000000"/>
                <w:sz w:val="18"/>
                <w:szCs w:val="18"/>
              </w:rPr>
              <w:t>Generation and ranking of candidate synthetic routes</w:t>
            </w:r>
          </w:p>
        </w:tc>
        <w:tc>
          <w:tcPr>
            <w:tcW w:w="784" w:type="pct"/>
            <w:tcMar>
              <w:top w:w="60" w:type="dxa"/>
              <w:left w:w="90" w:type="dxa"/>
              <w:bottom w:w="60" w:type="dxa"/>
              <w:right w:w="90" w:type="dxa"/>
            </w:tcMar>
          </w:tcPr>
          <w:p w14:paraId="63429E61" w14:textId="77777777" w:rsidR="00D9234C" w:rsidRDefault="00000000" w:rsidP="00E6294C">
            <w:pPr>
              <w:spacing w:before="100" w:beforeAutospacing="1" w:after="100" w:afterAutospacing="1"/>
            </w:pPr>
            <w:r>
              <w:rPr>
                <w:color w:val="000000"/>
                <w:sz w:val="18"/>
                <w:szCs w:val="18"/>
              </w:rPr>
              <w:t>Research to early adoption</w:t>
            </w:r>
          </w:p>
        </w:tc>
        <w:tc>
          <w:tcPr>
            <w:tcW w:w="1225" w:type="pct"/>
            <w:tcMar>
              <w:top w:w="60" w:type="dxa"/>
              <w:left w:w="90" w:type="dxa"/>
              <w:bottom w:w="60" w:type="dxa"/>
              <w:right w:w="90" w:type="dxa"/>
            </w:tcMar>
          </w:tcPr>
          <w:p w14:paraId="0DC2CA0E" w14:textId="77777777" w:rsidR="00D9234C" w:rsidRDefault="00000000" w:rsidP="00E6294C">
            <w:pPr>
              <w:spacing w:before="100" w:beforeAutospacing="1" w:after="100" w:afterAutospacing="1"/>
            </w:pPr>
            <w:r>
              <w:rPr>
                <w:color w:val="000000"/>
                <w:sz w:val="18"/>
                <w:szCs w:val="18"/>
              </w:rPr>
              <w:t>No published manufacturing process selected by environmentally weighted computational route design with measured outcome</w:t>
            </w:r>
          </w:p>
        </w:tc>
        <w:tc>
          <w:tcPr>
            <w:tcW w:w="1078" w:type="pct"/>
            <w:tcMar>
              <w:top w:w="60" w:type="dxa"/>
              <w:left w:w="90" w:type="dxa"/>
              <w:bottom w:w="60" w:type="dxa"/>
              <w:right w:w="90" w:type="dxa"/>
            </w:tcMar>
          </w:tcPr>
          <w:p w14:paraId="04CE3443" w14:textId="77777777" w:rsidR="00D9234C" w:rsidRDefault="00000000" w:rsidP="00E6294C">
            <w:pPr>
              <w:spacing w:before="100" w:beforeAutospacing="1" w:after="100" w:afterAutospacing="1"/>
            </w:pPr>
            <w:r>
              <w:rPr>
                <w:color w:val="000000"/>
                <w:sz w:val="18"/>
                <w:szCs w:val="18"/>
              </w:rPr>
              <w:t>Segler et al. (2018); Schwaller et al. (2022)</w:t>
            </w:r>
          </w:p>
        </w:tc>
      </w:tr>
      <w:tr w:rsidR="00D9234C" w14:paraId="06809CBF" w14:textId="77777777" w:rsidTr="00E6294C">
        <w:tc>
          <w:tcPr>
            <w:tcW w:w="833" w:type="pct"/>
            <w:tcMar>
              <w:top w:w="60" w:type="dxa"/>
              <w:left w:w="90" w:type="dxa"/>
              <w:bottom w:w="60" w:type="dxa"/>
              <w:right w:w="90" w:type="dxa"/>
            </w:tcMar>
          </w:tcPr>
          <w:p w14:paraId="1E6EDBA1" w14:textId="77777777" w:rsidR="00D9234C" w:rsidRDefault="00000000" w:rsidP="00E6294C">
            <w:pPr>
              <w:spacing w:before="100" w:beforeAutospacing="1" w:after="100" w:afterAutospacing="1"/>
            </w:pPr>
            <w:r>
              <w:rPr>
                <w:color w:val="000000"/>
                <w:sz w:val="18"/>
                <w:szCs w:val="18"/>
              </w:rPr>
              <w:lastRenderedPageBreak/>
              <w:t>Forward reaction and condition prediction</w:t>
            </w:r>
          </w:p>
        </w:tc>
        <w:tc>
          <w:tcPr>
            <w:tcW w:w="1078" w:type="pct"/>
            <w:tcMar>
              <w:top w:w="60" w:type="dxa"/>
              <w:left w:w="90" w:type="dxa"/>
              <w:bottom w:w="60" w:type="dxa"/>
              <w:right w:w="90" w:type="dxa"/>
            </w:tcMar>
          </w:tcPr>
          <w:p w14:paraId="1DEC73E6" w14:textId="77777777" w:rsidR="00D9234C" w:rsidRDefault="00000000" w:rsidP="00E6294C">
            <w:pPr>
              <w:spacing w:before="100" w:beforeAutospacing="1" w:after="100" w:afterAutospacing="1"/>
            </w:pPr>
            <w:r>
              <w:rPr>
                <w:color w:val="000000"/>
                <w:sz w:val="18"/>
                <w:szCs w:val="18"/>
              </w:rPr>
              <w:t>Prediction of outcome and of reaction conditions for proposed steps</w:t>
            </w:r>
          </w:p>
        </w:tc>
        <w:tc>
          <w:tcPr>
            <w:tcW w:w="784" w:type="pct"/>
            <w:tcMar>
              <w:top w:w="60" w:type="dxa"/>
              <w:left w:w="90" w:type="dxa"/>
              <w:bottom w:w="60" w:type="dxa"/>
              <w:right w:w="90" w:type="dxa"/>
            </w:tcMar>
          </w:tcPr>
          <w:p w14:paraId="1327122D" w14:textId="77777777" w:rsidR="00D9234C" w:rsidRDefault="00000000" w:rsidP="00E6294C">
            <w:pPr>
              <w:spacing w:before="100" w:beforeAutospacing="1" w:after="100" w:afterAutospacing="1"/>
            </w:pPr>
            <w:r>
              <w:rPr>
                <w:color w:val="000000"/>
                <w:sz w:val="18"/>
                <w:szCs w:val="18"/>
              </w:rPr>
              <w:t>Early adoption</w:t>
            </w:r>
          </w:p>
        </w:tc>
        <w:tc>
          <w:tcPr>
            <w:tcW w:w="1225" w:type="pct"/>
            <w:tcMar>
              <w:top w:w="60" w:type="dxa"/>
              <w:left w:w="90" w:type="dxa"/>
              <w:bottom w:w="60" w:type="dxa"/>
              <w:right w:w="90" w:type="dxa"/>
            </w:tcMar>
          </w:tcPr>
          <w:p w14:paraId="5CF11719" w14:textId="77777777" w:rsidR="00D9234C" w:rsidRDefault="00000000" w:rsidP="00E6294C">
            <w:pPr>
              <w:spacing w:before="100" w:beforeAutospacing="1" w:after="100" w:afterAutospacing="1"/>
            </w:pPr>
            <w:r>
              <w:rPr>
                <w:color w:val="000000"/>
                <w:sz w:val="18"/>
                <w:szCs w:val="18"/>
              </w:rPr>
              <w:t>Training corpora omit failed reactions and under-record conditions; predictions weakest for underexplored chemistry</w:t>
            </w:r>
          </w:p>
        </w:tc>
        <w:tc>
          <w:tcPr>
            <w:tcW w:w="1078" w:type="pct"/>
            <w:tcMar>
              <w:top w:w="60" w:type="dxa"/>
              <w:left w:w="90" w:type="dxa"/>
              <w:bottom w:w="60" w:type="dxa"/>
              <w:right w:w="90" w:type="dxa"/>
            </w:tcMar>
          </w:tcPr>
          <w:p w14:paraId="280FF040" w14:textId="77777777" w:rsidR="00D9234C" w:rsidRDefault="00000000" w:rsidP="00E6294C">
            <w:pPr>
              <w:spacing w:before="100" w:beforeAutospacing="1" w:after="100" w:afterAutospacing="1"/>
            </w:pPr>
            <w:r>
              <w:rPr>
                <w:color w:val="000000"/>
                <w:sz w:val="18"/>
                <w:szCs w:val="18"/>
              </w:rPr>
              <w:t>Schwaller et al. (2019); Han et al. (2024)</w:t>
            </w:r>
          </w:p>
        </w:tc>
      </w:tr>
      <w:tr w:rsidR="00D9234C" w14:paraId="7384EA88" w14:textId="77777777" w:rsidTr="00E6294C">
        <w:tc>
          <w:tcPr>
            <w:tcW w:w="833" w:type="pct"/>
            <w:tcMar>
              <w:top w:w="60" w:type="dxa"/>
              <w:left w:w="90" w:type="dxa"/>
              <w:bottom w:w="60" w:type="dxa"/>
              <w:right w:w="90" w:type="dxa"/>
            </w:tcMar>
          </w:tcPr>
          <w:p w14:paraId="0F0A0888" w14:textId="77777777" w:rsidR="00D9234C" w:rsidRDefault="00000000" w:rsidP="00E6294C">
            <w:pPr>
              <w:spacing w:before="100" w:beforeAutospacing="1" w:after="100" w:afterAutospacing="1"/>
            </w:pPr>
            <w:r>
              <w:rPr>
                <w:color w:val="000000"/>
                <w:sz w:val="18"/>
                <w:szCs w:val="18"/>
              </w:rPr>
              <w:t>Bayesian and closed-loop reaction optimisation</w:t>
            </w:r>
          </w:p>
        </w:tc>
        <w:tc>
          <w:tcPr>
            <w:tcW w:w="1078" w:type="pct"/>
            <w:tcMar>
              <w:top w:w="60" w:type="dxa"/>
              <w:left w:w="90" w:type="dxa"/>
              <w:bottom w:w="60" w:type="dxa"/>
              <w:right w:w="90" w:type="dxa"/>
            </w:tcMar>
          </w:tcPr>
          <w:p w14:paraId="0EF60547" w14:textId="77777777" w:rsidR="00D9234C" w:rsidRDefault="00000000" w:rsidP="00E6294C">
            <w:pPr>
              <w:spacing w:before="100" w:beforeAutospacing="1" w:after="100" w:afterAutospacing="1"/>
            </w:pPr>
            <w:r>
              <w:rPr>
                <w:color w:val="000000"/>
                <w:sz w:val="18"/>
                <w:szCs w:val="18"/>
              </w:rPr>
              <w:t>Efficient identification of high-performing and generally applicable conditions</w:t>
            </w:r>
          </w:p>
        </w:tc>
        <w:tc>
          <w:tcPr>
            <w:tcW w:w="784" w:type="pct"/>
            <w:tcMar>
              <w:top w:w="60" w:type="dxa"/>
              <w:left w:w="90" w:type="dxa"/>
              <w:bottom w:w="60" w:type="dxa"/>
              <w:right w:w="90" w:type="dxa"/>
            </w:tcMar>
          </w:tcPr>
          <w:p w14:paraId="0F352D4B" w14:textId="77777777" w:rsidR="00D9234C" w:rsidRDefault="00000000" w:rsidP="00E6294C">
            <w:pPr>
              <w:spacing w:before="100" w:beforeAutospacing="1" w:after="100" w:afterAutospacing="1"/>
            </w:pPr>
            <w:r>
              <w:rPr>
                <w:color w:val="000000"/>
                <w:sz w:val="18"/>
                <w:szCs w:val="18"/>
              </w:rPr>
              <w:t>Adopted in development laboratories</w:t>
            </w:r>
          </w:p>
        </w:tc>
        <w:tc>
          <w:tcPr>
            <w:tcW w:w="1225" w:type="pct"/>
            <w:tcMar>
              <w:top w:w="60" w:type="dxa"/>
              <w:left w:w="90" w:type="dxa"/>
              <w:bottom w:w="60" w:type="dxa"/>
              <w:right w:w="90" w:type="dxa"/>
            </w:tcMar>
          </w:tcPr>
          <w:p w14:paraId="06174814" w14:textId="77777777" w:rsidR="00D9234C" w:rsidRDefault="00000000" w:rsidP="00E6294C">
            <w:pPr>
              <w:spacing w:before="100" w:beforeAutospacing="1" w:after="100" w:afterAutospacing="1"/>
            </w:pPr>
            <w:r>
              <w:rPr>
                <w:color w:val="000000"/>
                <w:sz w:val="18"/>
                <w:szCs w:val="18"/>
              </w:rPr>
              <w:t>Reported gains concern campaign efficiency, not the environmental performance of the resulting process</w:t>
            </w:r>
          </w:p>
        </w:tc>
        <w:tc>
          <w:tcPr>
            <w:tcW w:w="1078" w:type="pct"/>
            <w:tcMar>
              <w:top w:w="60" w:type="dxa"/>
              <w:left w:w="90" w:type="dxa"/>
              <w:bottom w:w="60" w:type="dxa"/>
              <w:right w:w="90" w:type="dxa"/>
            </w:tcMar>
          </w:tcPr>
          <w:p w14:paraId="4634D2B9" w14:textId="77777777" w:rsidR="00D9234C" w:rsidRDefault="00000000" w:rsidP="00E6294C">
            <w:pPr>
              <w:spacing w:before="100" w:beforeAutospacing="1" w:after="100" w:afterAutospacing="1"/>
            </w:pPr>
            <w:r>
              <w:rPr>
                <w:color w:val="000000"/>
                <w:sz w:val="18"/>
                <w:szCs w:val="18"/>
              </w:rPr>
              <w:t>Shields et al. (2021); Angello et al. (2022); Taylor et al. (2023)</w:t>
            </w:r>
          </w:p>
        </w:tc>
      </w:tr>
      <w:tr w:rsidR="00D9234C" w14:paraId="667E08D4" w14:textId="77777777" w:rsidTr="00E6294C">
        <w:tc>
          <w:tcPr>
            <w:tcW w:w="833" w:type="pct"/>
            <w:tcMar>
              <w:top w:w="60" w:type="dxa"/>
              <w:left w:w="90" w:type="dxa"/>
              <w:bottom w:w="60" w:type="dxa"/>
              <w:right w:w="90" w:type="dxa"/>
            </w:tcMar>
          </w:tcPr>
          <w:p w14:paraId="4D264FC1" w14:textId="77777777" w:rsidR="00D9234C" w:rsidRDefault="00000000" w:rsidP="00E6294C">
            <w:pPr>
              <w:spacing w:before="100" w:beforeAutospacing="1" w:after="100" w:afterAutospacing="1"/>
            </w:pPr>
            <w:r>
              <w:rPr>
                <w:color w:val="000000"/>
                <w:sz w:val="18"/>
                <w:szCs w:val="18"/>
              </w:rPr>
              <w:t>Self-driving laboratories and autonomous platforms</w:t>
            </w:r>
          </w:p>
        </w:tc>
        <w:tc>
          <w:tcPr>
            <w:tcW w:w="1078" w:type="pct"/>
            <w:tcMar>
              <w:top w:w="60" w:type="dxa"/>
              <w:left w:w="90" w:type="dxa"/>
              <w:bottom w:w="60" w:type="dxa"/>
              <w:right w:w="90" w:type="dxa"/>
            </w:tcMar>
          </w:tcPr>
          <w:p w14:paraId="51CE6BC4" w14:textId="77777777" w:rsidR="00D9234C" w:rsidRDefault="00000000" w:rsidP="00E6294C">
            <w:pPr>
              <w:spacing w:before="100" w:beforeAutospacing="1" w:after="100" w:afterAutospacing="1"/>
            </w:pPr>
            <w:r>
              <w:rPr>
                <w:color w:val="000000"/>
                <w:sz w:val="18"/>
                <w:szCs w:val="18"/>
              </w:rPr>
              <w:t>Unattended planning, execution and analysis of experimental campaigns</w:t>
            </w:r>
          </w:p>
        </w:tc>
        <w:tc>
          <w:tcPr>
            <w:tcW w:w="784" w:type="pct"/>
            <w:tcMar>
              <w:top w:w="60" w:type="dxa"/>
              <w:left w:w="90" w:type="dxa"/>
              <w:bottom w:w="60" w:type="dxa"/>
              <w:right w:w="90" w:type="dxa"/>
            </w:tcMar>
          </w:tcPr>
          <w:p w14:paraId="77091112" w14:textId="77777777" w:rsidR="00D9234C" w:rsidRDefault="00000000" w:rsidP="00E6294C">
            <w:pPr>
              <w:spacing w:before="100" w:beforeAutospacing="1" w:after="100" w:afterAutospacing="1"/>
            </w:pPr>
            <w:r>
              <w:rPr>
                <w:color w:val="000000"/>
                <w:sz w:val="18"/>
                <w:szCs w:val="18"/>
              </w:rPr>
              <w:t>Research; isolated development use</w:t>
            </w:r>
          </w:p>
        </w:tc>
        <w:tc>
          <w:tcPr>
            <w:tcW w:w="1225" w:type="pct"/>
            <w:tcMar>
              <w:top w:w="60" w:type="dxa"/>
              <w:left w:w="90" w:type="dxa"/>
              <w:bottom w:w="60" w:type="dxa"/>
              <w:right w:w="90" w:type="dxa"/>
            </w:tcMar>
          </w:tcPr>
          <w:p w14:paraId="31E0DBB2" w14:textId="77777777" w:rsidR="00D9234C" w:rsidRDefault="00000000" w:rsidP="00E6294C">
            <w:pPr>
              <w:spacing w:before="100" w:beforeAutospacing="1" w:after="100" w:afterAutospacing="1"/>
            </w:pPr>
            <w:r>
              <w:rPr>
                <w:color w:val="000000"/>
                <w:sz w:val="18"/>
                <w:szCs w:val="18"/>
              </w:rPr>
              <w:t>No reproducibility conventions or shared benchmarks; computational and hardware footprint unreported</w:t>
            </w:r>
          </w:p>
        </w:tc>
        <w:tc>
          <w:tcPr>
            <w:tcW w:w="1078" w:type="pct"/>
            <w:tcMar>
              <w:top w:w="60" w:type="dxa"/>
              <w:left w:w="90" w:type="dxa"/>
              <w:bottom w:w="60" w:type="dxa"/>
              <w:right w:w="90" w:type="dxa"/>
            </w:tcMar>
          </w:tcPr>
          <w:p w14:paraId="1A5914C2" w14:textId="77777777" w:rsidR="00D9234C" w:rsidRDefault="00000000" w:rsidP="00E6294C">
            <w:pPr>
              <w:spacing w:before="100" w:beforeAutospacing="1" w:after="100" w:afterAutospacing="1"/>
            </w:pPr>
            <w:r>
              <w:rPr>
                <w:color w:val="000000"/>
                <w:sz w:val="18"/>
                <w:szCs w:val="18"/>
              </w:rPr>
              <w:t xml:space="preserve">Coley et al. (2019); Burger et al. (2020); Bennett &amp; </w:t>
            </w:r>
            <w:proofErr w:type="spellStart"/>
            <w:r>
              <w:rPr>
                <w:color w:val="000000"/>
                <w:sz w:val="18"/>
                <w:szCs w:val="18"/>
              </w:rPr>
              <w:t>Abolhasani</w:t>
            </w:r>
            <w:proofErr w:type="spellEnd"/>
            <w:r>
              <w:rPr>
                <w:color w:val="000000"/>
                <w:sz w:val="18"/>
                <w:szCs w:val="18"/>
              </w:rPr>
              <w:t xml:space="preserve"> (2022); Bayley et al. (2024); Boiko et al. (2023)</w:t>
            </w:r>
          </w:p>
        </w:tc>
      </w:tr>
      <w:tr w:rsidR="00D9234C" w14:paraId="7BC4FEC1" w14:textId="77777777" w:rsidTr="00E6294C">
        <w:tc>
          <w:tcPr>
            <w:tcW w:w="833" w:type="pct"/>
            <w:tcMar>
              <w:top w:w="60" w:type="dxa"/>
              <w:left w:w="90" w:type="dxa"/>
              <w:bottom w:w="60" w:type="dxa"/>
              <w:right w:w="90" w:type="dxa"/>
            </w:tcMar>
          </w:tcPr>
          <w:p w14:paraId="0C258941" w14:textId="77777777" w:rsidR="00D9234C" w:rsidRDefault="00000000" w:rsidP="00E6294C">
            <w:pPr>
              <w:spacing w:before="100" w:beforeAutospacing="1" w:after="100" w:afterAutospacing="1"/>
            </w:pPr>
            <w:r>
              <w:rPr>
                <w:color w:val="000000"/>
                <w:sz w:val="18"/>
                <w:szCs w:val="18"/>
              </w:rPr>
              <w:t>Multi-objective autonomous optimisation</w:t>
            </w:r>
          </w:p>
        </w:tc>
        <w:tc>
          <w:tcPr>
            <w:tcW w:w="1078" w:type="pct"/>
            <w:tcMar>
              <w:top w:w="60" w:type="dxa"/>
              <w:left w:w="90" w:type="dxa"/>
              <w:bottom w:w="60" w:type="dxa"/>
              <w:right w:w="90" w:type="dxa"/>
            </w:tcMar>
          </w:tcPr>
          <w:p w14:paraId="170F4D18" w14:textId="77777777" w:rsidR="00D9234C" w:rsidRDefault="00000000" w:rsidP="00E6294C">
            <w:pPr>
              <w:spacing w:before="100" w:beforeAutospacing="1" w:after="100" w:afterAutospacing="1"/>
            </w:pPr>
            <w:r>
              <w:rPr>
                <w:color w:val="000000"/>
                <w:sz w:val="18"/>
                <w:szCs w:val="18"/>
              </w:rPr>
              <w:t>Explicit trade-off between yield, cost and material efficiency</w:t>
            </w:r>
          </w:p>
        </w:tc>
        <w:tc>
          <w:tcPr>
            <w:tcW w:w="784" w:type="pct"/>
            <w:tcMar>
              <w:top w:w="60" w:type="dxa"/>
              <w:left w:w="90" w:type="dxa"/>
              <w:bottom w:w="60" w:type="dxa"/>
              <w:right w:w="90" w:type="dxa"/>
            </w:tcMar>
          </w:tcPr>
          <w:p w14:paraId="410D5A53" w14:textId="77777777" w:rsidR="00D9234C" w:rsidRDefault="00000000" w:rsidP="00E6294C">
            <w:pPr>
              <w:spacing w:before="100" w:beforeAutospacing="1" w:after="100" w:afterAutospacing="1"/>
            </w:pPr>
            <w:r>
              <w:rPr>
                <w:color w:val="000000"/>
                <w:sz w:val="18"/>
                <w:szCs w:val="18"/>
              </w:rPr>
              <w:t>Research</w:t>
            </w:r>
          </w:p>
        </w:tc>
        <w:tc>
          <w:tcPr>
            <w:tcW w:w="1225" w:type="pct"/>
            <w:tcMar>
              <w:top w:w="60" w:type="dxa"/>
              <w:left w:w="90" w:type="dxa"/>
              <w:bottom w:w="60" w:type="dxa"/>
              <w:right w:w="90" w:type="dxa"/>
            </w:tcMar>
          </w:tcPr>
          <w:p w14:paraId="384EFC5E" w14:textId="77777777" w:rsidR="00D9234C" w:rsidRDefault="00000000" w:rsidP="00E6294C">
            <w:pPr>
              <w:spacing w:before="100" w:beforeAutospacing="1" w:after="100" w:afterAutospacing="1"/>
            </w:pPr>
            <w:r>
              <w:rPr>
                <w:color w:val="000000"/>
                <w:sz w:val="18"/>
                <w:szCs w:val="18"/>
              </w:rPr>
              <w:t>Demonstrated on model systems; objective functions incorporating full environmental burden not yet formulated</w:t>
            </w:r>
          </w:p>
        </w:tc>
        <w:tc>
          <w:tcPr>
            <w:tcW w:w="1078" w:type="pct"/>
            <w:tcMar>
              <w:top w:w="60" w:type="dxa"/>
              <w:left w:w="90" w:type="dxa"/>
              <w:bottom w:w="60" w:type="dxa"/>
              <w:right w:w="90" w:type="dxa"/>
            </w:tcMar>
          </w:tcPr>
          <w:p w14:paraId="4934704C" w14:textId="77777777" w:rsidR="00D9234C" w:rsidRDefault="00000000" w:rsidP="00E6294C">
            <w:pPr>
              <w:spacing w:before="100" w:beforeAutospacing="1" w:after="100" w:afterAutospacing="1"/>
            </w:pPr>
            <w:r>
              <w:rPr>
                <w:color w:val="000000"/>
                <w:sz w:val="18"/>
                <w:szCs w:val="18"/>
              </w:rPr>
              <w:t>Bennett et al. (2024)</w:t>
            </w:r>
          </w:p>
        </w:tc>
      </w:tr>
      <w:tr w:rsidR="00D9234C" w14:paraId="5A14E386" w14:textId="77777777" w:rsidTr="00E6294C">
        <w:tc>
          <w:tcPr>
            <w:tcW w:w="833" w:type="pct"/>
            <w:tcMar>
              <w:top w:w="60" w:type="dxa"/>
              <w:left w:w="90" w:type="dxa"/>
              <w:bottom w:w="60" w:type="dxa"/>
              <w:right w:w="90" w:type="dxa"/>
            </w:tcMar>
          </w:tcPr>
          <w:p w14:paraId="4F6E2893" w14:textId="77777777" w:rsidR="00D9234C" w:rsidRDefault="00000000" w:rsidP="00E6294C">
            <w:pPr>
              <w:spacing w:before="100" w:beforeAutospacing="1" w:after="100" w:afterAutospacing="1"/>
            </w:pPr>
            <w:r>
              <w:rPr>
                <w:color w:val="000000"/>
                <w:sz w:val="18"/>
                <w:szCs w:val="18"/>
              </w:rPr>
              <w:t>Machine-learning-guided enzyme design</w:t>
            </w:r>
          </w:p>
        </w:tc>
        <w:tc>
          <w:tcPr>
            <w:tcW w:w="1078" w:type="pct"/>
            <w:tcMar>
              <w:top w:w="60" w:type="dxa"/>
              <w:left w:w="90" w:type="dxa"/>
              <w:bottom w:w="60" w:type="dxa"/>
              <w:right w:w="90" w:type="dxa"/>
            </w:tcMar>
          </w:tcPr>
          <w:p w14:paraId="50176FFC" w14:textId="77777777" w:rsidR="00D9234C" w:rsidRDefault="00000000" w:rsidP="00E6294C">
            <w:pPr>
              <w:spacing w:before="100" w:beforeAutospacing="1" w:after="100" w:afterAutospacing="1"/>
            </w:pPr>
            <w:r>
              <w:rPr>
                <w:color w:val="000000"/>
                <w:sz w:val="18"/>
                <w:szCs w:val="18"/>
              </w:rPr>
              <w:t>Reduction of screening burden in biocatalyst development</w:t>
            </w:r>
          </w:p>
        </w:tc>
        <w:tc>
          <w:tcPr>
            <w:tcW w:w="784" w:type="pct"/>
            <w:tcMar>
              <w:top w:w="60" w:type="dxa"/>
              <w:left w:w="90" w:type="dxa"/>
              <w:bottom w:w="60" w:type="dxa"/>
              <w:right w:w="90" w:type="dxa"/>
            </w:tcMar>
          </w:tcPr>
          <w:p w14:paraId="2E2FF58F" w14:textId="77777777" w:rsidR="00D9234C" w:rsidRDefault="00000000" w:rsidP="00E6294C">
            <w:pPr>
              <w:spacing w:before="100" w:beforeAutospacing="1" w:after="100" w:afterAutospacing="1"/>
            </w:pPr>
            <w:r>
              <w:rPr>
                <w:color w:val="000000"/>
                <w:sz w:val="18"/>
                <w:szCs w:val="18"/>
              </w:rPr>
              <w:t>Research to early adoption</w:t>
            </w:r>
          </w:p>
        </w:tc>
        <w:tc>
          <w:tcPr>
            <w:tcW w:w="1225" w:type="pct"/>
            <w:tcMar>
              <w:top w:w="60" w:type="dxa"/>
              <w:left w:w="90" w:type="dxa"/>
              <w:bottom w:w="60" w:type="dxa"/>
              <w:right w:w="90" w:type="dxa"/>
            </w:tcMar>
          </w:tcPr>
          <w:p w14:paraId="00EC2EB8" w14:textId="77777777" w:rsidR="00D9234C" w:rsidRDefault="00000000" w:rsidP="00E6294C">
            <w:pPr>
              <w:spacing w:before="100" w:beforeAutospacing="1" w:after="100" w:afterAutospacing="1"/>
            </w:pPr>
            <w:r>
              <w:rPr>
                <w:color w:val="000000"/>
                <w:sz w:val="18"/>
                <w:szCs w:val="18"/>
              </w:rPr>
              <w:t>Prospective demonstration of a manufacturing biocatalyst designed rather than evolved not reported</w:t>
            </w:r>
          </w:p>
        </w:tc>
        <w:tc>
          <w:tcPr>
            <w:tcW w:w="1078" w:type="pct"/>
            <w:tcMar>
              <w:top w:w="60" w:type="dxa"/>
              <w:left w:w="90" w:type="dxa"/>
              <w:bottom w:w="60" w:type="dxa"/>
              <w:right w:w="90" w:type="dxa"/>
            </w:tcMar>
          </w:tcPr>
          <w:p w14:paraId="7FC8EC0E" w14:textId="77777777" w:rsidR="00D9234C" w:rsidRDefault="00000000" w:rsidP="00E6294C">
            <w:pPr>
              <w:spacing w:before="100" w:beforeAutospacing="1" w:after="100" w:afterAutospacing="1"/>
            </w:pPr>
            <w:r>
              <w:rPr>
                <w:color w:val="000000"/>
                <w:sz w:val="18"/>
                <w:szCs w:val="18"/>
              </w:rPr>
              <w:t xml:space="preserve">Wen et al. (2025); </w:t>
            </w:r>
            <w:proofErr w:type="spellStart"/>
            <w:r>
              <w:rPr>
                <w:color w:val="000000"/>
                <w:sz w:val="18"/>
                <w:szCs w:val="18"/>
              </w:rPr>
              <w:t>Lv</w:t>
            </w:r>
            <w:proofErr w:type="spellEnd"/>
            <w:r>
              <w:rPr>
                <w:color w:val="000000"/>
                <w:sz w:val="18"/>
                <w:szCs w:val="18"/>
              </w:rPr>
              <w:t xml:space="preserve"> et al. (2026)</w:t>
            </w:r>
          </w:p>
        </w:tc>
      </w:tr>
      <w:tr w:rsidR="00D9234C" w14:paraId="6283BCB9" w14:textId="77777777" w:rsidTr="00E6294C">
        <w:tc>
          <w:tcPr>
            <w:tcW w:w="833" w:type="pct"/>
            <w:tcMar>
              <w:top w:w="60" w:type="dxa"/>
              <w:left w:w="90" w:type="dxa"/>
              <w:bottom w:w="60" w:type="dxa"/>
              <w:right w:w="90" w:type="dxa"/>
            </w:tcMar>
          </w:tcPr>
          <w:p w14:paraId="6E697C98" w14:textId="77777777" w:rsidR="00D9234C" w:rsidRDefault="00000000" w:rsidP="00E6294C">
            <w:pPr>
              <w:spacing w:before="100" w:beforeAutospacing="1" w:after="100" w:afterAutospacing="1"/>
            </w:pPr>
            <w:r>
              <w:rPr>
                <w:color w:val="000000"/>
                <w:sz w:val="18"/>
                <w:szCs w:val="18"/>
              </w:rPr>
              <w:t>Digital twins and hybrid process models</w:t>
            </w:r>
          </w:p>
        </w:tc>
        <w:tc>
          <w:tcPr>
            <w:tcW w:w="1078" w:type="pct"/>
            <w:tcMar>
              <w:top w:w="60" w:type="dxa"/>
              <w:left w:w="90" w:type="dxa"/>
              <w:bottom w:w="60" w:type="dxa"/>
              <w:right w:w="90" w:type="dxa"/>
            </w:tcMar>
          </w:tcPr>
          <w:p w14:paraId="5FDDC927" w14:textId="77777777" w:rsidR="00D9234C" w:rsidRDefault="00000000" w:rsidP="00E6294C">
            <w:pPr>
              <w:spacing w:before="100" w:beforeAutospacing="1" w:after="100" w:afterAutospacing="1"/>
            </w:pPr>
            <w:r>
              <w:rPr>
                <w:color w:val="000000"/>
                <w:sz w:val="18"/>
                <w:szCs w:val="18"/>
              </w:rPr>
              <w:t>Parallel simulation supporting control and prediction</w:t>
            </w:r>
          </w:p>
        </w:tc>
        <w:tc>
          <w:tcPr>
            <w:tcW w:w="784" w:type="pct"/>
            <w:tcMar>
              <w:top w:w="60" w:type="dxa"/>
              <w:left w:w="90" w:type="dxa"/>
              <w:bottom w:w="60" w:type="dxa"/>
              <w:right w:w="90" w:type="dxa"/>
            </w:tcMar>
          </w:tcPr>
          <w:p w14:paraId="5A7AD9C6" w14:textId="77777777" w:rsidR="00D9234C" w:rsidRDefault="00000000" w:rsidP="00E6294C">
            <w:pPr>
              <w:spacing w:before="100" w:beforeAutospacing="1" w:after="100" w:afterAutospacing="1"/>
            </w:pPr>
            <w:r>
              <w:rPr>
                <w:color w:val="000000"/>
                <w:sz w:val="18"/>
                <w:szCs w:val="18"/>
              </w:rPr>
              <w:t>Unit-operation level; integrated processes rare</w:t>
            </w:r>
          </w:p>
        </w:tc>
        <w:tc>
          <w:tcPr>
            <w:tcW w:w="1225" w:type="pct"/>
            <w:tcMar>
              <w:top w:w="60" w:type="dxa"/>
              <w:left w:w="90" w:type="dxa"/>
              <w:bottom w:w="60" w:type="dxa"/>
              <w:right w:w="90" w:type="dxa"/>
            </w:tcMar>
          </w:tcPr>
          <w:p w14:paraId="36015D64" w14:textId="77777777" w:rsidR="00D9234C" w:rsidRDefault="00000000" w:rsidP="00E6294C">
            <w:pPr>
              <w:spacing w:before="100" w:beforeAutospacing="1" w:after="100" w:afterAutospacing="1"/>
            </w:pPr>
            <w:r>
              <w:rPr>
                <w:color w:val="000000"/>
                <w:sz w:val="18"/>
                <w:szCs w:val="18"/>
              </w:rPr>
              <w:t>Model validation and maintenance under raw material variability unresolved; environmental benefit not quantified</w:t>
            </w:r>
          </w:p>
        </w:tc>
        <w:tc>
          <w:tcPr>
            <w:tcW w:w="1078" w:type="pct"/>
            <w:tcMar>
              <w:top w:w="60" w:type="dxa"/>
              <w:left w:w="90" w:type="dxa"/>
              <w:bottom w:w="60" w:type="dxa"/>
              <w:right w:w="90" w:type="dxa"/>
            </w:tcMar>
          </w:tcPr>
          <w:p w14:paraId="6D68A4B6" w14:textId="77777777" w:rsidR="00D9234C" w:rsidRDefault="00000000" w:rsidP="00E6294C">
            <w:pPr>
              <w:spacing w:before="100" w:beforeAutospacing="1" w:after="100" w:afterAutospacing="1"/>
            </w:pPr>
            <w:r>
              <w:rPr>
                <w:color w:val="000000"/>
                <w:sz w:val="18"/>
                <w:szCs w:val="18"/>
              </w:rPr>
              <w:t>Chen et al. (2020); Torres et al. (2025)</w:t>
            </w:r>
          </w:p>
        </w:tc>
      </w:tr>
      <w:tr w:rsidR="00D9234C" w14:paraId="4E49DD64" w14:textId="77777777" w:rsidTr="00E6294C">
        <w:tc>
          <w:tcPr>
            <w:tcW w:w="833" w:type="pct"/>
            <w:tcMar>
              <w:top w:w="60" w:type="dxa"/>
              <w:left w:w="90" w:type="dxa"/>
              <w:bottom w:w="60" w:type="dxa"/>
              <w:right w:w="90" w:type="dxa"/>
            </w:tcMar>
          </w:tcPr>
          <w:p w14:paraId="72EBE08B" w14:textId="77777777" w:rsidR="00D9234C" w:rsidRDefault="00000000" w:rsidP="00E6294C">
            <w:pPr>
              <w:spacing w:before="100" w:beforeAutospacing="1" w:after="100" w:afterAutospacing="1"/>
            </w:pPr>
            <w:r>
              <w:rPr>
                <w:color w:val="000000"/>
                <w:sz w:val="18"/>
                <w:szCs w:val="18"/>
              </w:rPr>
              <w:t>Process analytical technology and quality by design</w:t>
            </w:r>
          </w:p>
        </w:tc>
        <w:tc>
          <w:tcPr>
            <w:tcW w:w="1078" w:type="pct"/>
            <w:tcMar>
              <w:top w:w="60" w:type="dxa"/>
              <w:left w:w="90" w:type="dxa"/>
              <w:bottom w:w="60" w:type="dxa"/>
              <w:right w:w="90" w:type="dxa"/>
            </w:tcMar>
          </w:tcPr>
          <w:p w14:paraId="5E121E71" w14:textId="77777777" w:rsidR="00D9234C" w:rsidRDefault="00000000" w:rsidP="00E6294C">
            <w:pPr>
              <w:spacing w:before="100" w:beforeAutospacing="1" w:after="100" w:afterAutospacing="1"/>
            </w:pPr>
            <w:r>
              <w:rPr>
                <w:color w:val="000000"/>
                <w:sz w:val="18"/>
                <w:szCs w:val="18"/>
              </w:rPr>
              <w:t>In-process measurement and control strategy definition</w:t>
            </w:r>
          </w:p>
        </w:tc>
        <w:tc>
          <w:tcPr>
            <w:tcW w:w="784" w:type="pct"/>
            <w:tcMar>
              <w:top w:w="60" w:type="dxa"/>
              <w:left w:w="90" w:type="dxa"/>
              <w:bottom w:w="60" w:type="dxa"/>
              <w:right w:w="90" w:type="dxa"/>
            </w:tcMar>
          </w:tcPr>
          <w:p w14:paraId="7826CF41" w14:textId="77777777" w:rsidR="00D9234C" w:rsidRDefault="00000000" w:rsidP="00E6294C">
            <w:pPr>
              <w:spacing w:before="100" w:beforeAutospacing="1" w:after="100" w:afterAutospacing="1"/>
            </w:pPr>
            <w:r>
              <w:rPr>
                <w:color w:val="000000"/>
                <w:sz w:val="18"/>
                <w:szCs w:val="18"/>
              </w:rPr>
              <w:t>Established, unevenly implemented</w:t>
            </w:r>
          </w:p>
        </w:tc>
        <w:tc>
          <w:tcPr>
            <w:tcW w:w="1225" w:type="pct"/>
            <w:tcMar>
              <w:top w:w="60" w:type="dxa"/>
              <w:left w:w="90" w:type="dxa"/>
              <w:bottom w:w="60" w:type="dxa"/>
              <w:right w:w="90" w:type="dxa"/>
            </w:tcMar>
          </w:tcPr>
          <w:p w14:paraId="03E9FAA3" w14:textId="77777777" w:rsidR="00D9234C" w:rsidRDefault="00000000" w:rsidP="00E6294C">
            <w:pPr>
              <w:spacing w:before="100" w:beforeAutospacing="1" w:after="100" w:afterAutospacing="1"/>
            </w:pPr>
            <w:r>
              <w:rPr>
                <w:color w:val="000000"/>
                <w:sz w:val="18"/>
                <w:szCs w:val="18"/>
              </w:rPr>
              <w:t>Aggregate environmental benefit of reduced batch failure across a portfolio not quantified</w:t>
            </w:r>
          </w:p>
        </w:tc>
        <w:tc>
          <w:tcPr>
            <w:tcW w:w="1078" w:type="pct"/>
            <w:tcMar>
              <w:top w:w="60" w:type="dxa"/>
              <w:left w:w="90" w:type="dxa"/>
              <w:bottom w:w="60" w:type="dxa"/>
              <w:right w:w="90" w:type="dxa"/>
            </w:tcMar>
          </w:tcPr>
          <w:p w14:paraId="4240E2CE" w14:textId="77777777" w:rsidR="00D9234C" w:rsidRDefault="00000000" w:rsidP="00E6294C">
            <w:pPr>
              <w:spacing w:before="100" w:beforeAutospacing="1" w:after="100" w:afterAutospacing="1"/>
            </w:pPr>
            <w:r>
              <w:rPr>
                <w:color w:val="000000"/>
                <w:sz w:val="18"/>
                <w:szCs w:val="18"/>
              </w:rPr>
              <w:t>Simon et al. (2015); Grangeia et al. (2020)</w:t>
            </w:r>
          </w:p>
        </w:tc>
      </w:tr>
    </w:tbl>
    <w:p w14:paraId="02BF1608" w14:textId="77777777" w:rsidR="00D9234C" w:rsidRDefault="00000000" w:rsidP="00E6294C">
      <w:pPr>
        <w:spacing w:before="100" w:beforeAutospacing="1" w:after="100" w:afterAutospacing="1"/>
      </w:pPr>
      <w:r>
        <w:rPr>
          <w:color w:val="000000"/>
          <w:sz w:val="16"/>
          <w:szCs w:val="16"/>
        </w:rPr>
        <w:t>Note. Maturity refers to demonstrated use in the manufacture of regulated pharmaceutical products as reported in the cited peer-reviewed literature. Categories are ordinal descriptions, not the output of a formal readiness assessment instrument.</w:t>
      </w:r>
    </w:p>
    <w:p w14:paraId="77BCD611" w14:textId="77777777" w:rsidR="00D9234C" w:rsidRDefault="00000000" w:rsidP="00E6294C">
      <w:pPr>
        <w:pStyle w:val="Heading1"/>
        <w:spacing w:before="100" w:beforeAutospacing="1" w:after="100" w:afterAutospacing="1"/>
      </w:pPr>
      <w:r>
        <w:rPr>
          <w:b/>
          <w:bCs/>
          <w:color w:val="000000"/>
          <w:sz w:val="26"/>
          <w:szCs w:val="26"/>
        </w:rPr>
        <w:t>7. Circular Production: Realised in Solvents, Asserted Elsewhere</w:t>
      </w:r>
    </w:p>
    <w:p w14:paraId="226D4DFB" w14:textId="77777777" w:rsidR="00D9234C" w:rsidRDefault="00000000" w:rsidP="00E6294C">
      <w:pPr>
        <w:pStyle w:val="Heading2"/>
        <w:spacing w:before="100" w:beforeAutospacing="1" w:after="100" w:afterAutospacing="1"/>
      </w:pPr>
      <w:r>
        <w:rPr>
          <w:b/>
          <w:bCs/>
          <w:color w:val="000000"/>
          <w:sz w:val="24"/>
          <w:szCs w:val="24"/>
        </w:rPr>
        <w:t>7.1 Solvent recovery as the principal realised circularity</w:t>
      </w:r>
    </w:p>
    <w:p w14:paraId="56554DB4" w14:textId="77777777" w:rsidR="00D9234C" w:rsidRDefault="00000000" w:rsidP="00E6294C">
      <w:pPr>
        <w:spacing w:before="100" w:beforeAutospacing="1" w:after="100" w:afterAutospacing="1"/>
        <w:jc w:val="both"/>
      </w:pPr>
      <w:r>
        <w:rPr>
          <w:color w:val="000000"/>
        </w:rPr>
        <w:t xml:space="preserve">Circularity in pharmaceutical manufacturing has one substantial success and several unrealised ambitions. The success is solvent recovery. Because solvents dominate process mass and because their environmental burden is concentrated in production and disposal rather than in use, recovering and reusing them alters life cycle performance more than almost any other single intervention (Raymond et al., 2010). Green engineering priorities articulated by manufacturers placed separation and purification technology, including solvent recovery, among the highest-value research targets, on the reasoning that separations consume the majority of process energy and determine whether recovery is economically viable (Jiménez-González, </w:t>
      </w:r>
      <w:proofErr w:type="spellStart"/>
      <w:r>
        <w:rPr>
          <w:color w:val="000000"/>
        </w:rPr>
        <w:t>Poechlauer</w:t>
      </w:r>
      <w:proofErr w:type="spellEnd"/>
      <w:r>
        <w:rPr>
          <w:color w:val="000000"/>
        </w:rPr>
        <w:t>, et al., 2011). Recent process development has pursued integration of recovery with product isolation, for example by coupling pervaporation with crystallisation so that organic solvent is recovered from aqueous process streams while simultaneously inducing nucleation of the dissolved product (Yin et al., 2025). Such integration is attractive because it converts a waste treatment operation into a productive one.</w:t>
      </w:r>
    </w:p>
    <w:p w14:paraId="2192E316" w14:textId="77777777" w:rsidR="00D9234C" w:rsidRDefault="00000000" w:rsidP="00E6294C">
      <w:pPr>
        <w:spacing w:before="100" w:beforeAutospacing="1" w:after="100" w:afterAutospacing="1"/>
        <w:jc w:val="both"/>
      </w:pPr>
      <w:r>
        <w:rPr>
          <w:color w:val="000000"/>
        </w:rPr>
        <w:lastRenderedPageBreak/>
        <w:t>Recovery in regulated manufacture is nonetheless constrained in ways that recovery in bulk chemistry is not. Recovered solvent introduced into a process for a medicinal product must meet specifications for residual impurities, and cross-contamination between products manufactured in shared facilities is a quality risk that regulatory expectations treat seriously. The practical consequence is that recovery is most readily implemented within a dedicated process, least readily across a multi-product site, and that the purity specification rather than the separation technology frequently determines feasibility. This constraint is well understood by practitioners but is rarely represented in life cycle analyses, which tend to model recovery as a technical operation with an energy cost rather than as a quality operation with a specification.</w:t>
      </w:r>
    </w:p>
    <w:p w14:paraId="1B1E7DAA" w14:textId="77777777" w:rsidR="00D9234C" w:rsidRDefault="00000000" w:rsidP="00E6294C">
      <w:pPr>
        <w:pStyle w:val="Heading2"/>
        <w:spacing w:before="100" w:beforeAutospacing="1" w:after="100" w:afterAutospacing="1"/>
      </w:pPr>
      <w:r>
        <w:rPr>
          <w:b/>
          <w:bCs/>
          <w:color w:val="000000"/>
          <w:sz w:val="24"/>
          <w:szCs w:val="24"/>
        </w:rPr>
        <w:t>7.2 Circular economy framing and its weak operationalisation</w:t>
      </w:r>
    </w:p>
    <w:p w14:paraId="7BC79ED9" w14:textId="77777777" w:rsidR="00D9234C" w:rsidRDefault="00000000" w:rsidP="00E6294C">
      <w:pPr>
        <w:spacing w:before="100" w:beforeAutospacing="1" w:after="100" w:afterAutospacing="1"/>
        <w:jc w:val="both"/>
      </w:pPr>
      <w:r>
        <w:rPr>
          <w:color w:val="000000"/>
        </w:rPr>
        <w:t>The circular economy concept entered pharmaceutical discussion from outside the sector, and it arrived without a settled definition. Analysis of the term across a large number of published definitions found substantial inconsistency, with many usages reducing circularity to recycling and comparatively few incorporating systemic change in production and consumption (Kirchherr et al., 2017). This definitional looseness has consequences in a manufacturing context, because a firm may describe an operation as circular on the basis of waste diversion from landfill while material value is destroyed through incineration.</w:t>
      </w:r>
    </w:p>
    <w:p w14:paraId="3425DE99" w14:textId="77777777" w:rsidR="00D9234C" w:rsidRDefault="00000000" w:rsidP="00E6294C">
      <w:pPr>
        <w:spacing w:before="100" w:beforeAutospacing="1" w:after="100" w:afterAutospacing="1"/>
        <w:jc w:val="both"/>
      </w:pPr>
      <w:r>
        <w:rPr>
          <w:color w:val="000000"/>
        </w:rPr>
        <w:t>Empirical evidence of circular practice within pharmaceutical organisations is limited and largely descriptive. A detailed account of one manufacturer's waste reduction programme found that the principal obstacles were measurement and employee engagement rather than technology, and that reported progress depended heavily on how waste categories were defined (</w:t>
      </w:r>
      <w:proofErr w:type="spellStart"/>
      <w:r>
        <w:rPr>
          <w:color w:val="000000"/>
        </w:rPr>
        <w:t>Veleva</w:t>
      </w:r>
      <w:proofErr w:type="spellEnd"/>
      <w:r>
        <w:rPr>
          <w:color w:val="000000"/>
        </w:rPr>
        <w:t xml:space="preserve"> et al., 2017). Supply-chain modelling of closed-loop pharmaceutical systems has produced inventory formulations that incorporate returns and recovery, but the models are theoretical and are parameterised with assumed rather than observed values (</w:t>
      </w:r>
      <w:proofErr w:type="spellStart"/>
      <w:r>
        <w:rPr>
          <w:color w:val="000000"/>
        </w:rPr>
        <w:t>Suhandi</w:t>
      </w:r>
      <w:proofErr w:type="spellEnd"/>
      <w:r>
        <w:rPr>
          <w:color w:val="000000"/>
        </w:rPr>
        <w:t xml:space="preserve"> &amp; Chen, 2023). A review of sustainability research in the sector characterised the field as dominated by reputational and management perspectives, with limited engagement with the material flows that determine environmental outcome (Milanesi et al., 2020). The result is a literature in which circularity is discussed extensively and measured rarely.</w:t>
      </w:r>
    </w:p>
    <w:p w14:paraId="2BD95F7C" w14:textId="77777777" w:rsidR="00D9234C" w:rsidRDefault="00000000" w:rsidP="00E6294C">
      <w:pPr>
        <w:spacing w:before="100" w:beforeAutospacing="1" w:after="100" w:afterAutospacing="1"/>
        <w:jc w:val="both"/>
      </w:pPr>
      <w:r>
        <w:rPr>
          <w:color w:val="000000"/>
        </w:rPr>
        <w:t>Two structural features of pharmaceutical manufacturing limit circularity more than in other chemical sectors. The first is that product volumes are small relative to the diversity of materials used, so the economies of scale that make recovery viable in commodity chemistry are frequently absent. The second is that regulatory identity constraints prevent the substitution of a recovered material for a specified one without demonstrating equivalence. Both are genuine constraints rather than failures of intent, and proposals for pharmaceutical circularity that do not address them are unlikely to be implemented.</w:t>
      </w:r>
    </w:p>
    <w:p w14:paraId="4D30F1F6" w14:textId="77777777" w:rsidR="00D9234C" w:rsidRDefault="00000000" w:rsidP="00E6294C">
      <w:pPr>
        <w:pStyle w:val="Heading2"/>
        <w:spacing w:before="100" w:beforeAutospacing="1" w:after="100" w:afterAutospacing="1"/>
      </w:pPr>
      <w:r>
        <w:rPr>
          <w:b/>
          <w:bCs/>
          <w:color w:val="000000"/>
          <w:sz w:val="24"/>
          <w:szCs w:val="24"/>
        </w:rPr>
        <w:t>7.3 Emissions, supply-chain scope and burden displacement</w:t>
      </w:r>
    </w:p>
    <w:p w14:paraId="69BF4301" w14:textId="77777777" w:rsidR="00D9234C" w:rsidRDefault="00000000" w:rsidP="00E6294C">
      <w:pPr>
        <w:spacing w:before="100" w:beforeAutospacing="1" w:after="100" w:afterAutospacing="1"/>
        <w:jc w:val="both"/>
      </w:pPr>
      <w:r>
        <w:rPr>
          <w:color w:val="000000"/>
        </w:rPr>
        <w:t xml:space="preserve">Attention has shifted from process waste to greenhouse gas emissions, where the sector's position is less favourable than its self-perception. Analysis of reported emissions across the major manufacturers found the pharmaceutical sector to be more emissions-intensive per unit of revenue than the automotive sector, a finding that received attention because it contradicted the assumption that a low-tonnage, high-value industry must have a small climate footprint (Belkhir &amp; </w:t>
      </w:r>
      <w:proofErr w:type="spellStart"/>
      <w:r>
        <w:rPr>
          <w:color w:val="000000"/>
        </w:rPr>
        <w:t>Elmeligi</w:t>
      </w:r>
      <w:proofErr w:type="spellEnd"/>
      <w:r>
        <w:rPr>
          <w:color w:val="000000"/>
        </w:rPr>
        <w:t>, 2019). The analysis relied on self-reported disclosures of varying completeness and used revenue as the normalising denominator, which is sensitive to pricing rather than to physical output, so the magnitude of the finding is less secure than its direction. It nonetheless established that emissions intensity and mass intensity are not interchangeable measures of environmental performance.</w:t>
      </w:r>
    </w:p>
    <w:p w14:paraId="697A78FE" w14:textId="77777777" w:rsidR="00D9234C" w:rsidRDefault="00000000" w:rsidP="00E6294C">
      <w:pPr>
        <w:spacing w:before="100" w:beforeAutospacing="1" w:after="100" w:afterAutospacing="1"/>
        <w:jc w:val="both"/>
      </w:pPr>
      <w:r>
        <w:rPr>
          <w:color w:val="000000"/>
        </w:rPr>
        <w:lastRenderedPageBreak/>
        <w:t>The larger share of sector emissions arises upstream, in the production of intermediates, reagents and solvents by suppliers, and this is precisely the region excluded from conventional process mass intensity accounting. Industry perspectives now identify supply-chain emissions as the dominant unresolved problem and acknowledge that manufacturers lack the data to quantify them reliably, since suppliers rarely provide process-level inventory information and contractual relationships do not compel disclosure (Colberg et al., 2025). Early advocacy for sector-wide adoption of green chemistry anticipated this difficulty, arguing that improvement confined to the final manufacturing steps would deliver limited total benefit while the upstream supply base remained unexamined (Tucker &amp; Faul, 2016). The intervening decade has confirmed the concern without resolving it.</w:t>
      </w:r>
    </w:p>
    <w:p w14:paraId="1A809D3D" w14:textId="77777777" w:rsidR="00D9234C" w:rsidRDefault="00000000" w:rsidP="00E6294C">
      <w:pPr>
        <w:spacing w:before="100" w:beforeAutospacing="1" w:after="100" w:afterAutospacing="1"/>
        <w:jc w:val="both"/>
      </w:pPr>
      <w:r>
        <w:rPr>
          <w:color w:val="000000"/>
        </w:rPr>
        <w:t>Burden displacement is the recurring pattern across all three domains of this review. A route that eliminates a hazardous solvent may increase energy consumption; a continuous process that reduces plant footprint may increase the burden of specialised equipment manufacture; an enzymatic step that removes a precious metal may transfer burden into fermentation, enzyme production and immobilisation support; a computationally optimised process may transfer burden into computation. None of these transfers is necessarily unfavourable, but none can be evaluated within the accounting frameworks currently in use, because those frameworks are bounded at the plant gate and expressed in mass.</w:t>
      </w:r>
    </w:p>
    <w:p w14:paraId="531CF564" w14:textId="77777777" w:rsidR="00D9234C" w:rsidRDefault="00000000" w:rsidP="00E6294C">
      <w:pPr>
        <w:pStyle w:val="Heading2"/>
        <w:spacing w:before="100" w:beforeAutospacing="1" w:after="100" w:afterAutospacing="1"/>
      </w:pPr>
      <w:r>
        <w:rPr>
          <w:b/>
          <w:bCs/>
          <w:color w:val="000000"/>
          <w:sz w:val="24"/>
          <w:szCs w:val="24"/>
        </w:rPr>
        <w:t>7.4 Environmental discharge, antimicrobial resistance and the governance gap</w:t>
      </w:r>
    </w:p>
    <w:p w14:paraId="18FEDB11" w14:textId="77777777" w:rsidR="00D9234C" w:rsidRDefault="00000000" w:rsidP="00E6294C">
      <w:pPr>
        <w:spacing w:before="100" w:beforeAutospacing="1" w:after="100" w:afterAutospacing="1"/>
        <w:jc w:val="both"/>
      </w:pPr>
      <w:r>
        <w:rPr>
          <w:color w:val="000000"/>
        </w:rPr>
        <w:t>The environmental consequences of pharmaceutical manufacture extend beyond resource consumption to the discharge of active compounds. Monitoring of river catchments across a large number of countries detected active pharmaceutical ingredients on every inhabited continent and found concentrations exceeding thresholds of ecological or human health concern at a substantial share of sampled sites, with the highest concentrations associated with locations combining limited wastewater infrastructure with pharmaceutical production or disposal (Wilkinson et al., 2022). Manufacturing is not the dominant source of pharmaceutical residues globally, since excretion following patient use contributes more in aggregate, but manufacturing discharge produces the highest local concentrations and is therefore disproportionately important for effects that depend on concentration rather than on total load (Larsson, 2014).</w:t>
      </w:r>
    </w:p>
    <w:p w14:paraId="0426D792" w14:textId="77777777" w:rsidR="00D9234C" w:rsidRDefault="00000000" w:rsidP="00E6294C">
      <w:pPr>
        <w:spacing w:before="100" w:beforeAutospacing="1" w:after="100" w:afterAutospacing="1"/>
        <w:jc w:val="both"/>
      </w:pPr>
      <w:r>
        <w:rPr>
          <w:color w:val="000000"/>
        </w:rPr>
        <w:t>Antibiotic manufacturing discharge is the clearest case. Concentrations downstream of production sites have been documented at levels far exceeding those arising from patient use, and such concentrations select for resistant organisms and for the mobilisation of resistance genes within environmental microbial communities (Larsson &amp; Flach, 2022). Compound-specific concentration limits intended to prevent selection for resistance have been proposed on the basis of minimum inhibitory concentration distributions, providing a quantitative basis for regulation where none previously existed (Bengtsson-Palme &amp; Larsson, 2016). Intergovernmental guidance has since been issued specifying targets and management practices for wastewater and solid waste from antibiotic manufacture, with the stated purpose of providing an independent scientific basis for the inclusion of such targets in binding instruments (World Health Organization, 2024). The guidance is not itself binding, and the gap between its publication and its incorporation into procurement requirements, inspection practice and national regulation is the operative constraint on its effect.</w:t>
      </w:r>
    </w:p>
    <w:p w14:paraId="6128BEF3" w14:textId="77777777" w:rsidR="00D9234C" w:rsidRDefault="00000000" w:rsidP="00E6294C">
      <w:pPr>
        <w:spacing w:before="100" w:beforeAutospacing="1" w:after="100" w:afterAutospacing="1"/>
        <w:jc w:val="both"/>
      </w:pPr>
      <w:r>
        <w:rPr>
          <w:color w:val="000000"/>
        </w:rPr>
        <w:t>A complementary strategy addresses the problem at the design stage rather than at the point of discharge, by designing molecules that degrade after use into benign products while retaining therapeutic function during use. The argument for this approach has been made repeatedly in the context of water quality, on the reasoning that end-of-pipe treatment of highly dilute, structurally diverse micropollutants is thermodynamically and economically unattractive compared with designing for degradability (</w:t>
      </w:r>
      <w:proofErr w:type="spellStart"/>
      <w:r>
        <w:rPr>
          <w:color w:val="000000"/>
        </w:rPr>
        <w:t>Kümmerer</w:t>
      </w:r>
      <w:proofErr w:type="spellEnd"/>
      <w:r>
        <w:rPr>
          <w:color w:val="000000"/>
        </w:rPr>
        <w:t xml:space="preserve"> et al., 2018; </w:t>
      </w:r>
      <w:proofErr w:type="spellStart"/>
      <w:r>
        <w:rPr>
          <w:color w:val="000000"/>
        </w:rPr>
        <w:t>Kümmerer</w:t>
      </w:r>
      <w:proofErr w:type="spellEnd"/>
      <w:r>
        <w:rPr>
          <w:color w:val="000000"/>
        </w:rPr>
        <w:t xml:space="preserve">, 2017). The evidence supporting feasibility remains limited to a small number of demonstrations, and the approach conflicts with </w:t>
      </w:r>
      <w:r>
        <w:rPr>
          <w:color w:val="000000"/>
        </w:rPr>
        <w:lastRenderedPageBreak/>
        <w:t>metabolic stability requirements that drive potency and dosing frequency. It is best characterised as a plausible long-term direction with weak current evidence rather than as an available intervention.</w:t>
      </w:r>
    </w:p>
    <w:p w14:paraId="733251FB" w14:textId="77777777" w:rsidR="00D9234C" w:rsidRDefault="00000000" w:rsidP="00E6294C">
      <w:pPr>
        <w:pStyle w:val="Heading1"/>
        <w:spacing w:before="100" w:beforeAutospacing="1" w:after="100" w:afterAutospacing="1"/>
      </w:pPr>
      <w:r>
        <w:rPr>
          <w:b/>
          <w:bCs/>
          <w:color w:val="000000"/>
          <w:sz w:val="26"/>
          <w:szCs w:val="26"/>
        </w:rPr>
        <w:t>8. Integration: Reinforcement and Conflict Across the Three Domains</w:t>
      </w:r>
    </w:p>
    <w:p w14:paraId="6C8004FD" w14:textId="77777777" w:rsidR="00D9234C" w:rsidRDefault="00000000" w:rsidP="00E6294C">
      <w:pPr>
        <w:spacing w:before="100" w:beforeAutospacing="1" w:after="100" w:afterAutospacing="1"/>
        <w:jc w:val="both"/>
      </w:pPr>
      <w:r>
        <w:rPr>
          <w:color w:val="000000"/>
        </w:rPr>
        <w:t>The three domains examined here are frequently presented as complementary components of a single transition. The evidence supports partial complementarity and identifies specific conflicts.</w:t>
      </w:r>
    </w:p>
    <w:p w14:paraId="064C5307" w14:textId="77777777" w:rsidR="00D9234C" w:rsidRDefault="00000000" w:rsidP="00E6294C">
      <w:pPr>
        <w:spacing w:before="100" w:beforeAutospacing="1" w:after="100" w:afterAutospacing="1"/>
        <w:jc w:val="both"/>
      </w:pPr>
      <w:r>
        <w:rPr>
          <w:color w:val="000000"/>
        </w:rPr>
        <w:t xml:space="preserve">Reinforcement is genuine in several places. Continuous processing supplies the operating regime in which photochemical and electrochemical activation become practical, and provides the reactor configuration in which immobilised enzymes can be used productively (Fitzpatrick et al., 2016; Thompson et al., 2019). Process analytical measurement supplies the data on which digital control and closed-loop optimisation depend, so that the digital domain is parasitic on instrumentation developed for quality purposes (Simon et al., 2015). Machine-learning-guided enzyme design addresses the development burden that constitutes the principal hidden cost of biocatalysis, so progress in the digital domain relaxes the binding constraint in the synthetic domain (Wen et al., 2025; </w:t>
      </w:r>
      <w:proofErr w:type="spellStart"/>
      <w:r>
        <w:rPr>
          <w:color w:val="000000"/>
        </w:rPr>
        <w:t>Lv</w:t>
      </w:r>
      <w:proofErr w:type="spellEnd"/>
      <w:r>
        <w:rPr>
          <w:color w:val="000000"/>
        </w:rPr>
        <w:t xml:space="preserve"> et al., 2026). Solvent recovery is more tractable in continuous processes with defined and constant stream compositions than in campaign-based batch operation. These interactions are mechanistically clear and, in the case of continuous biocatalysis, empirically demonstrated.</w:t>
      </w:r>
    </w:p>
    <w:p w14:paraId="3919E36C" w14:textId="77777777" w:rsidR="00D9234C" w:rsidRDefault="00000000" w:rsidP="00E6294C">
      <w:pPr>
        <w:spacing w:before="100" w:beforeAutospacing="1" w:after="100" w:afterAutospacing="1"/>
        <w:jc w:val="both"/>
      </w:pPr>
      <w:r>
        <w:rPr>
          <w:color w:val="000000"/>
        </w:rPr>
        <w:t>Conflict is equally real and less discussed. Continuous operation with telescoped steps reduces isolation and therefore reduces solvent consumption, but it also reduces the number of purification points at which impurities are rejected, which transfers burden onto analytical control and increases the consequence of an upset. Autonomous optimisation efficiently identifies conditions that maximise a specified objective, and where that objective is yield, the outcome may increase material intensity; multi-objective formulations address this in principle but require an environmental objective function that has not been agreed (Bennett et al., 2024). Circularity through solvent recovery favours the use of a small number of solvents in large quantities, whereas guide-based substitution favours matching each transformation to its optimal solvent, which fragments streams and impairs recovery. Mechanochemical elimination of solvent removes the mass term that dominates existing metrics, so the technology is rewarded disproportionately by process mass intensity while its energy consumption remains unmeasured (Ardila-Fierro &amp; Hernández, 2021).</w:t>
      </w:r>
    </w:p>
    <w:p w14:paraId="313682B2" w14:textId="77777777" w:rsidR="00D9234C" w:rsidRDefault="00000000" w:rsidP="00E6294C">
      <w:pPr>
        <w:spacing w:before="100" w:beforeAutospacing="1" w:after="100" w:afterAutospacing="1"/>
        <w:jc w:val="both"/>
      </w:pPr>
      <w:r>
        <w:rPr>
          <w:color w:val="000000"/>
        </w:rPr>
        <w:t>The common structure of these conflicts is that improvement is measured within a boundary and the burden moves outside it. This is not an argument against any of the technologies concerned but an argument for accounting frameworks that are wide enough to detect displacement. Table 5 sets out the principal contradictions identified across the reviewed evidence, the positions supported on each side, the most plausible explanation for the disagreement, and the study design that would resolve it. In most cases the disagreement is attributable not to conflicting data but to comparisons conducted under different boundaries, at different scales, or against different comparators.</w:t>
      </w:r>
    </w:p>
    <w:p w14:paraId="1340C60D" w14:textId="77777777" w:rsidR="00D9234C" w:rsidRDefault="00000000" w:rsidP="00E6294C">
      <w:pPr>
        <w:spacing w:before="100" w:beforeAutospacing="1" w:after="100" w:afterAutospacing="1"/>
      </w:pPr>
      <w:r>
        <w:rPr>
          <w:b/>
          <w:bCs/>
          <w:color w:val="000000"/>
          <w:sz w:val="20"/>
          <w:szCs w:val="20"/>
        </w:rPr>
        <w:t>Table 5. Principal unresolved contradictions in the evidence base, with plausible explanations and the evidence required for resolution.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000" w:firstRow="0" w:lastRow="0" w:firstColumn="0" w:lastColumn="0" w:noHBand="0" w:noVBand="0"/>
      </w:tblPr>
      <w:tblGrid>
        <w:gridCol w:w="1670"/>
        <w:gridCol w:w="2162"/>
        <w:gridCol w:w="1867"/>
        <w:gridCol w:w="2161"/>
        <w:gridCol w:w="1768"/>
      </w:tblGrid>
      <w:tr w:rsidR="00D9234C" w14:paraId="0C961026" w14:textId="77777777" w:rsidTr="00E6294C">
        <w:trPr>
          <w:tblHeader/>
        </w:trPr>
        <w:tc>
          <w:tcPr>
            <w:tcW w:w="867" w:type="pct"/>
            <w:shd w:val="clear" w:color="auto" w:fill="E8E8E8"/>
            <w:tcMar>
              <w:top w:w="60" w:type="dxa"/>
              <w:left w:w="90" w:type="dxa"/>
              <w:bottom w:w="60" w:type="dxa"/>
              <w:right w:w="90" w:type="dxa"/>
            </w:tcMar>
          </w:tcPr>
          <w:p w14:paraId="36FA9CF7" w14:textId="77777777" w:rsidR="00D9234C" w:rsidRDefault="00000000" w:rsidP="00E6294C">
            <w:pPr>
              <w:spacing w:before="100" w:beforeAutospacing="1" w:after="100" w:afterAutospacing="1"/>
            </w:pPr>
            <w:r>
              <w:rPr>
                <w:b/>
                <w:bCs/>
                <w:color w:val="000000"/>
                <w:sz w:val="18"/>
                <w:szCs w:val="18"/>
              </w:rPr>
              <w:t>Contradiction</w:t>
            </w:r>
          </w:p>
        </w:tc>
        <w:tc>
          <w:tcPr>
            <w:tcW w:w="1122" w:type="pct"/>
            <w:shd w:val="clear" w:color="auto" w:fill="E8E8E8"/>
            <w:tcMar>
              <w:top w:w="60" w:type="dxa"/>
              <w:left w:w="90" w:type="dxa"/>
              <w:bottom w:w="60" w:type="dxa"/>
              <w:right w:w="90" w:type="dxa"/>
            </w:tcMar>
          </w:tcPr>
          <w:p w14:paraId="47648B11" w14:textId="77777777" w:rsidR="00D9234C" w:rsidRDefault="00000000" w:rsidP="00E6294C">
            <w:pPr>
              <w:spacing w:before="100" w:beforeAutospacing="1" w:after="100" w:afterAutospacing="1"/>
            </w:pPr>
            <w:r>
              <w:rPr>
                <w:b/>
                <w:bCs/>
                <w:color w:val="000000"/>
                <w:sz w:val="18"/>
                <w:szCs w:val="18"/>
              </w:rPr>
              <w:t>Positions supported by evidence</w:t>
            </w:r>
          </w:p>
        </w:tc>
        <w:tc>
          <w:tcPr>
            <w:tcW w:w="969" w:type="pct"/>
            <w:shd w:val="clear" w:color="auto" w:fill="E8E8E8"/>
            <w:tcMar>
              <w:top w:w="60" w:type="dxa"/>
              <w:left w:w="90" w:type="dxa"/>
              <w:bottom w:w="60" w:type="dxa"/>
              <w:right w:w="90" w:type="dxa"/>
            </w:tcMar>
          </w:tcPr>
          <w:p w14:paraId="7737F51F" w14:textId="77777777" w:rsidR="00D9234C" w:rsidRDefault="00000000" w:rsidP="00E6294C">
            <w:pPr>
              <w:spacing w:before="100" w:beforeAutospacing="1" w:after="100" w:afterAutospacing="1"/>
            </w:pPr>
            <w:r>
              <w:rPr>
                <w:b/>
                <w:bCs/>
                <w:color w:val="000000"/>
                <w:sz w:val="18"/>
                <w:szCs w:val="18"/>
              </w:rPr>
              <w:t>Most plausible explanation</w:t>
            </w:r>
          </w:p>
        </w:tc>
        <w:tc>
          <w:tcPr>
            <w:tcW w:w="1122" w:type="pct"/>
            <w:shd w:val="clear" w:color="auto" w:fill="E8E8E8"/>
            <w:tcMar>
              <w:top w:w="60" w:type="dxa"/>
              <w:left w:w="90" w:type="dxa"/>
              <w:bottom w:w="60" w:type="dxa"/>
              <w:right w:w="90" w:type="dxa"/>
            </w:tcMar>
          </w:tcPr>
          <w:p w14:paraId="38C3A052" w14:textId="77777777" w:rsidR="00D9234C" w:rsidRDefault="00000000" w:rsidP="00E6294C">
            <w:pPr>
              <w:spacing w:before="100" w:beforeAutospacing="1" w:after="100" w:afterAutospacing="1"/>
            </w:pPr>
            <w:r>
              <w:rPr>
                <w:b/>
                <w:bCs/>
                <w:color w:val="000000"/>
                <w:sz w:val="18"/>
                <w:szCs w:val="18"/>
              </w:rPr>
              <w:t>Evidence required for resolution</w:t>
            </w:r>
          </w:p>
        </w:tc>
        <w:tc>
          <w:tcPr>
            <w:tcW w:w="918" w:type="pct"/>
            <w:shd w:val="clear" w:color="auto" w:fill="E8E8E8"/>
            <w:tcMar>
              <w:top w:w="60" w:type="dxa"/>
              <w:left w:w="90" w:type="dxa"/>
              <w:bottom w:w="60" w:type="dxa"/>
              <w:right w:w="90" w:type="dxa"/>
            </w:tcMar>
          </w:tcPr>
          <w:p w14:paraId="43EA3F95" w14:textId="77777777" w:rsidR="00D9234C" w:rsidRDefault="00000000" w:rsidP="00E6294C">
            <w:pPr>
              <w:spacing w:before="100" w:beforeAutospacing="1" w:after="100" w:afterAutospacing="1"/>
            </w:pPr>
            <w:r>
              <w:rPr>
                <w:b/>
                <w:bCs/>
                <w:color w:val="000000"/>
                <w:sz w:val="18"/>
                <w:szCs w:val="18"/>
              </w:rPr>
              <w:t>Supporting references</w:t>
            </w:r>
          </w:p>
        </w:tc>
      </w:tr>
      <w:tr w:rsidR="00D9234C" w14:paraId="01D08F2D" w14:textId="77777777" w:rsidTr="00E6294C">
        <w:tc>
          <w:tcPr>
            <w:tcW w:w="867" w:type="pct"/>
            <w:tcMar>
              <w:top w:w="60" w:type="dxa"/>
              <w:left w:w="90" w:type="dxa"/>
              <w:bottom w:w="60" w:type="dxa"/>
              <w:right w:w="90" w:type="dxa"/>
            </w:tcMar>
          </w:tcPr>
          <w:p w14:paraId="73F62D2F" w14:textId="77777777" w:rsidR="00D9234C" w:rsidRDefault="00000000" w:rsidP="00E6294C">
            <w:pPr>
              <w:spacing w:before="100" w:beforeAutospacing="1" w:after="100" w:afterAutospacing="1"/>
            </w:pPr>
            <w:r>
              <w:rPr>
                <w:color w:val="000000"/>
                <w:sz w:val="18"/>
                <w:szCs w:val="18"/>
              </w:rPr>
              <w:t>Whether continuous manufacturing is environmentally superior to batch</w:t>
            </w:r>
          </w:p>
        </w:tc>
        <w:tc>
          <w:tcPr>
            <w:tcW w:w="1122" w:type="pct"/>
            <w:tcMar>
              <w:top w:w="60" w:type="dxa"/>
              <w:left w:w="90" w:type="dxa"/>
              <w:bottom w:w="60" w:type="dxa"/>
              <w:right w:w="90" w:type="dxa"/>
            </w:tcMar>
          </w:tcPr>
          <w:p w14:paraId="46306ACC" w14:textId="77777777" w:rsidR="00D9234C" w:rsidRDefault="00000000" w:rsidP="00E6294C">
            <w:pPr>
              <w:spacing w:before="100" w:beforeAutospacing="1" w:after="100" w:afterAutospacing="1"/>
            </w:pPr>
            <w:r>
              <w:rPr>
                <w:color w:val="000000"/>
                <w:sz w:val="18"/>
                <w:szCs w:val="18"/>
              </w:rPr>
              <w:t>Substantial reductions reported for specific transformations; negligible or negative benefit reported for slow reactions, solids handling and frequent changeover</w:t>
            </w:r>
          </w:p>
        </w:tc>
        <w:tc>
          <w:tcPr>
            <w:tcW w:w="969" w:type="pct"/>
            <w:tcMar>
              <w:top w:w="60" w:type="dxa"/>
              <w:left w:w="90" w:type="dxa"/>
              <w:bottom w:w="60" w:type="dxa"/>
              <w:right w:w="90" w:type="dxa"/>
            </w:tcMar>
          </w:tcPr>
          <w:p w14:paraId="4A7DDE5D" w14:textId="77777777" w:rsidR="00D9234C" w:rsidRDefault="00000000" w:rsidP="00E6294C">
            <w:pPr>
              <w:spacing w:before="100" w:beforeAutospacing="1" w:after="100" w:afterAutospacing="1"/>
            </w:pPr>
            <w:r>
              <w:rPr>
                <w:color w:val="000000"/>
                <w:sz w:val="18"/>
                <w:szCs w:val="18"/>
              </w:rPr>
              <w:t>Comparator selection: continuous processes are frequently compared with laboratory batch procedures rather than optimised batch manufacture</w:t>
            </w:r>
          </w:p>
        </w:tc>
        <w:tc>
          <w:tcPr>
            <w:tcW w:w="1122" w:type="pct"/>
            <w:tcMar>
              <w:top w:w="60" w:type="dxa"/>
              <w:left w:w="90" w:type="dxa"/>
              <w:bottom w:w="60" w:type="dxa"/>
              <w:right w:w="90" w:type="dxa"/>
            </w:tcMar>
          </w:tcPr>
          <w:p w14:paraId="59C86FD9" w14:textId="77777777" w:rsidR="00D9234C" w:rsidRDefault="00000000" w:rsidP="00E6294C">
            <w:pPr>
              <w:spacing w:before="100" w:beforeAutospacing="1" w:after="100" w:afterAutospacing="1"/>
            </w:pPr>
            <w:r>
              <w:rPr>
                <w:color w:val="000000"/>
                <w:sz w:val="18"/>
                <w:szCs w:val="18"/>
              </w:rPr>
              <w:t>Paired comparisons at manufacturing scale against an optimised batch incumbent, with full energy and utility accounting</w:t>
            </w:r>
          </w:p>
        </w:tc>
        <w:tc>
          <w:tcPr>
            <w:tcW w:w="918" w:type="pct"/>
            <w:tcMar>
              <w:top w:w="60" w:type="dxa"/>
              <w:left w:w="90" w:type="dxa"/>
              <w:bottom w:w="60" w:type="dxa"/>
              <w:right w:w="90" w:type="dxa"/>
            </w:tcMar>
          </w:tcPr>
          <w:p w14:paraId="7977BE68" w14:textId="77777777" w:rsidR="00D9234C" w:rsidRDefault="00000000" w:rsidP="00E6294C">
            <w:pPr>
              <w:spacing w:before="100" w:beforeAutospacing="1" w:after="100" w:afterAutospacing="1"/>
            </w:pPr>
            <w:r>
              <w:rPr>
                <w:color w:val="000000"/>
                <w:sz w:val="18"/>
                <w:szCs w:val="18"/>
              </w:rPr>
              <w:t>Rogers &amp; Jensen (2019); Baumann et al. (2020)</w:t>
            </w:r>
          </w:p>
        </w:tc>
      </w:tr>
      <w:tr w:rsidR="00D9234C" w14:paraId="6F82D7B1" w14:textId="77777777" w:rsidTr="00E6294C">
        <w:tc>
          <w:tcPr>
            <w:tcW w:w="867" w:type="pct"/>
            <w:tcMar>
              <w:top w:w="60" w:type="dxa"/>
              <w:left w:w="90" w:type="dxa"/>
              <w:bottom w:w="60" w:type="dxa"/>
              <w:right w:w="90" w:type="dxa"/>
            </w:tcMar>
          </w:tcPr>
          <w:p w14:paraId="39115A56" w14:textId="77777777" w:rsidR="00D9234C" w:rsidRDefault="00000000" w:rsidP="00E6294C">
            <w:pPr>
              <w:spacing w:before="100" w:beforeAutospacing="1" w:after="100" w:afterAutospacing="1"/>
            </w:pPr>
            <w:r>
              <w:rPr>
                <w:color w:val="000000"/>
                <w:sz w:val="18"/>
                <w:szCs w:val="18"/>
              </w:rPr>
              <w:lastRenderedPageBreak/>
              <w:t>Whether solvent substitution reduces total environmental burden</w:t>
            </w:r>
          </w:p>
        </w:tc>
        <w:tc>
          <w:tcPr>
            <w:tcW w:w="1122" w:type="pct"/>
            <w:tcMar>
              <w:top w:w="60" w:type="dxa"/>
              <w:left w:w="90" w:type="dxa"/>
              <w:bottom w:w="60" w:type="dxa"/>
              <w:right w:w="90" w:type="dxa"/>
            </w:tcMar>
          </w:tcPr>
          <w:p w14:paraId="69C3566E" w14:textId="77777777" w:rsidR="00D9234C" w:rsidRDefault="00000000" w:rsidP="00E6294C">
            <w:pPr>
              <w:spacing w:before="100" w:beforeAutospacing="1" w:after="100" w:afterAutospacing="1"/>
            </w:pPr>
            <w:r>
              <w:rPr>
                <w:color w:val="000000"/>
                <w:sz w:val="18"/>
                <w:szCs w:val="18"/>
              </w:rPr>
              <w:t>Selection guides consistently rank alternatives as preferable; life cycle analyses find several promoted alternatives inferior once production and disposal are included</w:t>
            </w:r>
          </w:p>
        </w:tc>
        <w:tc>
          <w:tcPr>
            <w:tcW w:w="969" w:type="pct"/>
            <w:tcMar>
              <w:top w:w="60" w:type="dxa"/>
              <w:left w:w="90" w:type="dxa"/>
              <w:bottom w:w="60" w:type="dxa"/>
              <w:right w:w="90" w:type="dxa"/>
            </w:tcMar>
          </w:tcPr>
          <w:p w14:paraId="05D7ABDB" w14:textId="77777777" w:rsidR="00D9234C" w:rsidRDefault="00000000" w:rsidP="00E6294C">
            <w:pPr>
              <w:spacing w:before="100" w:beforeAutospacing="1" w:after="100" w:afterAutospacing="1"/>
            </w:pPr>
            <w:r>
              <w:rPr>
                <w:color w:val="000000"/>
                <w:sz w:val="18"/>
                <w:szCs w:val="18"/>
              </w:rPr>
              <w:t>System boundary: guides emphasise use-phase hazard, whereas life cycle assessment includes cradle-to-gate and end-of-life burdens</w:t>
            </w:r>
          </w:p>
        </w:tc>
        <w:tc>
          <w:tcPr>
            <w:tcW w:w="1122" w:type="pct"/>
            <w:tcMar>
              <w:top w:w="60" w:type="dxa"/>
              <w:left w:w="90" w:type="dxa"/>
              <w:bottom w:w="60" w:type="dxa"/>
              <w:right w:w="90" w:type="dxa"/>
            </w:tcMar>
          </w:tcPr>
          <w:p w14:paraId="3DE8A7A2" w14:textId="77777777" w:rsidR="00D9234C" w:rsidRDefault="00000000" w:rsidP="00E6294C">
            <w:pPr>
              <w:spacing w:before="100" w:beforeAutospacing="1" w:after="100" w:afterAutospacing="1"/>
            </w:pPr>
            <w:r>
              <w:rPr>
                <w:color w:val="000000"/>
                <w:sz w:val="18"/>
                <w:szCs w:val="18"/>
              </w:rPr>
              <w:t>Cradle-to-grave assessments of candidate substitutes under realistic recovery assumptions, reported alongside guide scores</w:t>
            </w:r>
          </w:p>
        </w:tc>
        <w:tc>
          <w:tcPr>
            <w:tcW w:w="918" w:type="pct"/>
            <w:tcMar>
              <w:top w:w="60" w:type="dxa"/>
              <w:left w:w="90" w:type="dxa"/>
              <w:bottom w:w="60" w:type="dxa"/>
              <w:right w:w="90" w:type="dxa"/>
            </w:tcMar>
          </w:tcPr>
          <w:p w14:paraId="2173B8BC" w14:textId="77777777" w:rsidR="00D9234C" w:rsidRDefault="00000000" w:rsidP="00E6294C">
            <w:pPr>
              <w:spacing w:before="100" w:beforeAutospacing="1" w:after="100" w:afterAutospacing="1"/>
            </w:pPr>
            <w:r>
              <w:rPr>
                <w:color w:val="000000"/>
                <w:sz w:val="18"/>
                <w:szCs w:val="18"/>
              </w:rPr>
              <w:t>Byrne et al. (2016); Clarke et al. (2018); Hessel et al. (2022); Afanasenko et al. (2025)</w:t>
            </w:r>
          </w:p>
        </w:tc>
      </w:tr>
      <w:tr w:rsidR="00D9234C" w14:paraId="574D9C61" w14:textId="77777777" w:rsidTr="00E6294C">
        <w:tc>
          <w:tcPr>
            <w:tcW w:w="867" w:type="pct"/>
            <w:tcMar>
              <w:top w:w="60" w:type="dxa"/>
              <w:left w:w="90" w:type="dxa"/>
              <w:bottom w:w="60" w:type="dxa"/>
              <w:right w:w="90" w:type="dxa"/>
            </w:tcMar>
          </w:tcPr>
          <w:p w14:paraId="09998183" w14:textId="77777777" w:rsidR="00D9234C" w:rsidRDefault="00000000" w:rsidP="00E6294C">
            <w:pPr>
              <w:spacing w:before="100" w:beforeAutospacing="1" w:after="100" w:afterAutospacing="1"/>
            </w:pPr>
            <w:r>
              <w:rPr>
                <w:color w:val="000000"/>
                <w:sz w:val="18"/>
                <w:szCs w:val="18"/>
              </w:rPr>
              <w:t>Whether reported improvement in process mass intensity reflects reduced total burden</w:t>
            </w:r>
          </w:p>
        </w:tc>
        <w:tc>
          <w:tcPr>
            <w:tcW w:w="1122" w:type="pct"/>
            <w:tcMar>
              <w:top w:w="60" w:type="dxa"/>
              <w:left w:w="90" w:type="dxa"/>
              <w:bottom w:w="60" w:type="dxa"/>
              <w:right w:w="90" w:type="dxa"/>
            </w:tcMar>
          </w:tcPr>
          <w:p w14:paraId="610A3AC1" w14:textId="77777777" w:rsidR="00D9234C" w:rsidRDefault="00000000" w:rsidP="00E6294C">
            <w:pPr>
              <w:spacing w:before="100" w:beforeAutospacing="1" w:after="100" w:afterAutospacing="1"/>
            </w:pPr>
            <w:r>
              <w:rPr>
                <w:color w:val="000000"/>
                <w:sz w:val="18"/>
                <w:szCs w:val="18"/>
              </w:rPr>
              <w:t>Benchmarking shows sustained reduction in reported intensity; sector emissions analysis and modality data indicate flat or worsening aggregate performance</w:t>
            </w:r>
          </w:p>
        </w:tc>
        <w:tc>
          <w:tcPr>
            <w:tcW w:w="969" w:type="pct"/>
            <w:tcMar>
              <w:top w:w="60" w:type="dxa"/>
              <w:left w:w="90" w:type="dxa"/>
              <w:bottom w:w="60" w:type="dxa"/>
              <w:right w:w="90" w:type="dxa"/>
            </w:tcMar>
          </w:tcPr>
          <w:p w14:paraId="607CF8D8" w14:textId="77777777" w:rsidR="00D9234C" w:rsidRDefault="00000000" w:rsidP="00E6294C">
            <w:pPr>
              <w:spacing w:before="100" w:beforeAutospacing="1" w:after="100" w:afterAutospacing="1"/>
            </w:pPr>
            <w:r>
              <w:rPr>
                <w:color w:val="000000"/>
                <w:sz w:val="18"/>
                <w:szCs w:val="18"/>
              </w:rPr>
              <w:t>Boundary and portfolio effects: PMI excludes upstream supply and is not comparable across therapeutic modalities</w:t>
            </w:r>
          </w:p>
        </w:tc>
        <w:tc>
          <w:tcPr>
            <w:tcW w:w="1122" w:type="pct"/>
            <w:tcMar>
              <w:top w:w="60" w:type="dxa"/>
              <w:left w:w="90" w:type="dxa"/>
              <w:bottom w:w="60" w:type="dxa"/>
              <w:right w:w="90" w:type="dxa"/>
            </w:tcMar>
          </w:tcPr>
          <w:p w14:paraId="3563648A" w14:textId="77777777" w:rsidR="00D9234C" w:rsidRDefault="00000000" w:rsidP="00E6294C">
            <w:pPr>
              <w:spacing w:before="100" w:beforeAutospacing="1" w:after="100" w:afterAutospacing="1"/>
            </w:pPr>
            <w:r>
              <w:rPr>
                <w:color w:val="000000"/>
                <w:sz w:val="18"/>
                <w:szCs w:val="18"/>
              </w:rPr>
              <w:t>Portfolio-weighted reporting with disclosed modality composition and cradle-to-gate supply-chain inventory</w:t>
            </w:r>
          </w:p>
        </w:tc>
        <w:tc>
          <w:tcPr>
            <w:tcW w:w="918" w:type="pct"/>
            <w:tcMar>
              <w:top w:w="60" w:type="dxa"/>
              <w:left w:w="90" w:type="dxa"/>
              <w:bottom w:w="60" w:type="dxa"/>
              <w:right w:w="90" w:type="dxa"/>
            </w:tcMar>
          </w:tcPr>
          <w:p w14:paraId="4114D574" w14:textId="77777777" w:rsidR="00D9234C" w:rsidRDefault="00000000" w:rsidP="00E6294C">
            <w:pPr>
              <w:spacing w:before="100" w:beforeAutospacing="1" w:after="100" w:afterAutospacing="1"/>
            </w:pPr>
            <w:r>
              <w:rPr>
                <w:color w:val="000000"/>
                <w:sz w:val="18"/>
                <w:szCs w:val="18"/>
              </w:rPr>
              <w:t xml:space="preserve">Benison &amp; Payne (2022); Belkhir &amp; </w:t>
            </w:r>
            <w:proofErr w:type="spellStart"/>
            <w:r>
              <w:rPr>
                <w:color w:val="000000"/>
                <w:sz w:val="18"/>
                <w:szCs w:val="18"/>
              </w:rPr>
              <w:t>Elmeligi</w:t>
            </w:r>
            <w:proofErr w:type="spellEnd"/>
            <w:r>
              <w:rPr>
                <w:color w:val="000000"/>
                <w:sz w:val="18"/>
                <w:szCs w:val="18"/>
              </w:rPr>
              <w:t xml:space="preserve"> (2019); </w:t>
            </w:r>
            <w:proofErr w:type="spellStart"/>
            <w:r>
              <w:rPr>
                <w:color w:val="000000"/>
                <w:sz w:val="18"/>
                <w:szCs w:val="18"/>
              </w:rPr>
              <w:t>Kekessie</w:t>
            </w:r>
            <w:proofErr w:type="spellEnd"/>
            <w:r>
              <w:rPr>
                <w:color w:val="000000"/>
                <w:sz w:val="18"/>
                <w:szCs w:val="18"/>
              </w:rPr>
              <w:t xml:space="preserve"> et al. (2024); Colberg et al. (2025)</w:t>
            </w:r>
          </w:p>
        </w:tc>
      </w:tr>
      <w:tr w:rsidR="00D9234C" w14:paraId="7BB44B85" w14:textId="77777777" w:rsidTr="00E6294C">
        <w:tc>
          <w:tcPr>
            <w:tcW w:w="867" w:type="pct"/>
            <w:tcMar>
              <w:top w:w="60" w:type="dxa"/>
              <w:left w:w="90" w:type="dxa"/>
              <w:bottom w:w="60" w:type="dxa"/>
              <w:right w:w="90" w:type="dxa"/>
            </w:tcMar>
          </w:tcPr>
          <w:p w14:paraId="57751BE4" w14:textId="77777777" w:rsidR="00D9234C" w:rsidRDefault="00000000" w:rsidP="00E6294C">
            <w:pPr>
              <w:spacing w:before="100" w:beforeAutospacing="1" w:after="100" w:afterAutospacing="1"/>
            </w:pPr>
            <w:r>
              <w:rPr>
                <w:color w:val="000000"/>
                <w:sz w:val="18"/>
                <w:szCs w:val="18"/>
              </w:rPr>
              <w:t>Whether biocatalysis is broadly applicable or restricted to favourable targets</w:t>
            </w:r>
          </w:p>
        </w:tc>
        <w:tc>
          <w:tcPr>
            <w:tcW w:w="1122" w:type="pct"/>
            <w:tcMar>
              <w:top w:w="60" w:type="dxa"/>
              <w:left w:w="90" w:type="dxa"/>
              <w:bottom w:w="60" w:type="dxa"/>
              <w:right w:w="90" w:type="dxa"/>
            </w:tcMar>
          </w:tcPr>
          <w:p w14:paraId="42BBCDD3" w14:textId="77777777" w:rsidR="00D9234C" w:rsidRDefault="00000000" w:rsidP="00E6294C">
            <w:pPr>
              <w:spacing w:before="100" w:beforeAutospacing="1" w:after="100" w:afterAutospacing="1"/>
            </w:pPr>
            <w:r>
              <w:rPr>
                <w:color w:val="000000"/>
                <w:sz w:val="18"/>
                <w:szCs w:val="18"/>
              </w:rPr>
              <w:t>Manufacturing-scale successes across expanding enzyme classes; persistent restriction to high-value targets and long engineering campaigns</w:t>
            </w:r>
          </w:p>
        </w:tc>
        <w:tc>
          <w:tcPr>
            <w:tcW w:w="969" w:type="pct"/>
            <w:tcMar>
              <w:top w:w="60" w:type="dxa"/>
              <w:left w:w="90" w:type="dxa"/>
              <w:bottom w:w="60" w:type="dxa"/>
              <w:right w:w="90" w:type="dxa"/>
            </w:tcMar>
          </w:tcPr>
          <w:p w14:paraId="39D3E2E2" w14:textId="77777777" w:rsidR="00D9234C" w:rsidRDefault="00000000" w:rsidP="00E6294C">
            <w:pPr>
              <w:spacing w:before="100" w:beforeAutospacing="1" w:after="100" w:afterAutospacing="1"/>
            </w:pPr>
            <w:r>
              <w:rPr>
                <w:color w:val="000000"/>
                <w:sz w:val="18"/>
                <w:szCs w:val="18"/>
              </w:rPr>
              <w:t>Publication asymmetry: unsuccessful engineering campaigns and abandoned routes are not reported</w:t>
            </w:r>
          </w:p>
        </w:tc>
        <w:tc>
          <w:tcPr>
            <w:tcW w:w="1122" w:type="pct"/>
            <w:tcMar>
              <w:top w:w="60" w:type="dxa"/>
              <w:left w:w="90" w:type="dxa"/>
              <w:bottom w:w="60" w:type="dxa"/>
              <w:right w:w="90" w:type="dxa"/>
            </w:tcMar>
          </w:tcPr>
          <w:p w14:paraId="10B3B9AB" w14:textId="77777777" w:rsidR="00D9234C" w:rsidRDefault="00000000" w:rsidP="00E6294C">
            <w:pPr>
              <w:spacing w:before="100" w:beforeAutospacing="1" w:after="100" w:afterAutospacing="1"/>
            </w:pPr>
            <w:r>
              <w:rPr>
                <w:color w:val="000000"/>
                <w:sz w:val="18"/>
                <w:szCs w:val="18"/>
              </w:rPr>
              <w:t>Registry-style reporting of attempted biocatalytic substitutions including failures, with development effort recorded</w:t>
            </w:r>
          </w:p>
        </w:tc>
        <w:tc>
          <w:tcPr>
            <w:tcW w:w="918" w:type="pct"/>
            <w:tcMar>
              <w:top w:w="60" w:type="dxa"/>
              <w:left w:w="90" w:type="dxa"/>
              <w:bottom w:w="60" w:type="dxa"/>
              <w:right w:w="90" w:type="dxa"/>
            </w:tcMar>
          </w:tcPr>
          <w:p w14:paraId="59E6861F" w14:textId="77777777" w:rsidR="00D9234C" w:rsidRDefault="00000000" w:rsidP="00E6294C">
            <w:pPr>
              <w:spacing w:before="100" w:beforeAutospacing="1" w:after="100" w:afterAutospacing="1"/>
            </w:pPr>
            <w:r>
              <w:rPr>
                <w:color w:val="000000"/>
                <w:sz w:val="18"/>
                <w:szCs w:val="18"/>
              </w:rPr>
              <w:t>Devine et al. (2018); Wu et al. (2021); Falcioni et al. (2025)</w:t>
            </w:r>
          </w:p>
        </w:tc>
      </w:tr>
      <w:tr w:rsidR="00D9234C" w14:paraId="7E7B4E7E" w14:textId="77777777" w:rsidTr="00E6294C">
        <w:tc>
          <w:tcPr>
            <w:tcW w:w="867" w:type="pct"/>
            <w:tcMar>
              <w:top w:w="60" w:type="dxa"/>
              <w:left w:w="90" w:type="dxa"/>
              <w:bottom w:w="60" w:type="dxa"/>
              <w:right w:w="90" w:type="dxa"/>
            </w:tcMar>
          </w:tcPr>
          <w:p w14:paraId="4EC21B9C" w14:textId="77777777" w:rsidR="00D9234C" w:rsidRDefault="00000000" w:rsidP="00E6294C">
            <w:pPr>
              <w:spacing w:before="100" w:beforeAutospacing="1" w:after="100" w:afterAutospacing="1"/>
            </w:pPr>
            <w:r>
              <w:rPr>
                <w:color w:val="000000"/>
                <w:sz w:val="18"/>
                <w:szCs w:val="18"/>
              </w:rPr>
              <w:t>Whether computational methods improve the sustainability of manufactured processes</w:t>
            </w:r>
          </w:p>
        </w:tc>
        <w:tc>
          <w:tcPr>
            <w:tcW w:w="1122" w:type="pct"/>
            <w:tcMar>
              <w:top w:w="60" w:type="dxa"/>
              <w:left w:w="90" w:type="dxa"/>
              <w:bottom w:w="60" w:type="dxa"/>
              <w:right w:w="90" w:type="dxa"/>
            </w:tcMar>
          </w:tcPr>
          <w:p w14:paraId="07AA17E7" w14:textId="77777777" w:rsidR="00D9234C" w:rsidRDefault="00000000" w:rsidP="00E6294C">
            <w:pPr>
              <w:spacing w:before="100" w:beforeAutospacing="1" w:after="100" w:afterAutospacing="1"/>
            </w:pPr>
            <w:r>
              <w:rPr>
                <w:color w:val="000000"/>
                <w:sz w:val="18"/>
                <w:szCs w:val="18"/>
              </w:rPr>
              <w:t>Optimisation and route-planning capability demonstrated convincingly; no measured environmental outcome for a manufactured process</w:t>
            </w:r>
          </w:p>
        </w:tc>
        <w:tc>
          <w:tcPr>
            <w:tcW w:w="969" w:type="pct"/>
            <w:tcMar>
              <w:top w:w="60" w:type="dxa"/>
              <w:left w:w="90" w:type="dxa"/>
              <w:bottom w:w="60" w:type="dxa"/>
              <w:right w:w="90" w:type="dxa"/>
            </w:tcMar>
          </w:tcPr>
          <w:p w14:paraId="23639F6F" w14:textId="77777777" w:rsidR="00D9234C" w:rsidRDefault="00000000" w:rsidP="00E6294C">
            <w:pPr>
              <w:spacing w:before="100" w:beforeAutospacing="1" w:after="100" w:afterAutospacing="1"/>
            </w:pPr>
            <w:r>
              <w:rPr>
                <w:color w:val="000000"/>
                <w:sz w:val="18"/>
                <w:szCs w:val="18"/>
              </w:rPr>
              <w:t>Outcome substitution: campaign efficiency is reported in place of process environmental performance</w:t>
            </w:r>
          </w:p>
        </w:tc>
        <w:tc>
          <w:tcPr>
            <w:tcW w:w="1122" w:type="pct"/>
            <w:tcMar>
              <w:top w:w="60" w:type="dxa"/>
              <w:left w:w="90" w:type="dxa"/>
              <w:bottom w:w="60" w:type="dxa"/>
              <w:right w:w="90" w:type="dxa"/>
            </w:tcMar>
          </w:tcPr>
          <w:p w14:paraId="3FE826BD" w14:textId="77777777" w:rsidR="00D9234C" w:rsidRDefault="00000000" w:rsidP="00E6294C">
            <w:pPr>
              <w:spacing w:before="100" w:beforeAutospacing="1" w:after="100" w:afterAutospacing="1"/>
            </w:pPr>
            <w:r>
              <w:rPr>
                <w:color w:val="000000"/>
                <w:sz w:val="18"/>
                <w:szCs w:val="18"/>
              </w:rPr>
              <w:t>Prospective studies in which route or conditions are selected computationally under an environmental objective and realised performance is measured</w:t>
            </w:r>
          </w:p>
        </w:tc>
        <w:tc>
          <w:tcPr>
            <w:tcW w:w="918" w:type="pct"/>
            <w:tcMar>
              <w:top w:w="60" w:type="dxa"/>
              <w:left w:w="90" w:type="dxa"/>
              <w:bottom w:w="60" w:type="dxa"/>
              <w:right w:w="90" w:type="dxa"/>
            </w:tcMar>
          </w:tcPr>
          <w:p w14:paraId="4822EA17" w14:textId="77777777" w:rsidR="00D9234C" w:rsidRDefault="00000000" w:rsidP="00E6294C">
            <w:pPr>
              <w:spacing w:before="100" w:beforeAutospacing="1" w:after="100" w:afterAutospacing="1"/>
            </w:pPr>
            <w:r>
              <w:rPr>
                <w:color w:val="000000"/>
                <w:sz w:val="18"/>
                <w:szCs w:val="18"/>
              </w:rPr>
              <w:t>Shields et al. (2021); Angello et al. (2022); Schwaller et al. (2022)</w:t>
            </w:r>
          </w:p>
        </w:tc>
      </w:tr>
      <w:tr w:rsidR="00D9234C" w14:paraId="26F7DA5B" w14:textId="77777777" w:rsidTr="00E6294C">
        <w:tc>
          <w:tcPr>
            <w:tcW w:w="867" w:type="pct"/>
            <w:tcMar>
              <w:top w:w="60" w:type="dxa"/>
              <w:left w:w="90" w:type="dxa"/>
              <w:bottom w:w="60" w:type="dxa"/>
              <w:right w:w="90" w:type="dxa"/>
            </w:tcMar>
          </w:tcPr>
          <w:p w14:paraId="5B7F2551" w14:textId="77777777" w:rsidR="00D9234C" w:rsidRDefault="00000000" w:rsidP="00E6294C">
            <w:pPr>
              <w:spacing w:before="100" w:beforeAutospacing="1" w:after="100" w:afterAutospacing="1"/>
            </w:pPr>
            <w:r>
              <w:rPr>
                <w:color w:val="000000"/>
                <w:sz w:val="18"/>
                <w:szCs w:val="18"/>
              </w:rPr>
              <w:t>Whether photochemical and electrochemical methods reduce environmental burden</w:t>
            </w:r>
          </w:p>
        </w:tc>
        <w:tc>
          <w:tcPr>
            <w:tcW w:w="1122" w:type="pct"/>
            <w:tcMar>
              <w:top w:w="60" w:type="dxa"/>
              <w:left w:w="90" w:type="dxa"/>
              <w:bottom w:w="60" w:type="dxa"/>
              <w:right w:w="90" w:type="dxa"/>
            </w:tcMar>
          </w:tcPr>
          <w:p w14:paraId="37C783D8" w14:textId="77777777" w:rsidR="00D9234C" w:rsidRDefault="00000000" w:rsidP="00E6294C">
            <w:pPr>
              <w:spacing w:before="100" w:beforeAutospacing="1" w:after="100" w:afterAutospacing="1"/>
            </w:pPr>
            <w:r>
              <w:rPr>
                <w:color w:val="000000"/>
                <w:sz w:val="18"/>
                <w:szCs w:val="18"/>
              </w:rPr>
              <w:t>Elimination of stoichiometric reagents is well demonstrated; no manufacturing-scale life cycle comparison exists</w:t>
            </w:r>
          </w:p>
        </w:tc>
        <w:tc>
          <w:tcPr>
            <w:tcW w:w="969" w:type="pct"/>
            <w:tcMar>
              <w:top w:w="60" w:type="dxa"/>
              <w:left w:w="90" w:type="dxa"/>
              <w:bottom w:w="60" w:type="dxa"/>
              <w:right w:w="90" w:type="dxa"/>
            </w:tcMar>
          </w:tcPr>
          <w:p w14:paraId="7C19D320" w14:textId="77777777" w:rsidR="00D9234C" w:rsidRDefault="00000000" w:rsidP="00E6294C">
            <w:pPr>
              <w:spacing w:before="100" w:beforeAutospacing="1" w:after="100" w:afterAutospacing="1"/>
            </w:pPr>
            <w:r>
              <w:rPr>
                <w:color w:val="000000"/>
                <w:sz w:val="18"/>
                <w:szCs w:val="18"/>
              </w:rPr>
              <w:t>Energy source substitution is unaccounted, so reagent burden may be displaced into electricity generation</w:t>
            </w:r>
          </w:p>
        </w:tc>
        <w:tc>
          <w:tcPr>
            <w:tcW w:w="1122" w:type="pct"/>
            <w:tcMar>
              <w:top w:w="60" w:type="dxa"/>
              <w:left w:w="90" w:type="dxa"/>
              <w:bottom w:w="60" w:type="dxa"/>
              <w:right w:w="90" w:type="dxa"/>
            </w:tcMar>
          </w:tcPr>
          <w:p w14:paraId="05C574C8" w14:textId="77777777" w:rsidR="00D9234C" w:rsidRDefault="00000000" w:rsidP="00E6294C">
            <w:pPr>
              <w:spacing w:before="100" w:beforeAutospacing="1" w:after="100" w:afterAutospacing="1"/>
            </w:pPr>
            <w:r>
              <w:rPr>
                <w:color w:val="000000"/>
                <w:sz w:val="18"/>
                <w:szCs w:val="18"/>
              </w:rPr>
              <w:t>Life cycle comparisons at pilot or manufacturing scale with explicit electricity grid assumptions and sensitivity analysis</w:t>
            </w:r>
          </w:p>
        </w:tc>
        <w:tc>
          <w:tcPr>
            <w:tcW w:w="918" w:type="pct"/>
            <w:tcMar>
              <w:top w:w="60" w:type="dxa"/>
              <w:left w:w="90" w:type="dxa"/>
              <w:bottom w:w="60" w:type="dxa"/>
              <w:right w:w="90" w:type="dxa"/>
            </w:tcMar>
          </w:tcPr>
          <w:p w14:paraId="031DBD67" w14:textId="77777777" w:rsidR="00D9234C" w:rsidRDefault="00000000" w:rsidP="00E6294C">
            <w:pPr>
              <w:spacing w:before="100" w:beforeAutospacing="1" w:after="100" w:afterAutospacing="1"/>
            </w:pPr>
            <w:r>
              <w:rPr>
                <w:color w:val="000000"/>
                <w:sz w:val="18"/>
                <w:szCs w:val="18"/>
              </w:rPr>
              <w:t xml:space="preserve">Kingston et al. (2020); </w:t>
            </w:r>
            <w:proofErr w:type="spellStart"/>
            <w:r>
              <w:rPr>
                <w:color w:val="000000"/>
                <w:sz w:val="18"/>
                <w:szCs w:val="18"/>
              </w:rPr>
              <w:t>Candish</w:t>
            </w:r>
            <w:proofErr w:type="spellEnd"/>
            <w:r>
              <w:rPr>
                <w:color w:val="000000"/>
                <w:sz w:val="18"/>
                <w:szCs w:val="18"/>
              </w:rPr>
              <w:t xml:space="preserve"> et al. (2022); </w:t>
            </w:r>
            <w:proofErr w:type="spellStart"/>
            <w:r>
              <w:rPr>
                <w:color w:val="000000"/>
                <w:sz w:val="18"/>
                <w:szCs w:val="18"/>
              </w:rPr>
              <w:t>Buglioni</w:t>
            </w:r>
            <w:proofErr w:type="spellEnd"/>
            <w:r>
              <w:rPr>
                <w:color w:val="000000"/>
                <w:sz w:val="18"/>
                <w:szCs w:val="18"/>
              </w:rPr>
              <w:t xml:space="preserve"> et al. (2022)</w:t>
            </w:r>
          </w:p>
        </w:tc>
      </w:tr>
    </w:tbl>
    <w:p w14:paraId="0D80A8E9" w14:textId="77777777" w:rsidR="00D9234C" w:rsidRDefault="00000000" w:rsidP="00E6294C">
      <w:pPr>
        <w:spacing w:before="100" w:beforeAutospacing="1" w:after="100" w:afterAutospacing="1"/>
      </w:pPr>
      <w:r>
        <w:rPr>
          <w:color w:val="000000"/>
          <w:sz w:val="16"/>
          <w:szCs w:val="16"/>
        </w:rPr>
        <w:t>Note. PMI = process mass intensity. Contradictions are stated as they appear in the reviewed literature; the explanations offered are the most plausible identified during appraisal and are not established findings.</w:t>
      </w:r>
    </w:p>
    <w:p w14:paraId="1BDCA094" w14:textId="77777777" w:rsidR="00D9234C" w:rsidRDefault="00000000" w:rsidP="00E6294C">
      <w:pPr>
        <w:pStyle w:val="Heading1"/>
        <w:spacing w:before="100" w:beforeAutospacing="1" w:after="100" w:afterAutospacing="1"/>
      </w:pPr>
      <w:r>
        <w:rPr>
          <w:b/>
          <w:bCs/>
          <w:color w:val="000000"/>
          <w:sz w:val="26"/>
          <w:szCs w:val="26"/>
        </w:rPr>
        <w:t>9. Future Directions</w:t>
      </w:r>
    </w:p>
    <w:p w14:paraId="7A090E80" w14:textId="77777777" w:rsidR="00D9234C" w:rsidRDefault="00000000" w:rsidP="00E6294C">
      <w:pPr>
        <w:spacing w:before="100" w:beforeAutospacing="1" w:after="100" w:afterAutospacing="1"/>
        <w:jc w:val="both"/>
      </w:pPr>
      <w:r>
        <w:rPr>
          <w:color w:val="000000"/>
        </w:rPr>
        <w:t>The priorities set out here are ordered by the extent to which resolving them would change decisions rather than by scientific interest. The first three are achievable within the current research and regulatory environment; the remainder require longer commitment.</w:t>
      </w:r>
    </w:p>
    <w:p w14:paraId="487E424E" w14:textId="77777777" w:rsidR="00D9234C" w:rsidRDefault="00000000" w:rsidP="00E6294C">
      <w:pPr>
        <w:spacing w:before="100" w:beforeAutospacing="1" w:after="100" w:afterAutospacing="1"/>
        <w:jc w:val="both"/>
      </w:pPr>
      <w:r>
        <w:rPr>
          <w:color w:val="000000"/>
        </w:rPr>
        <w:t>The most immediate need is for comparative reporting that permits displacement to be detected. The evidence assembled in this review repeatedly shows improvement measured within a boundary that excludes the compensating burden. The remedy is not a new metric but a reporting convention requiring that mass intensity be reported alongside cumulative energy demand and a cradle-to-gate impact estimate, and that the comparator be identified as either an optimised manufacturing incumbent or a laboratory procedure. Such reporting is feasible with existing methods, since the required life cycle inventory approaches are established and have been applied to pharmaceutical processes (Raymond et al., 2010; Kaji et al., 2025). The obstacle is convention rather than capability, which makes this the priority with the highest ratio of benefit to cost. Journals and pre-competitive consortia are positioned to require it, and the metric literature has already identified the incompleteness that such a requirement would address (Sheldon et al., 2022; Becker et al., 2022).</w:t>
      </w:r>
    </w:p>
    <w:p w14:paraId="2EC28347" w14:textId="77777777" w:rsidR="00D9234C" w:rsidRDefault="00000000" w:rsidP="00E6294C">
      <w:pPr>
        <w:spacing w:before="100" w:beforeAutospacing="1" w:after="100" w:afterAutospacing="1"/>
        <w:jc w:val="both"/>
      </w:pPr>
      <w:r>
        <w:rPr>
          <w:color w:val="000000"/>
        </w:rPr>
        <w:lastRenderedPageBreak/>
        <w:t>The second priority is portfolio-adjusted benchmarking. Because process mass intensity is not comparable across therapeutic modalities, aggregate figures conceal both improvement and deterioration, and the shift towards peptides and oligonucleotides makes this problem more acute each year (</w:t>
      </w:r>
      <w:proofErr w:type="spellStart"/>
      <w:r>
        <w:rPr>
          <w:color w:val="000000"/>
        </w:rPr>
        <w:t>Kekessie</w:t>
      </w:r>
      <w:proofErr w:type="spellEnd"/>
      <w:r>
        <w:rPr>
          <w:color w:val="000000"/>
        </w:rPr>
        <w:t xml:space="preserve"> et al., 2024). Benchmarking should therefore report modality composition alongside intensity, and should establish separate reference ranges for each modality. The work required is organisational rather than scientific: existing benchmarking exercises already collect the necessary data, and the change concerns how those data are stratified and disclosed (Benison &amp; Payne, 2022; Colberg et al., 2025).</w:t>
      </w:r>
    </w:p>
    <w:p w14:paraId="77330592" w14:textId="77777777" w:rsidR="00D9234C" w:rsidRDefault="00000000" w:rsidP="00E6294C">
      <w:pPr>
        <w:spacing w:before="100" w:beforeAutospacing="1" w:after="100" w:afterAutospacing="1"/>
        <w:jc w:val="both"/>
      </w:pPr>
      <w:r>
        <w:rPr>
          <w:color w:val="000000"/>
        </w:rPr>
        <w:t>The third priority is the registration of negative results in biocatalysis and in computational route design. The evidence in both domains is distorted by the absence of unsuccessful cases, which inflates apparent success rates and prevents estimation of the proportion of targets to which each approach applies (Devine et al., 2018; Schwaller et al., 2022). A pre-competitive registry recording attempted biocatalytic substitutions, including those abandoned, together with the development effort expended, would permit the first credible estimate of the applicability of biocatalysis across a development portfolio. The equivalent for computational route design would record proposed routes that failed experimentally. Both are achievable through existing consortium structures and require no new methodology.</w:t>
      </w:r>
    </w:p>
    <w:p w14:paraId="7B699684" w14:textId="77777777" w:rsidR="00D9234C" w:rsidRDefault="00000000" w:rsidP="00E6294C">
      <w:pPr>
        <w:spacing w:before="100" w:beforeAutospacing="1" w:after="100" w:afterAutospacing="1"/>
        <w:jc w:val="both"/>
      </w:pPr>
      <w:r>
        <w:rPr>
          <w:color w:val="000000"/>
        </w:rPr>
        <w:t xml:space="preserve">The fourth priority concerns the technologies whose environmental case rests on mechanism rather than measurement. Photochemical, electrochemical and mechanochemical processing all require pilot-scale life cycle comparison against the incumbent process, conducted with explicit and varied assumptions regarding electricity generation, since the benefit of electrifying a chemical transformation depends on the carbon intensity of the electricity supply (Kingston et al., 2020; </w:t>
      </w:r>
      <w:proofErr w:type="spellStart"/>
      <w:r>
        <w:rPr>
          <w:color w:val="000000"/>
        </w:rPr>
        <w:t>Candish</w:t>
      </w:r>
      <w:proofErr w:type="spellEnd"/>
      <w:r>
        <w:rPr>
          <w:color w:val="000000"/>
        </w:rPr>
        <w:t xml:space="preserve"> et al., 2022). For mechanochemistry the specific requirement is standardised reporting of specific energy input per unit of product, which the discipline currently lacks, and a comparison of twin-screw extrusion against solid-phase synthesis for a defined peptide target, since that comparison addresses the modality with the poorest mass efficiency using equipment already established in pharmaceutical operations (Ardila-Fierro &amp; Hernández, 2021; Daurio et al., 2025). These studies are demanding but bounded, and each would resolve a specific disagreement identified in Table 5.</w:t>
      </w:r>
    </w:p>
    <w:p w14:paraId="1CC03620" w14:textId="77777777" w:rsidR="00D9234C" w:rsidRDefault="00000000" w:rsidP="00E6294C">
      <w:pPr>
        <w:spacing w:before="100" w:beforeAutospacing="1" w:after="100" w:afterAutospacing="1"/>
        <w:jc w:val="both"/>
      </w:pPr>
      <w:r>
        <w:rPr>
          <w:color w:val="000000"/>
        </w:rPr>
        <w:t>The fifth priority is prospective demonstration that computational selection improves environmental outcome. The appropriate design is a study in which candidate routes to a defined target are generated computationally, ranked by a stated environmental objective incorporating predicted mass intensity and solvent hazard, and in which the selected route is developed to at least pilot scale with realised performance compared against the route that conventional development would have selected. Predictive tools capable of supporting such ranking exist, and the enabling optimisation methods are mature (Angelini et al., 2023; Taylor et al., 2023). The outcome measure should be realised process performance, not benchmark accuracy. A parallel requirement is that the computational energy expended be reported, so that the comparison is complete.</w:t>
      </w:r>
    </w:p>
    <w:p w14:paraId="14E919F5" w14:textId="77777777" w:rsidR="00D9234C" w:rsidRDefault="00000000" w:rsidP="00E6294C">
      <w:pPr>
        <w:spacing w:before="100" w:beforeAutospacing="1" w:after="100" w:afterAutospacing="1"/>
        <w:jc w:val="both"/>
      </w:pPr>
      <w:r>
        <w:rPr>
          <w:color w:val="000000"/>
        </w:rPr>
        <w:t xml:space="preserve">The sixth priority concerns the regulatory economics of process improvement. The asymmetry between pre-approval and post-approval change plausibly freezes commercial processes at the </w:t>
      </w:r>
      <w:proofErr w:type="gramStart"/>
      <w:r>
        <w:rPr>
          <w:color w:val="000000"/>
        </w:rPr>
        <w:t>state of the art</w:t>
      </w:r>
      <w:proofErr w:type="gramEnd"/>
      <w:r>
        <w:rPr>
          <w:color w:val="000000"/>
        </w:rPr>
        <w:t xml:space="preserve"> prevailing at approval, but the magnitude of the resulting foregone improvement has never been estimated. A retrospective analysis of a cohort of approved products, comparing the process in commercial use with the best available process at a later date, would quantify this and would indicate whether expedited regulatory pathways for environmentally motivated change are justified. The harmonised framework now available for continuous manufacturing demonstrates that regulatory adaptation to a new manufacturing paradigm is achievable, which strengthens the case for examining whether a comparable adaptation is warranted for process improvement more generally (ICH, 2022; Lee et al., 2015).</w:t>
      </w:r>
    </w:p>
    <w:p w14:paraId="4D95858C" w14:textId="77777777" w:rsidR="00D9234C" w:rsidRDefault="00000000" w:rsidP="00E6294C">
      <w:pPr>
        <w:spacing w:before="100" w:beforeAutospacing="1" w:after="100" w:afterAutospacing="1"/>
        <w:jc w:val="both"/>
      </w:pPr>
      <w:r>
        <w:rPr>
          <w:color w:val="000000"/>
        </w:rPr>
        <w:lastRenderedPageBreak/>
        <w:t>The seventh priority is longer in horizon. Supply-chain inventory data are the binding constraint on any credible assessment of sector environmental performance, and no technical solution will substitute for disclosure by intermediate suppliers (Colberg et al., 2025; Tucker &amp; Faul, 2016). The most plausible route to such disclosure combines procurement requirements from purchasers of medicines with the precedent established by discharge guidance for antibiotic manufacture, which has already demonstrated that environmental conditions can be attached to pharmaceutical supply through non-regulatory instruments (World Health Organization, 2024; Larsson &amp; Flach, 2022). Research is required to determine what inventory granularity is sufficient for decision-making, since demands for complete disclosure are unlikely to be met and partial data of known quality would be more useful than complete data that never arrive.</w:t>
      </w:r>
    </w:p>
    <w:p w14:paraId="7C3138E0" w14:textId="77777777" w:rsidR="00D9234C" w:rsidRDefault="00000000" w:rsidP="00E6294C">
      <w:pPr>
        <w:spacing w:before="100" w:beforeAutospacing="1" w:after="100" w:afterAutospacing="1"/>
        <w:jc w:val="both"/>
      </w:pPr>
      <w:r>
        <w:rPr>
          <w:color w:val="000000"/>
        </w:rPr>
        <w:t>Finally, the design of active pharmaceutical ingredients for environmental degradability after use warrants sustained investigation despite its current weak evidence base, because it addresses a burden that no manufacturing improvement can reach (</w:t>
      </w:r>
      <w:proofErr w:type="spellStart"/>
      <w:r>
        <w:rPr>
          <w:color w:val="000000"/>
        </w:rPr>
        <w:t>Kümmerer</w:t>
      </w:r>
      <w:proofErr w:type="spellEnd"/>
      <w:r>
        <w:rPr>
          <w:color w:val="000000"/>
        </w:rPr>
        <w:t xml:space="preserve"> et al., 2018). The immediate research requirement is not further advocacy but empirical determination of whether therapeutic potency and post-excretion degradability can be reconciled across a meaningful range of pharmacological targets, which requires systematic study rather than the accumulation of individual demonstrations.</w:t>
      </w:r>
    </w:p>
    <w:p w14:paraId="075FF498" w14:textId="77777777" w:rsidR="00D9234C" w:rsidRDefault="00000000" w:rsidP="00E6294C">
      <w:pPr>
        <w:pStyle w:val="Heading1"/>
        <w:spacing w:before="100" w:beforeAutospacing="1" w:after="100" w:afterAutospacing="1"/>
      </w:pPr>
      <w:r>
        <w:rPr>
          <w:b/>
          <w:bCs/>
          <w:color w:val="000000"/>
          <w:sz w:val="26"/>
          <w:szCs w:val="26"/>
        </w:rPr>
        <w:t>10. Conclusions</w:t>
      </w:r>
    </w:p>
    <w:p w14:paraId="07373195" w14:textId="77777777" w:rsidR="00D9234C" w:rsidRDefault="00000000" w:rsidP="00E6294C">
      <w:pPr>
        <w:spacing w:before="100" w:beforeAutospacing="1" w:after="100" w:afterAutospacing="1"/>
        <w:jc w:val="both"/>
      </w:pPr>
      <w:r>
        <w:rPr>
          <w:color w:val="000000"/>
        </w:rPr>
        <w:t>The evidence assembled here supports a differentiated rather than uniform assessment of environmental progress in pharmaceutical manufacturing. Confidence is strongest for biocatalysis, where mechanistic plausibility, manufacturing-scale demonstration and independent confirmation across multiple enzyme classes converge, and where the resulting processes have replaced precious-metal and stoichiometric chemistry in commercial production. The qualification attaching to this conclusion concerns applicability rather than effect: the proportion of synthetic targets amenable to biocatalytic substitution cannot be estimated from a literature that records successes and omits failures.</w:t>
      </w:r>
    </w:p>
    <w:p w14:paraId="6B75C3BE" w14:textId="77777777" w:rsidR="00D9234C" w:rsidRDefault="00000000" w:rsidP="00E6294C">
      <w:pPr>
        <w:spacing w:before="100" w:beforeAutospacing="1" w:after="100" w:afterAutospacing="1"/>
        <w:jc w:val="both"/>
      </w:pPr>
      <w:r>
        <w:rPr>
          <w:color w:val="000000"/>
        </w:rPr>
        <w:t>Confidence is moderate for solvent-related interventions and for continuous processing. Solvent selection guides agree at the extremes and diverge in the intermediate range where most decisions are made, and several solvent classes promoted as inherently benign perform less well once their production and disposal are included. Continuous processing delivers substantial benefit for fast, hazardous or transfer-limited chemistry and little or none elsewhere; the general superiority sometimes claimed for it is an artefact of comparison against laboratory batch procedures rather than against optimised batch manufacture.</w:t>
      </w:r>
    </w:p>
    <w:p w14:paraId="1FE34D15" w14:textId="77777777" w:rsidR="00D9234C" w:rsidRDefault="00000000" w:rsidP="00E6294C">
      <w:pPr>
        <w:spacing w:before="100" w:beforeAutospacing="1" w:after="100" w:afterAutospacing="1"/>
        <w:jc w:val="both"/>
      </w:pPr>
      <w:r>
        <w:rPr>
          <w:color w:val="000000"/>
        </w:rPr>
        <w:t>Confidence is weak for the environmental claims made on behalf of photochemical, electrochemical and mechanochemical activation, and for those made on behalf of computational methods. In the first group the mechanistic argument is sound but no manufacturing-scale life cycle comparison has been published, and the benefit of electrification depends on an electricity supply whose carbon intensity is rarely stated. In the second, capability is convincingly demonstrated, yet the reported outcomes concern the efficiency of development campaigns rather than the environmental performance of manufactured processes, and the energy consumed by computation is not accounted for anywhere in the literature examined. These are gaps in evidence rather than evidence of absent benefit, and the distinction matters for how research effort should be directed.</w:t>
      </w:r>
    </w:p>
    <w:p w14:paraId="6E10D83F" w14:textId="77777777" w:rsidR="00D9234C" w:rsidRDefault="00000000" w:rsidP="00E6294C">
      <w:pPr>
        <w:spacing w:before="100" w:beforeAutospacing="1" w:after="100" w:afterAutospacing="1"/>
        <w:jc w:val="both"/>
      </w:pPr>
      <w:r>
        <w:rPr>
          <w:color w:val="000000"/>
        </w:rPr>
        <w:t>Circular production remains largely synonymous with solvent recovery. Recovery is well founded, materially significant and constrained in regulated manufacture by purity specification and cross-contamination risk rather than by separation technology. Beyond solvents, circularity in this sector is discussed far more often than it is measured, and the structural obstacles, small volumes relative to material diversity and regulatory constraints on material identity, are genuine rather than attitudinal.</w:t>
      </w:r>
    </w:p>
    <w:p w14:paraId="1744DCE1" w14:textId="77777777" w:rsidR="00D9234C" w:rsidRDefault="00000000" w:rsidP="00E6294C">
      <w:pPr>
        <w:spacing w:before="100" w:beforeAutospacing="1" w:after="100" w:afterAutospacing="1"/>
        <w:jc w:val="both"/>
      </w:pPr>
      <w:r>
        <w:rPr>
          <w:color w:val="000000"/>
        </w:rPr>
        <w:lastRenderedPageBreak/>
        <w:t>A single problem underlies these assessments. Improvement is measured within boundaries that exclude the burdens most likely to be displaced. Mass-based metrics have driven real gains and remain the most practical instruments available, but they omit energy, hazard and upstream production, they conventionally begin at the registered starting material, and they are not comparable across therapeutic modalities. The consequence is that reported improvement is compatible with unchanged total burden, and that the sector cannot at present demonstrate the aggregate progress its individual case studies suggest.</w:t>
      </w:r>
    </w:p>
    <w:p w14:paraId="47DA5E1B" w14:textId="77777777" w:rsidR="00D9234C" w:rsidRDefault="00000000" w:rsidP="00E6294C">
      <w:pPr>
        <w:spacing w:before="100" w:beforeAutospacing="1" w:after="100" w:afterAutospacing="1"/>
        <w:jc w:val="both"/>
      </w:pPr>
      <w:r>
        <w:rPr>
          <w:color w:val="000000"/>
        </w:rPr>
        <w:t>The broader significance is that the constraint on environmental progress in this sector has shifted. For two decades the limiting factor was synthetic capability, and the response was the development of catalytic, enzymatic and intensified methods that have substantially expanded what can be manufactured cleanly. The limiting factors now are measurement that detects displacement, disclosure that extends beyond the plant gate, and regulatory pathways that do not penalise improvement after approval. These are institutional rather than chemical problems, and they will not be resolved by further methodological innovation alone.</w:t>
      </w:r>
    </w:p>
    <w:p w14:paraId="1F591EC2" w14:textId="77777777" w:rsidR="00D9234C" w:rsidRDefault="00000000" w:rsidP="00E6294C">
      <w:pPr>
        <w:pStyle w:val="Heading1"/>
        <w:spacing w:before="100" w:beforeAutospacing="1" w:after="100" w:afterAutospacing="1"/>
      </w:pPr>
      <w:r>
        <w:rPr>
          <w:b/>
          <w:bCs/>
          <w:color w:val="000000"/>
          <w:sz w:val="26"/>
          <w:szCs w:val="26"/>
        </w:rPr>
        <w:t>11. Limitations</w:t>
      </w:r>
    </w:p>
    <w:p w14:paraId="38FDB000" w14:textId="77777777" w:rsidR="00D9234C" w:rsidRDefault="00000000" w:rsidP="00E6294C">
      <w:pPr>
        <w:spacing w:before="100" w:beforeAutospacing="1" w:after="100" w:afterAutospacing="1"/>
        <w:jc w:val="both"/>
      </w:pPr>
      <w:r>
        <w:rPr>
          <w:color w:val="000000"/>
        </w:rPr>
        <w:t>This review is a narrative synthesis and carries the limitations intrinsic to that design. Although the search concepts, sources, eligibility criteria and appraisal criteria were specified in advance and are reported above, selection of sources was purposive rather than exhaustive, and judgement was exercised at every stage regarding which findings were representative and which disagreements were material. Another reviewer applying the same criteria to the same literature could reasonably reach different emphases, particularly regarding the weight assigned to industrial perspectives relative to primary research. The confidence levels attached to conclusions are qualitative characterisations arrived at by structured judgement, not the output of a validated grading instrument.</w:t>
      </w:r>
    </w:p>
    <w:p w14:paraId="7755BA53" w14:textId="77777777" w:rsidR="00D9234C" w:rsidRDefault="00000000" w:rsidP="00E6294C">
      <w:pPr>
        <w:spacing w:before="100" w:beforeAutospacing="1" w:after="100" w:afterAutospacing="1"/>
        <w:jc w:val="both"/>
      </w:pPr>
      <w:r>
        <w:rPr>
          <w:color w:val="000000"/>
        </w:rPr>
        <w:t>Access to literature was incomplete. Subscription-based abstract and citation indexes were not available during preparation, so retrieval depended on a scholarly metadata registry, targeted web-based searching and institutional repositories. This combination provides broad coverage of records possessing persistent identifiers but is weaker for material indexed principally in specialist subject databases, for conference literature and for regionally published work. Coverage of research published in languages other than English is limited by the language restriction applied, which is likely to have under-represented process chemistry conducted in the jurisdictions where a substantial share of global active pharmaceutical ingredient production occurs. Full-text access was not available for every source considered, and records that could not be verified were excluded rather than cited, which may have removed relevant evidence along with unreliable evidence.</w:t>
      </w:r>
    </w:p>
    <w:p w14:paraId="2EDA098D" w14:textId="77777777" w:rsidR="00D9234C" w:rsidRDefault="00000000" w:rsidP="00E6294C">
      <w:pPr>
        <w:spacing w:before="100" w:beforeAutospacing="1" w:after="100" w:afterAutospacing="1"/>
        <w:jc w:val="both"/>
      </w:pPr>
      <w:r>
        <w:rPr>
          <w:color w:val="000000"/>
        </w:rPr>
        <w:t>The evidence base itself imposes limitations that no review design can overcome. Process chemistry publishes successful demonstrations, so the literature systematically over-represents favourable outcomes and provides no basis for estimating how frequently an approach fails. Industrial perspectives and benchmarking exercises rest on data self-reported by participating organisations and cannot be independently audited. Comparative studies rarely state whether the comparator is an optimised manufacturing process or a laboratory procedure, which limits interpretation of reported improvements. Study designs, functional units and system boundaries vary so widely that quantitative synthesis was not possible, and no pooled estimate of any effect is offered here.</w:t>
      </w:r>
    </w:p>
    <w:p w14:paraId="7DAD2263" w14:textId="77777777" w:rsidR="00D9234C" w:rsidRDefault="00000000" w:rsidP="00E6294C">
      <w:pPr>
        <w:spacing w:before="100" w:beforeAutospacing="1" w:after="100" w:afterAutospacing="1"/>
        <w:jc w:val="both"/>
        <w:rPr>
          <w:color w:val="000000"/>
        </w:rPr>
      </w:pPr>
      <w:r>
        <w:rPr>
          <w:color w:val="000000"/>
        </w:rPr>
        <w:t xml:space="preserve">Geographical and temporal constraints also apply. The literature reflects the research priorities and regulatory environments of a small number of jurisdictions, and evidence from the regions responsible for much of global intermediate and active ingredient production is comparatively sparse. Several of the domains reviewed, particularly computational route design, autonomous experimentation and machine-learning-guided enzyme design, are developing rapidly, so conclusions </w:t>
      </w:r>
      <w:r>
        <w:rPr>
          <w:color w:val="000000"/>
        </w:rPr>
        <w:lastRenderedPageBreak/>
        <w:t>regarding their maturity are provisional and specific to the search period stated. Long-term operational evidence is scarce throughout: most reported demonstrations describe performance over campaigns of limited duration, and the durability of environmental gains under sustained commercial operation is largely unexamined.</w:t>
      </w:r>
    </w:p>
    <w:p w14:paraId="3DBC69C3" w14:textId="77777777" w:rsidR="00900A11" w:rsidRPr="000839CE" w:rsidRDefault="00900A11" w:rsidP="00900A11">
      <w:pPr>
        <w:rPr>
          <w:b/>
        </w:rPr>
      </w:pPr>
      <w:r w:rsidRPr="000839CE">
        <w:rPr>
          <w:b/>
        </w:rPr>
        <w:t>Declaration of AI Use</w:t>
      </w:r>
    </w:p>
    <w:p w14:paraId="0032422C" w14:textId="77777777" w:rsidR="00900A11" w:rsidRPr="000839CE" w:rsidRDefault="00900A11" w:rsidP="00900A11"/>
    <w:p w14:paraId="23214DC7" w14:textId="77777777" w:rsidR="00900A11" w:rsidRPr="000839CE" w:rsidRDefault="00900A11" w:rsidP="00900A11">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77AD14D" w14:textId="77777777" w:rsidR="00900A11" w:rsidRDefault="00900A11" w:rsidP="00E6294C">
      <w:pPr>
        <w:spacing w:before="100" w:beforeAutospacing="1" w:after="100" w:afterAutospacing="1"/>
        <w:jc w:val="both"/>
      </w:pPr>
    </w:p>
    <w:p w14:paraId="760D2AB2" w14:textId="77777777" w:rsidR="00D9234C" w:rsidRDefault="00000000" w:rsidP="00E6294C">
      <w:pPr>
        <w:pStyle w:val="Heading1"/>
        <w:spacing w:before="100" w:beforeAutospacing="1" w:after="100" w:afterAutospacing="1"/>
      </w:pPr>
      <w:r>
        <w:rPr>
          <w:b/>
          <w:bCs/>
          <w:color w:val="000000"/>
          <w:sz w:val="26"/>
          <w:szCs w:val="26"/>
        </w:rPr>
        <w:t>References</w:t>
      </w:r>
    </w:p>
    <w:p w14:paraId="722BDCE1" w14:textId="77777777" w:rsidR="00D9234C" w:rsidRDefault="00000000" w:rsidP="00E6294C">
      <w:pPr>
        <w:spacing w:before="100" w:beforeAutospacing="1" w:after="100" w:afterAutospacing="1"/>
        <w:ind w:left="720" w:hanging="720"/>
      </w:pPr>
      <w:r>
        <w:t xml:space="preserve">Adamo, A., </w:t>
      </w:r>
      <w:proofErr w:type="spellStart"/>
      <w:r>
        <w:t>Beingessner</w:t>
      </w:r>
      <w:proofErr w:type="spellEnd"/>
      <w:r>
        <w:t xml:space="preserve">, R. L., Behnam, M., Chen, J., Jamison, T. F., Jensen, K. F., </w:t>
      </w:r>
      <w:proofErr w:type="spellStart"/>
      <w:r>
        <w:t>Monbaliu</w:t>
      </w:r>
      <w:proofErr w:type="spellEnd"/>
      <w:r>
        <w:t xml:space="preserve">, J.-C. M., Myerson, A. S., </w:t>
      </w:r>
      <w:proofErr w:type="spellStart"/>
      <w:r>
        <w:t>Revalor</w:t>
      </w:r>
      <w:proofErr w:type="spellEnd"/>
      <w:r>
        <w:t xml:space="preserve">, E. M., Snead, D. R., Stelzer, T., </w:t>
      </w:r>
      <w:proofErr w:type="spellStart"/>
      <w:r>
        <w:t>Weeranoppanant</w:t>
      </w:r>
      <w:proofErr w:type="spellEnd"/>
      <w:r>
        <w:t xml:space="preserve">, N., Wong, S. Y., &amp; Zhang, P. (2016). On-demand continuous-flow production of pharmaceuticals in a compact, reconfigurable system. </w:t>
      </w:r>
      <w:r>
        <w:rPr>
          <w:i/>
          <w:iCs/>
        </w:rPr>
        <w:t>Science</w:t>
      </w:r>
      <w:r>
        <w:t xml:space="preserve">, </w:t>
      </w:r>
      <w:r>
        <w:rPr>
          <w:i/>
          <w:iCs/>
        </w:rPr>
        <w:t>352(6281)</w:t>
      </w:r>
      <w:r>
        <w:t>, 61-67. https://doi.org/10.1126/science.aaf1337</w:t>
      </w:r>
    </w:p>
    <w:p w14:paraId="17C5AB70" w14:textId="77777777" w:rsidR="00D9234C" w:rsidRDefault="00000000" w:rsidP="00E6294C">
      <w:pPr>
        <w:spacing w:before="100" w:beforeAutospacing="1" w:after="100" w:afterAutospacing="1"/>
        <w:ind w:left="720" w:hanging="720"/>
      </w:pPr>
      <w:r>
        <w:t xml:space="preserve">Afanasenko, A. M., Deak, N., October, J., Sole, R., &amp; Barta, K. (2025). 'Green' synthesis of amines from renewable resources? A detailed analysis of case studies using the CHEM21 green metrics toolkit. </w:t>
      </w:r>
      <w:r>
        <w:rPr>
          <w:i/>
          <w:iCs/>
        </w:rPr>
        <w:t>Green Chemistry</w:t>
      </w:r>
      <w:r>
        <w:t xml:space="preserve">, </w:t>
      </w:r>
      <w:r>
        <w:rPr>
          <w:i/>
          <w:iCs/>
        </w:rPr>
        <w:t>27(21)</w:t>
      </w:r>
      <w:r>
        <w:t>, 5947-5981. https://doi.org/10.1039/d5gc00924c</w:t>
      </w:r>
    </w:p>
    <w:p w14:paraId="154E995E" w14:textId="77777777" w:rsidR="00D9234C" w:rsidRDefault="00000000" w:rsidP="00E6294C">
      <w:pPr>
        <w:spacing w:before="100" w:beforeAutospacing="1" w:after="100" w:afterAutospacing="1"/>
        <w:ind w:left="720" w:hanging="720"/>
      </w:pPr>
      <w:r>
        <w:t xml:space="preserve">Amar, Y., </w:t>
      </w:r>
      <w:proofErr w:type="spellStart"/>
      <w:r>
        <w:t>Schweidtmann</w:t>
      </w:r>
      <w:proofErr w:type="spellEnd"/>
      <w:r>
        <w:t xml:space="preserve">, A. M., Deutsch, P., Cao, L., &amp; Lapkin, A. (2019). Machine learning and molecular descriptors enable rational solvent selection in asymmetric catalysis. </w:t>
      </w:r>
      <w:r>
        <w:rPr>
          <w:i/>
          <w:iCs/>
        </w:rPr>
        <w:t>Chemical Science</w:t>
      </w:r>
      <w:r>
        <w:t xml:space="preserve">, </w:t>
      </w:r>
      <w:r>
        <w:rPr>
          <w:i/>
          <w:iCs/>
        </w:rPr>
        <w:t>10(27)</w:t>
      </w:r>
      <w:r>
        <w:t>, 6697-6706. https://doi.org/10.1039/c9sc01844a</w:t>
      </w:r>
    </w:p>
    <w:p w14:paraId="035E6F0A" w14:textId="77777777" w:rsidR="00D9234C" w:rsidRDefault="00000000" w:rsidP="00E6294C">
      <w:pPr>
        <w:spacing w:before="100" w:beforeAutospacing="1" w:after="100" w:afterAutospacing="1"/>
        <w:ind w:left="720" w:hanging="720"/>
      </w:pPr>
      <w:r>
        <w:t xml:space="preserve">Anastas, P., &amp; Eghbali, N. (2010). Green chemistry: Principles and practice. </w:t>
      </w:r>
      <w:r>
        <w:rPr>
          <w:i/>
          <w:iCs/>
        </w:rPr>
        <w:t>Chemical Society Reviews</w:t>
      </w:r>
      <w:r>
        <w:t xml:space="preserve">, </w:t>
      </w:r>
      <w:r>
        <w:rPr>
          <w:i/>
          <w:iCs/>
        </w:rPr>
        <w:t>39(1)</w:t>
      </w:r>
      <w:r>
        <w:t>, 301-312. https://doi.org/10.1039/b918763b</w:t>
      </w:r>
    </w:p>
    <w:p w14:paraId="58D67579" w14:textId="77777777" w:rsidR="00D9234C" w:rsidRDefault="00000000" w:rsidP="00E6294C">
      <w:pPr>
        <w:spacing w:before="100" w:beforeAutospacing="1" w:after="100" w:afterAutospacing="1"/>
        <w:ind w:left="720" w:hanging="720"/>
      </w:pPr>
      <w:r>
        <w:t xml:space="preserve">Angelini, L., Coomber, C. E., Howell, G. P., Karageorgis, G., &amp; Taylor, B. A. (2023). Cumulative complexity meta-metrics as an efficiency measure and predictor of process mass intensity (PMI) during synthetic route design. </w:t>
      </w:r>
      <w:r>
        <w:rPr>
          <w:i/>
          <w:iCs/>
        </w:rPr>
        <w:t>Green Chemistry</w:t>
      </w:r>
      <w:r>
        <w:t xml:space="preserve">, </w:t>
      </w:r>
      <w:r>
        <w:rPr>
          <w:i/>
          <w:iCs/>
        </w:rPr>
        <w:t>25(14)</w:t>
      </w:r>
      <w:r>
        <w:t>, 5543-5556. https://doi.org/10.1039/d3gc00878a</w:t>
      </w:r>
    </w:p>
    <w:p w14:paraId="36658E8E" w14:textId="77777777" w:rsidR="00D9234C" w:rsidRDefault="00000000" w:rsidP="00E6294C">
      <w:pPr>
        <w:spacing w:before="100" w:beforeAutospacing="1" w:after="100" w:afterAutospacing="1"/>
        <w:ind w:left="720" w:hanging="720"/>
      </w:pPr>
      <w:r>
        <w:t xml:space="preserve">Angello, N. H., Rathore, V., Beker, W., </w:t>
      </w:r>
      <w:proofErr w:type="spellStart"/>
      <w:r>
        <w:t>Wołos</w:t>
      </w:r>
      <w:proofErr w:type="spellEnd"/>
      <w:r>
        <w:t xml:space="preserve">, A., Jira, E. R., Roszak, R., Wu, T. C., Schroeder, C. M., </w:t>
      </w:r>
      <w:proofErr w:type="spellStart"/>
      <w:r>
        <w:t>Aspuru</w:t>
      </w:r>
      <w:proofErr w:type="spellEnd"/>
      <w:r>
        <w:t>-Guzik, A., Grzybowski, B. A., &amp; Burke, M. D. (2022). Closed-loop optimization of general reaction conditions for heteroaryl Suzuki-</w:t>
      </w:r>
      <w:proofErr w:type="spellStart"/>
      <w:r>
        <w:t>Miyaura</w:t>
      </w:r>
      <w:proofErr w:type="spellEnd"/>
      <w:r>
        <w:t xml:space="preserve"> coupling. </w:t>
      </w:r>
      <w:r>
        <w:rPr>
          <w:i/>
          <w:iCs/>
        </w:rPr>
        <w:t>Science</w:t>
      </w:r>
      <w:r>
        <w:t xml:space="preserve">, </w:t>
      </w:r>
      <w:r>
        <w:rPr>
          <w:i/>
          <w:iCs/>
        </w:rPr>
        <w:t>378(6618)</w:t>
      </w:r>
      <w:r>
        <w:t>, 399-405. https://doi.org/10.1126/science.adc8743</w:t>
      </w:r>
    </w:p>
    <w:p w14:paraId="711AB121" w14:textId="77777777" w:rsidR="00D9234C" w:rsidRDefault="00000000" w:rsidP="00E6294C">
      <w:pPr>
        <w:spacing w:before="100" w:beforeAutospacing="1" w:after="100" w:afterAutospacing="1"/>
        <w:ind w:left="720" w:hanging="720"/>
      </w:pPr>
      <w:r>
        <w:t xml:space="preserve">Ardila-Fierro, K. J., &amp; Hernández, J. G. (2021). Sustainability assessment of mechanochemistry by using the twelve principles of green chemistry. </w:t>
      </w:r>
      <w:proofErr w:type="spellStart"/>
      <w:r>
        <w:rPr>
          <w:i/>
          <w:iCs/>
        </w:rPr>
        <w:t>ChemSusChem</w:t>
      </w:r>
      <w:proofErr w:type="spellEnd"/>
      <w:r>
        <w:t xml:space="preserve">, </w:t>
      </w:r>
      <w:r>
        <w:rPr>
          <w:i/>
          <w:iCs/>
        </w:rPr>
        <w:t>14(10)</w:t>
      </w:r>
      <w:r>
        <w:t>, 2145-2162. https://doi.org/10.1002/cssc.202100478</w:t>
      </w:r>
    </w:p>
    <w:p w14:paraId="280A2D22" w14:textId="77777777" w:rsidR="00D9234C" w:rsidRDefault="00000000" w:rsidP="00E6294C">
      <w:pPr>
        <w:spacing w:before="100" w:beforeAutospacing="1" w:after="100" w:afterAutospacing="1"/>
        <w:ind w:left="720" w:hanging="720"/>
      </w:pPr>
      <w:r>
        <w:lastRenderedPageBreak/>
        <w:t xml:space="preserve">Baumann, M., Moody, T. S., Smyth, M., &amp; Wharry, S. (2020). A perspective on continuous flow chemistry in the pharmaceutical industry. </w:t>
      </w:r>
      <w:r>
        <w:rPr>
          <w:i/>
          <w:iCs/>
        </w:rPr>
        <w:t>Organic Process Research &amp; Development</w:t>
      </w:r>
      <w:r>
        <w:t xml:space="preserve">, </w:t>
      </w:r>
      <w:r>
        <w:rPr>
          <w:i/>
          <w:iCs/>
        </w:rPr>
        <w:t>24(10)</w:t>
      </w:r>
      <w:r>
        <w:t>, 1802-1813. https://doi.org/10.1021/acs.oprd.9b00524</w:t>
      </w:r>
    </w:p>
    <w:p w14:paraId="29724BCB" w14:textId="77777777" w:rsidR="00D9234C" w:rsidRDefault="00000000" w:rsidP="00E6294C">
      <w:pPr>
        <w:spacing w:before="100" w:beforeAutospacing="1" w:after="100" w:afterAutospacing="1"/>
        <w:ind w:left="720" w:hanging="720"/>
      </w:pPr>
      <w:r>
        <w:t xml:space="preserve">Bayley, O., Savino, E., Slattery, A., &amp; Noël, T. (2024). Autonomous chemistry: Navigating self-driving labs in chemical and material sciences. </w:t>
      </w:r>
      <w:r>
        <w:rPr>
          <w:i/>
          <w:iCs/>
        </w:rPr>
        <w:t>Matter</w:t>
      </w:r>
      <w:r>
        <w:t xml:space="preserve">, </w:t>
      </w:r>
      <w:r>
        <w:rPr>
          <w:i/>
          <w:iCs/>
        </w:rPr>
        <w:t>7(7)</w:t>
      </w:r>
      <w:r>
        <w:t>, 2382-2398. https://doi.org/10.1016/j.matt.2024.06.003</w:t>
      </w:r>
    </w:p>
    <w:p w14:paraId="20D26771" w14:textId="77777777" w:rsidR="00D9234C" w:rsidRDefault="00000000" w:rsidP="00E6294C">
      <w:pPr>
        <w:spacing w:before="100" w:beforeAutospacing="1" w:after="100" w:afterAutospacing="1"/>
        <w:ind w:left="720" w:hanging="720"/>
      </w:pPr>
      <w:r>
        <w:t xml:space="preserve">Becker, J., Manske, C., &amp; Randl, S. (2022). Green chemistry and sustainability metrics in the pharmaceutical manufacturing sector. </w:t>
      </w:r>
      <w:r>
        <w:rPr>
          <w:i/>
          <w:iCs/>
        </w:rPr>
        <w:t>Current Opinion in Green and Sustainable Chemistry</w:t>
      </w:r>
      <w:r>
        <w:t xml:space="preserve">, </w:t>
      </w:r>
      <w:r>
        <w:rPr>
          <w:i/>
          <w:iCs/>
        </w:rPr>
        <w:t>33</w:t>
      </w:r>
      <w:r>
        <w:t>, 100562. https://doi.org/10.1016/j.cogsc.2021.100562</w:t>
      </w:r>
    </w:p>
    <w:p w14:paraId="42D71279" w14:textId="77777777" w:rsidR="00D9234C" w:rsidRDefault="00000000" w:rsidP="00E6294C">
      <w:pPr>
        <w:spacing w:before="100" w:beforeAutospacing="1" w:after="100" w:afterAutospacing="1"/>
        <w:ind w:left="720" w:hanging="720"/>
      </w:pPr>
      <w:r>
        <w:t xml:space="preserve">Belkhir, L., &amp; </w:t>
      </w:r>
      <w:proofErr w:type="spellStart"/>
      <w:r>
        <w:t>Elmeligi</w:t>
      </w:r>
      <w:proofErr w:type="spellEnd"/>
      <w:r>
        <w:t xml:space="preserve">, A. (2019). Carbon footprint of the global pharmaceutical industry and relative impact of its major players. </w:t>
      </w:r>
      <w:r>
        <w:rPr>
          <w:i/>
          <w:iCs/>
        </w:rPr>
        <w:t>Journal of Cleaner Production</w:t>
      </w:r>
      <w:r>
        <w:t xml:space="preserve">, </w:t>
      </w:r>
      <w:r>
        <w:rPr>
          <w:i/>
          <w:iCs/>
        </w:rPr>
        <w:t>214</w:t>
      </w:r>
      <w:r>
        <w:t>, 185-194. https://doi.org/10.1016/j.jclepro.2018.11.204</w:t>
      </w:r>
    </w:p>
    <w:p w14:paraId="4FEC7D2E" w14:textId="77777777" w:rsidR="00D9234C" w:rsidRDefault="00000000" w:rsidP="00E6294C">
      <w:pPr>
        <w:spacing w:before="100" w:beforeAutospacing="1" w:after="100" w:afterAutospacing="1"/>
        <w:ind w:left="720" w:hanging="720"/>
      </w:pPr>
      <w:r>
        <w:t xml:space="preserve">Bell, E. L., Finnigan, W., France, S. P., Green, A. P., Hayes, M. A., Hepworth, L. J., Lovelock, S. L., Niikura, H., Osuna, S., Romero, E., Ryan, K. S., Turner, N. J., &amp; Flitsch, S. L. (2021). Biocatalysis. </w:t>
      </w:r>
      <w:r>
        <w:rPr>
          <w:i/>
          <w:iCs/>
        </w:rPr>
        <w:t>Nature Reviews Methods Primers</w:t>
      </w:r>
      <w:r>
        <w:t xml:space="preserve">, </w:t>
      </w:r>
      <w:r>
        <w:rPr>
          <w:i/>
          <w:iCs/>
        </w:rPr>
        <w:t>1(1)</w:t>
      </w:r>
      <w:r>
        <w:t>, 46. https://doi.org/10.1038/s43586-021-00044-z</w:t>
      </w:r>
    </w:p>
    <w:p w14:paraId="3E8B23A7" w14:textId="77777777" w:rsidR="00D9234C" w:rsidRDefault="00000000" w:rsidP="00E6294C">
      <w:pPr>
        <w:spacing w:before="100" w:beforeAutospacing="1" w:after="100" w:afterAutospacing="1"/>
        <w:ind w:left="720" w:hanging="720"/>
      </w:pPr>
      <w:r>
        <w:t xml:space="preserve">Bengtsson-Palme, J., &amp; Larsson, D. G. J. (2016). Concentrations of antibiotics predicted to select for resistant bacteria: Proposed limits for environmental regulation. </w:t>
      </w:r>
      <w:r>
        <w:rPr>
          <w:i/>
          <w:iCs/>
        </w:rPr>
        <w:t>Environment International</w:t>
      </w:r>
      <w:r>
        <w:t xml:space="preserve">, </w:t>
      </w:r>
      <w:r>
        <w:rPr>
          <w:i/>
          <w:iCs/>
        </w:rPr>
        <w:t>86</w:t>
      </w:r>
      <w:r>
        <w:t>, 140-149. https://doi.org/10.1016/j.envint.2015.10.015</w:t>
      </w:r>
    </w:p>
    <w:p w14:paraId="7AE3A49E" w14:textId="77777777" w:rsidR="00D9234C" w:rsidRDefault="00000000" w:rsidP="00E6294C">
      <w:pPr>
        <w:spacing w:before="100" w:beforeAutospacing="1" w:after="100" w:afterAutospacing="1"/>
        <w:ind w:left="720" w:hanging="720"/>
      </w:pPr>
      <w:r>
        <w:t xml:space="preserve">Benison, C. H., &amp; Payne, P. R. (2022). Manufacturing mass intensity: 15 years of process mass intensity and development of the metric into plant cleaning and beyond. </w:t>
      </w:r>
      <w:r>
        <w:rPr>
          <w:i/>
          <w:iCs/>
        </w:rPr>
        <w:t>Current Research in Green and Sustainable Chemistry</w:t>
      </w:r>
      <w:r>
        <w:t xml:space="preserve">, </w:t>
      </w:r>
      <w:r>
        <w:rPr>
          <w:i/>
          <w:iCs/>
        </w:rPr>
        <w:t>5</w:t>
      </w:r>
      <w:r>
        <w:t>, 100229. https://doi.org/10.1016/j.crgsc.2021.100229</w:t>
      </w:r>
    </w:p>
    <w:p w14:paraId="0A2F3145" w14:textId="77777777" w:rsidR="00D9234C" w:rsidRDefault="00000000" w:rsidP="00E6294C">
      <w:pPr>
        <w:spacing w:before="100" w:beforeAutospacing="1" w:after="100" w:afterAutospacing="1"/>
        <w:ind w:left="720" w:hanging="720"/>
      </w:pPr>
      <w:r>
        <w:t xml:space="preserve">Bennett, J. A., &amp; </w:t>
      </w:r>
      <w:proofErr w:type="spellStart"/>
      <w:r>
        <w:t>Abolhasani</w:t>
      </w:r>
      <w:proofErr w:type="spellEnd"/>
      <w:r>
        <w:t xml:space="preserve">, M. (2022). Autonomous chemical science and engineering enabled by self-driving laboratories. </w:t>
      </w:r>
      <w:r>
        <w:rPr>
          <w:i/>
          <w:iCs/>
        </w:rPr>
        <w:t>Current Opinion in Chemical Engineering</w:t>
      </w:r>
      <w:r>
        <w:t xml:space="preserve">, </w:t>
      </w:r>
      <w:r>
        <w:rPr>
          <w:i/>
          <w:iCs/>
        </w:rPr>
        <w:t>36</w:t>
      </w:r>
      <w:r>
        <w:t>, 100831. https://doi.org/10.1016/j.coche.2022.100831</w:t>
      </w:r>
    </w:p>
    <w:p w14:paraId="4F81DEE2" w14:textId="77777777" w:rsidR="00D9234C" w:rsidRDefault="00000000" w:rsidP="00E6294C">
      <w:pPr>
        <w:spacing w:before="100" w:beforeAutospacing="1" w:after="100" w:afterAutospacing="1"/>
        <w:ind w:left="720" w:hanging="720"/>
      </w:pPr>
      <w:r>
        <w:t xml:space="preserve">Bennett, J. A., </w:t>
      </w:r>
      <w:proofErr w:type="spellStart"/>
      <w:r>
        <w:t>Orouji</w:t>
      </w:r>
      <w:proofErr w:type="spellEnd"/>
      <w:r>
        <w:t xml:space="preserve">, N., Khan, M., Sadeghi, S., Rodgers, J., &amp; </w:t>
      </w:r>
      <w:proofErr w:type="spellStart"/>
      <w:r>
        <w:t>Abolhasani</w:t>
      </w:r>
      <w:proofErr w:type="spellEnd"/>
      <w:r>
        <w:t xml:space="preserve">, M. (2024). Autonomous reaction Pareto-front mapping with a self-driving catalysis laboratory. </w:t>
      </w:r>
      <w:r>
        <w:rPr>
          <w:i/>
          <w:iCs/>
        </w:rPr>
        <w:t>Nature Chemical Engineering</w:t>
      </w:r>
      <w:r>
        <w:t xml:space="preserve">, </w:t>
      </w:r>
      <w:r>
        <w:rPr>
          <w:i/>
          <w:iCs/>
        </w:rPr>
        <w:t>1(3)</w:t>
      </w:r>
      <w:r>
        <w:t>, 240-250. https://doi.org/10.1038/s44286-024-00033-5</w:t>
      </w:r>
    </w:p>
    <w:p w14:paraId="4450747E" w14:textId="77777777" w:rsidR="00D9234C" w:rsidRDefault="00000000" w:rsidP="00E6294C">
      <w:pPr>
        <w:spacing w:before="100" w:beforeAutospacing="1" w:after="100" w:afterAutospacing="1"/>
        <w:ind w:left="720" w:hanging="720"/>
      </w:pPr>
      <w:r>
        <w:t xml:space="preserve">Boiko, D. A., MacKnight, R., Kline, B., &amp; Gomes, G. (2023). Autonomous chemical research with large language models. </w:t>
      </w:r>
      <w:r>
        <w:rPr>
          <w:i/>
          <w:iCs/>
        </w:rPr>
        <w:t>Nature</w:t>
      </w:r>
      <w:r>
        <w:t xml:space="preserve">, </w:t>
      </w:r>
      <w:r>
        <w:rPr>
          <w:i/>
          <w:iCs/>
        </w:rPr>
        <w:t>624(7992)</w:t>
      </w:r>
      <w:r>
        <w:t>, 570-578. https://doi.org/10.1038/s41586-023-06792-0</w:t>
      </w:r>
    </w:p>
    <w:p w14:paraId="5D91F14B" w14:textId="77777777" w:rsidR="00D9234C" w:rsidRDefault="00000000" w:rsidP="00E6294C">
      <w:pPr>
        <w:spacing w:before="100" w:beforeAutospacing="1" w:after="100" w:afterAutospacing="1"/>
        <w:ind w:left="720" w:hanging="720"/>
      </w:pPr>
      <w:r>
        <w:t xml:space="preserve">Bryan, M. C., Dunn, P. J., Entwistle, D., Gallou, F., Koenig, S. G., Hayler, J. D., Hickey, M. R., Hughes, S., Kopach, M. E., Moine, G., Richardson, P., </w:t>
      </w:r>
      <w:proofErr w:type="spellStart"/>
      <w:r>
        <w:t>Roschangar</w:t>
      </w:r>
      <w:proofErr w:type="spellEnd"/>
      <w:r>
        <w:t xml:space="preserve">, F., Steven, A., &amp; </w:t>
      </w:r>
      <w:proofErr w:type="spellStart"/>
      <w:r>
        <w:t>Weiberth</w:t>
      </w:r>
      <w:proofErr w:type="spellEnd"/>
      <w:r>
        <w:t xml:space="preserve">, F. J. (2018). Key green chemistry research areas from a pharmaceutical manufacturers' perspective revisited. </w:t>
      </w:r>
      <w:r>
        <w:rPr>
          <w:i/>
          <w:iCs/>
        </w:rPr>
        <w:t>Green Chemistry</w:t>
      </w:r>
      <w:r>
        <w:t xml:space="preserve">, </w:t>
      </w:r>
      <w:r>
        <w:rPr>
          <w:i/>
          <w:iCs/>
        </w:rPr>
        <w:t>20(22)</w:t>
      </w:r>
      <w:r>
        <w:t>, 5082-5103. https://doi.org/10.1039/c8gc01276h</w:t>
      </w:r>
    </w:p>
    <w:p w14:paraId="42E2BD30" w14:textId="77777777" w:rsidR="00D9234C" w:rsidRDefault="00000000" w:rsidP="00E6294C">
      <w:pPr>
        <w:spacing w:before="100" w:beforeAutospacing="1" w:after="100" w:afterAutospacing="1"/>
        <w:ind w:left="720" w:hanging="720"/>
      </w:pPr>
      <w:proofErr w:type="spellStart"/>
      <w:r>
        <w:t>Buglioni</w:t>
      </w:r>
      <w:proofErr w:type="spellEnd"/>
      <w:r>
        <w:t xml:space="preserve">, L., </w:t>
      </w:r>
      <w:proofErr w:type="spellStart"/>
      <w:r>
        <w:t>Raymenants</w:t>
      </w:r>
      <w:proofErr w:type="spellEnd"/>
      <w:r>
        <w:t xml:space="preserve">, F., Slattery, A., Zondag, S. D. A., &amp; Noël, T. (2022). Technological innovations in photochemistry for organic synthesis: Flow chemistry, high-throughput experimentation, scale-up, and </w:t>
      </w:r>
      <w:proofErr w:type="spellStart"/>
      <w:r>
        <w:t>photoelectrochemistry</w:t>
      </w:r>
      <w:proofErr w:type="spellEnd"/>
      <w:r>
        <w:t xml:space="preserve">. </w:t>
      </w:r>
      <w:r>
        <w:rPr>
          <w:i/>
          <w:iCs/>
        </w:rPr>
        <w:t>Chemical Reviews</w:t>
      </w:r>
      <w:r>
        <w:t xml:space="preserve">, </w:t>
      </w:r>
      <w:r>
        <w:rPr>
          <w:i/>
          <w:iCs/>
        </w:rPr>
        <w:t>122(2)</w:t>
      </w:r>
      <w:r>
        <w:t>, 2752-2906. https://doi.org/10.1021/acs.chemrev.1c00332</w:t>
      </w:r>
    </w:p>
    <w:p w14:paraId="0F80A658" w14:textId="77777777" w:rsidR="00D9234C" w:rsidRDefault="00000000" w:rsidP="00E6294C">
      <w:pPr>
        <w:spacing w:before="100" w:beforeAutospacing="1" w:after="100" w:afterAutospacing="1"/>
        <w:ind w:left="720" w:hanging="720"/>
      </w:pPr>
      <w:r>
        <w:lastRenderedPageBreak/>
        <w:t xml:space="preserve">Burger, B., Maffettone, P. M., Gusev, V. V., Aitchison, C. M., Bai, Y., Wang, X., Li, X., Alston, B. M., Li, B., Clowes, R., Rankin, N., Harris, B., Sprick, R. S., &amp; Cooper, A. I. (2020). A mobile robotic chemist. </w:t>
      </w:r>
      <w:r>
        <w:rPr>
          <w:i/>
          <w:iCs/>
        </w:rPr>
        <w:t>Nature</w:t>
      </w:r>
      <w:r>
        <w:t xml:space="preserve">, </w:t>
      </w:r>
      <w:r>
        <w:rPr>
          <w:i/>
          <w:iCs/>
        </w:rPr>
        <w:t>583(7815)</w:t>
      </w:r>
      <w:r>
        <w:t>, 237-241. https://doi.org/10.1038/s41586-020-2442-2</w:t>
      </w:r>
    </w:p>
    <w:p w14:paraId="557A3185" w14:textId="77777777" w:rsidR="00D9234C" w:rsidRDefault="00000000" w:rsidP="00E6294C">
      <w:pPr>
        <w:spacing w:before="100" w:beforeAutospacing="1" w:after="100" w:afterAutospacing="1"/>
        <w:ind w:left="720" w:hanging="720"/>
      </w:pPr>
      <w:r>
        <w:t xml:space="preserve">Byrne, F. P., Jin, S., </w:t>
      </w:r>
      <w:proofErr w:type="spellStart"/>
      <w:r>
        <w:t>Paggiola</w:t>
      </w:r>
      <w:proofErr w:type="spellEnd"/>
      <w:r>
        <w:t xml:space="preserve">, G., Petchey, T. H. M., Clark, J. H., Farmer, T. J., Hunt, A. J., McElroy, C. R., &amp; Sherwood, J. (2016). Tools and techniques for solvent selection: Green solvent selection guides. </w:t>
      </w:r>
      <w:r>
        <w:rPr>
          <w:i/>
          <w:iCs/>
        </w:rPr>
        <w:t>Sustainable Chemical Processes</w:t>
      </w:r>
      <w:r>
        <w:t xml:space="preserve">, </w:t>
      </w:r>
      <w:r>
        <w:rPr>
          <w:i/>
          <w:iCs/>
        </w:rPr>
        <w:t>4(1)</w:t>
      </w:r>
      <w:r>
        <w:t>, 7. https://doi.org/10.1186/s40508-016-0051-z</w:t>
      </w:r>
    </w:p>
    <w:p w14:paraId="4BCA93F5" w14:textId="77777777" w:rsidR="00D9234C" w:rsidRDefault="00000000" w:rsidP="00E6294C">
      <w:pPr>
        <w:spacing w:before="100" w:beforeAutospacing="1" w:after="100" w:afterAutospacing="1"/>
        <w:ind w:left="720" w:hanging="720"/>
      </w:pPr>
      <w:proofErr w:type="spellStart"/>
      <w:r>
        <w:t>Candish</w:t>
      </w:r>
      <w:proofErr w:type="spellEnd"/>
      <w:r>
        <w:t xml:space="preserve">, L., Collins, K. D., Cook, G. C., Douglas, J. J., Gómez-Suárez, A., </w:t>
      </w:r>
      <w:proofErr w:type="spellStart"/>
      <w:r>
        <w:t>Jolit</w:t>
      </w:r>
      <w:proofErr w:type="spellEnd"/>
      <w:r>
        <w:t xml:space="preserve">, A., &amp; Keess, S. (2022). Photocatalysis in the life science industry. </w:t>
      </w:r>
      <w:r>
        <w:rPr>
          <w:i/>
          <w:iCs/>
        </w:rPr>
        <w:t>Chemical Reviews</w:t>
      </w:r>
      <w:r>
        <w:t xml:space="preserve">, </w:t>
      </w:r>
      <w:r>
        <w:rPr>
          <w:i/>
          <w:iCs/>
        </w:rPr>
        <w:t>122(2)</w:t>
      </w:r>
      <w:r>
        <w:t>, 2907-2980. https://doi.org/10.1021/acs.chemrev.1c00416</w:t>
      </w:r>
    </w:p>
    <w:p w14:paraId="359AF346" w14:textId="77777777" w:rsidR="00D9234C" w:rsidRDefault="00000000" w:rsidP="00E6294C">
      <w:pPr>
        <w:spacing w:before="100" w:beforeAutospacing="1" w:after="100" w:afterAutospacing="1"/>
        <w:ind w:left="720" w:hanging="720"/>
      </w:pPr>
      <w:r>
        <w:t xml:space="preserve">Chen, Y., Yang, O., Sampat, C., </w:t>
      </w:r>
      <w:proofErr w:type="spellStart"/>
      <w:r>
        <w:t>Bhalode</w:t>
      </w:r>
      <w:proofErr w:type="spellEnd"/>
      <w:r>
        <w:t xml:space="preserve">, P., Ramachandran, R., &amp; </w:t>
      </w:r>
      <w:proofErr w:type="spellStart"/>
      <w:r>
        <w:t>Ierapetritou</w:t>
      </w:r>
      <w:proofErr w:type="spellEnd"/>
      <w:r>
        <w:t xml:space="preserve">, M. (2020). Digital twins in pharmaceutical and biopharmaceutical manufacturing: A literature review. </w:t>
      </w:r>
      <w:r>
        <w:rPr>
          <w:i/>
          <w:iCs/>
        </w:rPr>
        <w:t>Processes</w:t>
      </w:r>
      <w:r>
        <w:t xml:space="preserve">, </w:t>
      </w:r>
      <w:r>
        <w:rPr>
          <w:i/>
          <w:iCs/>
        </w:rPr>
        <w:t>8(9)</w:t>
      </w:r>
      <w:r>
        <w:t>, 1088. https://doi.org/10.3390/pr8091088</w:t>
      </w:r>
    </w:p>
    <w:p w14:paraId="14739308" w14:textId="77777777" w:rsidR="00D9234C" w:rsidRDefault="00000000" w:rsidP="00E6294C">
      <w:pPr>
        <w:spacing w:before="100" w:beforeAutospacing="1" w:after="100" w:afterAutospacing="1"/>
        <w:ind w:left="720" w:hanging="720"/>
      </w:pPr>
      <w:r>
        <w:t xml:space="preserve">Clarke, C. J., Tu, W.-C., Levers, O., </w:t>
      </w:r>
      <w:proofErr w:type="spellStart"/>
      <w:r>
        <w:t>Bröhl</w:t>
      </w:r>
      <w:proofErr w:type="spellEnd"/>
      <w:r>
        <w:t xml:space="preserve">, A., &amp; Hallett, J. P. (2018). Green and sustainable solvents in chemical processes. </w:t>
      </w:r>
      <w:r>
        <w:rPr>
          <w:i/>
          <w:iCs/>
        </w:rPr>
        <w:t>Chemical Reviews</w:t>
      </w:r>
      <w:r>
        <w:t xml:space="preserve">, </w:t>
      </w:r>
      <w:r>
        <w:rPr>
          <w:i/>
          <w:iCs/>
        </w:rPr>
        <w:t>118(2)</w:t>
      </w:r>
      <w:r>
        <w:t>, 747-800. https://doi.org/10.1021/acs.chemrev.7b00571</w:t>
      </w:r>
    </w:p>
    <w:p w14:paraId="30DC6223" w14:textId="77777777" w:rsidR="00D9234C" w:rsidRDefault="00000000" w:rsidP="00E6294C">
      <w:pPr>
        <w:spacing w:before="100" w:beforeAutospacing="1" w:after="100" w:afterAutospacing="1"/>
        <w:ind w:left="720" w:hanging="720"/>
      </w:pPr>
      <w:r>
        <w:t xml:space="preserve">Colberg, J., Tucker, J. L., Martínez, I., Bailey, J. D., Briddell, C., Koenig, S. G., Kopach, M. E., Michalak, S., Parsons, A., Richardson, P. F., </w:t>
      </w:r>
      <w:proofErr w:type="spellStart"/>
      <w:r>
        <w:t>Roschangar</w:t>
      </w:r>
      <w:proofErr w:type="spellEnd"/>
      <w:r>
        <w:t xml:space="preserve">, F., Vestergaard, E., &amp; </w:t>
      </w:r>
      <w:proofErr w:type="spellStart"/>
      <w:r>
        <w:t>Voutchkova</w:t>
      </w:r>
      <w:proofErr w:type="spellEnd"/>
      <w:r>
        <w:t xml:space="preserve">-Kostal, A. (2025). Environmental sustainability strategy of active pharmaceutical ingredient manufacturing: A perspective from the American Chemical Society Green Chemistry Institute Pharmaceutical Roundtable. </w:t>
      </w:r>
      <w:r>
        <w:rPr>
          <w:i/>
          <w:iCs/>
        </w:rPr>
        <w:t>ACS Sustainable Chemistry &amp; Engineering</w:t>
      </w:r>
      <w:r>
        <w:t xml:space="preserve">, </w:t>
      </w:r>
      <w:r>
        <w:rPr>
          <w:i/>
          <w:iCs/>
        </w:rPr>
        <w:t>13(27)</w:t>
      </w:r>
      <w:r>
        <w:t>, 10268-10284. https://doi.org/10.1021/acssuschemeng.5c01094</w:t>
      </w:r>
    </w:p>
    <w:p w14:paraId="11ADB674" w14:textId="77777777" w:rsidR="00D9234C" w:rsidRDefault="00000000" w:rsidP="00E6294C">
      <w:pPr>
        <w:spacing w:before="100" w:beforeAutospacing="1" w:after="100" w:afterAutospacing="1"/>
        <w:ind w:left="720" w:hanging="720"/>
      </w:pPr>
      <w:r>
        <w:t xml:space="preserve">Coley, C. W., Thomas, D. A., </w:t>
      </w:r>
      <w:proofErr w:type="spellStart"/>
      <w:r>
        <w:t>Lummiss</w:t>
      </w:r>
      <w:proofErr w:type="spellEnd"/>
      <w:r>
        <w:t xml:space="preserve">, J. A. M., Jaworski, J. N., Breen, C. P., Schultz, V., Hart, T., Fishman, J. S., Rogers, L., Gao, H., Hicklin, R. W., </w:t>
      </w:r>
      <w:proofErr w:type="spellStart"/>
      <w:r>
        <w:t>Plehiers</w:t>
      </w:r>
      <w:proofErr w:type="spellEnd"/>
      <w:r>
        <w:t xml:space="preserve">, P. P., Byington, J., Piotti, J. S., Green, W. H., Hart, A. J., Jamison, T. F., &amp; Jensen, K. F. (2019). A robotic platform for flow synthesis of organic compounds informed by AI planning. </w:t>
      </w:r>
      <w:r>
        <w:rPr>
          <w:i/>
          <w:iCs/>
        </w:rPr>
        <w:t>Science</w:t>
      </w:r>
      <w:r>
        <w:t xml:space="preserve">, </w:t>
      </w:r>
      <w:r>
        <w:rPr>
          <w:i/>
          <w:iCs/>
        </w:rPr>
        <w:t>365(6453)</w:t>
      </w:r>
      <w:r>
        <w:t>, eaax1566. https://doi.org/10.1126/science.aax1566</w:t>
      </w:r>
    </w:p>
    <w:p w14:paraId="503D3C88" w14:textId="77777777" w:rsidR="00D9234C" w:rsidRDefault="00000000" w:rsidP="00E6294C">
      <w:pPr>
        <w:spacing w:before="100" w:beforeAutospacing="1" w:after="100" w:afterAutospacing="1"/>
        <w:ind w:left="720" w:hanging="720"/>
      </w:pPr>
      <w:r>
        <w:t xml:space="preserve">Constable, D. J. C., </w:t>
      </w:r>
      <w:proofErr w:type="spellStart"/>
      <w:r>
        <w:t>Curzons</w:t>
      </w:r>
      <w:proofErr w:type="spellEnd"/>
      <w:r>
        <w:t xml:space="preserve">, A. D., &amp; Cunningham, V. L. (2002). Metrics to 'green' chemistry—which are the </w:t>
      </w:r>
      <w:proofErr w:type="gramStart"/>
      <w:r>
        <w:t>best?.</w:t>
      </w:r>
      <w:proofErr w:type="gramEnd"/>
      <w:r>
        <w:t xml:space="preserve"> </w:t>
      </w:r>
      <w:r>
        <w:rPr>
          <w:i/>
          <w:iCs/>
        </w:rPr>
        <w:t>Green Chemistry</w:t>
      </w:r>
      <w:r>
        <w:t xml:space="preserve">, </w:t>
      </w:r>
      <w:r>
        <w:rPr>
          <w:i/>
          <w:iCs/>
        </w:rPr>
        <w:t>4(6)</w:t>
      </w:r>
      <w:r>
        <w:t>, 521-527. https://doi.org/10.1039/b206169b</w:t>
      </w:r>
    </w:p>
    <w:p w14:paraId="584816AE" w14:textId="77777777" w:rsidR="00D9234C" w:rsidRDefault="00000000" w:rsidP="00E6294C">
      <w:pPr>
        <w:spacing w:before="100" w:beforeAutospacing="1" w:after="100" w:afterAutospacing="1"/>
        <w:ind w:left="720" w:hanging="720"/>
      </w:pPr>
      <w:r>
        <w:t xml:space="preserve">Constable, D. J. C., Dunn, P. J., Hayler, J. D., Humphrey, G. R., Leazer, J. L., Jr., Linderman, R. J., Lorenz, K., Manley, J., Pearlman, B. A., Wells, A., Zaks, A., &amp; Zhang, T. Y. (2007). Key green chemistry research areas—a perspective from pharmaceutical manufacturers. </w:t>
      </w:r>
      <w:r>
        <w:rPr>
          <w:i/>
          <w:iCs/>
        </w:rPr>
        <w:t>Green Chemistry</w:t>
      </w:r>
      <w:r>
        <w:t xml:space="preserve">, </w:t>
      </w:r>
      <w:r>
        <w:rPr>
          <w:i/>
          <w:iCs/>
        </w:rPr>
        <w:t>9(5)</w:t>
      </w:r>
      <w:r>
        <w:t>, 411-420. https://doi.org/10.1039/b703488c</w:t>
      </w:r>
    </w:p>
    <w:p w14:paraId="609AF2EA" w14:textId="77777777" w:rsidR="00D9234C" w:rsidRDefault="00000000" w:rsidP="00E6294C">
      <w:pPr>
        <w:spacing w:before="100" w:beforeAutospacing="1" w:after="100" w:afterAutospacing="1"/>
        <w:ind w:left="720" w:hanging="720"/>
      </w:pPr>
      <w:r>
        <w:t xml:space="preserve">Daurio, D., Jacobsen, C. S., Nagapudi, K., Saw, R., Silva Elipe, M. V., Thiel, O., Balgley, R., </w:t>
      </w:r>
      <w:proofErr w:type="spellStart"/>
      <w:r>
        <w:t>Chamarthy</w:t>
      </w:r>
      <w:proofErr w:type="spellEnd"/>
      <w:r>
        <w:t xml:space="preserve">, S. P., &amp; Alvarez-Nunez, F. (2025). Application of mechanochemistry to green, scalable, and continuous manufacturing of pharmaceutically relevant peptides by twin-screw extrusion. </w:t>
      </w:r>
      <w:r>
        <w:rPr>
          <w:i/>
          <w:iCs/>
        </w:rPr>
        <w:t>Journal of Pharmaceutical Sciences</w:t>
      </w:r>
      <w:r>
        <w:t xml:space="preserve">, </w:t>
      </w:r>
      <w:r>
        <w:rPr>
          <w:i/>
          <w:iCs/>
        </w:rPr>
        <w:t>114(12)</w:t>
      </w:r>
      <w:r>
        <w:t>, 103941. https://doi.org/10.1016/j.xphs.2025.103941</w:t>
      </w:r>
    </w:p>
    <w:p w14:paraId="3365F5D1" w14:textId="77777777" w:rsidR="00D9234C" w:rsidRDefault="00000000" w:rsidP="00E6294C">
      <w:pPr>
        <w:spacing w:before="100" w:beforeAutospacing="1" w:after="100" w:afterAutospacing="1"/>
        <w:ind w:left="720" w:hanging="720"/>
      </w:pPr>
      <w:r>
        <w:t xml:space="preserve">Devine, P. N., Howard, R. M., Kumar, R., Thompson, M. P., Truppo, M. D., &amp; Turner, N. J. (2018). Extending the application of biocatalysis to meet the challenges of drug </w:t>
      </w:r>
      <w:r>
        <w:lastRenderedPageBreak/>
        <w:t xml:space="preserve">development. </w:t>
      </w:r>
      <w:r>
        <w:rPr>
          <w:i/>
          <w:iCs/>
        </w:rPr>
        <w:t>Nature Reviews Chemistry</w:t>
      </w:r>
      <w:r>
        <w:t xml:space="preserve">, </w:t>
      </w:r>
      <w:r>
        <w:rPr>
          <w:i/>
          <w:iCs/>
        </w:rPr>
        <w:t>2(12)</w:t>
      </w:r>
      <w:r>
        <w:t>, 409-421. https://doi.org/10.1038/s41570-018-0055-1</w:t>
      </w:r>
    </w:p>
    <w:p w14:paraId="69942199" w14:textId="77777777" w:rsidR="00D9234C" w:rsidRDefault="00000000" w:rsidP="00E6294C">
      <w:pPr>
        <w:spacing w:before="100" w:beforeAutospacing="1" w:after="100" w:afterAutospacing="1"/>
        <w:ind w:left="720" w:hanging="720"/>
      </w:pPr>
      <w:proofErr w:type="spellStart"/>
      <w:r>
        <w:t>Erythropel</w:t>
      </w:r>
      <w:proofErr w:type="spellEnd"/>
      <w:r>
        <w:t xml:space="preserve">, H. C., Zimmerman, J. B., de Winter, T. M., Petitjean, L., Melnikov, F., Lam, C. H., Lounsbury, A. W., Mellor, K. E., Janković, N. Z., Tu, Q., Pincus, L. N., Falinski, M. M., Shi, W., Coish, P., Plata, D. L., &amp; Anastas, P. T. (2018). The Green </w:t>
      </w:r>
      <w:proofErr w:type="spellStart"/>
      <w:r>
        <w:t>ChemisTREE</w:t>
      </w:r>
      <w:proofErr w:type="spellEnd"/>
      <w:r>
        <w:t xml:space="preserve">: 20 years after taking root with the 12 principles. </w:t>
      </w:r>
      <w:r>
        <w:rPr>
          <w:i/>
          <w:iCs/>
        </w:rPr>
        <w:t>Green Chemistry</w:t>
      </w:r>
      <w:r>
        <w:t xml:space="preserve">, </w:t>
      </w:r>
      <w:r>
        <w:rPr>
          <w:i/>
          <w:iCs/>
        </w:rPr>
        <w:t>20(9)</w:t>
      </w:r>
      <w:r>
        <w:t>, 1929-1961. https://doi.org/10.1039/c8gc00482j</w:t>
      </w:r>
    </w:p>
    <w:p w14:paraId="72D9E024" w14:textId="77777777" w:rsidR="00D9234C" w:rsidRDefault="00000000" w:rsidP="00E6294C">
      <w:pPr>
        <w:spacing w:before="100" w:beforeAutospacing="1" w:after="100" w:afterAutospacing="1"/>
        <w:ind w:left="720" w:hanging="720"/>
      </w:pPr>
      <w:r>
        <w:t xml:space="preserve">Falcioni, F., Humphreys, L., Lloyd, R. C., Wu, H., Martinez, I., Jones, J., McKenna, S., Neufeld, K., Phelan, R. M., Rosenthal, T., Szczepaniak, C. J., Yamamoto, K., France, S. P., &amp; Fryszkowska, A. (2025). The evolving landscape of industrial biocatalysis in perspective from the ACS Green Chemistry Institute Pharmaceutical Roundtable. </w:t>
      </w:r>
      <w:r>
        <w:rPr>
          <w:i/>
          <w:iCs/>
        </w:rPr>
        <w:t>ACS Catalysis</w:t>
      </w:r>
      <w:r>
        <w:t xml:space="preserve">, </w:t>
      </w:r>
      <w:r>
        <w:rPr>
          <w:i/>
          <w:iCs/>
        </w:rPr>
        <w:t>15(12)</w:t>
      </w:r>
      <w:r>
        <w:t>, 10780-10794. https://doi.org/10.1021/acscatal.5c01646</w:t>
      </w:r>
    </w:p>
    <w:p w14:paraId="2B78C50F" w14:textId="77777777" w:rsidR="00D9234C" w:rsidRDefault="00000000" w:rsidP="00E6294C">
      <w:pPr>
        <w:spacing w:before="100" w:beforeAutospacing="1" w:after="100" w:afterAutospacing="1"/>
        <w:ind w:left="720" w:hanging="720"/>
      </w:pPr>
      <w:r>
        <w:t xml:space="preserve">Fitzpatrick, D. E., </w:t>
      </w:r>
      <w:proofErr w:type="spellStart"/>
      <w:r>
        <w:t>Battilocchio</w:t>
      </w:r>
      <w:proofErr w:type="spellEnd"/>
      <w:r>
        <w:t xml:space="preserve">, C., &amp; Ley, S. V. (2016). Enabling technologies for the future of chemical synthesis. </w:t>
      </w:r>
      <w:r>
        <w:rPr>
          <w:i/>
          <w:iCs/>
        </w:rPr>
        <w:t>ACS Central Science</w:t>
      </w:r>
      <w:r>
        <w:t xml:space="preserve">, </w:t>
      </w:r>
      <w:r>
        <w:rPr>
          <w:i/>
          <w:iCs/>
        </w:rPr>
        <w:t>2(3)</w:t>
      </w:r>
      <w:r>
        <w:t>, 131-138. https://doi.org/10.1021/acscentsci.6b00015</w:t>
      </w:r>
    </w:p>
    <w:p w14:paraId="532C8D37" w14:textId="77777777" w:rsidR="00D9234C" w:rsidRDefault="00000000" w:rsidP="00E6294C">
      <w:pPr>
        <w:spacing w:before="100" w:beforeAutospacing="1" w:after="100" w:afterAutospacing="1"/>
        <w:ind w:left="720" w:hanging="720"/>
      </w:pPr>
      <w:r>
        <w:t xml:space="preserve">Friščić, T., Mottillo, C., &amp; Titi, H. M. (2020). Mechanochemistry for synthesis. </w:t>
      </w:r>
      <w:proofErr w:type="spellStart"/>
      <w:r>
        <w:rPr>
          <w:i/>
          <w:iCs/>
        </w:rPr>
        <w:t>Angewandte</w:t>
      </w:r>
      <w:proofErr w:type="spellEnd"/>
      <w:r>
        <w:rPr>
          <w:i/>
          <w:iCs/>
        </w:rPr>
        <w:t xml:space="preserve"> Chemie International Edition</w:t>
      </w:r>
      <w:r>
        <w:t xml:space="preserve">, </w:t>
      </w:r>
      <w:r>
        <w:rPr>
          <w:i/>
          <w:iCs/>
        </w:rPr>
        <w:t>59(3)</w:t>
      </w:r>
      <w:r>
        <w:t>, 1018-1029. https://doi.org/10.1002/anie.201906755</w:t>
      </w:r>
    </w:p>
    <w:p w14:paraId="6F325CBB" w14:textId="77777777" w:rsidR="00D9234C" w:rsidRDefault="00000000" w:rsidP="00E6294C">
      <w:pPr>
        <w:spacing w:before="100" w:beforeAutospacing="1" w:after="100" w:afterAutospacing="1"/>
        <w:ind w:left="720" w:hanging="720"/>
      </w:pPr>
      <w:r>
        <w:t xml:space="preserve">Grangeia, H. B., Silva, C., Simões, S. P., &amp; Reis, M. S. (2020). Quality by design in pharmaceutical manufacturing: A systematic review of current status, challenges and future perspectives. </w:t>
      </w:r>
      <w:r>
        <w:rPr>
          <w:i/>
          <w:iCs/>
        </w:rPr>
        <w:t>European Journal of Pharmaceutics and Biopharmaceutics</w:t>
      </w:r>
      <w:r>
        <w:t xml:space="preserve">, </w:t>
      </w:r>
      <w:r>
        <w:rPr>
          <w:i/>
          <w:iCs/>
        </w:rPr>
        <w:t>147</w:t>
      </w:r>
      <w:r>
        <w:t>, 19-37. https://doi.org/10.1016/j.ejpb.2019.12.007</w:t>
      </w:r>
    </w:p>
    <w:p w14:paraId="7A1C6565" w14:textId="77777777" w:rsidR="00D9234C" w:rsidRDefault="00000000" w:rsidP="00E6294C">
      <w:pPr>
        <w:spacing w:before="100" w:beforeAutospacing="1" w:after="100" w:afterAutospacing="1"/>
        <w:ind w:left="720" w:hanging="720"/>
      </w:pPr>
      <w:r>
        <w:t xml:space="preserve">Han, Y., Deng, M., Liu, K., Chen, J., Wang, Y., Xu, Y.-N., &amp; Dian, L. (2024). Computer-aided synthesis planning (CASP) and machine learning: Optimizing chemical reaction conditions. </w:t>
      </w:r>
      <w:r>
        <w:rPr>
          <w:i/>
          <w:iCs/>
        </w:rPr>
        <w:t>Chemistry – A European Journal</w:t>
      </w:r>
      <w:r>
        <w:t xml:space="preserve">, </w:t>
      </w:r>
      <w:r>
        <w:rPr>
          <w:i/>
          <w:iCs/>
        </w:rPr>
        <w:t>30(55)</w:t>
      </w:r>
      <w:r>
        <w:t>, e202401626. https://doi.org/10.1002/chem.202401626</w:t>
      </w:r>
    </w:p>
    <w:p w14:paraId="2E6AD073" w14:textId="77777777" w:rsidR="00D9234C" w:rsidRDefault="00000000" w:rsidP="00E6294C">
      <w:pPr>
        <w:spacing w:before="100" w:beforeAutospacing="1" w:after="100" w:afterAutospacing="1"/>
        <w:ind w:left="720" w:hanging="720"/>
      </w:pPr>
      <w:r>
        <w:t xml:space="preserve">Hessel, V., Tran, N. N., </w:t>
      </w:r>
      <w:proofErr w:type="spellStart"/>
      <w:r>
        <w:t>Asrami</w:t>
      </w:r>
      <w:proofErr w:type="spellEnd"/>
      <w:r>
        <w:t xml:space="preserve">, M. R., Tran, Q. D., Van Duc Long, N., </w:t>
      </w:r>
      <w:proofErr w:type="spellStart"/>
      <w:r>
        <w:t>Escribà-Gelonch</w:t>
      </w:r>
      <w:proofErr w:type="spellEnd"/>
      <w:r>
        <w:t xml:space="preserve">, M., Tejada, J. O., Linke, S., &amp; </w:t>
      </w:r>
      <w:proofErr w:type="spellStart"/>
      <w:r>
        <w:t>Sundmacher</w:t>
      </w:r>
      <w:proofErr w:type="spellEnd"/>
      <w:r>
        <w:t xml:space="preserve">, K. (2022). Sustainability of green solvents – review and perspective. </w:t>
      </w:r>
      <w:r>
        <w:rPr>
          <w:i/>
          <w:iCs/>
        </w:rPr>
        <w:t>Green Chemistry</w:t>
      </w:r>
      <w:r>
        <w:t xml:space="preserve">, </w:t>
      </w:r>
      <w:r>
        <w:rPr>
          <w:i/>
          <w:iCs/>
        </w:rPr>
        <w:t>24(2)</w:t>
      </w:r>
      <w:r>
        <w:t>, 410-437. https://doi.org/10.1039/d1gc03662a</w:t>
      </w:r>
    </w:p>
    <w:p w14:paraId="52CB8FE3" w14:textId="77777777" w:rsidR="00D9234C" w:rsidRDefault="00000000" w:rsidP="00E6294C">
      <w:pPr>
        <w:spacing w:before="100" w:beforeAutospacing="1" w:after="100" w:afterAutospacing="1"/>
        <w:ind w:left="720" w:hanging="720"/>
      </w:pPr>
      <w:r>
        <w:t xml:space="preserve">Huffman, M. A., Fryszkowska, A., Alvizo, O., Borra-Garske, M., Campos, K. R., Canada, K. A., Devine, P. N., Duan, D., Forstater, J. H., Grosser, S. T., Halsey, H. M., Hughes, G. J., Jo, J., Joyce, L. A., Kolev, J. N., Liang, J., Maloney, K. M., Mann, B. F., Marshall, N. M., . . . Yang, H. (2019). Design of an in vitro biocatalytic cascade for the manufacture of </w:t>
      </w:r>
      <w:proofErr w:type="spellStart"/>
      <w:r>
        <w:t>islatravir</w:t>
      </w:r>
      <w:proofErr w:type="spellEnd"/>
      <w:r>
        <w:t xml:space="preserve">. </w:t>
      </w:r>
      <w:r>
        <w:rPr>
          <w:i/>
          <w:iCs/>
        </w:rPr>
        <w:t>Science</w:t>
      </w:r>
      <w:r>
        <w:t xml:space="preserve">, </w:t>
      </w:r>
      <w:r>
        <w:rPr>
          <w:i/>
          <w:iCs/>
        </w:rPr>
        <w:t>366(6470)</w:t>
      </w:r>
      <w:r>
        <w:t>, 1255-1259. https://doi.org/10.1126/science.aay8484</w:t>
      </w:r>
    </w:p>
    <w:p w14:paraId="665BD593" w14:textId="77777777" w:rsidR="00D9234C" w:rsidRDefault="00000000" w:rsidP="00E6294C">
      <w:pPr>
        <w:spacing w:before="100" w:beforeAutospacing="1" w:after="100" w:afterAutospacing="1"/>
        <w:ind w:left="720" w:hanging="720"/>
      </w:pPr>
      <w:r>
        <w:t xml:space="preserve">Imbert, E., &amp; Ladu, L. (2023). Metrics for sustainable chemistry. </w:t>
      </w:r>
      <w:r>
        <w:rPr>
          <w:i/>
          <w:iCs/>
        </w:rPr>
        <w:t>Current Opinion in Green and Sustainable Chemistry</w:t>
      </w:r>
      <w:r>
        <w:t xml:space="preserve">, </w:t>
      </w:r>
      <w:r>
        <w:rPr>
          <w:i/>
          <w:iCs/>
        </w:rPr>
        <w:t>43</w:t>
      </w:r>
      <w:r>
        <w:t>, 100844. https://doi.org/10.1016/j.cogsc.2023.100844</w:t>
      </w:r>
    </w:p>
    <w:p w14:paraId="6C1D47A2" w14:textId="77777777" w:rsidR="00D9234C" w:rsidRDefault="00000000" w:rsidP="00E6294C">
      <w:pPr>
        <w:spacing w:before="100" w:beforeAutospacing="1" w:after="100" w:afterAutospacing="1"/>
        <w:ind w:left="720" w:hanging="720"/>
      </w:pPr>
      <w:r>
        <w:t xml:space="preserve">International Council for Harmonisation of Technical Requirements for Pharmaceuticals for Human Use [ICH] (2022). </w:t>
      </w:r>
      <w:r>
        <w:rPr>
          <w:i/>
          <w:iCs/>
        </w:rPr>
        <w:t>ICH harmonised guideline Q13: Continuous manufacturing of drug substances and drug products</w:t>
      </w:r>
      <w:r>
        <w:t>. https://database.ich.org/sites/default/files/ICH_Q13_Step4_Guideline_2022_1116.pdf</w:t>
      </w:r>
    </w:p>
    <w:p w14:paraId="3A520CE2" w14:textId="77777777" w:rsidR="00D9234C" w:rsidRDefault="00000000" w:rsidP="00E6294C">
      <w:pPr>
        <w:spacing w:before="100" w:beforeAutospacing="1" w:after="100" w:afterAutospacing="1"/>
        <w:ind w:left="720" w:hanging="720"/>
      </w:pPr>
      <w:r>
        <w:t xml:space="preserve">Jiménez-González, C., </w:t>
      </w:r>
      <w:proofErr w:type="spellStart"/>
      <w:r>
        <w:t>Poechlauer</w:t>
      </w:r>
      <w:proofErr w:type="spellEnd"/>
      <w:r>
        <w:t xml:space="preserve">, P., Broxterman, Q. B., Yang, B.-S., am Ende, D., Baird, J., Bertsch, C., Hannah, R. E., </w:t>
      </w:r>
      <w:proofErr w:type="spellStart"/>
      <w:r>
        <w:t>Dell’Orco</w:t>
      </w:r>
      <w:proofErr w:type="spellEnd"/>
      <w:r>
        <w:t xml:space="preserve">, P., Noorman, H., Yee, S., </w:t>
      </w:r>
      <w:proofErr w:type="spellStart"/>
      <w:r>
        <w:t>Reintjens</w:t>
      </w:r>
      <w:proofErr w:type="spellEnd"/>
      <w:r>
        <w:t xml:space="preserve">, R., Wells, A., </w:t>
      </w:r>
      <w:proofErr w:type="spellStart"/>
      <w:r>
        <w:lastRenderedPageBreak/>
        <w:t>Massonneau</w:t>
      </w:r>
      <w:proofErr w:type="spellEnd"/>
      <w:r>
        <w:t xml:space="preserve">, V., &amp; Manley, J. (2011). Key green engineering research areas for sustainable manufacturing: A perspective from pharmaceutical and fine chemicals manufacturers. </w:t>
      </w:r>
      <w:r>
        <w:rPr>
          <w:i/>
          <w:iCs/>
        </w:rPr>
        <w:t>Organic Process Research &amp; Development</w:t>
      </w:r>
      <w:r>
        <w:t xml:space="preserve">, </w:t>
      </w:r>
      <w:r>
        <w:rPr>
          <w:i/>
          <w:iCs/>
        </w:rPr>
        <w:t>15(4)</w:t>
      </w:r>
      <w:r>
        <w:t>, 900-911. https://doi.org/10.1021/op100327d</w:t>
      </w:r>
    </w:p>
    <w:p w14:paraId="78C51DD4" w14:textId="77777777" w:rsidR="00D9234C" w:rsidRDefault="00000000" w:rsidP="00E6294C">
      <w:pPr>
        <w:spacing w:before="100" w:beforeAutospacing="1" w:after="100" w:afterAutospacing="1"/>
        <w:ind w:left="720" w:hanging="720"/>
      </w:pPr>
      <w:r>
        <w:t xml:space="preserve">Jiménez-González, C., Ponder, C. S., Broxterman, Q. B., &amp; Manley, J. B. (2011). Using the right green yardstick: Why process mass intensity is used in the pharmaceutical industry to drive more sustainable processes. </w:t>
      </w:r>
      <w:r>
        <w:rPr>
          <w:i/>
          <w:iCs/>
        </w:rPr>
        <w:t>Organic Process Research &amp; Development</w:t>
      </w:r>
      <w:r>
        <w:t xml:space="preserve">, </w:t>
      </w:r>
      <w:r>
        <w:rPr>
          <w:i/>
          <w:iCs/>
        </w:rPr>
        <w:t>15(4)</w:t>
      </w:r>
      <w:r>
        <w:t>, 912-917. https://doi.org/10.1021/op200097d</w:t>
      </w:r>
    </w:p>
    <w:p w14:paraId="3D164527" w14:textId="77777777" w:rsidR="00D9234C" w:rsidRDefault="00000000" w:rsidP="00E6294C">
      <w:pPr>
        <w:spacing w:before="100" w:beforeAutospacing="1" w:after="100" w:afterAutospacing="1"/>
        <w:ind w:left="720" w:hanging="720"/>
      </w:pPr>
      <w:r>
        <w:t xml:space="preserve">Jordan, A., Hall, C. G. J., Thorp, L. R., &amp; Sneddon, H. F. (2022). Replacement of less-preferred dipolar aprotic and ethereal solvents in synthetic organic chemistry with more sustainable alternatives. </w:t>
      </w:r>
      <w:r>
        <w:rPr>
          <w:i/>
          <w:iCs/>
        </w:rPr>
        <w:t>Chemical Reviews</w:t>
      </w:r>
      <w:r>
        <w:t xml:space="preserve">, </w:t>
      </w:r>
      <w:r>
        <w:rPr>
          <w:i/>
          <w:iCs/>
        </w:rPr>
        <w:t>122(6)</w:t>
      </w:r>
      <w:r>
        <w:t>, 6749-6794. https://doi.org/10.1021/acs.chemrev.1c00672</w:t>
      </w:r>
    </w:p>
    <w:p w14:paraId="1A67BBD1" w14:textId="77777777" w:rsidR="00D9234C" w:rsidRDefault="00000000" w:rsidP="00E6294C">
      <w:pPr>
        <w:spacing w:before="100" w:beforeAutospacing="1" w:after="100" w:afterAutospacing="1"/>
        <w:ind w:left="720" w:hanging="720"/>
      </w:pPr>
      <w:r>
        <w:t xml:space="preserve">Kaji, R., Shimizu, T., Kikuchi, Y., &amp; Ohara, S. (2025). Life cycle assessment of active pharmaceutical ingredient production: A case study of citicoline. </w:t>
      </w:r>
      <w:r>
        <w:rPr>
          <w:i/>
          <w:iCs/>
        </w:rPr>
        <w:t>Process Safety and Environmental Protection</w:t>
      </w:r>
      <w:r>
        <w:t xml:space="preserve">, </w:t>
      </w:r>
      <w:r>
        <w:rPr>
          <w:i/>
          <w:iCs/>
        </w:rPr>
        <w:t>195</w:t>
      </w:r>
      <w:r>
        <w:t>, 106836. https://doi.org/10.1016/j.psep.2025.106836</w:t>
      </w:r>
    </w:p>
    <w:p w14:paraId="189D01D1" w14:textId="77777777" w:rsidR="00D9234C" w:rsidRDefault="00000000" w:rsidP="00E6294C">
      <w:pPr>
        <w:spacing w:before="100" w:beforeAutospacing="1" w:after="100" w:afterAutospacing="1"/>
        <w:ind w:left="720" w:hanging="720"/>
      </w:pPr>
      <w:proofErr w:type="spellStart"/>
      <w:r>
        <w:t>Kekessie</w:t>
      </w:r>
      <w:proofErr w:type="spellEnd"/>
      <w:r>
        <w:t xml:space="preserve">, I., Wegner, K., Martinez, I., Kopach, M. E., White, T. D., Tom, J. K., Kenworthy, M. N., Gallou, F., Lopez, J., Koenig, S. G., Payne, P. R., Eissler, S., Arumugam, B., Li, C., Mukherjee, S., Isidro-Llobet, A., Ludemann-Hombourger, O., Richardson, P., Kittelmann, J., . . . van den Bos, L. J. (2024). Process mass intensity (PMI): A holistic analysis of current peptide manufacturing processes informs sustainability in peptide synthesis. </w:t>
      </w:r>
      <w:r>
        <w:rPr>
          <w:i/>
          <w:iCs/>
        </w:rPr>
        <w:t>The Journal of Organic Chemistry</w:t>
      </w:r>
      <w:r>
        <w:t xml:space="preserve">, </w:t>
      </w:r>
      <w:r>
        <w:rPr>
          <w:i/>
          <w:iCs/>
        </w:rPr>
        <w:t>89(7)</w:t>
      </w:r>
      <w:r>
        <w:t>, 4261-4282. https://doi.org/10.1021/acs.joc.3c01494</w:t>
      </w:r>
    </w:p>
    <w:p w14:paraId="5A5B6DF0" w14:textId="77777777" w:rsidR="00D9234C" w:rsidRDefault="00000000" w:rsidP="00E6294C">
      <w:pPr>
        <w:spacing w:before="100" w:beforeAutospacing="1" w:after="100" w:afterAutospacing="1"/>
        <w:ind w:left="720" w:hanging="720"/>
      </w:pPr>
      <w:r>
        <w:t xml:space="preserve">Kingston, C., Palkowitz, M. D., </w:t>
      </w:r>
      <w:proofErr w:type="spellStart"/>
      <w:r>
        <w:t>Takahira</w:t>
      </w:r>
      <w:proofErr w:type="spellEnd"/>
      <w:r>
        <w:t xml:space="preserve">, Y., </w:t>
      </w:r>
      <w:proofErr w:type="spellStart"/>
      <w:r>
        <w:t>Vantourout</w:t>
      </w:r>
      <w:proofErr w:type="spellEnd"/>
      <w:r>
        <w:t xml:space="preserve">, J. C., Peters, B. K., Kawamata, Y., &amp; Baran, P. S. (2020). A survival guide for the 'electro-curious'. </w:t>
      </w:r>
      <w:r>
        <w:rPr>
          <w:i/>
          <w:iCs/>
        </w:rPr>
        <w:t>Accounts of Chemical Research</w:t>
      </w:r>
      <w:r>
        <w:t xml:space="preserve">, </w:t>
      </w:r>
      <w:r>
        <w:rPr>
          <w:i/>
          <w:iCs/>
        </w:rPr>
        <w:t>53(1)</w:t>
      </w:r>
      <w:r>
        <w:t>, 72-83. https://doi.org/10.1021/acs.accounts.9b00539</w:t>
      </w:r>
    </w:p>
    <w:p w14:paraId="0095872E" w14:textId="77777777" w:rsidR="00D9234C" w:rsidRDefault="00000000" w:rsidP="00E6294C">
      <w:pPr>
        <w:spacing w:before="100" w:beforeAutospacing="1" w:after="100" w:afterAutospacing="1"/>
        <w:ind w:left="720" w:hanging="720"/>
      </w:pPr>
      <w:r>
        <w:t xml:space="preserve">Kirchherr, J., </w:t>
      </w:r>
      <w:proofErr w:type="spellStart"/>
      <w:r>
        <w:t>Reike</w:t>
      </w:r>
      <w:proofErr w:type="spellEnd"/>
      <w:r>
        <w:t xml:space="preserve">, D., &amp; Hekkert, M. (2017). Conceptualizing the circular economy: An analysis of 114 definitions. </w:t>
      </w:r>
      <w:r>
        <w:rPr>
          <w:i/>
          <w:iCs/>
        </w:rPr>
        <w:t>Resources, Conservation and Recycling</w:t>
      </w:r>
      <w:r>
        <w:t xml:space="preserve">, </w:t>
      </w:r>
      <w:r>
        <w:rPr>
          <w:i/>
          <w:iCs/>
        </w:rPr>
        <w:t>127</w:t>
      </w:r>
      <w:r>
        <w:t>, 221-232. https://doi.org/10.1016/j.resconrec.2017.09.005</w:t>
      </w:r>
    </w:p>
    <w:p w14:paraId="036F8DE9" w14:textId="77777777" w:rsidR="00D9234C" w:rsidRDefault="00000000" w:rsidP="00E6294C">
      <w:pPr>
        <w:spacing w:before="100" w:beforeAutospacing="1" w:after="100" w:afterAutospacing="1"/>
        <w:ind w:left="720" w:hanging="720"/>
      </w:pPr>
      <w:proofErr w:type="spellStart"/>
      <w:r>
        <w:t>Kümmerer</w:t>
      </w:r>
      <w:proofErr w:type="spellEnd"/>
      <w:r>
        <w:t xml:space="preserve">, K. (2017). Sustainable chemistry: A future guiding principle. </w:t>
      </w:r>
      <w:proofErr w:type="spellStart"/>
      <w:r>
        <w:rPr>
          <w:i/>
          <w:iCs/>
        </w:rPr>
        <w:t>Angewandte</w:t>
      </w:r>
      <w:proofErr w:type="spellEnd"/>
      <w:r>
        <w:rPr>
          <w:i/>
          <w:iCs/>
        </w:rPr>
        <w:t xml:space="preserve"> Chemie International Edition</w:t>
      </w:r>
      <w:r>
        <w:t xml:space="preserve">, </w:t>
      </w:r>
      <w:r>
        <w:rPr>
          <w:i/>
          <w:iCs/>
        </w:rPr>
        <w:t>56(52)</w:t>
      </w:r>
      <w:r>
        <w:t>, 16420-16421. https://doi.org/10.1002/anie.201709949</w:t>
      </w:r>
    </w:p>
    <w:p w14:paraId="69A3DED6" w14:textId="77777777" w:rsidR="00D9234C" w:rsidRDefault="00000000" w:rsidP="00E6294C">
      <w:pPr>
        <w:spacing w:before="100" w:beforeAutospacing="1" w:after="100" w:afterAutospacing="1"/>
        <w:ind w:left="720" w:hanging="720"/>
      </w:pPr>
      <w:proofErr w:type="spellStart"/>
      <w:r>
        <w:t>Kümmerer</w:t>
      </w:r>
      <w:proofErr w:type="spellEnd"/>
      <w:r>
        <w:t>, K., Dionysiou, D. D., Olsson, O., &amp; Fatta-</w:t>
      </w:r>
      <w:proofErr w:type="spellStart"/>
      <w:r>
        <w:t>Kassinos</w:t>
      </w:r>
      <w:proofErr w:type="spellEnd"/>
      <w:r>
        <w:t xml:space="preserve">, D. (2018). A path to clean water. </w:t>
      </w:r>
      <w:r>
        <w:rPr>
          <w:i/>
          <w:iCs/>
        </w:rPr>
        <w:t>Science</w:t>
      </w:r>
      <w:r>
        <w:t xml:space="preserve">, </w:t>
      </w:r>
      <w:r>
        <w:rPr>
          <w:i/>
          <w:iCs/>
        </w:rPr>
        <w:t>361(6399)</w:t>
      </w:r>
      <w:r>
        <w:t>, 222-224. https://doi.org/10.1126/science.aau2405</w:t>
      </w:r>
    </w:p>
    <w:p w14:paraId="4EA8B01C" w14:textId="77777777" w:rsidR="00D9234C" w:rsidRDefault="00000000" w:rsidP="00E6294C">
      <w:pPr>
        <w:spacing w:before="100" w:beforeAutospacing="1" w:after="100" w:afterAutospacing="1"/>
        <w:ind w:left="720" w:hanging="720"/>
      </w:pPr>
      <w:r>
        <w:t xml:space="preserve">Larsson, D. G. J. (2014). Pollution from drug manufacturing: Review and perspectives. </w:t>
      </w:r>
      <w:r>
        <w:rPr>
          <w:i/>
          <w:iCs/>
        </w:rPr>
        <w:t>Philosophical Transactions of the Royal Society B: Biological Sciences</w:t>
      </w:r>
      <w:r>
        <w:t xml:space="preserve">, </w:t>
      </w:r>
      <w:r>
        <w:rPr>
          <w:i/>
          <w:iCs/>
        </w:rPr>
        <w:t>369(1656)</w:t>
      </w:r>
      <w:r>
        <w:t>, 20130571. https://doi.org/10.1098/rstb.2013.0571</w:t>
      </w:r>
    </w:p>
    <w:p w14:paraId="38790022" w14:textId="77777777" w:rsidR="00D9234C" w:rsidRDefault="00000000" w:rsidP="00E6294C">
      <w:pPr>
        <w:spacing w:before="100" w:beforeAutospacing="1" w:after="100" w:afterAutospacing="1"/>
        <w:ind w:left="720" w:hanging="720"/>
      </w:pPr>
      <w:r>
        <w:t xml:space="preserve">Larsson, D. G. J., &amp; Flach, C.-F. (2022). Antibiotic resistance in the environment. </w:t>
      </w:r>
      <w:r>
        <w:rPr>
          <w:i/>
          <w:iCs/>
        </w:rPr>
        <w:t>Nature Reviews Microbiology</w:t>
      </w:r>
      <w:r>
        <w:t xml:space="preserve">, </w:t>
      </w:r>
      <w:r>
        <w:rPr>
          <w:i/>
          <w:iCs/>
        </w:rPr>
        <w:t>20(5)</w:t>
      </w:r>
      <w:r>
        <w:t>, 257-269. https://doi.org/10.1038/s41579-021-00649-x</w:t>
      </w:r>
    </w:p>
    <w:p w14:paraId="1506E9A7" w14:textId="77777777" w:rsidR="00D9234C" w:rsidRDefault="00000000" w:rsidP="00E6294C">
      <w:pPr>
        <w:spacing w:before="100" w:beforeAutospacing="1" w:after="100" w:afterAutospacing="1"/>
        <w:ind w:left="720" w:hanging="720"/>
      </w:pPr>
      <w:r>
        <w:t xml:space="preserve">Lee, S. L., O’Connor, T. F., Yang, X., Cruz, C. N., Chatterjee, S., </w:t>
      </w:r>
      <w:proofErr w:type="spellStart"/>
      <w:r>
        <w:t>Madurawe</w:t>
      </w:r>
      <w:proofErr w:type="spellEnd"/>
      <w:r>
        <w:t xml:space="preserve">, R. D., Moore, C. M. V., Yu, L. X., &amp; Woodcock, J. (2015). Modernizing pharmaceutical manufacturing: From batch to continuous production. </w:t>
      </w:r>
      <w:r>
        <w:rPr>
          <w:i/>
          <w:iCs/>
        </w:rPr>
        <w:t>Journal of Pharmaceutical Innovation</w:t>
      </w:r>
      <w:r>
        <w:t xml:space="preserve">, </w:t>
      </w:r>
      <w:r>
        <w:rPr>
          <w:i/>
          <w:iCs/>
        </w:rPr>
        <w:t>10(3)</w:t>
      </w:r>
      <w:r>
        <w:t>, 191-199. https://doi.org/10.1007/s12247-015-9215-8</w:t>
      </w:r>
    </w:p>
    <w:p w14:paraId="453E6237" w14:textId="77777777" w:rsidR="00D9234C" w:rsidRDefault="00000000" w:rsidP="00E6294C">
      <w:pPr>
        <w:spacing w:before="100" w:beforeAutospacing="1" w:after="100" w:afterAutospacing="1"/>
        <w:ind w:left="720" w:hanging="720"/>
      </w:pPr>
      <w:proofErr w:type="spellStart"/>
      <w:r>
        <w:lastRenderedPageBreak/>
        <w:t>Lv</w:t>
      </w:r>
      <w:proofErr w:type="spellEnd"/>
      <w:r>
        <w:t xml:space="preserve">, F., Zhang, J., You, S., &amp; Qi, W. (2026). From traditional to AI-driven: The evolution of intelligent enzyme engineering for biocatalysis. </w:t>
      </w:r>
      <w:r>
        <w:rPr>
          <w:i/>
          <w:iCs/>
        </w:rPr>
        <w:t>Biotechnology Advances</w:t>
      </w:r>
      <w:r>
        <w:t xml:space="preserve">, </w:t>
      </w:r>
      <w:r>
        <w:rPr>
          <w:i/>
          <w:iCs/>
        </w:rPr>
        <w:t>87</w:t>
      </w:r>
      <w:r>
        <w:t>, 108788. https://doi.org/10.1016/j.biotechadv.2025.108788</w:t>
      </w:r>
    </w:p>
    <w:p w14:paraId="054ABAD1" w14:textId="77777777" w:rsidR="00D9234C" w:rsidRDefault="00000000" w:rsidP="00E6294C">
      <w:pPr>
        <w:spacing w:before="100" w:beforeAutospacing="1" w:after="100" w:afterAutospacing="1"/>
        <w:ind w:left="720" w:hanging="720"/>
      </w:pPr>
      <w:r>
        <w:t xml:space="preserve">Ma, Y., Gao, S., Mehta, N., Fu, Q., Li, W., &amp; Benyahia, B. (2025). </w:t>
      </w:r>
      <w:proofErr w:type="spellStart"/>
      <w:r>
        <w:t>SolECOs</w:t>
      </w:r>
      <w:proofErr w:type="spellEnd"/>
      <w:r>
        <w:t xml:space="preserve">: A data-driven platform for sustainable and comprehensive solvent selection in pharmaceutical manufacturing. </w:t>
      </w:r>
      <w:r>
        <w:rPr>
          <w:i/>
          <w:iCs/>
        </w:rPr>
        <w:t>Green Chemistry</w:t>
      </w:r>
      <w:r>
        <w:t xml:space="preserve">, </w:t>
      </w:r>
      <w:r>
        <w:rPr>
          <w:i/>
          <w:iCs/>
        </w:rPr>
        <w:t>27(40)</w:t>
      </w:r>
      <w:r>
        <w:t>, 12621-12641. https://doi.org/10.1039/d5gc04176g</w:t>
      </w:r>
    </w:p>
    <w:p w14:paraId="1EED8772" w14:textId="77777777" w:rsidR="00D9234C" w:rsidRDefault="00000000" w:rsidP="00E6294C">
      <w:pPr>
        <w:spacing w:before="100" w:beforeAutospacing="1" w:after="100" w:afterAutospacing="1"/>
        <w:ind w:left="720" w:hanging="720"/>
      </w:pPr>
      <w:r>
        <w:t xml:space="preserve">Milanesi, M., Runfola, A., &amp; </w:t>
      </w:r>
      <w:proofErr w:type="spellStart"/>
      <w:r>
        <w:t>Guercini</w:t>
      </w:r>
      <w:proofErr w:type="spellEnd"/>
      <w:r>
        <w:t xml:space="preserve">, S. (2020). Pharmaceutical industry riding the wave of sustainability: Review and opportunities for future research. </w:t>
      </w:r>
      <w:r>
        <w:rPr>
          <w:i/>
          <w:iCs/>
        </w:rPr>
        <w:t>Journal of Cleaner Production</w:t>
      </w:r>
      <w:r>
        <w:t xml:space="preserve">, </w:t>
      </w:r>
      <w:r>
        <w:rPr>
          <w:i/>
          <w:iCs/>
        </w:rPr>
        <w:t>261</w:t>
      </w:r>
      <w:r>
        <w:t>, 121204. https://doi.org/10.1016/j.jclepro.2020.121204</w:t>
      </w:r>
    </w:p>
    <w:p w14:paraId="1971D7A4" w14:textId="77777777" w:rsidR="00D9234C" w:rsidRDefault="00000000" w:rsidP="00E6294C">
      <w:pPr>
        <w:spacing w:before="100" w:beforeAutospacing="1" w:after="100" w:afterAutospacing="1"/>
        <w:ind w:left="720" w:hanging="720"/>
      </w:pPr>
      <w:proofErr w:type="spellStart"/>
      <w:r>
        <w:t>Nqeketo</w:t>
      </w:r>
      <w:proofErr w:type="spellEnd"/>
      <w:r>
        <w:t xml:space="preserve">, S., &amp; </w:t>
      </w:r>
      <w:proofErr w:type="spellStart"/>
      <w:r>
        <w:t>Sagandira</w:t>
      </w:r>
      <w:proofErr w:type="spellEnd"/>
      <w:r>
        <w:t xml:space="preserve">, C. R. (2024). Towards continuous flow manufacturing of active pharmaceutical ingredients in Africa: A perspective. </w:t>
      </w:r>
      <w:r>
        <w:rPr>
          <w:i/>
          <w:iCs/>
        </w:rPr>
        <w:t>Reaction Chemistry &amp; Engineering</w:t>
      </w:r>
      <w:r>
        <w:t xml:space="preserve">, </w:t>
      </w:r>
      <w:r>
        <w:rPr>
          <w:i/>
          <w:iCs/>
        </w:rPr>
        <w:t>9(10)</w:t>
      </w:r>
      <w:r>
        <w:t>, 2532-2551. https://doi.org/10.1039/d4re00299g</w:t>
      </w:r>
    </w:p>
    <w:p w14:paraId="3F6A5D09" w14:textId="77777777" w:rsidR="00D9234C" w:rsidRDefault="00000000" w:rsidP="00E6294C">
      <w:pPr>
        <w:spacing w:before="100" w:beforeAutospacing="1" w:after="100" w:afterAutospacing="1"/>
        <w:ind w:left="720" w:hanging="720"/>
      </w:pPr>
      <w:proofErr w:type="spellStart"/>
      <w:r>
        <w:t>Plutschack</w:t>
      </w:r>
      <w:proofErr w:type="spellEnd"/>
      <w:r>
        <w:t xml:space="preserve">, M. B., Pieber, B., Gilmore, K., &amp; Seeberger, P. H. (2017). The Hitchhiker's guide to flow chemistry. </w:t>
      </w:r>
      <w:r>
        <w:rPr>
          <w:i/>
          <w:iCs/>
        </w:rPr>
        <w:t>Chemical Reviews</w:t>
      </w:r>
      <w:r>
        <w:t xml:space="preserve">, </w:t>
      </w:r>
      <w:r>
        <w:rPr>
          <w:i/>
          <w:iCs/>
        </w:rPr>
        <w:t>117(18)</w:t>
      </w:r>
      <w:r>
        <w:t>, 11796-11893. https://doi.org/10.1021/acs.chemrev.7b00183</w:t>
      </w:r>
    </w:p>
    <w:p w14:paraId="6E7FED6C" w14:textId="77777777" w:rsidR="00D9234C" w:rsidRDefault="00000000" w:rsidP="00E6294C">
      <w:pPr>
        <w:spacing w:before="100" w:beforeAutospacing="1" w:after="100" w:afterAutospacing="1"/>
        <w:ind w:left="720" w:hanging="720"/>
      </w:pPr>
      <w:r>
        <w:t xml:space="preserve">Prat, D., Wells, A., Hayler, J., Sneddon, H., McElroy, C. R., Abou-Shehada, S., &amp; Dunn, P. J. (2016). CHEM21 selection guide of classical- and less classical-solvents. </w:t>
      </w:r>
      <w:r>
        <w:rPr>
          <w:i/>
          <w:iCs/>
        </w:rPr>
        <w:t>Green Chemistry</w:t>
      </w:r>
      <w:r>
        <w:t xml:space="preserve">, </w:t>
      </w:r>
      <w:r>
        <w:rPr>
          <w:i/>
          <w:iCs/>
        </w:rPr>
        <w:t>18(1)</w:t>
      </w:r>
      <w:r>
        <w:t>, 288-296. https://doi.org/10.1039/c5gc01008j</w:t>
      </w:r>
    </w:p>
    <w:p w14:paraId="3CC42931" w14:textId="77777777" w:rsidR="00D9234C" w:rsidRDefault="00000000" w:rsidP="00E6294C">
      <w:pPr>
        <w:spacing w:before="100" w:beforeAutospacing="1" w:after="100" w:afterAutospacing="1"/>
        <w:ind w:left="720" w:hanging="720"/>
      </w:pPr>
      <w:r>
        <w:t xml:space="preserve">Raymond, M. J., Slater, C. S., &amp; </w:t>
      </w:r>
      <w:proofErr w:type="spellStart"/>
      <w:r>
        <w:t>Savelski</w:t>
      </w:r>
      <w:proofErr w:type="spellEnd"/>
      <w:r>
        <w:t xml:space="preserve">, M. J. (2010). LCA approach to the analysis of solvent waste issues in the pharmaceutical industry. </w:t>
      </w:r>
      <w:r>
        <w:rPr>
          <w:i/>
          <w:iCs/>
        </w:rPr>
        <w:t>Green Chemistry</w:t>
      </w:r>
      <w:r>
        <w:t xml:space="preserve">, </w:t>
      </w:r>
      <w:r>
        <w:rPr>
          <w:i/>
          <w:iCs/>
        </w:rPr>
        <w:t>12(10)</w:t>
      </w:r>
      <w:r>
        <w:t>, 1826. https://doi.org/10.1039/c003666h</w:t>
      </w:r>
    </w:p>
    <w:p w14:paraId="4C6D1870" w14:textId="77777777" w:rsidR="00D9234C" w:rsidRDefault="00000000" w:rsidP="00E6294C">
      <w:pPr>
        <w:spacing w:before="100" w:beforeAutospacing="1" w:after="100" w:afterAutospacing="1"/>
        <w:ind w:left="720" w:hanging="720"/>
      </w:pPr>
      <w:r>
        <w:t xml:space="preserve">Rogers, L., &amp; Jensen, K. F. (2019). Continuous manufacturing – the green chemistry </w:t>
      </w:r>
      <w:proofErr w:type="gramStart"/>
      <w:r>
        <w:t>promise?.</w:t>
      </w:r>
      <w:proofErr w:type="gramEnd"/>
      <w:r>
        <w:t xml:space="preserve"> </w:t>
      </w:r>
      <w:r>
        <w:rPr>
          <w:i/>
          <w:iCs/>
        </w:rPr>
        <w:t>Green Chemistry</w:t>
      </w:r>
      <w:r>
        <w:t xml:space="preserve">, </w:t>
      </w:r>
      <w:r>
        <w:rPr>
          <w:i/>
          <w:iCs/>
        </w:rPr>
        <w:t>21(13)</w:t>
      </w:r>
      <w:r>
        <w:t>, 3481-3498. https://doi.org/10.1039/c9gc00773c</w:t>
      </w:r>
    </w:p>
    <w:p w14:paraId="104F6026" w14:textId="77777777" w:rsidR="00D9234C" w:rsidRDefault="00000000" w:rsidP="00E6294C">
      <w:pPr>
        <w:spacing w:before="100" w:beforeAutospacing="1" w:after="100" w:afterAutospacing="1"/>
        <w:ind w:left="720" w:hanging="720"/>
      </w:pPr>
      <w:proofErr w:type="spellStart"/>
      <w:r>
        <w:t>Roschangar</w:t>
      </w:r>
      <w:proofErr w:type="spellEnd"/>
      <w:r>
        <w:t xml:space="preserve">, F., Sheldon, R. A., &amp; Senanayake, C. H. (2015). Overcoming barriers to green chemistry in the pharmaceutical industry – the Green Aspiration Level concept. </w:t>
      </w:r>
      <w:r>
        <w:rPr>
          <w:i/>
          <w:iCs/>
        </w:rPr>
        <w:t>Green Chemistry</w:t>
      </w:r>
      <w:r>
        <w:t xml:space="preserve">, </w:t>
      </w:r>
      <w:r>
        <w:rPr>
          <w:i/>
          <w:iCs/>
        </w:rPr>
        <w:t>17(2)</w:t>
      </w:r>
      <w:r>
        <w:t>, 752-768. https://doi.org/10.1039/c4gc01563k</w:t>
      </w:r>
    </w:p>
    <w:p w14:paraId="50285504" w14:textId="77777777" w:rsidR="00D9234C" w:rsidRDefault="00000000" w:rsidP="00E6294C">
      <w:pPr>
        <w:spacing w:before="100" w:beforeAutospacing="1" w:after="100" w:afterAutospacing="1"/>
        <w:ind w:left="720" w:hanging="720"/>
      </w:pPr>
      <w:proofErr w:type="spellStart"/>
      <w:r>
        <w:t>Roschangar</w:t>
      </w:r>
      <w:proofErr w:type="spellEnd"/>
      <w:r>
        <w:t xml:space="preserve">, F., Zhou, Y., Constable, D. J. C., Colberg, J., Dickson, D. P., Dunn, P. J., Eastgate, M. D., Gallou, F., Hayler, J. D., Koenig, S. G., Kopach, M. E., Leahy, D. K., </w:t>
      </w:r>
      <w:proofErr w:type="spellStart"/>
      <w:r>
        <w:t>Mergelsberg</w:t>
      </w:r>
      <w:proofErr w:type="spellEnd"/>
      <w:r>
        <w:t xml:space="preserve">, I., Scholz, U., Smith, A. G., Henry, M., Mulder, J., Brandenburg, J., </w:t>
      </w:r>
      <w:proofErr w:type="spellStart"/>
      <w:r>
        <w:t>Dehli</w:t>
      </w:r>
      <w:proofErr w:type="spellEnd"/>
      <w:r>
        <w:t xml:space="preserve">, J. R., . . . Senanayake, C. H. (2018). Inspiring process innovation via an improved green manufacturing metric: </w:t>
      </w:r>
      <w:proofErr w:type="spellStart"/>
      <w:r>
        <w:t>iGAL</w:t>
      </w:r>
      <w:proofErr w:type="spellEnd"/>
      <w:r>
        <w:t xml:space="preserve">. </w:t>
      </w:r>
      <w:r>
        <w:rPr>
          <w:i/>
          <w:iCs/>
        </w:rPr>
        <w:t>Green Chemistry</w:t>
      </w:r>
      <w:r>
        <w:t xml:space="preserve">, </w:t>
      </w:r>
      <w:r>
        <w:rPr>
          <w:i/>
          <w:iCs/>
        </w:rPr>
        <w:t>20(10)</w:t>
      </w:r>
      <w:r>
        <w:t>, 2206-2211. https://doi.org/10.1039/c8gc00616d</w:t>
      </w:r>
    </w:p>
    <w:p w14:paraId="365251AC" w14:textId="77777777" w:rsidR="00D9234C" w:rsidRDefault="00000000" w:rsidP="00E6294C">
      <w:pPr>
        <w:spacing w:before="100" w:beforeAutospacing="1" w:after="100" w:afterAutospacing="1"/>
        <w:ind w:left="720" w:hanging="720"/>
      </w:pPr>
      <w:r>
        <w:t xml:space="preserve">Sabatini, M. T., Boulton, L. T., Sneddon, H. F., &amp; Sheppard, T. D. (2019). A green chemistry perspective on catalytic amide bond formation. </w:t>
      </w:r>
      <w:r>
        <w:rPr>
          <w:i/>
          <w:iCs/>
        </w:rPr>
        <w:t>Nature Catalysis</w:t>
      </w:r>
      <w:r>
        <w:t xml:space="preserve">, </w:t>
      </w:r>
      <w:r>
        <w:rPr>
          <w:i/>
          <w:iCs/>
        </w:rPr>
        <w:t>2(1)</w:t>
      </w:r>
      <w:r>
        <w:t>, 10-17. https://doi.org/10.1038/s41929-018-0211-5</w:t>
      </w:r>
    </w:p>
    <w:p w14:paraId="0F13F773" w14:textId="77777777" w:rsidR="00D9234C" w:rsidRDefault="00000000" w:rsidP="00E6294C">
      <w:pPr>
        <w:spacing w:before="100" w:beforeAutospacing="1" w:after="100" w:afterAutospacing="1"/>
        <w:ind w:left="720" w:hanging="720"/>
      </w:pPr>
      <w:r>
        <w:t xml:space="preserve">Savile, C. K., Janey, J. M., Mundorff, E. C., Moore, J. C., Tam, S., Jarvis, W. R., Colbeck, J. C., </w:t>
      </w:r>
      <w:proofErr w:type="spellStart"/>
      <w:r>
        <w:t>Krebber</w:t>
      </w:r>
      <w:proofErr w:type="spellEnd"/>
      <w:r>
        <w:t xml:space="preserve">, A., Fleitz, F. J., Brands, J., Devine, P. N., Huisman, G. W., &amp; Hughes, G. J. (2010). Biocatalytic asymmetric synthesis of chiral amines from ketones applied to sitagliptin manufacture. </w:t>
      </w:r>
      <w:r>
        <w:rPr>
          <w:i/>
          <w:iCs/>
        </w:rPr>
        <w:t>Science</w:t>
      </w:r>
      <w:r>
        <w:t xml:space="preserve">, </w:t>
      </w:r>
      <w:r>
        <w:rPr>
          <w:i/>
          <w:iCs/>
        </w:rPr>
        <w:t>329(5989)</w:t>
      </w:r>
      <w:r>
        <w:t>, 305-309. https://doi.org/10.1126/science.1188934</w:t>
      </w:r>
    </w:p>
    <w:p w14:paraId="0C08A097" w14:textId="77777777" w:rsidR="00D9234C" w:rsidRDefault="00000000" w:rsidP="00E6294C">
      <w:pPr>
        <w:spacing w:before="100" w:beforeAutospacing="1" w:after="100" w:afterAutospacing="1"/>
        <w:ind w:left="720" w:hanging="720"/>
      </w:pPr>
      <w:r>
        <w:lastRenderedPageBreak/>
        <w:t xml:space="preserve">Schwaller, P., Laino, T., Gaudin, T., </w:t>
      </w:r>
      <w:proofErr w:type="spellStart"/>
      <w:r>
        <w:t>Bolgar</w:t>
      </w:r>
      <w:proofErr w:type="spellEnd"/>
      <w:r>
        <w:t xml:space="preserve">, P., Hunter, C. A., Bekas, C., &amp; Lee, A. A. (2019). Molecular Transformer: A model for uncertainty-calibrated chemical reaction prediction. </w:t>
      </w:r>
      <w:r>
        <w:rPr>
          <w:i/>
          <w:iCs/>
        </w:rPr>
        <w:t>ACS Central Science</w:t>
      </w:r>
      <w:r>
        <w:t xml:space="preserve">, </w:t>
      </w:r>
      <w:r>
        <w:rPr>
          <w:i/>
          <w:iCs/>
        </w:rPr>
        <w:t>5(9)</w:t>
      </w:r>
      <w:r>
        <w:t>, 1572-1583. https://doi.org/10.1021/acscentsci.9b00576</w:t>
      </w:r>
    </w:p>
    <w:p w14:paraId="420581F8" w14:textId="77777777" w:rsidR="00D9234C" w:rsidRDefault="00000000" w:rsidP="00E6294C">
      <w:pPr>
        <w:spacing w:before="100" w:beforeAutospacing="1" w:after="100" w:afterAutospacing="1"/>
        <w:ind w:left="720" w:hanging="720"/>
      </w:pPr>
      <w:r>
        <w:t xml:space="preserve">Schwaller, P., Vaucher, A. C., Laplaza, R., </w:t>
      </w:r>
      <w:proofErr w:type="spellStart"/>
      <w:r>
        <w:t>Bunne</w:t>
      </w:r>
      <w:proofErr w:type="spellEnd"/>
      <w:r>
        <w:t xml:space="preserve">, C., Krause, A., </w:t>
      </w:r>
      <w:proofErr w:type="spellStart"/>
      <w:r>
        <w:t>Corminboeuf</w:t>
      </w:r>
      <w:proofErr w:type="spellEnd"/>
      <w:r>
        <w:t xml:space="preserve">, C., &amp; Laino, T. (2022). Machine intelligence for chemical reaction space. </w:t>
      </w:r>
      <w:r>
        <w:rPr>
          <w:i/>
          <w:iCs/>
        </w:rPr>
        <w:t>WIREs Computational Molecular Science</w:t>
      </w:r>
      <w:r>
        <w:t xml:space="preserve">, </w:t>
      </w:r>
      <w:r>
        <w:rPr>
          <w:i/>
          <w:iCs/>
        </w:rPr>
        <w:t>12(5)</w:t>
      </w:r>
      <w:r>
        <w:t>, e1604. https://doi.org/10.1002/wcms.1604</w:t>
      </w:r>
    </w:p>
    <w:p w14:paraId="6857DB03" w14:textId="77777777" w:rsidR="00D9234C" w:rsidRDefault="00000000" w:rsidP="00E6294C">
      <w:pPr>
        <w:spacing w:before="100" w:beforeAutospacing="1" w:after="100" w:afterAutospacing="1"/>
        <w:ind w:left="720" w:hanging="720"/>
      </w:pPr>
      <w:r>
        <w:t xml:space="preserve">Segler, M. H. S., Preuss, M., &amp; Waller, M. P. (2018). Planning chemical syntheses with deep neural networks and symbolic AI. </w:t>
      </w:r>
      <w:r>
        <w:rPr>
          <w:i/>
          <w:iCs/>
        </w:rPr>
        <w:t>Nature</w:t>
      </w:r>
      <w:r>
        <w:t xml:space="preserve">, </w:t>
      </w:r>
      <w:r>
        <w:rPr>
          <w:i/>
          <w:iCs/>
        </w:rPr>
        <w:t>555(7698)</w:t>
      </w:r>
      <w:r>
        <w:t>, 604-610. https://doi.org/10.1038/nature25978</w:t>
      </w:r>
    </w:p>
    <w:p w14:paraId="0D79ECB7" w14:textId="77777777" w:rsidR="00D9234C" w:rsidRDefault="00000000" w:rsidP="00E6294C">
      <w:pPr>
        <w:spacing w:before="100" w:beforeAutospacing="1" w:after="100" w:afterAutospacing="1"/>
        <w:ind w:left="720" w:hanging="720"/>
      </w:pPr>
      <w:r>
        <w:t xml:space="preserve">Sheldon, R. A. (2017). The E factor 25 years on: The rise of green chemistry and sustainability. </w:t>
      </w:r>
      <w:r>
        <w:rPr>
          <w:i/>
          <w:iCs/>
        </w:rPr>
        <w:t>Green Chemistry</w:t>
      </w:r>
      <w:r>
        <w:t xml:space="preserve">, </w:t>
      </w:r>
      <w:r>
        <w:rPr>
          <w:i/>
          <w:iCs/>
        </w:rPr>
        <w:t>19(1)</w:t>
      </w:r>
      <w:r>
        <w:t>, 18-43. https://doi.org/10.1039/c6gc02157c</w:t>
      </w:r>
    </w:p>
    <w:p w14:paraId="197AEE2B" w14:textId="77777777" w:rsidR="00D9234C" w:rsidRDefault="00000000" w:rsidP="00E6294C">
      <w:pPr>
        <w:spacing w:before="100" w:beforeAutospacing="1" w:after="100" w:afterAutospacing="1"/>
        <w:ind w:left="720" w:hanging="720"/>
      </w:pPr>
      <w:r>
        <w:t xml:space="preserve">Sheldon, R. A. (2018). Metrics of green chemistry and sustainability: Past, present, and future. </w:t>
      </w:r>
      <w:r>
        <w:rPr>
          <w:i/>
          <w:iCs/>
        </w:rPr>
        <w:t>ACS Sustainable Chemistry &amp; Engineering</w:t>
      </w:r>
      <w:r>
        <w:t xml:space="preserve">, </w:t>
      </w:r>
      <w:r>
        <w:rPr>
          <w:i/>
          <w:iCs/>
        </w:rPr>
        <w:t>6(1)</w:t>
      </w:r>
      <w:r>
        <w:t>, 32-48. https://doi.org/10.1021/acssuschemeng.7b03505</w:t>
      </w:r>
    </w:p>
    <w:p w14:paraId="1C0F9841" w14:textId="77777777" w:rsidR="00D9234C" w:rsidRDefault="00000000" w:rsidP="00E6294C">
      <w:pPr>
        <w:spacing w:before="100" w:beforeAutospacing="1" w:after="100" w:afterAutospacing="1"/>
        <w:ind w:left="720" w:hanging="720"/>
      </w:pPr>
      <w:r>
        <w:t xml:space="preserve">Sheldon, R. A. (2023). The E factor at 30: A passion for pollution prevention. </w:t>
      </w:r>
      <w:r>
        <w:rPr>
          <w:i/>
          <w:iCs/>
        </w:rPr>
        <w:t>Green Chemistry</w:t>
      </w:r>
      <w:r>
        <w:t xml:space="preserve">, </w:t>
      </w:r>
      <w:r>
        <w:rPr>
          <w:i/>
          <w:iCs/>
        </w:rPr>
        <w:t>25(5)</w:t>
      </w:r>
      <w:r>
        <w:t>, 1704-1728. https://doi.org/10.1039/d2gc04747k</w:t>
      </w:r>
    </w:p>
    <w:p w14:paraId="1D50A4AC" w14:textId="77777777" w:rsidR="00D9234C" w:rsidRDefault="00000000" w:rsidP="00E6294C">
      <w:pPr>
        <w:spacing w:before="100" w:beforeAutospacing="1" w:after="100" w:afterAutospacing="1"/>
        <w:ind w:left="720" w:hanging="720"/>
      </w:pPr>
      <w:r>
        <w:t xml:space="preserve">Sheldon, R. A., &amp; Woodley, J. M. (2018). Role of biocatalysis in sustainable chemistry. </w:t>
      </w:r>
      <w:r>
        <w:rPr>
          <w:i/>
          <w:iCs/>
        </w:rPr>
        <w:t>Chemical Reviews</w:t>
      </w:r>
      <w:r>
        <w:t xml:space="preserve">, </w:t>
      </w:r>
      <w:r>
        <w:rPr>
          <w:i/>
          <w:iCs/>
        </w:rPr>
        <w:t>118(2)</w:t>
      </w:r>
      <w:r>
        <w:t>, 801-838. https://doi.org/10.1021/acs.chemrev.7b00203</w:t>
      </w:r>
    </w:p>
    <w:p w14:paraId="39CA10A9" w14:textId="77777777" w:rsidR="00D9234C" w:rsidRDefault="00000000" w:rsidP="00E6294C">
      <w:pPr>
        <w:spacing w:before="100" w:beforeAutospacing="1" w:after="100" w:afterAutospacing="1"/>
        <w:ind w:left="720" w:hanging="720"/>
      </w:pPr>
      <w:r>
        <w:t xml:space="preserve">Sheldon, R. A., Bode, M. L., &amp; Akakios, S. G. (2022). Metrics of green chemistry: Waste minimization. </w:t>
      </w:r>
      <w:r>
        <w:rPr>
          <w:i/>
          <w:iCs/>
        </w:rPr>
        <w:t>Current Opinion in Green and Sustainable Chemistry</w:t>
      </w:r>
      <w:r>
        <w:t xml:space="preserve">, </w:t>
      </w:r>
      <w:r>
        <w:rPr>
          <w:i/>
          <w:iCs/>
        </w:rPr>
        <w:t>33</w:t>
      </w:r>
      <w:r>
        <w:t>, 100569. https://doi.org/10.1016/j.cogsc.2021.100569</w:t>
      </w:r>
    </w:p>
    <w:p w14:paraId="17EDE363" w14:textId="77777777" w:rsidR="00D9234C" w:rsidRDefault="00000000" w:rsidP="00E6294C">
      <w:pPr>
        <w:spacing w:before="100" w:beforeAutospacing="1" w:after="100" w:afterAutospacing="1"/>
        <w:ind w:left="720" w:hanging="720"/>
      </w:pPr>
      <w:r>
        <w:t xml:space="preserve">Sheldon, R. A., Brady, D., &amp; Bode, M. L. (2020). The Hitchhiker's guide to biocatalysis: Recent advances in the use of enzymes in organic synthesis. </w:t>
      </w:r>
      <w:r>
        <w:rPr>
          <w:i/>
          <w:iCs/>
        </w:rPr>
        <w:t>Chemical Science</w:t>
      </w:r>
      <w:r>
        <w:t xml:space="preserve">, </w:t>
      </w:r>
      <w:r>
        <w:rPr>
          <w:i/>
          <w:iCs/>
        </w:rPr>
        <w:t>11(10)</w:t>
      </w:r>
      <w:r>
        <w:t>, 2587-2605. https://doi.org/10.1039/c9sc05746c</w:t>
      </w:r>
    </w:p>
    <w:p w14:paraId="1C390517" w14:textId="77777777" w:rsidR="00D9234C" w:rsidRDefault="00000000" w:rsidP="00E6294C">
      <w:pPr>
        <w:spacing w:before="100" w:beforeAutospacing="1" w:after="100" w:afterAutospacing="1"/>
        <w:ind w:left="720" w:hanging="720"/>
      </w:pPr>
      <w:r>
        <w:t xml:space="preserve">Shields, B. J., Stevens, J., Li, J., Parasram, M., Damani, F., Alvarado, J. I. M., Janey, J. M., Adams, R. P., &amp; Doyle, A. G. (2021). Bayesian reaction optimization as a tool for chemical synthesis. </w:t>
      </w:r>
      <w:r>
        <w:rPr>
          <w:i/>
          <w:iCs/>
        </w:rPr>
        <w:t>Nature</w:t>
      </w:r>
      <w:r>
        <w:t xml:space="preserve">, </w:t>
      </w:r>
      <w:r>
        <w:rPr>
          <w:i/>
          <w:iCs/>
        </w:rPr>
        <w:t>590(7844)</w:t>
      </w:r>
      <w:r>
        <w:t>, 89-96. https://doi.org/10.1038/s41586-021-03213-y</w:t>
      </w:r>
    </w:p>
    <w:p w14:paraId="5284F8B4" w14:textId="77777777" w:rsidR="00D9234C" w:rsidRDefault="00000000" w:rsidP="00E6294C">
      <w:pPr>
        <w:spacing w:before="100" w:beforeAutospacing="1" w:after="100" w:afterAutospacing="1"/>
        <w:ind w:left="720" w:hanging="720"/>
      </w:pPr>
      <w:r>
        <w:t xml:space="preserve">Simon, L. L., Pataki, H., Marosi, G., Meemken, F., </w:t>
      </w:r>
      <w:proofErr w:type="spellStart"/>
      <w:r>
        <w:t>Hungerbühler</w:t>
      </w:r>
      <w:proofErr w:type="spellEnd"/>
      <w:r>
        <w:t xml:space="preserve">, K., Baiker, A., Tummala, S., Glennon, B., Kuentz, M., Steele, G., Kramer, H. J. M., Rydzak, J. W., Chen, Z., Morris, J., Kjell, F., Singh, R., Gani, R., </w:t>
      </w:r>
      <w:proofErr w:type="spellStart"/>
      <w:r>
        <w:t>Gernaey</w:t>
      </w:r>
      <w:proofErr w:type="spellEnd"/>
      <w:r>
        <w:t>, K. V., Louhi-</w:t>
      </w:r>
      <w:proofErr w:type="spellStart"/>
      <w:r>
        <w:t>Kultanen</w:t>
      </w:r>
      <w:proofErr w:type="spellEnd"/>
      <w:r>
        <w:t xml:space="preserve">, M., . . . Chiu, M.-S. (2015). Assessment of recent process analytical technology (PAT) trends: A multiauthor review. </w:t>
      </w:r>
      <w:r>
        <w:rPr>
          <w:i/>
          <w:iCs/>
        </w:rPr>
        <w:t>Organic Process Research &amp; Development</w:t>
      </w:r>
      <w:r>
        <w:t xml:space="preserve">, </w:t>
      </w:r>
      <w:r>
        <w:rPr>
          <w:i/>
          <w:iCs/>
        </w:rPr>
        <w:t>19(1)</w:t>
      </w:r>
      <w:r>
        <w:t>, 3-62. https://doi.org/10.1021/op500261y</w:t>
      </w:r>
    </w:p>
    <w:p w14:paraId="5245F7D1" w14:textId="77777777" w:rsidR="00D9234C" w:rsidRDefault="00000000" w:rsidP="00E6294C">
      <w:pPr>
        <w:spacing w:before="100" w:beforeAutospacing="1" w:after="100" w:afterAutospacing="1"/>
        <w:ind w:left="720" w:hanging="720"/>
      </w:pPr>
      <w:proofErr w:type="spellStart"/>
      <w:r>
        <w:t>Suhandi</w:t>
      </w:r>
      <w:proofErr w:type="spellEnd"/>
      <w:r>
        <w:t xml:space="preserve">, V., &amp; Chen, P.-S. (2023). Closed-loop supply chain inventory model in the pharmaceutical industry toward a circular economy. </w:t>
      </w:r>
      <w:r>
        <w:rPr>
          <w:i/>
          <w:iCs/>
        </w:rPr>
        <w:t>Journal of Cleaner Production</w:t>
      </w:r>
      <w:r>
        <w:t xml:space="preserve">, </w:t>
      </w:r>
      <w:r>
        <w:rPr>
          <w:i/>
          <w:iCs/>
        </w:rPr>
        <w:t>383</w:t>
      </w:r>
      <w:r>
        <w:t>, 135474. https://doi.org/10.1016/j.jclepro.2022.135474</w:t>
      </w:r>
    </w:p>
    <w:p w14:paraId="6140F261" w14:textId="77777777" w:rsidR="00D9234C" w:rsidRDefault="00000000" w:rsidP="00E6294C">
      <w:pPr>
        <w:spacing w:before="100" w:beforeAutospacing="1" w:after="100" w:afterAutospacing="1"/>
        <w:ind w:left="720" w:hanging="720"/>
      </w:pPr>
      <w:r>
        <w:t xml:space="preserve">Taylor, C. J., </w:t>
      </w:r>
      <w:proofErr w:type="spellStart"/>
      <w:r>
        <w:t>Pomberger</w:t>
      </w:r>
      <w:proofErr w:type="spellEnd"/>
      <w:r>
        <w:t xml:space="preserve">, A., Felton, K. C., Grainger, R., </w:t>
      </w:r>
      <w:proofErr w:type="spellStart"/>
      <w:r>
        <w:t>Barecka</w:t>
      </w:r>
      <w:proofErr w:type="spellEnd"/>
      <w:r>
        <w:t xml:space="preserve">, M., Chamberlain, T. W., Bourne, R. A., Johnson, C. N., &amp; Lapkin, A. A. (2023). A brief introduction to chemical reaction optimization. </w:t>
      </w:r>
      <w:r>
        <w:rPr>
          <w:i/>
          <w:iCs/>
        </w:rPr>
        <w:t>Chemical Reviews</w:t>
      </w:r>
      <w:r>
        <w:t xml:space="preserve">, </w:t>
      </w:r>
      <w:r>
        <w:rPr>
          <w:i/>
          <w:iCs/>
        </w:rPr>
        <w:t>123(6)</w:t>
      </w:r>
      <w:r>
        <w:t>, 3089-3126. https://doi.org/10.1021/acs.chemrev.2c00798</w:t>
      </w:r>
    </w:p>
    <w:p w14:paraId="139F4AD5" w14:textId="77777777" w:rsidR="00D9234C" w:rsidRDefault="00000000" w:rsidP="00E6294C">
      <w:pPr>
        <w:spacing w:before="100" w:beforeAutospacing="1" w:after="100" w:afterAutospacing="1"/>
        <w:ind w:left="720" w:hanging="720"/>
      </w:pPr>
      <w:r>
        <w:lastRenderedPageBreak/>
        <w:t xml:space="preserve">Thompson, M. P., </w:t>
      </w:r>
      <w:proofErr w:type="spellStart"/>
      <w:r>
        <w:t>Peñafiel</w:t>
      </w:r>
      <w:proofErr w:type="spellEnd"/>
      <w:r>
        <w:t xml:space="preserve">, I., Cosgrove, S. C., &amp; Turner, N. J. (2019). Biocatalysis using immobilized enzymes in continuous flow for the synthesis of fine chemicals. </w:t>
      </w:r>
      <w:r>
        <w:rPr>
          <w:i/>
          <w:iCs/>
        </w:rPr>
        <w:t>Organic Process Research &amp; Development</w:t>
      </w:r>
      <w:r>
        <w:t xml:space="preserve">, </w:t>
      </w:r>
      <w:r>
        <w:rPr>
          <w:i/>
          <w:iCs/>
        </w:rPr>
        <w:t>23(1)</w:t>
      </w:r>
      <w:r>
        <w:t>, 9-18. https://doi.org/10.1021/acs.oprd.8b00305</w:t>
      </w:r>
    </w:p>
    <w:p w14:paraId="61068DD1" w14:textId="77777777" w:rsidR="00D9234C" w:rsidRDefault="00000000" w:rsidP="00E6294C">
      <w:pPr>
        <w:spacing w:before="100" w:beforeAutospacing="1" w:after="100" w:afterAutospacing="1"/>
        <w:ind w:left="720" w:hanging="720"/>
      </w:pPr>
      <w:r>
        <w:t xml:space="preserve">Torres, A. I., Ferreira, J., &amp; Pedemonte, M. (2025). Machine learning and process systems engineering for sustainable chemical processes—a short review. </w:t>
      </w:r>
      <w:r>
        <w:rPr>
          <w:i/>
          <w:iCs/>
        </w:rPr>
        <w:t>Current Opinion in Green and Sustainable Chemistry</w:t>
      </w:r>
      <w:r>
        <w:t xml:space="preserve">, </w:t>
      </w:r>
      <w:r>
        <w:rPr>
          <w:i/>
          <w:iCs/>
        </w:rPr>
        <w:t>51</w:t>
      </w:r>
      <w:r>
        <w:t>, 100982. https://doi.org/10.1016/j.cogsc.2024.100982</w:t>
      </w:r>
    </w:p>
    <w:p w14:paraId="537B6CDB" w14:textId="77777777" w:rsidR="00D9234C" w:rsidRDefault="00000000" w:rsidP="00E6294C">
      <w:pPr>
        <w:spacing w:before="100" w:beforeAutospacing="1" w:after="100" w:afterAutospacing="1"/>
        <w:ind w:left="720" w:hanging="720"/>
      </w:pPr>
      <w:r>
        <w:t xml:space="preserve">Trobe, M., &amp; Burke, M. D. (2018). The molecular industrial revolution: Automated synthesis of small molecules. </w:t>
      </w:r>
      <w:proofErr w:type="spellStart"/>
      <w:r>
        <w:rPr>
          <w:i/>
          <w:iCs/>
        </w:rPr>
        <w:t>Angewandte</w:t>
      </w:r>
      <w:proofErr w:type="spellEnd"/>
      <w:r>
        <w:rPr>
          <w:i/>
          <w:iCs/>
        </w:rPr>
        <w:t xml:space="preserve"> Chemie International Edition</w:t>
      </w:r>
      <w:r>
        <w:t xml:space="preserve">, </w:t>
      </w:r>
      <w:r>
        <w:rPr>
          <w:i/>
          <w:iCs/>
        </w:rPr>
        <w:t>57(16)</w:t>
      </w:r>
      <w:r>
        <w:t>, 4192-4214. https://doi.org/10.1002/anie.201710482</w:t>
      </w:r>
    </w:p>
    <w:p w14:paraId="410BF6E8" w14:textId="77777777" w:rsidR="00D9234C" w:rsidRDefault="00000000" w:rsidP="00E6294C">
      <w:pPr>
        <w:spacing w:before="100" w:beforeAutospacing="1" w:after="100" w:afterAutospacing="1"/>
        <w:ind w:left="720" w:hanging="720"/>
      </w:pPr>
      <w:r>
        <w:t xml:space="preserve">Tucker, J. L., &amp; Faul, M. M. (2016). Industrial research: Drug companies must adopt green chemistry. </w:t>
      </w:r>
      <w:r>
        <w:rPr>
          <w:i/>
          <w:iCs/>
        </w:rPr>
        <w:t>Nature</w:t>
      </w:r>
      <w:r>
        <w:t xml:space="preserve">, </w:t>
      </w:r>
      <w:r>
        <w:rPr>
          <w:i/>
          <w:iCs/>
        </w:rPr>
        <w:t>534(7605)</w:t>
      </w:r>
      <w:r>
        <w:t>, 27-29. https://doi.org/10.1038/534027a</w:t>
      </w:r>
    </w:p>
    <w:p w14:paraId="030C0AF6" w14:textId="77777777" w:rsidR="00D9234C" w:rsidRDefault="00000000" w:rsidP="00E6294C">
      <w:pPr>
        <w:spacing w:before="100" w:beforeAutospacing="1" w:after="100" w:afterAutospacing="1"/>
        <w:ind w:left="720" w:hanging="720"/>
      </w:pPr>
      <w:proofErr w:type="spellStart"/>
      <w:r>
        <w:t>Veleva</w:t>
      </w:r>
      <w:proofErr w:type="spellEnd"/>
      <w:r>
        <w:t xml:space="preserve">, V., Bodkin, G., &amp; Todorova, S. (2017). The need for better measurement and employee engagement to advance a circular economy: Lessons from Biogen's 'zero waste' journey. </w:t>
      </w:r>
      <w:r>
        <w:rPr>
          <w:i/>
          <w:iCs/>
        </w:rPr>
        <w:t>Journal of Cleaner Production</w:t>
      </w:r>
      <w:r>
        <w:t xml:space="preserve">, </w:t>
      </w:r>
      <w:r>
        <w:rPr>
          <w:i/>
          <w:iCs/>
        </w:rPr>
        <w:t>154</w:t>
      </w:r>
      <w:r>
        <w:t>, 517-529. https://doi.org/10.1016/j.jclepro.2017.03.177</w:t>
      </w:r>
    </w:p>
    <w:p w14:paraId="000D2955" w14:textId="77777777" w:rsidR="00D9234C" w:rsidRDefault="00000000" w:rsidP="00E6294C">
      <w:pPr>
        <w:spacing w:before="100" w:beforeAutospacing="1" w:after="100" w:afterAutospacing="1"/>
        <w:ind w:left="720" w:hanging="720"/>
      </w:pPr>
      <w:r>
        <w:t xml:space="preserve">Wen, S., Zheng, W., </w:t>
      </w:r>
      <w:proofErr w:type="spellStart"/>
      <w:r>
        <w:t>Bornscheuer</w:t>
      </w:r>
      <w:proofErr w:type="spellEnd"/>
      <w:r>
        <w:t xml:space="preserve">, U. T., &amp; Wu, S. (2025). Generative artificial intelligence for enzyme design: Recent advances in models and applications. </w:t>
      </w:r>
      <w:r>
        <w:rPr>
          <w:i/>
          <w:iCs/>
        </w:rPr>
        <w:t>Current Opinion in Green and Sustainable Chemistry</w:t>
      </w:r>
      <w:r>
        <w:t xml:space="preserve">, </w:t>
      </w:r>
      <w:r>
        <w:rPr>
          <w:i/>
          <w:iCs/>
        </w:rPr>
        <w:t>52</w:t>
      </w:r>
      <w:r>
        <w:t>, 101010. https://doi.org/10.1016/j.cogsc.2025.101010</w:t>
      </w:r>
    </w:p>
    <w:p w14:paraId="13F74A92" w14:textId="77777777" w:rsidR="00D9234C" w:rsidRDefault="00000000" w:rsidP="00E6294C">
      <w:pPr>
        <w:spacing w:before="100" w:beforeAutospacing="1" w:after="100" w:afterAutospacing="1"/>
        <w:ind w:left="720" w:hanging="720"/>
      </w:pPr>
      <w:r>
        <w:t xml:space="preserve">Wilkinson, J. L., Boxall, A. B. A., Kolpin, D. W., Leung, K. M. Y., Lai, R. W. S., </w:t>
      </w:r>
      <w:proofErr w:type="spellStart"/>
      <w:r>
        <w:t>Galbán-Malagón</w:t>
      </w:r>
      <w:proofErr w:type="spellEnd"/>
      <w:r>
        <w:t xml:space="preserve">, C., Adell, A. D., Mondon, J., Metian, M., Marchant, R. A., Bouzas-Monroy, A., Cuni-Sanchez, A., Coors, A., </w:t>
      </w:r>
      <w:proofErr w:type="spellStart"/>
      <w:r>
        <w:t>Carriquiriborde</w:t>
      </w:r>
      <w:proofErr w:type="spellEnd"/>
      <w:r>
        <w:t xml:space="preserve">, P., Rojo, M., Gordon, C., Cara, M., Moermond, M., </w:t>
      </w:r>
      <w:proofErr w:type="spellStart"/>
      <w:r>
        <w:t>Luarte</w:t>
      </w:r>
      <w:proofErr w:type="spellEnd"/>
      <w:r>
        <w:t xml:space="preserve">, T., . . . Teta, C. (2022). Pharmaceutical pollution of the world's rivers. </w:t>
      </w:r>
      <w:r>
        <w:rPr>
          <w:i/>
          <w:iCs/>
        </w:rPr>
        <w:t>Proceedings of the National Academy of Sciences of the United States of America</w:t>
      </w:r>
      <w:r>
        <w:t xml:space="preserve">, </w:t>
      </w:r>
      <w:r>
        <w:rPr>
          <w:i/>
          <w:iCs/>
        </w:rPr>
        <w:t>119(8)</w:t>
      </w:r>
      <w:r>
        <w:t>, e2113947119. https://doi.org/10.1073/pnas.2113947119</w:t>
      </w:r>
    </w:p>
    <w:p w14:paraId="10F47F5B" w14:textId="77777777" w:rsidR="00D9234C" w:rsidRDefault="00000000" w:rsidP="00E6294C">
      <w:pPr>
        <w:spacing w:before="100" w:beforeAutospacing="1" w:after="100" w:afterAutospacing="1"/>
        <w:ind w:left="720" w:hanging="720"/>
      </w:pPr>
      <w:r>
        <w:t xml:space="preserve">World Health Organization (2024). </w:t>
      </w:r>
      <w:r>
        <w:rPr>
          <w:i/>
          <w:iCs/>
        </w:rPr>
        <w:t>Guidance on wastewater and solid waste management for manufacturing of antibiotics</w:t>
      </w:r>
      <w:r>
        <w:t>. https://www.who.int/publications/i/item/9789240097254</w:t>
      </w:r>
    </w:p>
    <w:p w14:paraId="0EC67109" w14:textId="77777777" w:rsidR="00D9234C" w:rsidRDefault="00000000" w:rsidP="00E6294C">
      <w:pPr>
        <w:spacing w:before="100" w:beforeAutospacing="1" w:after="100" w:afterAutospacing="1"/>
        <w:ind w:left="720" w:hanging="720"/>
      </w:pPr>
      <w:r>
        <w:t xml:space="preserve">Wu, S., </w:t>
      </w:r>
      <w:proofErr w:type="spellStart"/>
      <w:r>
        <w:t>Snajdrova</w:t>
      </w:r>
      <w:proofErr w:type="spellEnd"/>
      <w:r>
        <w:t xml:space="preserve">, R., Moore, J. C., Baldenius, K., &amp; </w:t>
      </w:r>
      <w:proofErr w:type="spellStart"/>
      <w:r>
        <w:t>Bornscheuer</w:t>
      </w:r>
      <w:proofErr w:type="spellEnd"/>
      <w:r>
        <w:t xml:space="preserve">, U. T. (2021). Biocatalysis: Enzymatic synthesis for industrial applications. </w:t>
      </w:r>
      <w:proofErr w:type="spellStart"/>
      <w:r>
        <w:rPr>
          <w:i/>
          <w:iCs/>
        </w:rPr>
        <w:t>Angewandte</w:t>
      </w:r>
      <w:proofErr w:type="spellEnd"/>
      <w:r>
        <w:rPr>
          <w:i/>
          <w:iCs/>
        </w:rPr>
        <w:t xml:space="preserve"> Chemie International Edition</w:t>
      </w:r>
      <w:r>
        <w:t xml:space="preserve">, </w:t>
      </w:r>
      <w:r>
        <w:rPr>
          <w:i/>
          <w:iCs/>
        </w:rPr>
        <w:t>60(1)</w:t>
      </w:r>
      <w:r>
        <w:t>, 88-119. https://doi.org/10.1002/anie.202006648</w:t>
      </w:r>
    </w:p>
    <w:p w14:paraId="6DEB0D1E" w14:textId="77777777" w:rsidR="00D9234C" w:rsidRDefault="00000000" w:rsidP="00E6294C">
      <w:pPr>
        <w:spacing w:before="100" w:beforeAutospacing="1" w:after="100" w:afterAutospacing="1"/>
        <w:ind w:left="720" w:hanging="720"/>
      </w:pPr>
      <w:r>
        <w:t xml:space="preserve">Yin, S., Niu, Y., Du, S., Hao, J., Jia, Y., Xiao, W., He, G., &amp; Jiang, X. (2025). Pervaporation crystallization for simultaneous organic solvent recovery and induced nucleation from pharmaceutical crystallization wastewater. </w:t>
      </w:r>
      <w:r>
        <w:rPr>
          <w:i/>
          <w:iCs/>
        </w:rPr>
        <w:t>Journal of Hazardous Materials</w:t>
      </w:r>
      <w:r>
        <w:t xml:space="preserve">, </w:t>
      </w:r>
      <w:r>
        <w:rPr>
          <w:i/>
          <w:iCs/>
        </w:rPr>
        <w:t>496</w:t>
      </w:r>
      <w:r>
        <w:t>, 139173. https://doi.org/10.1016/j.jhazmat.2025.139173</w:t>
      </w:r>
    </w:p>
    <w:p w14:paraId="6D632BD9" w14:textId="77777777" w:rsidR="00D9234C" w:rsidRDefault="00000000" w:rsidP="00E6294C">
      <w:pPr>
        <w:spacing w:before="100" w:beforeAutospacing="1" w:after="100" w:afterAutospacing="1"/>
        <w:ind w:left="720" w:hanging="720"/>
      </w:pPr>
      <w:r>
        <w:t xml:space="preserve">Zimmerman, J. B., Anastas, P. T., </w:t>
      </w:r>
      <w:proofErr w:type="spellStart"/>
      <w:r>
        <w:t>Erythropel</w:t>
      </w:r>
      <w:proofErr w:type="spellEnd"/>
      <w:r>
        <w:t xml:space="preserve">, H. C., &amp; Leitner, W. (2020). Designing for a green chemistry future. </w:t>
      </w:r>
      <w:r>
        <w:rPr>
          <w:i/>
          <w:iCs/>
        </w:rPr>
        <w:t>Science</w:t>
      </w:r>
      <w:r>
        <w:t xml:space="preserve">, </w:t>
      </w:r>
      <w:r>
        <w:rPr>
          <w:i/>
          <w:iCs/>
        </w:rPr>
        <w:t>367(6476)</w:t>
      </w:r>
      <w:r>
        <w:t>, 397-400. https://doi.org/10.1126/science.aay3060</w:t>
      </w:r>
    </w:p>
    <w:sectPr w:rsidR="00D9234C">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0FA60" w14:textId="77777777" w:rsidR="004B685E" w:rsidRDefault="004B685E" w:rsidP="002C06C2">
      <w:r>
        <w:separator/>
      </w:r>
    </w:p>
  </w:endnote>
  <w:endnote w:type="continuationSeparator" w:id="0">
    <w:p w14:paraId="3078F0A9" w14:textId="77777777" w:rsidR="004B685E" w:rsidRDefault="004B685E" w:rsidP="002C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8F36" w14:textId="77777777" w:rsidR="002C06C2" w:rsidRDefault="002C0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4922" w14:textId="77777777" w:rsidR="002C06C2" w:rsidRDefault="002C06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728B" w14:textId="77777777" w:rsidR="002C06C2" w:rsidRDefault="002C0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F8BB" w14:textId="77777777" w:rsidR="004B685E" w:rsidRDefault="004B685E" w:rsidP="002C06C2">
      <w:r>
        <w:separator/>
      </w:r>
    </w:p>
  </w:footnote>
  <w:footnote w:type="continuationSeparator" w:id="0">
    <w:p w14:paraId="05985390" w14:textId="77777777" w:rsidR="004B685E" w:rsidRDefault="004B685E" w:rsidP="002C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0CE4" w14:textId="7B6DE86D" w:rsidR="002C06C2" w:rsidRDefault="002C06C2">
    <w:pPr>
      <w:pStyle w:val="Header"/>
    </w:pPr>
    <w:r>
      <w:rPr>
        <w:noProof/>
      </w:rPr>
      <w:pict w14:anchorId="3D4AD8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616454" o:spid="_x0000_s1026" type="#_x0000_t136" style="position:absolute;margin-left:0;margin-top:0;width:611.4pt;height:67.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B461" w14:textId="447515B6" w:rsidR="002C06C2" w:rsidRDefault="002C06C2">
    <w:pPr>
      <w:pStyle w:val="Header"/>
    </w:pPr>
    <w:r>
      <w:rPr>
        <w:noProof/>
      </w:rPr>
      <w:pict w14:anchorId="7FC1AF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616455" o:spid="_x0000_s1027" type="#_x0000_t136" style="position:absolute;margin-left:0;margin-top:0;width:611.4pt;height:67.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51CB" w14:textId="0A5E7069" w:rsidR="002C06C2" w:rsidRDefault="002C06C2">
    <w:pPr>
      <w:pStyle w:val="Header"/>
    </w:pPr>
    <w:r>
      <w:rPr>
        <w:noProof/>
      </w:rPr>
      <w:pict w14:anchorId="10F461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4616453" o:spid="_x0000_s1025" type="#_x0000_t136" style="position:absolute;margin-left:0;margin-top:0;width:611.4pt;height:67.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24F35"/>
    <w:multiLevelType w:val="hybridMultilevel"/>
    <w:tmpl w:val="2494AEC8"/>
    <w:lvl w:ilvl="0" w:tplc="D35874F2">
      <w:start w:val="1"/>
      <w:numFmt w:val="bullet"/>
      <w:lvlText w:val="●"/>
      <w:lvlJc w:val="left"/>
      <w:pPr>
        <w:ind w:left="720" w:hanging="360"/>
      </w:pPr>
    </w:lvl>
    <w:lvl w:ilvl="1" w:tplc="D2BE7354">
      <w:start w:val="1"/>
      <w:numFmt w:val="bullet"/>
      <w:lvlText w:val="○"/>
      <w:lvlJc w:val="left"/>
      <w:pPr>
        <w:ind w:left="1440" w:hanging="360"/>
      </w:pPr>
    </w:lvl>
    <w:lvl w:ilvl="2" w:tplc="CCE0347E">
      <w:start w:val="1"/>
      <w:numFmt w:val="bullet"/>
      <w:lvlText w:val="■"/>
      <w:lvlJc w:val="left"/>
      <w:pPr>
        <w:ind w:left="2160" w:hanging="360"/>
      </w:pPr>
    </w:lvl>
    <w:lvl w:ilvl="3" w:tplc="166478EA">
      <w:start w:val="1"/>
      <w:numFmt w:val="bullet"/>
      <w:lvlText w:val="●"/>
      <w:lvlJc w:val="left"/>
      <w:pPr>
        <w:ind w:left="2880" w:hanging="360"/>
      </w:pPr>
    </w:lvl>
    <w:lvl w:ilvl="4" w:tplc="31E68B38">
      <w:start w:val="1"/>
      <w:numFmt w:val="bullet"/>
      <w:lvlText w:val="○"/>
      <w:lvlJc w:val="left"/>
      <w:pPr>
        <w:ind w:left="3600" w:hanging="360"/>
      </w:pPr>
    </w:lvl>
    <w:lvl w:ilvl="5" w:tplc="526ED9B6">
      <w:start w:val="1"/>
      <w:numFmt w:val="bullet"/>
      <w:lvlText w:val="■"/>
      <w:lvlJc w:val="left"/>
      <w:pPr>
        <w:ind w:left="4320" w:hanging="360"/>
      </w:pPr>
    </w:lvl>
    <w:lvl w:ilvl="6" w:tplc="D5440BD0">
      <w:start w:val="1"/>
      <w:numFmt w:val="bullet"/>
      <w:lvlText w:val="●"/>
      <w:lvlJc w:val="left"/>
      <w:pPr>
        <w:ind w:left="5040" w:hanging="360"/>
      </w:pPr>
    </w:lvl>
    <w:lvl w:ilvl="7" w:tplc="95381300">
      <w:start w:val="1"/>
      <w:numFmt w:val="bullet"/>
      <w:lvlText w:val="●"/>
      <w:lvlJc w:val="left"/>
      <w:pPr>
        <w:ind w:left="5760" w:hanging="360"/>
      </w:pPr>
    </w:lvl>
    <w:lvl w:ilvl="8" w:tplc="69A4349C">
      <w:start w:val="1"/>
      <w:numFmt w:val="bullet"/>
      <w:lvlText w:val="●"/>
      <w:lvlJc w:val="left"/>
      <w:pPr>
        <w:ind w:left="6480" w:hanging="360"/>
      </w:pPr>
    </w:lvl>
  </w:abstractNum>
  <w:num w:numId="1" w16cid:durableId="19516931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4C"/>
    <w:rsid w:val="002C06C2"/>
    <w:rsid w:val="004B685E"/>
    <w:rsid w:val="006A1D0C"/>
    <w:rsid w:val="00900A11"/>
    <w:rsid w:val="00A42440"/>
    <w:rsid w:val="00D60661"/>
    <w:rsid w:val="00D9234C"/>
    <w:rsid w:val="00E62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A9716"/>
  <w15:docId w15:val="{BA26B2E5-C85C-41C8-88DC-74FAA4AB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C06C2"/>
    <w:pPr>
      <w:tabs>
        <w:tab w:val="center" w:pos="4513"/>
        <w:tab w:val="right" w:pos="9026"/>
      </w:tabs>
    </w:pPr>
  </w:style>
  <w:style w:type="character" w:customStyle="1" w:styleId="HeaderChar">
    <w:name w:val="Header Char"/>
    <w:basedOn w:val="DefaultParagraphFont"/>
    <w:link w:val="Header"/>
    <w:uiPriority w:val="99"/>
    <w:rsid w:val="002C06C2"/>
  </w:style>
  <w:style w:type="paragraph" w:styleId="Footer">
    <w:name w:val="footer"/>
    <w:basedOn w:val="Normal"/>
    <w:link w:val="FooterChar"/>
    <w:uiPriority w:val="99"/>
    <w:unhideWhenUsed/>
    <w:rsid w:val="002C06C2"/>
    <w:pPr>
      <w:tabs>
        <w:tab w:val="center" w:pos="4513"/>
        <w:tab w:val="right" w:pos="9026"/>
      </w:tabs>
    </w:pPr>
  </w:style>
  <w:style w:type="character" w:customStyle="1" w:styleId="FooterChar">
    <w:name w:val="Footer Char"/>
    <w:basedOn w:val="DefaultParagraphFont"/>
    <w:link w:val="Footer"/>
    <w:uiPriority w:val="99"/>
    <w:rsid w:val="002C0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32</Pages>
  <Words>18232</Words>
  <Characters>103929</Characters>
  <Application>Microsoft Office Word</Application>
  <DocSecurity>0</DocSecurity>
  <Lines>866</Lines>
  <Paragraphs>243</Paragraphs>
  <ScaleCrop>false</ScaleCrop>
  <Company>HP</Company>
  <LinksUpToDate>false</LinksUpToDate>
  <CharactersWithSpaces>121918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4</cp:revision>
  <dcterms:created xsi:type="dcterms:W3CDTF">2026-08-04T03:49:00Z</dcterms:created>
  <dcterms:modified xsi:type="dcterms:W3CDTF">2026-08-04T12:03:00Z</dcterms:modified>
</cp:coreProperties>
</file>