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D7105" w14:textId="6E76DB70" w:rsidR="00965A0A" w:rsidRPr="00DA0907" w:rsidRDefault="00965A0A" w:rsidP="00965A0A">
      <w:pPr>
        <w:tabs>
          <w:tab w:val="left" w:pos="2070"/>
        </w:tabs>
        <w:spacing w:line="360" w:lineRule="auto"/>
        <w:jc w:val="center"/>
        <w:rPr>
          <w:rFonts w:ascii="Times New Roman" w:hAnsi="Times New Roman" w:cs="Times New Roman"/>
          <w:b/>
          <w:bCs/>
          <w:sz w:val="28"/>
          <w:szCs w:val="28"/>
        </w:rPr>
      </w:pPr>
      <w:r w:rsidRPr="00DA0907">
        <w:rPr>
          <w:rFonts w:ascii="Times New Roman" w:hAnsi="Times New Roman" w:cs="Times New Roman"/>
          <w:b/>
          <w:bCs/>
          <w:sz w:val="28"/>
          <w:szCs w:val="28"/>
        </w:rPr>
        <w:t>Inflation Dynamics and Sectoral Stock Market Performance in Nigeria: Evidence from Listed Firms on the Nigerian Exchange Group (2015–2024)</w:t>
      </w:r>
    </w:p>
    <w:p w14:paraId="2CE21D1B" w14:textId="77777777" w:rsidR="005C4FBC" w:rsidRDefault="005C4FBC" w:rsidP="00965A0A">
      <w:pPr>
        <w:tabs>
          <w:tab w:val="left" w:pos="2070"/>
        </w:tabs>
        <w:spacing w:line="360" w:lineRule="auto"/>
        <w:jc w:val="both"/>
        <w:rPr>
          <w:rFonts w:ascii="Times New Roman" w:hAnsi="Times New Roman" w:cs="Times New Roman"/>
          <w:b/>
          <w:bCs/>
          <w:sz w:val="26"/>
          <w:szCs w:val="26"/>
        </w:rPr>
      </w:pPr>
    </w:p>
    <w:p w14:paraId="4C15AF7F" w14:textId="3B18437E" w:rsidR="00965A0A" w:rsidRPr="00DA0907" w:rsidRDefault="00965A0A" w:rsidP="00965A0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Abstract</w:t>
      </w:r>
    </w:p>
    <w:p w14:paraId="316F1D19" w14:textId="1F01AC60" w:rsidR="00777BA1" w:rsidRPr="00DA0907" w:rsidRDefault="00777BA1"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This study examines the effect of inflation dynamics on sectoral stock market performance in Nigeria, focusing on listed firms on the Nigerian Exchange Group (NGX) from 2015 to 2024. A quantitative panel-data research design was used, with 72 listed companies in five major sectors, with 720 firm-year observations. The data on inflation, exchange rate, interest rate and GDP growth were derived from national statistical and regulatory sources, and the firm level data were taken from the annual reports. Data analysis was done using Panel regression which includes Pooled OLS, Fixed Effects and Random Effects estimation, the Hausman test was used to select the appropriate model. The results revealed that Nigeria's inflation rate increased drastically from 9.01 percent in 2015 to 34.80 percent in 2024. Inflation had a statistically significant negative impact on sectoral stock returns (β = -0.432, p &lt; 0.001), accounting for 47.2 percent of the variation in returns, and there was significant variation across sectors. The Consumer Goods and Banking sectors were most sensitive to the negative side, while the Oil and Gas sector was relatively resilient, supported by some benefits from the deregulation. Returns were positively related to exchange rate depreciation, GDP growth and firm profitability. The study found that inflation is a major and economically relevant factor influencing the performance of the different sectors in Nigeria with significant variations between the sectors. It suggests inflation targeting monetary policy, better coordination between fiscal and monetary policy, and sector-specific solutions to enhance the resilience of the stock markets and investor confidence.</w:t>
      </w:r>
    </w:p>
    <w:p w14:paraId="7E71B4E1" w14:textId="76017840"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Keywords:</w:t>
      </w:r>
      <w:r w:rsidRPr="00DA0907">
        <w:rPr>
          <w:rFonts w:ascii="Times New Roman" w:hAnsi="Times New Roman" w:cs="Times New Roman"/>
        </w:rPr>
        <w:t xml:space="preserve"> Inflation, Stock Market Performance, Sectoral Analysis, NGX, Fisher Effect, Nigeria</w:t>
      </w:r>
    </w:p>
    <w:p w14:paraId="6B351B44" w14:textId="5F287529" w:rsidR="00965A0A" w:rsidRPr="00DA0907" w:rsidRDefault="004079F8" w:rsidP="00965A0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 xml:space="preserve">1.0 </w:t>
      </w:r>
      <w:r w:rsidR="00965A0A" w:rsidRPr="00DA0907">
        <w:rPr>
          <w:rFonts w:ascii="Times New Roman" w:hAnsi="Times New Roman" w:cs="Times New Roman"/>
          <w:b/>
          <w:bCs/>
          <w:sz w:val="26"/>
          <w:szCs w:val="26"/>
        </w:rPr>
        <w:t>Introduction</w:t>
      </w:r>
    </w:p>
    <w:p w14:paraId="69586CA1" w14:textId="3BFDC90E" w:rsidR="00777BA1"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relationship </w:t>
      </w:r>
      <w:r w:rsidR="00777BA1" w:rsidRPr="00DA0907">
        <w:rPr>
          <w:rFonts w:ascii="Times New Roman" w:hAnsi="Times New Roman" w:cs="Times New Roman"/>
        </w:rPr>
        <w:t xml:space="preserve">between inflation and the performance of the stock market has been a topic of academic and policy interest for a long time, especially in emerging economies where price instability and structural rigidities are a constant feature (Folorunso, 2023). Inflation is a key macroeconomic indicator that influences corporate profitability, investor expectations, necessary </w:t>
      </w:r>
      <w:r w:rsidR="00777BA1" w:rsidRPr="00DA0907">
        <w:rPr>
          <w:rFonts w:ascii="Times New Roman" w:hAnsi="Times New Roman" w:cs="Times New Roman"/>
        </w:rPr>
        <w:lastRenderedPageBreak/>
        <w:t xml:space="preserve">rates of return, and equity valuation (Isibor &amp; </w:t>
      </w:r>
      <w:proofErr w:type="spellStart"/>
      <w:r w:rsidR="00777BA1" w:rsidRPr="00DA0907">
        <w:rPr>
          <w:rFonts w:ascii="Times New Roman" w:hAnsi="Times New Roman" w:cs="Times New Roman"/>
        </w:rPr>
        <w:t>Esechie</w:t>
      </w:r>
      <w:proofErr w:type="spellEnd"/>
      <w:r w:rsidR="00777BA1" w:rsidRPr="00DA0907">
        <w:rPr>
          <w:rFonts w:ascii="Times New Roman" w:hAnsi="Times New Roman" w:cs="Times New Roman"/>
        </w:rPr>
        <w:t>, 2026). The inflationary trend in Nigeria has been particularly erratic, starting from relatively stable single-digit levels prior to 2015 and reaching a 28-year peak of 34.80 percent in 2024 (National Bureau of Statistics, 2025). This continued rally came at a time of much change in the Nigerian capital market, with the NGX All-Share Index posting a cumulative return of 283.45 percent from 2020 to 2024 (Nigerian Exchange Group, 2024), which appears to be a paradox that needs to be explored more in-depth through empirical research. The Fisher Effect theoretically suggests a positive correlation between expected inflation and the nominal return on an asset because investors require compensation for the loss of purchasing power (Fisher, 1930). The Discounted Cash Flow perspective, on the other hand, indicates that inflationary pressures lower stock prices due to increased discount rates, shrinking profit margins and falling real disposable income (</w:t>
      </w:r>
      <w:proofErr w:type="spellStart"/>
      <w:r w:rsidR="00777BA1" w:rsidRPr="00DA0907">
        <w:rPr>
          <w:rFonts w:ascii="Times New Roman" w:hAnsi="Times New Roman" w:cs="Times New Roman"/>
        </w:rPr>
        <w:t>Kukandaka</w:t>
      </w:r>
      <w:proofErr w:type="spellEnd"/>
      <w:r w:rsidR="00777BA1" w:rsidRPr="00DA0907">
        <w:rPr>
          <w:rFonts w:ascii="Times New Roman" w:hAnsi="Times New Roman" w:cs="Times New Roman"/>
        </w:rPr>
        <w:t xml:space="preserve"> et al., 2026), whereas the Arbitrage Pricing Theory suggests that inflation is among several macroeconomic factors that systematically affect asset returns along with industrial output, exchange rates, and interest rates (Dada et al., 2021). The empirical evidence in Nigeria is mixed; some studies support the Fisher hypothesis (</w:t>
      </w:r>
      <w:proofErr w:type="spellStart"/>
      <w:r w:rsidR="00777BA1" w:rsidRPr="00DA0907">
        <w:rPr>
          <w:rFonts w:ascii="Times New Roman" w:hAnsi="Times New Roman" w:cs="Times New Roman"/>
        </w:rPr>
        <w:t>Uruemu</w:t>
      </w:r>
      <w:proofErr w:type="spellEnd"/>
      <w:r w:rsidR="00777BA1" w:rsidRPr="00DA0907">
        <w:rPr>
          <w:rFonts w:ascii="Times New Roman" w:hAnsi="Times New Roman" w:cs="Times New Roman"/>
        </w:rPr>
        <w:t xml:space="preserve">, 2022) while others do not (Usman &amp; </w:t>
      </w:r>
      <w:proofErr w:type="spellStart"/>
      <w:r w:rsidR="002002B8" w:rsidRPr="00DA0907">
        <w:rPr>
          <w:rFonts w:ascii="Times New Roman" w:hAnsi="Times New Roman" w:cs="Times New Roman"/>
        </w:rPr>
        <w:t>Adejare</w:t>
      </w:r>
      <w:proofErr w:type="spellEnd"/>
      <w:r w:rsidR="00777BA1" w:rsidRPr="00DA0907">
        <w:rPr>
          <w:rFonts w:ascii="Times New Roman" w:hAnsi="Times New Roman" w:cs="Times New Roman"/>
        </w:rPr>
        <w:t>, 2013), particularly during the post-global-financial-crisis era. Notwithstanding this increasing body of literature, most Nigerian studies focus on the overall market response to inflation, which may obscure significant sectoral differences in the inflation response due to varying exchange rate exposure, cost structures and pricing power (</w:t>
      </w:r>
      <w:proofErr w:type="spellStart"/>
      <w:r w:rsidR="00777BA1" w:rsidRPr="00DA0907">
        <w:rPr>
          <w:rFonts w:ascii="Times New Roman" w:hAnsi="Times New Roman" w:cs="Times New Roman"/>
        </w:rPr>
        <w:t>Ikoku</w:t>
      </w:r>
      <w:proofErr w:type="spellEnd"/>
      <w:r w:rsidR="00777BA1" w:rsidRPr="00DA0907">
        <w:rPr>
          <w:rFonts w:ascii="Times New Roman" w:hAnsi="Times New Roman" w:cs="Times New Roman"/>
        </w:rPr>
        <w:t xml:space="preserve"> &amp; Okorie, 2010), while few studies have captured this heterogeneity in the context of the extraordinary macroeconomic episode of 2015-2024, which featured multiple recessions, unprecedented monetary interventions and exchange rate </w:t>
      </w:r>
      <w:proofErr w:type="spellStart"/>
      <w:r w:rsidR="00777BA1" w:rsidRPr="00DA0907">
        <w:rPr>
          <w:rFonts w:ascii="Times New Roman" w:hAnsi="Times New Roman" w:cs="Times New Roman"/>
        </w:rPr>
        <w:t>liberalisation</w:t>
      </w:r>
      <w:proofErr w:type="spellEnd"/>
      <w:r w:rsidR="00777BA1" w:rsidRPr="00DA0907">
        <w:rPr>
          <w:rFonts w:ascii="Times New Roman" w:hAnsi="Times New Roman" w:cs="Times New Roman"/>
        </w:rPr>
        <w:t xml:space="preserve"> (Central Bank of Nigeria, 2024; Abu, 2024). This study fills these gaps by investigating the impact of inflation dynamics on sectoral stock market performance in Nigeria, providing up-to-date sector-disaggregated panel evidence from a time of unprecedented policy reorientation.</w:t>
      </w:r>
    </w:p>
    <w:p w14:paraId="28882666" w14:textId="3A2EFC84" w:rsidR="000375CF" w:rsidRPr="00DA0907" w:rsidRDefault="004079F8" w:rsidP="000375CF">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1.1 </w:t>
      </w:r>
      <w:r w:rsidR="00965A0A" w:rsidRPr="00DA0907">
        <w:rPr>
          <w:rFonts w:ascii="Times New Roman" w:hAnsi="Times New Roman" w:cs="Times New Roman"/>
          <w:b/>
          <w:bCs/>
        </w:rPr>
        <w:t>Statement of the Problem</w:t>
      </w:r>
    </w:p>
    <w:p w14:paraId="53352DE8" w14:textId="3AB4F133" w:rsidR="000375CF" w:rsidRPr="00DA0907" w:rsidRDefault="000375CF" w:rsidP="000375CF">
      <w:pPr>
        <w:tabs>
          <w:tab w:val="left" w:pos="2070"/>
        </w:tabs>
        <w:spacing w:line="360" w:lineRule="auto"/>
        <w:jc w:val="both"/>
        <w:rPr>
          <w:rFonts w:ascii="Times New Roman" w:hAnsi="Times New Roman" w:cs="Times New Roman"/>
        </w:rPr>
      </w:pPr>
      <w:r w:rsidRPr="00DA0907">
        <w:rPr>
          <w:rFonts w:ascii="Times New Roman" w:hAnsi="Times New Roman" w:cs="Times New Roman"/>
        </w:rPr>
        <w:t>Despite the significant research interest in the inflation</w:t>
      </w:r>
      <w:r w:rsidR="00E6752F" w:rsidRPr="00DA0907">
        <w:rPr>
          <w:rFonts w:ascii="Times New Roman" w:hAnsi="Times New Roman" w:cs="Times New Roman"/>
        </w:rPr>
        <w:t xml:space="preserve"> </w:t>
      </w:r>
      <w:r w:rsidRPr="00DA0907">
        <w:rPr>
          <w:rFonts w:ascii="Times New Roman" w:hAnsi="Times New Roman" w:cs="Times New Roman"/>
        </w:rPr>
        <w:t xml:space="preserve">stock market relationship in Nigeria, research has mainly concentrated on the overall market, leaving the question </w:t>
      </w:r>
      <w:r w:rsidR="00E6752F" w:rsidRPr="00DA0907">
        <w:rPr>
          <w:rFonts w:ascii="Times New Roman" w:hAnsi="Times New Roman" w:cs="Times New Roman"/>
        </w:rPr>
        <w:t>unaddress</w:t>
      </w:r>
      <w:r w:rsidR="002437DD" w:rsidRPr="00DA0907">
        <w:rPr>
          <w:rFonts w:ascii="Times New Roman" w:hAnsi="Times New Roman" w:cs="Times New Roman"/>
        </w:rPr>
        <w:t>ed</w:t>
      </w:r>
      <w:r w:rsidRPr="00DA0907">
        <w:rPr>
          <w:rFonts w:ascii="Times New Roman" w:hAnsi="Times New Roman" w:cs="Times New Roman"/>
        </w:rPr>
        <w:t xml:space="preserve"> as to the differential impact of inflation on individual equity sectors (Vora et al., 2024; </w:t>
      </w:r>
      <w:proofErr w:type="spellStart"/>
      <w:r w:rsidRPr="00DA0907">
        <w:rPr>
          <w:rFonts w:ascii="Times New Roman" w:hAnsi="Times New Roman" w:cs="Times New Roman"/>
        </w:rPr>
        <w:t>Ikoku</w:t>
      </w:r>
      <w:proofErr w:type="spellEnd"/>
      <w:r w:rsidRPr="00DA0907">
        <w:rPr>
          <w:rFonts w:ascii="Times New Roman" w:hAnsi="Times New Roman" w:cs="Times New Roman"/>
        </w:rPr>
        <w:t xml:space="preserve"> &amp; Okorie, 2010). This is a </w:t>
      </w:r>
      <w:r w:rsidR="00E6752F" w:rsidRPr="00DA0907">
        <w:rPr>
          <w:rFonts w:ascii="Times New Roman" w:hAnsi="Times New Roman" w:cs="Times New Roman"/>
        </w:rPr>
        <w:t>significant</w:t>
      </w:r>
      <w:r w:rsidRPr="00DA0907">
        <w:rPr>
          <w:rFonts w:ascii="Times New Roman" w:hAnsi="Times New Roman" w:cs="Times New Roman"/>
        </w:rPr>
        <w:t xml:space="preserve"> omission because sectors like Oil and Gas, Consumer Goods, Banking, Industrial Goods and Agriculture have vastly different cost structures, regulatory regimes and </w:t>
      </w:r>
      <w:r w:rsidRPr="00DA0907">
        <w:rPr>
          <w:rFonts w:ascii="Times New Roman" w:hAnsi="Times New Roman" w:cs="Times New Roman"/>
        </w:rPr>
        <w:lastRenderedPageBreak/>
        <w:t xml:space="preserve">exchange rate exposures, and thus will not react in the same way to inflationary shocks (Guardian Nigeria, 2025). Additionally, the period 2015–2024 is a unique macroeconomic event that includes the 2016 and 2020 recessions, continued naira depreciation, naira </w:t>
      </w:r>
      <w:proofErr w:type="spellStart"/>
      <w:r w:rsidRPr="00DA0907">
        <w:rPr>
          <w:rFonts w:ascii="Times New Roman" w:hAnsi="Times New Roman" w:cs="Times New Roman"/>
        </w:rPr>
        <w:t>monetisation</w:t>
      </w:r>
      <w:proofErr w:type="spellEnd"/>
      <w:r w:rsidRPr="00DA0907">
        <w:rPr>
          <w:rFonts w:ascii="Times New Roman" w:hAnsi="Times New Roman" w:cs="Times New Roman"/>
        </w:rPr>
        <w:t xml:space="preserve"> of fiscal deficit, and petroleum sector reforms and exchange rate reforms in 2023–2024, for which empirical evidence is limited at the sector level (World Bank, 2024; Murtala et al., 2025). In the absence of such information, investors, portfolio managers and policy makers lack the sector-specific information to address the inflation risk and to develop targeted interventions. The challenge of this study is to empirically investigate how the inflation dynamics affects the performance of the stock market in the listed firms in the NGX from 2015 to 2024.</w:t>
      </w:r>
    </w:p>
    <w:p w14:paraId="3E004B58" w14:textId="51C37A3C" w:rsidR="00965A0A" w:rsidRPr="00DA0907" w:rsidRDefault="004079F8" w:rsidP="000375CF">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1.2 </w:t>
      </w:r>
      <w:r w:rsidR="00965A0A" w:rsidRPr="00DA0907">
        <w:rPr>
          <w:rFonts w:ascii="Times New Roman" w:hAnsi="Times New Roman" w:cs="Times New Roman"/>
          <w:b/>
          <w:bCs/>
        </w:rPr>
        <w:t>Aim and Objectives</w:t>
      </w:r>
    </w:p>
    <w:p w14:paraId="14324DBF" w14:textId="7030C2A6" w:rsidR="00F2554E" w:rsidRPr="00DA0907" w:rsidRDefault="000375CF" w:rsidP="00F2554E">
      <w:pPr>
        <w:tabs>
          <w:tab w:val="left" w:pos="2070"/>
        </w:tabs>
        <w:spacing w:line="360" w:lineRule="auto"/>
        <w:jc w:val="both"/>
        <w:rPr>
          <w:rFonts w:ascii="Times New Roman" w:hAnsi="Times New Roman" w:cs="Times New Roman"/>
        </w:rPr>
      </w:pPr>
      <w:r w:rsidRPr="00DA0907">
        <w:rPr>
          <w:rFonts w:ascii="Times New Roman" w:hAnsi="Times New Roman" w:cs="Times New Roman"/>
        </w:rPr>
        <w:t>This study is to investigate the impact of the inflation dynamics on the stock market performance of firms listed on Nigerian Exchange Group (</w:t>
      </w:r>
      <w:r w:rsidR="002437DD" w:rsidRPr="00DA0907">
        <w:rPr>
          <w:rFonts w:ascii="Times New Roman" w:hAnsi="Times New Roman" w:cs="Times New Roman"/>
        </w:rPr>
        <w:t>NGX</w:t>
      </w:r>
      <w:r w:rsidRPr="00DA0907">
        <w:rPr>
          <w:rFonts w:ascii="Times New Roman" w:hAnsi="Times New Roman" w:cs="Times New Roman"/>
        </w:rPr>
        <w:t>) between 2015 and 2024. The specific objectives are to:</w:t>
      </w:r>
      <w:r w:rsidR="00F2554E" w:rsidRPr="00DA0907">
        <w:rPr>
          <w:rFonts w:ascii="Times New Roman" w:hAnsi="Times New Roman" w:cs="Times New Roman"/>
        </w:rPr>
        <w:t xml:space="preserve"> </w:t>
      </w:r>
      <w:proofErr w:type="spellStart"/>
      <w:r w:rsidR="00F2554E" w:rsidRPr="00DA0907">
        <w:rPr>
          <w:rFonts w:ascii="Times New Roman" w:hAnsi="Times New Roman" w:cs="Times New Roman"/>
        </w:rPr>
        <w:t>i</w:t>
      </w:r>
      <w:proofErr w:type="spellEnd"/>
      <w:r w:rsidR="00F2554E" w:rsidRPr="00DA0907">
        <w:rPr>
          <w:rFonts w:ascii="Times New Roman" w:hAnsi="Times New Roman" w:cs="Times New Roman"/>
        </w:rPr>
        <w:t>. assess the trend of inflation and sectoral stock market performance in Nigeria from 2015 to 2024; ii. examine the effect of inflation on aggregate stock market performance in Nigeria; and iii. determine whether the effect of inflation on stock returns varies significantly across major NGX sectors.</w:t>
      </w:r>
    </w:p>
    <w:p w14:paraId="5ADC0CB7" w14:textId="619C090A"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1.3 </w:t>
      </w:r>
      <w:r w:rsidR="00965A0A" w:rsidRPr="00DA0907">
        <w:rPr>
          <w:rFonts w:ascii="Times New Roman" w:hAnsi="Times New Roman" w:cs="Times New Roman"/>
          <w:b/>
          <w:bCs/>
        </w:rPr>
        <w:t>Research Questions</w:t>
      </w:r>
    </w:p>
    <w:p w14:paraId="294799F0" w14:textId="4D99A0BD" w:rsidR="00AF4057" w:rsidRPr="00DA0907" w:rsidRDefault="00965A0A" w:rsidP="00AF4057">
      <w:pPr>
        <w:pStyle w:val="ListParagraph"/>
        <w:numPr>
          <w:ilvl w:val="0"/>
          <w:numId w:val="7"/>
        </w:num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What is the trend of inflation and sectoral stock market performance in Nigeria from 2015 to 2024? </w:t>
      </w:r>
    </w:p>
    <w:p w14:paraId="21BD889D" w14:textId="2A33BCBB" w:rsidR="00AF4057" w:rsidRPr="00DA0907" w:rsidRDefault="00965A0A" w:rsidP="00AF4057">
      <w:pPr>
        <w:pStyle w:val="ListParagraph"/>
        <w:numPr>
          <w:ilvl w:val="0"/>
          <w:numId w:val="7"/>
        </w:num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What is the effect of inflation on aggregate stock market performance in Nigeria? </w:t>
      </w:r>
    </w:p>
    <w:p w14:paraId="46E0AA30" w14:textId="591E01BF" w:rsidR="00965A0A" w:rsidRPr="00DA0907" w:rsidRDefault="00965A0A" w:rsidP="00AF4057">
      <w:pPr>
        <w:pStyle w:val="ListParagraph"/>
        <w:numPr>
          <w:ilvl w:val="0"/>
          <w:numId w:val="7"/>
        </w:numPr>
        <w:tabs>
          <w:tab w:val="left" w:pos="2070"/>
        </w:tabs>
        <w:spacing w:line="360" w:lineRule="auto"/>
        <w:jc w:val="both"/>
        <w:rPr>
          <w:rFonts w:ascii="Times New Roman" w:hAnsi="Times New Roman" w:cs="Times New Roman"/>
        </w:rPr>
      </w:pPr>
      <w:r w:rsidRPr="00DA0907">
        <w:rPr>
          <w:rFonts w:ascii="Times New Roman" w:hAnsi="Times New Roman" w:cs="Times New Roman"/>
        </w:rPr>
        <w:t>Does the effect of inflation on stock returns vary significantly across major NGX sectors?</w:t>
      </w:r>
    </w:p>
    <w:p w14:paraId="33EDC7E2" w14:textId="2736A4E3"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1.4 </w:t>
      </w:r>
      <w:r w:rsidR="00965A0A" w:rsidRPr="00DA0907">
        <w:rPr>
          <w:rFonts w:ascii="Times New Roman" w:hAnsi="Times New Roman" w:cs="Times New Roman"/>
          <w:b/>
          <w:bCs/>
        </w:rPr>
        <w:t>Research Hypothesis</w:t>
      </w:r>
    </w:p>
    <w:p w14:paraId="33435C7E" w14:textId="0CC58F7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HO₁:</w:t>
      </w:r>
      <w:r w:rsidRPr="00DA0907">
        <w:rPr>
          <w:rFonts w:ascii="Times New Roman" w:hAnsi="Times New Roman" w:cs="Times New Roman"/>
        </w:rPr>
        <w:t xml:space="preserve"> Inflation has no statistically significant effect on sectoral stock market performance among NGX-listed firms in Nigeria.</w:t>
      </w:r>
    </w:p>
    <w:p w14:paraId="3A402763" w14:textId="2FAAFCB1"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sz w:val="26"/>
          <w:szCs w:val="26"/>
        </w:rPr>
        <w:t xml:space="preserve">2.0 </w:t>
      </w:r>
      <w:r w:rsidR="00965A0A" w:rsidRPr="00DA0907">
        <w:rPr>
          <w:rFonts w:ascii="Times New Roman" w:hAnsi="Times New Roman" w:cs="Times New Roman"/>
          <w:b/>
          <w:bCs/>
          <w:sz w:val="26"/>
          <w:szCs w:val="26"/>
        </w:rPr>
        <w:t>Literature Review</w:t>
      </w:r>
    </w:p>
    <w:p w14:paraId="4A33E418" w14:textId="0C2FA5B1"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2.1 </w:t>
      </w:r>
      <w:r w:rsidR="00965A0A" w:rsidRPr="00DA0907">
        <w:rPr>
          <w:rFonts w:ascii="Times New Roman" w:hAnsi="Times New Roman" w:cs="Times New Roman"/>
          <w:b/>
          <w:bCs/>
        </w:rPr>
        <w:t>Conceptual Review</w:t>
      </w:r>
    </w:p>
    <w:p w14:paraId="4F6CCC1A" w14:textId="327B4D06" w:rsidR="000375CF" w:rsidRPr="00DA0907" w:rsidRDefault="004079F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2.1.1 </w:t>
      </w:r>
      <w:r w:rsidR="00965A0A" w:rsidRPr="00DA0907">
        <w:rPr>
          <w:rFonts w:ascii="Times New Roman" w:hAnsi="Times New Roman" w:cs="Times New Roman"/>
          <w:b/>
          <w:bCs/>
        </w:rPr>
        <w:t>Inflation Dynamics.</w:t>
      </w:r>
      <w:r w:rsidR="00965A0A" w:rsidRPr="00DA0907">
        <w:rPr>
          <w:rFonts w:ascii="Times New Roman" w:hAnsi="Times New Roman" w:cs="Times New Roman"/>
        </w:rPr>
        <w:t xml:space="preserve"> </w:t>
      </w:r>
      <w:r w:rsidR="00E6752F" w:rsidRPr="00DA0907">
        <w:rPr>
          <w:rFonts w:ascii="Times New Roman" w:hAnsi="Times New Roman" w:cs="Times New Roman"/>
        </w:rPr>
        <w:t xml:space="preserve">Inflation refers to the sustained increase in the general price level of goods and services over time (National Bureau of Statistics, 2025). </w:t>
      </w:r>
      <w:r w:rsidR="000375CF" w:rsidRPr="00DA0907">
        <w:rPr>
          <w:rFonts w:ascii="Times New Roman" w:hAnsi="Times New Roman" w:cs="Times New Roman"/>
        </w:rPr>
        <w:t xml:space="preserve">It reduces the purchasing </w:t>
      </w:r>
      <w:r w:rsidR="000375CF" w:rsidRPr="00DA0907">
        <w:rPr>
          <w:rFonts w:ascii="Times New Roman" w:hAnsi="Times New Roman" w:cs="Times New Roman"/>
        </w:rPr>
        <w:lastRenderedPageBreak/>
        <w:t xml:space="preserve">power, shifts income and wealth, misaligned price signals and uncertainty about future economic conditions (Central Bank of Nigeria, 2024). Inflation dynamics include the speed, variability, durability and causes of inflation, all of which have different implications for economic agents and asset markets (World Bank, 2024). The inflation experience in Nigeria from 2015 to 2024 has been marked by an upward trend and structural volatility, following a change in monetary policy since 2015, which included fiscal deficit </w:t>
      </w:r>
      <w:proofErr w:type="spellStart"/>
      <w:r w:rsidR="000375CF" w:rsidRPr="00DA0907">
        <w:rPr>
          <w:rFonts w:ascii="Times New Roman" w:hAnsi="Times New Roman" w:cs="Times New Roman"/>
        </w:rPr>
        <w:t>monetisation</w:t>
      </w:r>
      <w:proofErr w:type="spellEnd"/>
      <w:r w:rsidR="000375CF" w:rsidRPr="00DA0907">
        <w:rPr>
          <w:rFonts w:ascii="Times New Roman" w:hAnsi="Times New Roman" w:cs="Times New Roman"/>
        </w:rPr>
        <w:t xml:space="preserve">, </w:t>
      </w:r>
      <w:proofErr w:type="spellStart"/>
      <w:r w:rsidR="000375CF" w:rsidRPr="00DA0907">
        <w:rPr>
          <w:rFonts w:ascii="Times New Roman" w:hAnsi="Times New Roman" w:cs="Times New Roman"/>
        </w:rPr>
        <w:t>subsidised</w:t>
      </w:r>
      <w:proofErr w:type="spellEnd"/>
      <w:r w:rsidR="000375CF" w:rsidRPr="00DA0907">
        <w:rPr>
          <w:rFonts w:ascii="Times New Roman" w:hAnsi="Times New Roman" w:cs="Times New Roman"/>
        </w:rPr>
        <w:t xml:space="preserve"> credit </w:t>
      </w:r>
      <w:proofErr w:type="spellStart"/>
      <w:r w:rsidR="000375CF" w:rsidRPr="00DA0907">
        <w:rPr>
          <w:rFonts w:ascii="Times New Roman" w:hAnsi="Times New Roman" w:cs="Times New Roman"/>
        </w:rPr>
        <w:t>programmes</w:t>
      </w:r>
      <w:proofErr w:type="spellEnd"/>
      <w:r w:rsidR="000375CF" w:rsidRPr="00DA0907">
        <w:rPr>
          <w:rFonts w:ascii="Times New Roman" w:hAnsi="Times New Roman" w:cs="Times New Roman"/>
        </w:rPr>
        <w:t xml:space="preserve"> and foreign exchange restrictions (World Bank, 2024). These policy missteps, along with exchange rate depreciation and supply side disruptions, kept the inflationary environment going (Punch Newspapers, 2025). The channels through which inflation is transmitted to stock markets include the following: it increases the discount rate used in equity valuation (Folorunso, 2023); it impacts on the cash flow of companies due to input costs, </w:t>
      </w:r>
      <w:proofErr w:type="spellStart"/>
      <w:r w:rsidR="000375CF" w:rsidRPr="00DA0907">
        <w:rPr>
          <w:rFonts w:ascii="Times New Roman" w:hAnsi="Times New Roman" w:cs="Times New Roman"/>
        </w:rPr>
        <w:t>labour</w:t>
      </w:r>
      <w:proofErr w:type="spellEnd"/>
      <w:r w:rsidR="000375CF" w:rsidRPr="00DA0907">
        <w:rPr>
          <w:rFonts w:ascii="Times New Roman" w:hAnsi="Times New Roman" w:cs="Times New Roman"/>
        </w:rPr>
        <w:t xml:space="preserve"> costs, and pricing power (Abu, 2024); it affects investor asset allocation towards inflation-hedging instruments (</w:t>
      </w:r>
      <w:proofErr w:type="spellStart"/>
      <w:r w:rsidR="000375CF" w:rsidRPr="00DA0907">
        <w:rPr>
          <w:rFonts w:ascii="Times New Roman" w:hAnsi="Times New Roman" w:cs="Times New Roman"/>
        </w:rPr>
        <w:t>Uruemu</w:t>
      </w:r>
      <w:proofErr w:type="spellEnd"/>
      <w:r w:rsidR="000375CF" w:rsidRPr="00DA0907">
        <w:rPr>
          <w:rFonts w:ascii="Times New Roman" w:hAnsi="Times New Roman" w:cs="Times New Roman"/>
        </w:rPr>
        <w:t>, 2022); and it interacts with the monetary policy response, where contractionary measures increase borrowing costs and reduce economic activity (Central Bank of Nigeria, 2024).</w:t>
      </w:r>
    </w:p>
    <w:p w14:paraId="6D70615D" w14:textId="77777777" w:rsidR="000375CF" w:rsidRPr="00DA0907" w:rsidRDefault="004079F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2.1.2 </w:t>
      </w:r>
      <w:r w:rsidR="00965A0A" w:rsidRPr="00DA0907">
        <w:rPr>
          <w:rFonts w:ascii="Times New Roman" w:hAnsi="Times New Roman" w:cs="Times New Roman"/>
          <w:b/>
          <w:bCs/>
        </w:rPr>
        <w:t>Sectoral Stock Market Performance.</w:t>
      </w:r>
      <w:r w:rsidR="00965A0A" w:rsidRPr="00DA0907">
        <w:rPr>
          <w:rFonts w:ascii="Times New Roman" w:hAnsi="Times New Roman" w:cs="Times New Roman"/>
        </w:rPr>
        <w:t xml:space="preserve"> </w:t>
      </w:r>
      <w:r w:rsidR="000375CF" w:rsidRPr="00DA0907">
        <w:rPr>
          <w:rFonts w:ascii="Times New Roman" w:hAnsi="Times New Roman" w:cs="Times New Roman"/>
        </w:rPr>
        <w:t>Sectoral Stock market performance is the performance of stocks grouped by industry, in terms of returns, valuations and trading activity (</w:t>
      </w:r>
      <w:proofErr w:type="spellStart"/>
      <w:r w:rsidR="000375CF" w:rsidRPr="00DA0907">
        <w:rPr>
          <w:rFonts w:ascii="Times New Roman" w:hAnsi="Times New Roman" w:cs="Times New Roman"/>
        </w:rPr>
        <w:t>Ikoku</w:t>
      </w:r>
      <w:proofErr w:type="spellEnd"/>
      <w:r w:rsidR="000375CF" w:rsidRPr="00DA0907">
        <w:rPr>
          <w:rFonts w:ascii="Times New Roman" w:hAnsi="Times New Roman" w:cs="Times New Roman"/>
        </w:rPr>
        <w:t xml:space="preserve"> &amp; Okorie, 2010). The NGX </w:t>
      </w:r>
      <w:proofErr w:type="spellStart"/>
      <w:r w:rsidR="000375CF" w:rsidRPr="00DA0907">
        <w:rPr>
          <w:rFonts w:ascii="Times New Roman" w:hAnsi="Times New Roman" w:cs="Times New Roman"/>
        </w:rPr>
        <w:t>categorises</w:t>
      </w:r>
      <w:proofErr w:type="spellEnd"/>
      <w:r w:rsidR="000375CF" w:rsidRPr="00DA0907">
        <w:rPr>
          <w:rFonts w:ascii="Times New Roman" w:hAnsi="Times New Roman" w:cs="Times New Roman"/>
        </w:rPr>
        <w:t xml:space="preserve"> listed equities into major sectors, such as Banking, Consumer Goods, Industrial Goods, Oil and Gas, Insurance and Agriculture, which allows for sector-disaggregated analysis (Nigerian Exchange Group, 2024). The sectoral heterogeneity is due to the differential exposure to macroeconomic factors, industry-specific demand and supply conditions, and regulatory environment (</w:t>
      </w:r>
      <w:proofErr w:type="spellStart"/>
      <w:r w:rsidR="000375CF" w:rsidRPr="00DA0907">
        <w:rPr>
          <w:rFonts w:ascii="Times New Roman" w:hAnsi="Times New Roman" w:cs="Times New Roman"/>
        </w:rPr>
        <w:t>Ikoku</w:t>
      </w:r>
      <w:proofErr w:type="spellEnd"/>
      <w:r w:rsidR="000375CF" w:rsidRPr="00DA0907">
        <w:rPr>
          <w:rFonts w:ascii="Times New Roman" w:hAnsi="Times New Roman" w:cs="Times New Roman"/>
        </w:rPr>
        <w:t xml:space="preserve"> &amp; Okorie, 2010). The Oil and Gas sector is highly sensitive to global oil prices and exchange rates, the Banking sector is highly influenced by monetary policy and interest rates, the Consumer Goods sector is highly affected by inflationary pressure on input cost, wages and consumer purchasing power, while the Industrial Goods sector is highly affected by the infrastructure investment and import competition (</w:t>
      </w:r>
      <w:proofErr w:type="spellStart"/>
      <w:r w:rsidR="000375CF" w:rsidRPr="00DA0907">
        <w:rPr>
          <w:rFonts w:ascii="Times New Roman" w:hAnsi="Times New Roman" w:cs="Times New Roman"/>
        </w:rPr>
        <w:t>Kukandaka</w:t>
      </w:r>
      <w:proofErr w:type="spellEnd"/>
      <w:r w:rsidR="000375CF" w:rsidRPr="00DA0907">
        <w:rPr>
          <w:rFonts w:ascii="Times New Roman" w:hAnsi="Times New Roman" w:cs="Times New Roman"/>
        </w:rPr>
        <w:t xml:space="preserve"> et al., 2026; Guardian Nigeria, 2025).</w:t>
      </w:r>
    </w:p>
    <w:p w14:paraId="64E24AC4" w14:textId="45A531B2"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2.2 </w:t>
      </w:r>
      <w:r w:rsidR="00965A0A" w:rsidRPr="00DA0907">
        <w:rPr>
          <w:rFonts w:ascii="Times New Roman" w:hAnsi="Times New Roman" w:cs="Times New Roman"/>
          <w:b/>
          <w:bCs/>
        </w:rPr>
        <w:t>Theoretical Framework</w:t>
      </w:r>
    </w:p>
    <w:p w14:paraId="7D23B671" w14:textId="77777777" w:rsidR="000375CF" w:rsidRPr="00DA0907" w:rsidRDefault="000375CF" w:rsidP="000375CF">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w:t>
      </w:r>
      <w:r w:rsidRPr="00DA0907">
        <w:rPr>
          <w:rFonts w:ascii="Times New Roman" w:hAnsi="Times New Roman" w:cs="Times New Roman"/>
          <w:b/>
          <w:bCs/>
        </w:rPr>
        <w:t>Fisher Effect Theory</w:t>
      </w:r>
      <w:r w:rsidRPr="00DA0907">
        <w:rPr>
          <w:rFonts w:ascii="Times New Roman" w:hAnsi="Times New Roman" w:cs="Times New Roman"/>
        </w:rPr>
        <w:t xml:space="preserve"> developed by Fisher (1930) and the </w:t>
      </w:r>
      <w:r w:rsidRPr="00DA0907">
        <w:rPr>
          <w:rFonts w:ascii="Times New Roman" w:hAnsi="Times New Roman" w:cs="Times New Roman"/>
          <w:b/>
          <w:bCs/>
        </w:rPr>
        <w:t>Arbitrage Pricing Theory</w:t>
      </w:r>
      <w:r w:rsidRPr="00DA0907">
        <w:rPr>
          <w:rFonts w:ascii="Times New Roman" w:hAnsi="Times New Roman" w:cs="Times New Roman"/>
        </w:rPr>
        <w:t xml:space="preserve"> </w:t>
      </w:r>
      <w:r w:rsidRPr="00DA0907">
        <w:rPr>
          <w:rFonts w:ascii="Times New Roman" w:hAnsi="Times New Roman" w:cs="Times New Roman"/>
          <w:b/>
          <w:bCs/>
        </w:rPr>
        <w:t>(APT)</w:t>
      </w:r>
      <w:r w:rsidRPr="00DA0907">
        <w:rPr>
          <w:rFonts w:ascii="Times New Roman" w:hAnsi="Times New Roman" w:cs="Times New Roman"/>
        </w:rPr>
        <w:t xml:space="preserve"> developed by Ross (1976) form the basis of this study, and the </w:t>
      </w:r>
      <w:r w:rsidRPr="00DA0907">
        <w:rPr>
          <w:rFonts w:ascii="Times New Roman" w:hAnsi="Times New Roman" w:cs="Times New Roman"/>
          <w:b/>
          <w:bCs/>
        </w:rPr>
        <w:t>Discounted Cash Flow (DCF)</w:t>
      </w:r>
      <w:r w:rsidRPr="00DA0907">
        <w:rPr>
          <w:rFonts w:ascii="Times New Roman" w:hAnsi="Times New Roman" w:cs="Times New Roman"/>
        </w:rPr>
        <w:t xml:space="preserve"> perspective is used as an analytical tool.</w:t>
      </w:r>
    </w:p>
    <w:p w14:paraId="3151369B" w14:textId="0BA3A81B" w:rsidR="000375CF" w:rsidRPr="00DA0907" w:rsidRDefault="000375CF" w:rsidP="000375CF">
      <w:pPr>
        <w:tabs>
          <w:tab w:val="left" w:pos="2070"/>
        </w:tabs>
        <w:spacing w:line="360" w:lineRule="auto"/>
        <w:jc w:val="both"/>
        <w:rPr>
          <w:rFonts w:ascii="Times New Roman" w:hAnsi="Times New Roman" w:cs="Times New Roman"/>
        </w:rPr>
      </w:pPr>
      <w:r w:rsidRPr="00DA0907">
        <w:rPr>
          <w:rFonts w:ascii="Times New Roman" w:hAnsi="Times New Roman" w:cs="Times New Roman"/>
        </w:rPr>
        <w:lastRenderedPageBreak/>
        <w:t xml:space="preserve">According to the Fisher Effect, the nominal interest rate (and therefore the nominal rate of return on an asset) will change to compensate for expected inflation, so that the real rate of return remains constant: </w:t>
      </w:r>
      <w:r w:rsidR="00E6752F" w:rsidRPr="00DA0907">
        <w:rPr>
          <w:rFonts w:ascii="Times New Roman" w:hAnsi="Times New Roman" w:cs="Times New Roman"/>
        </w:rPr>
        <w:t xml:space="preserve">1 + </w:t>
      </w:r>
      <w:proofErr w:type="spellStart"/>
      <w:r w:rsidR="00E6752F" w:rsidRPr="00DA0907">
        <w:rPr>
          <w:rFonts w:ascii="Times New Roman" w:hAnsi="Times New Roman" w:cs="Times New Roman"/>
        </w:rPr>
        <w:t>i</w:t>
      </w:r>
      <w:proofErr w:type="spellEnd"/>
      <w:r w:rsidR="00E6752F" w:rsidRPr="00DA0907">
        <w:rPr>
          <w:rFonts w:ascii="Times New Roman" w:hAnsi="Times New Roman" w:cs="Times New Roman"/>
        </w:rPr>
        <w:t xml:space="preserve"> = (1 + </w:t>
      </w:r>
      <w:proofErr w:type="gramStart"/>
      <w:r w:rsidR="00E6752F" w:rsidRPr="00DA0907">
        <w:rPr>
          <w:rFonts w:ascii="Times New Roman" w:hAnsi="Times New Roman" w:cs="Times New Roman"/>
        </w:rPr>
        <w:t>r)(</w:t>
      </w:r>
      <w:proofErr w:type="gramEnd"/>
      <w:r w:rsidR="00E6752F" w:rsidRPr="00DA0907">
        <w:rPr>
          <w:rFonts w:ascii="Times New Roman" w:hAnsi="Times New Roman" w:cs="Times New Roman"/>
        </w:rPr>
        <w:t xml:space="preserve">1 + π), where </w:t>
      </w:r>
      <w:proofErr w:type="spellStart"/>
      <w:r w:rsidR="00E6752F" w:rsidRPr="00DA0907">
        <w:rPr>
          <w:rFonts w:ascii="Times New Roman" w:hAnsi="Times New Roman" w:cs="Times New Roman"/>
        </w:rPr>
        <w:t>i</w:t>
      </w:r>
      <w:proofErr w:type="spellEnd"/>
      <w:r w:rsidR="00E6752F" w:rsidRPr="00DA0907">
        <w:rPr>
          <w:rFonts w:ascii="Times New Roman" w:hAnsi="Times New Roman" w:cs="Times New Roman"/>
        </w:rPr>
        <w:t xml:space="preserve"> represents the nominal interest rate, r represents the real interest rate, and π represents the expected inflation rate</w:t>
      </w:r>
      <w:r w:rsidRPr="00DA0907">
        <w:rPr>
          <w:rFonts w:ascii="Times New Roman" w:hAnsi="Times New Roman" w:cs="Times New Roman"/>
        </w:rPr>
        <w:t xml:space="preserve">. This means that there is a positive relationship between expected inflation and nominal returns (Dada et al., 2021). The Fisher hypothesis has been tested in emerging markets such as Nigeria several times and has been rejected, with inflation having a negative effect on stock returns, which has been attributed to financial repression, market inefficiency and policy distortion (Usman &amp; </w:t>
      </w:r>
      <w:proofErr w:type="spellStart"/>
      <w:r w:rsidR="002002B8" w:rsidRPr="00DA0907">
        <w:rPr>
          <w:rFonts w:ascii="Times New Roman" w:hAnsi="Times New Roman" w:cs="Times New Roman"/>
        </w:rPr>
        <w:t>Adejare</w:t>
      </w:r>
      <w:proofErr w:type="spellEnd"/>
      <w:r w:rsidRPr="00DA0907">
        <w:rPr>
          <w:rFonts w:ascii="Times New Roman" w:hAnsi="Times New Roman" w:cs="Times New Roman"/>
        </w:rPr>
        <w:t xml:space="preserve">, 2013; </w:t>
      </w:r>
      <w:proofErr w:type="spellStart"/>
      <w:r w:rsidRPr="00DA0907">
        <w:rPr>
          <w:rFonts w:ascii="Times New Roman" w:hAnsi="Times New Roman" w:cs="Times New Roman"/>
        </w:rPr>
        <w:t>Kukandaka</w:t>
      </w:r>
      <w:proofErr w:type="spellEnd"/>
      <w:r w:rsidRPr="00DA0907">
        <w:rPr>
          <w:rFonts w:ascii="Times New Roman" w:hAnsi="Times New Roman" w:cs="Times New Roman"/>
        </w:rPr>
        <w:t xml:space="preserve"> et al., 2026). The APT complements this by adding inflation as another systematic macroeconomic risk factor, along with exchange rates, interest rates and industrial output, which are also factors that influence the expected return of an asset: </w:t>
      </w:r>
      <w:r w:rsidR="00E6752F" w:rsidRPr="00DA0907">
        <w:rPr>
          <w:rFonts w:ascii="Times New Roman" w:hAnsi="Times New Roman" w:cs="Times New Roman"/>
        </w:rPr>
        <w:t xml:space="preserve">E(Rᵢ) = Rf + βᵢ₁λ₁ + βᵢ₂λ₂ + ... + βᵢₖλₖ, where Rf denotes the risk-free rate, βᵢₖ represents the sensitivity of asset </w:t>
      </w:r>
      <w:proofErr w:type="spellStart"/>
      <w:r w:rsidR="00E6752F" w:rsidRPr="00DA0907">
        <w:rPr>
          <w:rFonts w:ascii="Times New Roman" w:hAnsi="Times New Roman" w:cs="Times New Roman"/>
        </w:rPr>
        <w:t>i</w:t>
      </w:r>
      <w:proofErr w:type="spellEnd"/>
      <w:r w:rsidR="00E6752F" w:rsidRPr="00DA0907">
        <w:rPr>
          <w:rFonts w:ascii="Times New Roman" w:hAnsi="Times New Roman" w:cs="Times New Roman"/>
        </w:rPr>
        <w:t xml:space="preserve"> to factor k, and λₖ denotes the risk premium associated with factor k (Dada et al., 2021). </w:t>
      </w:r>
      <w:r w:rsidRPr="00DA0907">
        <w:rPr>
          <w:rFonts w:ascii="Times New Roman" w:hAnsi="Times New Roman" w:cs="Times New Roman"/>
        </w:rPr>
        <w:t xml:space="preserve"> APT is a multi-factor model that is suitable for a multi-sector inflation study as opposed to the single factor CAPM, which accounts for multiple sources of systematic risk. The DCF view adds to both theories by providing an explanation of the transmission mechanism: inflation leads to a higher discount rate, which in turn lowers the expected cash flows due to cost push, and raises the equity risk premium due to uncertainty (Isibor &amp; </w:t>
      </w:r>
      <w:proofErr w:type="spellStart"/>
      <w:r w:rsidRPr="00DA0907">
        <w:rPr>
          <w:rFonts w:ascii="Times New Roman" w:hAnsi="Times New Roman" w:cs="Times New Roman"/>
        </w:rPr>
        <w:t>Esechie</w:t>
      </w:r>
      <w:proofErr w:type="spellEnd"/>
      <w:r w:rsidRPr="00DA0907">
        <w:rPr>
          <w:rFonts w:ascii="Times New Roman" w:hAnsi="Times New Roman" w:cs="Times New Roman"/>
        </w:rPr>
        <w:t>, 2026). These frameworks suggest that inflation will have a direct impact on sectoral returns, as a systematic risk factor, and an indirect impact, via valuation and cash-flow channels, with the impact of these channels being different by sector, depending on cost structure, pricing power, and exchange rate exposure.</w:t>
      </w:r>
    </w:p>
    <w:p w14:paraId="7FBDD983" w14:textId="4CECBE66" w:rsidR="00965A0A" w:rsidRPr="00DA0907" w:rsidRDefault="004079F8" w:rsidP="000375CF">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2.3 </w:t>
      </w:r>
      <w:r w:rsidR="00965A0A" w:rsidRPr="00DA0907">
        <w:rPr>
          <w:rFonts w:ascii="Times New Roman" w:hAnsi="Times New Roman" w:cs="Times New Roman"/>
          <w:b/>
          <w:bCs/>
        </w:rPr>
        <w:t>Empirical Review</w:t>
      </w:r>
    </w:p>
    <w:p w14:paraId="16751ECA" w14:textId="77777777" w:rsidR="000375CF" w:rsidRPr="00DA0907" w:rsidRDefault="000375CF" w:rsidP="000375CF">
      <w:pPr>
        <w:tabs>
          <w:tab w:val="left" w:pos="2070"/>
        </w:tabs>
        <w:spacing w:line="360" w:lineRule="auto"/>
        <w:jc w:val="both"/>
        <w:rPr>
          <w:rFonts w:ascii="Times New Roman" w:hAnsi="Times New Roman" w:cs="Times New Roman"/>
        </w:rPr>
      </w:pPr>
      <w:r w:rsidRPr="00DA0907">
        <w:rPr>
          <w:rFonts w:ascii="Times New Roman" w:hAnsi="Times New Roman" w:cs="Times New Roman"/>
        </w:rPr>
        <w:t>Using a GARCH model and multivariate panel analysis, Folorunso (2023) examined the effect of inflation and other macroeconomic variables on the stock returns of listed firms in five sectors in Nigeria, and concluded that inflation negatively and significantly influenced the stock returns of listed firms in the short run and long run on the aggregate and sectoral levels respectively, exchange rates have positive effects on the stock returns of listed firms in the short run, while interest rates have inverse effects on the stock returns of listed firms in the short run.</w:t>
      </w:r>
    </w:p>
    <w:p w14:paraId="262ADA4A" w14:textId="77777777" w:rsidR="000375CF" w:rsidRPr="00DA0907" w:rsidRDefault="000375CF" w:rsidP="000375CF">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Using ARDL and Granger causality tests, Abu (2024) found a negative short-term relationship, but a positive long-term relationship between inflation and the stock market's performance in the </w:t>
      </w:r>
      <w:r w:rsidRPr="00DA0907">
        <w:rPr>
          <w:rFonts w:ascii="Times New Roman" w:hAnsi="Times New Roman" w:cs="Times New Roman"/>
        </w:rPr>
        <w:lastRenderedPageBreak/>
        <w:t>FMCG sector of Nigeria's stock market between 2007 and 2023, indicating that FMCG stocks can withstand long-term inflation.</w:t>
      </w:r>
    </w:p>
    <w:p w14:paraId="5505177B" w14:textId="77777777" w:rsidR="000375CF" w:rsidRPr="00DA0907" w:rsidRDefault="000375CF" w:rsidP="000375CF">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Using a Vector Error Correction Model, </w:t>
      </w:r>
      <w:proofErr w:type="spellStart"/>
      <w:r w:rsidRPr="00DA0907">
        <w:rPr>
          <w:rFonts w:ascii="Times New Roman" w:hAnsi="Times New Roman" w:cs="Times New Roman"/>
        </w:rPr>
        <w:t>Kukandaka</w:t>
      </w:r>
      <w:proofErr w:type="spellEnd"/>
      <w:r w:rsidRPr="00DA0907">
        <w:rPr>
          <w:rFonts w:ascii="Times New Roman" w:hAnsi="Times New Roman" w:cs="Times New Roman"/>
        </w:rPr>
        <w:t xml:space="preserve">, Abdullahi and </w:t>
      </w:r>
      <w:proofErr w:type="spellStart"/>
      <w:r w:rsidRPr="00DA0907">
        <w:rPr>
          <w:rFonts w:ascii="Times New Roman" w:hAnsi="Times New Roman" w:cs="Times New Roman"/>
        </w:rPr>
        <w:t>Mairafi</w:t>
      </w:r>
      <w:proofErr w:type="spellEnd"/>
      <w:r w:rsidRPr="00DA0907">
        <w:rPr>
          <w:rFonts w:ascii="Times New Roman" w:hAnsi="Times New Roman" w:cs="Times New Roman"/>
        </w:rPr>
        <w:t xml:space="preserve"> (2026) analyzed the performance of macroeconomic variables and the Industrial Goods sector index on the NGX, and observed that inflation had a positive long-run effect while it was the most important driver of sectoral index performance, which contradicts most of the sectoral studies conducted in Nigeria and highlights the need for sectoral analysis.</w:t>
      </w:r>
    </w:p>
    <w:p w14:paraId="3F62B847" w14:textId="77777777" w:rsidR="000375CF" w:rsidRPr="00DA0907" w:rsidRDefault="000375CF" w:rsidP="000375CF">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Using the Arbitrage Pricing Theory, Isibor and </w:t>
      </w:r>
      <w:proofErr w:type="spellStart"/>
      <w:r w:rsidRPr="00DA0907">
        <w:rPr>
          <w:rFonts w:ascii="Times New Roman" w:hAnsi="Times New Roman" w:cs="Times New Roman"/>
        </w:rPr>
        <w:t>Esechie</w:t>
      </w:r>
      <w:proofErr w:type="spellEnd"/>
      <w:r w:rsidRPr="00DA0907">
        <w:rPr>
          <w:rFonts w:ascii="Times New Roman" w:hAnsi="Times New Roman" w:cs="Times New Roman"/>
        </w:rPr>
        <w:t xml:space="preserve"> (2026) investigated the impact of macroeconomic dynamics on the financial performance of listed manufacturing firms in Nigeria over the period 2014 to 2024. The study employed Fixed Effects and Random Effects regression, followed by the Hausman test which determined the model to be used. The study results indicated that inflation had a significant negative effect on Return on Assets, whereas the effects of exchange rate and interest rate were statistically insignificant and the effect of GDP growth was statistically significant and positive.</w:t>
      </w:r>
    </w:p>
    <w:p w14:paraId="43DFE562" w14:textId="77777777" w:rsidR="000375CF" w:rsidRPr="00DA0907" w:rsidRDefault="000375CF" w:rsidP="000375CF">
      <w:pPr>
        <w:tabs>
          <w:tab w:val="left" w:pos="2070"/>
        </w:tabs>
        <w:spacing w:line="360" w:lineRule="auto"/>
        <w:jc w:val="both"/>
        <w:rPr>
          <w:rFonts w:ascii="Times New Roman" w:hAnsi="Times New Roman" w:cs="Times New Roman"/>
        </w:rPr>
      </w:pPr>
      <w:r w:rsidRPr="00DA0907">
        <w:rPr>
          <w:rFonts w:ascii="Times New Roman" w:hAnsi="Times New Roman" w:cs="Times New Roman"/>
        </w:rPr>
        <w:t>Dada et al., (2021) employed OLS and ARDL estimation techniques to test the APT and volatility in the Nigerian stock market from 1986 to 2018 and found that inflation negatively affects stock returns in the long run, the volatility is persistent from ARCH/GARCH analysis, and the Granger causality result confirmed unidirectional causality from inflation to stock returns, thus validating APT in the Nigerian context.</w:t>
      </w:r>
    </w:p>
    <w:p w14:paraId="0252CDAF" w14:textId="77777777" w:rsidR="00AD5C18" w:rsidRPr="00DA0907" w:rsidRDefault="00AD5C18" w:rsidP="00AD5C18">
      <w:pPr>
        <w:spacing w:line="360" w:lineRule="auto"/>
        <w:jc w:val="both"/>
        <w:rPr>
          <w:rFonts w:ascii="Times New Roman" w:hAnsi="Times New Roman" w:cs="Times New Roman"/>
        </w:rPr>
      </w:pPr>
      <w:proofErr w:type="spellStart"/>
      <w:r w:rsidRPr="00DA0907">
        <w:rPr>
          <w:rFonts w:ascii="Times New Roman" w:hAnsi="Times New Roman" w:cs="Times New Roman"/>
        </w:rPr>
        <w:t>Uruemu</w:t>
      </w:r>
      <w:proofErr w:type="spellEnd"/>
      <w:r w:rsidRPr="00DA0907">
        <w:rPr>
          <w:rFonts w:ascii="Times New Roman" w:hAnsi="Times New Roman" w:cs="Times New Roman"/>
        </w:rPr>
        <w:t xml:space="preserve"> (2022) tested the impact of inflation on liquidity in the Nigerian stock market between 1981 and 2020, and found that inflation had a positive and significant impact, supporting the Fisher hypothesis, which contrasts with the majority of Nigerian studies, and implies that the impact of inflation might vary based on the dependent variable, returns or liquidity.</w:t>
      </w:r>
    </w:p>
    <w:p w14:paraId="23073604" w14:textId="77777777" w:rsidR="002437DD" w:rsidRPr="00DA0907" w:rsidRDefault="00AD5C18" w:rsidP="002437DD">
      <w:pPr>
        <w:spacing w:line="360" w:lineRule="auto"/>
        <w:jc w:val="both"/>
        <w:rPr>
          <w:rFonts w:ascii="Times New Roman" w:hAnsi="Times New Roman" w:cs="Times New Roman"/>
        </w:rPr>
      </w:pPr>
      <w:r w:rsidRPr="00DA0907">
        <w:rPr>
          <w:rFonts w:ascii="Times New Roman" w:hAnsi="Times New Roman" w:cs="Times New Roman"/>
        </w:rPr>
        <w:t xml:space="preserve">Usman and </w:t>
      </w:r>
      <w:proofErr w:type="spellStart"/>
      <w:r w:rsidR="002002B8" w:rsidRPr="00DA0907">
        <w:rPr>
          <w:rFonts w:ascii="Times New Roman" w:hAnsi="Times New Roman" w:cs="Times New Roman"/>
        </w:rPr>
        <w:t>Adejare</w:t>
      </w:r>
      <w:proofErr w:type="spellEnd"/>
      <w:r w:rsidRPr="00DA0907">
        <w:rPr>
          <w:rFonts w:ascii="Times New Roman" w:hAnsi="Times New Roman" w:cs="Times New Roman"/>
        </w:rPr>
        <w:t xml:space="preserve"> (2013) examined the data from CBN and SEC over 40 years (1970-2010) and observed that the impact of inflation on the performance of the Nigerian capital market was generally negative and weak under most of the measures except market volume.</w:t>
      </w:r>
    </w:p>
    <w:p w14:paraId="44CE1851" w14:textId="5525B7C0" w:rsidR="008A5A65" w:rsidRPr="00DA0907" w:rsidRDefault="008A5A65" w:rsidP="002437DD">
      <w:pPr>
        <w:spacing w:line="360" w:lineRule="auto"/>
        <w:jc w:val="both"/>
        <w:rPr>
          <w:rFonts w:ascii="Times New Roman" w:hAnsi="Times New Roman" w:cs="Times New Roman"/>
        </w:rPr>
      </w:pPr>
      <w:r w:rsidRPr="00DA0907">
        <w:rPr>
          <w:rFonts w:ascii="Times New Roman" w:hAnsi="Times New Roman" w:cs="Times New Roman"/>
          <w:b/>
          <w:bCs/>
        </w:rPr>
        <w:t>Table</w:t>
      </w:r>
      <w:r w:rsidR="00E374C5" w:rsidRPr="00DA0907">
        <w:rPr>
          <w:rFonts w:ascii="Times New Roman" w:hAnsi="Times New Roman" w:cs="Times New Roman"/>
          <w:b/>
          <w:bCs/>
        </w:rPr>
        <w:t xml:space="preserve"> 1</w:t>
      </w:r>
      <w:r w:rsidRPr="00DA0907">
        <w:rPr>
          <w:rFonts w:ascii="Times New Roman" w:hAnsi="Times New Roman" w:cs="Times New Roman"/>
          <w:b/>
          <w:bCs/>
        </w:rPr>
        <w:t>: Summary of Empirical Review</w:t>
      </w:r>
    </w:p>
    <w:tbl>
      <w:tblPr>
        <w:tblStyle w:val="GridTable1Light"/>
        <w:tblW w:w="0" w:type="auto"/>
        <w:tblLook w:val="04A0" w:firstRow="1" w:lastRow="0" w:firstColumn="1" w:lastColumn="0" w:noHBand="0" w:noVBand="1"/>
      </w:tblPr>
      <w:tblGrid>
        <w:gridCol w:w="1563"/>
        <w:gridCol w:w="1989"/>
        <w:gridCol w:w="1942"/>
        <w:gridCol w:w="1942"/>
        <w:gridCol w:w="1914"/>
      </w:tblGrid>
      <w:tr w:rsidR="008A5A65" w:rsidRPr="00DA0907" w14:paraId="020DD1AD" w14:textId="77777777" w:rsidTr="008A5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87BFE8" w14:textId="77777777" w:rsidR="008A5A65" w:rsidRPr="00DA0907" w:rsidRDefault="008A5A65" w:rsidP="008A5A65">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lastRenderedPageBreak/>
              <w:t>Author(s) &amp; Year</w:t>
            </w:r>
          </w:p>
        </w:tc>
        <w:tc>
          <w:tcPr>
            <w:tcW w:w="0" w:type="auto"/>
            <w:hideMark/>
          </w:tcPr>
          <w:p w14:paraId="3FD9F103" w14:textId="77777777" w:rsidR="008A5A65" w:rsidRPr="00DA0907" w:rsidRDefault="008A5A65" w:rsidP="008A5A65">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Study Title / Focus</w:t>
            </w:r>
          </w:p>
        </w:tc>
        <w:tc>
          <w:tcPr>
            <w:tcW w:w="0" w:type="auto"/>
            <w:hideMark/>
          </w:tcPr>
          <w:p w14:paraId="26FFCFBE" w14:textId="77777777" w:rsidR="008A5A65" w:rsidRPr="00DA0907" w:rsidRDefault="008A5A65" w:rsidP="008A5A65">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Methodology</w:t>
            </w:r>
          </w:p>
        </w:tc>
        <w:tc>
          <w:tcPr>
            <w:tcW w:w="0" w:type="auto"/>
            <w:hideMark/>
          </w:tcPr>
          <w:p w14:paraId="3ED162B9" w14:textId="77777777" w:rsidR="008A5A65" w:rsidRPr="00DA0907" w:rsidRDefault="008A5A65" w:rsidP="008A5A65">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Key Findings</w:t>
            </w:r>
          </w:p>
        </w:tc>
        <w:tc>
          <w:tcPr>
            <w:tcW w:w="0" w:type="auto"/>
            <w:hideMark/>
          </w:tcPr>
          <w:p w14:paraId="01C51D9D" w14:textId="77777777" w:rsidR="008A5A65" w:rsidRPr="00DA0907" w:rsidRDefault="008A5A65" w:rsidP="008A5A65">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Relation to Present Study</w:t>
            </w:r>
          </w:p>
        </w:tc>
      </w:tr>
      <w:tr w:rsidR="008A5A65" w:rsidRPr="00DA0907" w14:paraId="49CD2AF2"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673191D2" w14:textId="77777777" w:rsidR="008A5A65" w:rsidRPr="00DA0907" w:rsidRDefault="008A5A65" w:rsidP="008A5A65">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Folorunso (2023)</w:t>
            </w:r>
          </w:p>
        </w:tc>
        <w:tc>
          <w:tcPr>
            <w:tcW w:w="0" w:type="auto"/>
            <w:hideMark/>
          </w:tcPr>
          <w:p w14:paraId="73B40A0F"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Impact of inflation and other macroeconomic variables on stock returns across five sectors in Nigeria</w:t>
            </w:r>
          </w:p>
        </w:tc>
        <w:tc>
          <w:tcPr>
            <w:tcW w:w="0" w:type="auto"/>
            <w:hideMark/>
          </w:tcPr>
          <w:p w14:paraId="5CF2E5C5"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GARCH model; multivariate panel analysis</w:t>
            </w:r>
          </w:p>
        </w:tc>
        <w:tc>
          <w:tcPr>
            <w:tcW w:w="0" w:type="auto"/>
            <w:hideMark/>
          </w:tcPr>
          <w:p w14:paraId="6D65AE60"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Inflation negatively and significantly affects stock returns in the short and long run, on both aggregate and sectoral bases; exchange rate positive, interest rate inverse in short run</w:t>
            </w:r>
          </w:p>
        </w:tc>
        <w:tc>
          <w:tcPr>
            <w:tcW w:w="0" w:type="auto"/>
            <w:hideMark/>
          </w:tcPr>
          <w:p w14:paraId="70DF83B8"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Confirms the negative inflation–return relationship at sectoral level; present study extends this into the 2015–2024 policy-reform period with panel FE/RE estimation</w:t>
            </w:r>
          </w:p>
        </w:tc>
      </w:tr>
      <w:tr w:rsidR="008A5A65" w:rsidRPr="00DA0907" w14:paraId="08A1282E"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5EF55E8D" w14:textId="77777777" w:rsidR="008A5A65" w:rsidRPr="00DA0907" w:rsidRDefault="008A5A65" w:rsidP="008A5A65">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Abu (2024)</w:t>
            </w:r>
          </w:p>
        </w:tc>
        <w:tc>
          <w:tcPr>
            <w:tcW w:w="0" w:type="auto"/>
            <w:hideMark/>
          </w:tcPr>
          <w:p w14:paraId="063942DC"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Effect of inflation on stock market performance of the Fast-Moving Consumer Goods sector, 2007–2023</w:t>
            </w:r>
          </w:p>
        </w:tc>
        <w:tc>
          <w:tcPr>
            <w:tcW w:w="0" w:type="auto"/>
            <w:hideMark/>
          </w:tcPr>
          <w:p w14:paraId="5DC69A28"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ARDL; Granger causality</w:t>
            </w:r>
          </w:p>
        </w:tc>
        <w:tc>
          <w:tcPr>
            <w:tcW w:w="0" w:type="auto"/>
            <w:hideMark/>
          </w:tcPr>
          <w:p w14:paraId="2714DF21"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Negative short-run impact on FMCG stock performance; positive relationship emerges in the long run</w:t>
            </w:r>
          </w:p>
        </w:tc>
        <w:tc>
          <w:tcPr>
            <w:tcW w:w="0" w:type="auto"/>
            <w:hideMark/>
          </w:tcPr>
          <w:p w14:paraId="66C0AC5C"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Present study's Consumer Goods sector shows the strongest negative sensitivity within its shorter window, without the long-run reversal Abu found</w:t>
            </w:r>
          </w:p>
        </w:tc>
      </w:tr>
      <w:tr w:rsidR="008A5A65" w:rsidRPr="00DA0907" w14:paraId="33B04210"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298F2FA0" w14:textId="77777777" w:rsidR="008A5A65" w:rsidRPr="00DA0907" w:rsidRDefault="008A5A65" w:rsidP="008A5A65">
            <w:pPr>
              <w:tabs>
                <w:tab w:val="left" w:pos="2070"/>
              </w:tabs>
              <w:spacing w:after="160" w:line="360" w:lineRule="auto"/>
              <w:jc w:val="both"/>
              <w:rPr>
                <w:rFonts w:ascii="Times New Roman" w:hAnsi="Times New Roman" w:cs="Times New Roman"/>
              </w:rPr>
            </w:pPr>
            <w:proofErr w:type="spellStart"/>
            <w:r w:rsidRPr="00DA0907">
              <w:rPr>
                <w:rFonts w:ascii="Times New Roman" w:hAnsi="Times New Roman" w:cs="Times New Roman"/>
              </w:rPr>
              <w:t>Kukandaka</w:t>
            </w:r>
            <w:proofErr w:type="spellEnd"/>
            <w:r w:rsidRPr="00DA0907">
              <w:rPr>
                <w:rFonts w:ascii="Times New Roman" w:hAnsi="Times New Roman" w:cs="Times New Roman"/>
              </w:rPr>
              <w:t xml:space="preserve">, Abdullahi &amp; </w:t>
            </w:r>
            <w:proofErr w:type="spellStart"/>
            <w:r w:rsidRPr="00DA0907">
              <w:rPr>
                <w:rFonts w:ascii="Times New Roman" w:hAnsi="Times New Roman" w:cs="Times New Roman"/>
              </w:rPr>
              <w:lastRenderedPageBreak/>
              <w:t>Mairafi</w:t>
            </w:r>
            <w:proofErr w:type="spellEnd"/>
            <w:r w:rsidRPr="00DA0907">
              <w:rPr>
                <w:rFonts w:ascii="Times New Roman" w:hAnsi="Times New Roman" w:cs="Times New Roman"/>
              </w:rPr>
              <w:t xml:space="preserve"> (2026)</w:t>
            </w:r>
          </w:p>
        </w:tc>
        <w:tc>
          <w:tcPr>
            <w:tcW w:w="0" w:type="auto"/>
            <w:hideMark/>
          </w:tcPr>
          <w:p w14:paraId="7522C877"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lastRenderedPageBreak/>
              <w:t xml:space="preserve">Macroeconomic variables and Industrial Goods </w:t>
            </w:r>
            <w:r w:rsidRPr="00DA0907">
              <w:rPr>
                <w:rFonts w:ascii="Times New Roman" w:hAnsi="Times New Roman" w:cs="Times New Roman"/>
              </w:rPr>
              <w:lastRenderedPageBreak/>
              <w:t>sector index performance on the NGX</w:t>
            </w:r>
          </w:p>
        </w:tc>
        <w:tc>
          <w:tcPr>
            <w:tcW w:w="0" w:type="auto"/>
            <w:hideMark/>
          </w:tcPr>
          <w:p w14:paraId="5271780A"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lastRenderedPageBreak/>
              <w:t>Vector Error Correction Model (VECM)</w:t>
            </w:r>
          </w:p>
        </w:tc>
        <w:tc>
          <w:tcPr>
            <w:tcW w:w="0" w:type="auto"/>
            <w:hideMark/>
          </w:tcPr>
          <w:p w14:paraId="6616E661"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 xml:space="preserve">Inflation has a positive long-run effect on the </w:t>
            </w:r>
            <w:r w:rsidRPr="00DA0907">
              <w:rPr>
                <w:rFonts w:ascii="Times New Roman" w:hAnsi="Times New Roman" w:cs="Times New Roman"/>
              </w:rPr>
              <w:lastRenderedPageBreak/>
              <w:t>Industrial Goods sector; identified as the dominant driver of sectoral performance</w:t>
            </w:r>
          </w:p>
        </w:tc>
        <w:tc>
          <w:tcPr>
            <w:tcW w:w="0" w:type="auto"/>
            <w:hideMark/>
          </w:tcPr>
          <w:p w14:paraId="179113C6" w14:textId="31AE087A" w:rsidR="008A5A65" w:rsidRPr="00DA0907" w:rsidRDefault="00BF6C82"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lastRenderedPageBreak/>
              <w:t xml:space="preserve">Diverges from the present study's finding of </w:t>
            </w:r>
            <w:r w:rsidRPr="00DA0907">
              <w:rPr>
                <w:rFonts w:ascii="Times New Roman" w:hAnsi="Times New Roman" w:cs="Times New Roman"/>
              </w:rPr>
              <w:lastRenderedPageBreak/>
              <w:t>a significant negative Industrial Goods sensitivity; difference discussed in relation to dependent variable and period</w:t>
            </w:r>
          </w:p>
        </w:tc>
      </w:tr>
      <w:tr w:rsidR="008A5A65" w:rsidRPr="00DA0907" w14:paraId="0292DF73"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0BE31CF5" w14:textId="77777777" w:rsidR="008A5A65" w:rsidRPr="00DA0907" w:rsidRDefault="008A5A65" w:rsidP="008A5A65">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lastRenderedPageBreak/>
              <w:t xml:space="preserve">Isibor &amp; </w:t>
            </w:r>
            <w:proofErr w:type="spellStart"/>
            <w:r w:rsidRPr="00DA0907">
              <w:rPr>
                <w:rFonts w:ascii="Times New Roman" w:hAnsi="Times New Roman" w:cs="Times New Roman"/>
              </w:rPr>
              <w:t>Esechie</w:t>
            </w:r>
            <w:proofErr w:type="spellEnd"/>
            <w:r w:rsidRPr="00DA0907">
              <w:rPr>
                <w:rFonts w:ascii="Times New Roman" w:hAnsi="Times New Roman" w:cs="Times New Roman"/>
              </w:rPr>
              <w:t xml:space="preserve"> (2026)</w:t>
            </w:r>
          </w:p>
        </w:tc>
        <w:tc>
          <w:tcPr>
            <w:tcW w:w="0" w:type="auto"/>
            <w:hideMark/>
          </w:tcPr>
          <w:p w14:paraId="22DA9EE0"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Macroeconomic dynamics and financial performance of listed manufacturing firms, 2014–2024</w:t>
            </w:r>
          </w:p>
        </w:tc>
        <w:tc>
          <w:tcPr>
            <w:tcW w:w="0" w:type="auto"/>
            <w:hideMark/>
          </w:tcPr>
          <w:p w14:paraId="380DAFDF"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Panel Fixed Effects / Random Effects; Hausman test</w:t>
            </w:r>
          </w:p>
        </w:tc>
        <w:tc>
          <w:tcPr>
            <w:tcW w:w="0" w:type="auto"/>
            <w:hideMark/>
          </w:tcPr>
          <w:p w14:paraId="0020D635"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Inflation has a significant negative effect on ROA; exchange rate and interest rate insignificant; GDP growth significant and positive</w:t>
            </w:r>
          </w:p>
        </w:tc>
        <w:tc>
          <w:tcPr>
            <w:tcW w:w="0" w:type="auto"/>
            <w:hideMark/>
          </w:tcPr>
          <w:p w14:paraId="06C65AB7"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Closely aligned in method (FE/RE with Hausman selection) and direction of inflation effect; present study extends to sector-disaggregated returns</w:t>
            </w:r>
          </w:p>
        </w:tc>
      </w:tr>
      <w:tr w:rsidR="008A5A65" w:rsidRPr="00DA0907" w14:paraId="7A33D2EB"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5792ECC6" w14:textId="4067E1D7" w:rsidR="008A5A65" w:rsidRPr="00DA0907" w:rsidRDefault="008C5CC1" w:rsidP="008A5A65">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 xml:space="preserve">Dada et al., </w:t>
            </w:r>
            <w:r w:rsidR="008A5A65" w:rsidRPr="00DA0907">
              <w:rPr>
                <w:rFonts w:ascii="Times New Roman" w:hAnsi="Times New Roman" w:cs="Times New Roman"/>
              </w:rPr>
              <w:t>(2021)</w:t>
            </w:r>
          </w:p>
        </w:tc>
        <w:tc>
          <w:tcPr>
            <w:tcW w:w="0" w:type="auto"/>
            <w:hideMark/>
          </w:tcPr>
          <w:p w14:paraId="3A9246BF"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Arbitrage Pricing Theory and stock market volatility in Nigeria, 1986–2018</w:t>
            </w:r>
          </w:p>
        </w:tc>
        <w:tc>
          <w:tcPr>
            <w:tcW w:w="0" w:type="auto"/>
            <w:hideMark/>
          </w:tcPr>
          <w:p w14:paraId="18B0D6AB"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OLS; ARDL; ARCH/GARCH; Granger causality</w:t>
            </w:r>
          </w:p>
        </w:tc>
        <w:tc>
          <w:tcPr>
            <w:tcW w:w="0" w:type="auto"/>
            <w:hideMark/>
          </w:tcPr>
          <w:p w14:paraId="53282A53"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 xml:space="preserve">Inflation has a negative long-run effect on returns; persistent volatility; unidirectional causality from inflation to </w:t>
            </w:r>
            <w:r w:rsidRPr="00DA0907">
              <w:rPr>
                <w:rFonts w:ascii="Times New Roman" w:hAnsi="Times New Roman" w:cs="Times New Roman"/>
              </w:rPr>
              <w:lastRenderedPageBreak/>
              <w:t>returns; APT validated</w:t>
            </w:r>
          </w:p>
        </w:tc>
        <w:tc>
          <w:tcPr>
            <w:tcW w:w="0" w:type="auto"/>
            <w:hideMark/>
          </w:tcPr>
          <w:p w14:paraId="46EC8194"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lastRenderedPageBreak/>
              <w:t xml:space="preserve">Provides the theoretical (APT) grounding adopted in the present study; confirms negative inflation effect over a </w:t>
            </w:r>
            <w:r w:rsidRPr="00DA0907">
              <w:rPr>
                <w:rFonts w:ascii="Times New Roman" w:hAnsi="Times New Roman" w:cs="Times New Roman"/>
              </w:rPr>
              <w:lastRenderedPageBreak/>
              <w:t>much longer historical horizon</w:t>
            </w:r>
          </w:p>
        </w:tc>
      </w:tr>
      <w:tr w:rsidR="008A5A65" w:rsidRPr="00DA0907" w14:paraId="2349D5AC"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312F7E81" w14:textId="77777777" w:rsidR="008A5A65" w:rsidRPr="00DA0907" w:rsidRDefault="008A5A65" w:rsidP="008A5A65">
            <w:pPr>
              <w:tabs>
                <w:tab w:val="left" w:pos="2070"/>
              </w:tabs>
              <w:spacing w:after="160" w:line="360" w:lineRule="auto"/>
              <w:jc w:val="both"/>
              <w:rPr>
                <w:rFonts w:ascii="Times New Roman" w:hAnsi="Times New Roman" w:cs="Times New Roman"/>
              </w:rPr>
            </w:pPr>
            <w:proofErr w:type="spellStart"/>
            <w:r w:rsidRPr="00DA0907">
              <w:rPr>
                <w:rFonts w:ascii="Times New Roman" w:hAnsi="Times New Roman" w:cs="Times New Roman"/>
              </w:rPr>
              <w:lastRenderedPageBreak/>
              <w:t>Uruemu</w:t>
            </w:r>
            <w:proofErr w:type="spellEnd"/>
            <w:r w:rsidRPr="00DA0907">
              <w:rPr>
                <w:rFonts w:ascii="Times New Roman" w:hAnsi="Times New Roman" w:cs="Times New Roman"/>
              </w:rPr>
              <w:t xml:space="preserve"> (2022)</w:t>
            </w:r>
          </w:p>
        </w:tc>
        <w:tc>
          <w:tcPr>
            <w:tcW w:w="0" w:type="auto"/>
            <w:hideMark/>
          </w:tcPr>
          <w:p w14:paraId="0614DB88"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Effect of inflation on stock market liquidity, 1981–2020</w:t>
            </w:r>
          </w:p>
        </w:tc>
        <w:tc>
          <w:tcPr>
            <w:tcW w:w="0" w:type="auto"/>
            <w:hideMark/>
          </w:tcPr>
          <w:p w14:paraId="69369A84"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ARDL Bounds Testing</w:t>
            </w:r>
          </w:p>
        </w:tc>
        <w:tc>
          <w:tcPr>
            <w:tcW w:w="0" w:type="auto"/>
            <w:hideMark/>
          </w:tcPr>
          <w:p w14:paraId="6ED296F0"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Inflation has a positive and significant effect on stock market liquidity, affirming the Fisher hypothesis</w:t>
            </w:r>
          </w:p>
        </w:tc>
        <w:tc>
          <w:tcPr>
            <w:tcW w:w="0" w:type="auto"/>
            <w:hideMark/>
          </w:tcPr>
          <w:p w14:paraId="1FF55EFD"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Contrasts with the present study's rejection of the Fisher hypothesis; difference attributed to liquidity vs. returns as dependent variable</w:t>
            </w:r>
          </w:p>
        </w:tc>
      </w:tr>
      <w:tr w:rsidR="008A5A65" w:rsidRPr="00DA0907" w14:paraId="43009279"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6296DF14" w14:textId="337D8613" w:rsidR="008A5A65" w:rsidRPr="00DA0907" w:rsidRDefault="001508DB" w:rsidP="008A5A65">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Usman</w:t>
            </w:r>
            <w:r w:rsidR="008A5A65" w:rsidRPr="00DA0907">
              <w:rPr>
                <w:rFonts w:ascii="Times New Roman" w:hAnsi="Times New Roman" w:cs="Times New Roman"/>
              </w:rPr>
              <w:t xml:space="preserve"> &amp; </w:t>
            </w:r>
            <w:proofErr w:type="spellStart"/>
            <w:r w:rsidR="002002B8" w:rsidRPr="00DA0907">
              <w:rPr>
                <w:rFonts w:ascii="Times New Roman" w:hAnsi="Times New Roman" w:cs="Times New Roman"/>
              </w:rPr>
              <w:t>Adejare</w:t>
            </w:r>
            <w:proofErr w:type="spellEnd"/>
            <w:r w:rsidR="008A5A65" w:rsidRPr="00DA0907">
              <w:rPr>
                <w:rFonts w:ascii="Times New Roman" w:hAnsi="Times New Roman" w:cs="Times New Roman"/>
              </w:rPr>
              <w:t xml:space="preserve"> (2013)</w:t>
            </w:r>
          </w:p>
        </w:tc>
        <w:tc>
          <w:tcPr>
            <w:tcW w:w="0" w:type="auto"/>
            <w:hideMark/>
          </w:tcPr>
          <w:p w14:paraId="50F8F9ED"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Impact of inflation on capital market performance, 1970–2010</w:t>
            </w:r>
          </w:p>
        </w:tc>
        <w:tc>
          <w:tcPr>
            <w:tcW w:w="0" w:type="auto"/>
            <w:hideMark/>
          </w:tcPr>
          <w:p w14:paraId="7A98D601"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Multiple regression on CBN/SEC secondary data</w:t>
            </w:r>
          </w:p>
        </w:tc>
        <w:tc>
          <w:tcPr>
            <w:tcW w:w="0" w:type="auto"/>
            <w:hideMark/>
          </w:tcPr>
          <w:p w14:paraId="5456ED8E"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Weak, generally negative relationship between inflation and capital market performance; market volume the exception</w:t>
            </w:r>
          </w:p>
        </w:tc>
        <w:tc>
          <w:tcPr>
            <w:tcW w:w="0" w:type="auto"/>
            <w:hideMark/>
          </w:tcPr>
          <w:p w14:paraId="25E450E8"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Supports the negative-effect direction found in the present study, over a much earlier and longer period</w:t>
            </w:r>
          </w:p>
        </w:tc>
      </w:tr>
      <w:tr w:rsidR="008A5A65" w:rsidRPr="00DA0907" w14:paraId="0901B894" w14:textId="77777777" w:rsidTr="008A5A65">
        <w:tc>
          <w:tcPr>
            <w:cnfStyle w:val="001000000000" w:firstRow="0" w:lastRow="0" w:firstColumn="1" w:lastColumn="0" w:oddVBand="0" w:evenVBand="0" w:oddHBand="0" w:evenHBand="0" w:firstRowFirstColumn="0" w:firstRowLastColumn="0" w:lastRowFirstColumn="0" w:lastRowLastColumn="0"/>
            <w:tcW w:w="0" w:type="auto"/>
            <w:hideMark/>
          </w:tcPr>
          <w:p w14:paraId="07FFFCA9" w14:textId="77777777" w:rsidR="008A5A65" w:rsidRPr="00DA0907" w:rsidRDefault="008A5A65" w:rsidP="008A5A65">
            <w:pPr>
              <w:tabs>
                <w:tab w:val="left" w:pos="2070"/>
              </w:tabs>
              <w:spacing w:after="160" w:line="360" w:lineRule="auto"/>
              <w:jc w:val="both"/>
              <w:rPr>
                <w:rFonts w:ascii="Times New Roman" w:hAnsi="Times New Roman" w:cs="Times New Roman"/>
              </w:rPr>
            </w:pPr>
            <w:proofErr w:type="spellStart"/>
            <w:r w:rsidRPr="00DA0907">
              <w:rPr>
                <w:rFonts w:ascii="Times New Roman" w:hAnsi="Times New Roman" w:cs="Times New Roman"/>
              </w:rPr>
              <w:t>Ikoku</w:t>
            </w:r>
            <w:proofErr w:type="spellEnd"/>
            <w:r w:rsidRPr="00DA0907">
              <w:rPr>
                <w:rFonts w:ascii="Times New Roman" w:hAnsi="Times New Roman" w:cs="Times New Roman"/>
              </w:rPr>
              <w:t xml:space="preserve"> &amp; Okorie (2010)</w:t>
            </w:r>
          </w:p>
        </w:tc>
        <w:tc>
          <w:tcPr>
            <w:tcW w:w="0" w:type="auto"/>
            <w:hideMark/>
          </w:tcPr>
          <w:p w14:paraId="028C8490"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Performance of Nigerian Stock Exchange sectoral indices, 2009–2010</w:t>
            </w:r>
          </w:p>
        </w:tc>
        <w:tc>
          <w:tcPr>
            <w:tcW w:w="0" w:type="auto"/>
            <w:hideMark/>
          </w:tcPr>
          <w:p w14:paraId="63C63F62"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Descriptive analysis</w:t>
            </w:r>
          </w:p>
        </w:tc>
        <w:tc>
          <w:tcPr>
            <w:tcW w:w="0" w:type="auto"/>
            <w:hideMark/>
          </w:tcPr>
          <w:p w14:paraId="477A7FD9"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Sectoral indices show significant performance variation, underscoring the value of sector-level analysis</w:t>
            </w:r>
          </w:p>
        </w:tc>
        <w:tc>
          <w:tcPr>
            <w:tcW w:w="0" w:type="auto"/>
            <w:hideMark/>
          </w:tcPr>
          <w:p w14:paraId="4187923B" w14:textId="77777777" w:rsidR="008A5A65" w:rsidRPr="00DA0907" w:rsidRDefault="008A5A65" w:rsidP="008A5A65">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Provides the conceptual basis for the present study's sector-disaggregated approach</w:t>
            </w:r>
          </w:p>
        </w:tc>
      </w:tr>
    </w:tbl>
    <w:p w14:paraId="4972C99D" w14:textId="35FD04E9" w:rsidR="008A5A65" w:rsidRPr="00DA0907" w:rsidRDefault="008A5A65"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i/>
          <w:iCs/>
        </w:rPr>
        <w:lastRenderedPageBreak/>
        <w:t>Source: Authors' compilation, 2025</w:t>
      </w:r>
    </w:p>
    <w:p w14:paraId="5EF1C3D4" w14:textId="77777777" w:rsidR="00A0057B" w:rsidRPr="00DA0907" w:rsidRDefault="00A0057B" w:rsidP="00965A0A">
      <w:pPr>
        <w:tabs>
          <w:tab w:val="left" w:pos="2070"/>
        </w:tabs>
        <w:spacing w:line="360" w:lineRule="auto"/>
        <w:jc w:val="both"/>
        <w:rPr>
          <w:rFonts w:ascii="Times New Roman" w:hAnsi="Times New Roman" w:cs="Times New Roman"/>
          <w:b/>
          <w:bCs/>
        </w:rPr>
      </w:pPr>
    </w:p>
    <w:p w14:paraId="1D2DA457" w14:textId="30D46349"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2.4 </w:t>
      </w:r>
      <w:r w:rsidR="00965A0A" w:rsidRPr="00DA0907">
        <w:rPr>
          <w:rFonts w:ascii="Times New Roman" w:hAnsi="Times New Roman" w:cs="Times New Roman"/>
          <w:b/>
          <w:bCs/>
        </w:rPr>
        <w:t>Research Gap</w:t>
      </w:r>
    </w:p>
    <w:p w14:paraId="6BC4582C" w14:textId="77777777" w:rsidR="00AD5C18" w:rsidRPr="00DA0907" w:rsidRDefault="00AD5C1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empirical review shows that there are three important gaps. First, although studies like Folorunso (2023) and Abu (2024) have established a negative relationship between inflation and returns, they have not systematically modeled the differential sensitivity of the sectors to this macroeconomic episode of 2015–2024. Second, while sectoral analysis is acknowledged as significant (</w:t>
      </w:r>
      <w:proofErr w:type="spellStart"/>
      <w:r w:rsidRPr="00DA0907">
        <w:rPr>
          <w:rFonts w:ascii="Times New Roman" w:hAnsi="Times New Roman" w:cs="Times New Roman"/>
        </w:rPr>
        <w:t>Ikoku</w:t>
      </w:r>
      <w:proofErr w:type="spellEnd"/>
      <w:r w:rsidRPr="00DA0907">
        <w:rPr>
          <w:rFonts w:ascii="Times New Roman" w:hAnsi="Times New Roman" w:cs="Times New Roman"/>
        </w:rPr>
        <w:t xml:space="preserve"> &amp; Okorie, 2010), many studies conducted in Nigeria focus on the overall market, which may conceal significant variations between different sectors that experienced very different performance during the reform period of 2023–2024 (Guardian Nigeria, 2025). Third, the strong theoretical underpinnings used in previous research (Folorunso, 2023; Isibor &amp; </w:t>
      </w:r>
      <w:proofErr w:type="spellStart"/>
      <w:r w:rsidRPr="00DA0907">
        <w:rPr>
          <w:rFonts w:ascii="Times New Roman" w:hAnsi="Times New Roman" w:cs="Times New Roman"/>
        </w:rPr>
        <w:t>Esechie</w:t>
      </w:r>
      <w:proofErr w:type="spellEnd"/>
      <w:r w:rsidRPr="00DA0907">
        <w:rPr>
          <w:rFonts w:ascii="Times New Roman" w:hAnsi="Times New Roman" w:cs="Times New Roman"/>
        </w:rPr>
        <w:t>, 2026; Dada et al., 2021) have not been replicated by sector-disaggregated panel-data methods that account for unobserved heterogeneity and endogeneity. This study aims to fill these gaps by conducting a comprehensive and sector disaggregated panel analysis of the impact of inflation dynamics on stock returns in Nigeria for the period 2015 – 2024.</w:t>
      </w:r>
    </w:p>
    <w:p w14:paraId="0EC71217" w14:textId="0F5FDD95" w:rsidR="00965A0A" w:rsidRPr="00DA0907" w:rsidRDefault="004079F8" w:rsidP="00965A0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 xml:space="preserve">3.0 </w:t>
      </w:r>
      <w:r w:rsidR="00965A0A" w:rsidRPr="00DA0907">
        <w:rPr>
          <w:rFonts w:ascii="Times New Roman" w:hAnsi="Times New Roman" w:cs="Times New Roman"/>
          <w:b/>
          <w:bCs/>
          <w:sz w:val="26"/>
          <w:szCs w:val="26"/>
        </w:rPr>
        <w:t>Methodology</w:t>
      </w:r>
    </w:p>
    <w:p w14:paraId="060DB90D" w14:textId="117475AE"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3.1 </w:t>
      </w:r>
      <w:r w:rsidR="00965A0A" w:rsidRPr="00DA0907">
        <w:rPr>
          <w:rFonts w:ascii="Times New Roman" w:hAnsi="Times New Roman" w:cs="Times New Roman"/>
          <w:b/>
          <w:bCs/>
        </w:rPr>
        <w:t>Research Design</w:t>
      </w:r>
    </w:p>
    <w:p w14:paraId="58392FD2" w14:textId="77777777" w:rsidR="00AD5C18" w:rsidRPr="00DA0907" w:rsidRDefault="00AD5C1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study is quantitative, ex post facto panel-data research design (</w:t>
      </w:r>
      <w:proofErr w:type="spellStart"/>
      <w:r w:rsidRPr="00DA0907">
        <w:rPr>
          <w:rFonts w:ascii="Times New Roman" w:hAnsi="Times New Roman" w:cs="Times New Roman"/>
        </w:rPr>
        <w:t>Kukandaka</w:t>
      </w:r>
      <w:proofErr w:type="spellEnd"/>
      <w:r w:rsidRPr="00DA0907">
        <w:rPr>
          <w:rFonts w:ascii="Times New Roman" w:hAnsi="Times New Roman" w:cs="Times New Roman"/>
        </w:rPr>
        <w:t xml:space="preserve"> et al., 2026), which is suitable because it has both cross-sectional and time-series dimensions, it controls unobserved firm- and sector-level heterogeneity, and it enhances the precision of estimated relationships between inflation and stock returns (Isibor &amp; </w:t>
      </w:r>
      <w:proofErr w:type="spellStart"/>
      <w:r w:rsidRPr="00DA0907">
        <w:rPr>
          <w:rFonts w:ascii="Times New Roman" w:hAnsi="Times New Roman" w:cs="Times New Roman"/>
        </w:rPr>
        <w:t>Esechie</w:t>
      </w:r>
      <w:proofErr w:type="spellEnd"/>
      <w:r w:rsidRPr="00DA0907">
        <w:rPr>
          <w:rFonts w:ascii="Times New Roman" w:hAnsi="Times New Roman" w:cs="Times New Roman"/>
        </w:rPr>
        <w:t>, 2026). The study is conducted over a decade (2015-2024), which includes the post oil price crash period, several recessions, significant monetary policy changes, and the structural transformation of the economy of Nigeria.</w:t>
      </w:r>
    </w:p>
    <w:p w14:paraId="0623BCAB" w14:textId="01D15F14"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3.2 </w:t>
      </w:r>
      <w:r w:rsidR="00965A0A" w:rsidRPr="00DA0907">
        <w:rPr>
          <w:rFonts w:ascii="Times New Roman" w:hAnsi="Times New Roman" w:cs="Times New Roman"/>
          <w:b/>
          <w:bCs/>
        </w:rPr>
        <w:t>Population and Sample</w:t>
      </w:r>
    </w:p>
    <w:p w14:paraId="2334D9BE" w14:textId="77777777" w:rsidR="00AD5C18" w:rsidRPr="00DA0907" w:rsidRDefault="00AD5C1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population consists of all the firms listed on the Nigerian Exchange Group (NGX) as at December 2024, which is made up of 138 equities from 13 sectors (Nigerian Exchange Group, 2024). Purposive sampling technique was used, which involved the selection of firms based on data availability, continuous listing during the study period and sector representation. Firms that </w:t>
      </w:r>
      <w:r w:rsidRPr="00DA0907">
        <w:rPr>
          <w:rFonts w:ascii="Times New Roman" w:hAnsi="Times New Roman" w:cs="Times New Roman"/>
        </w:rPr>
        <w:lastRenderedPageBreak/>
        <w:t>did not have annual returns data for two or more years were excluded. The final sample consists of 72 firms across five major sectors namely Agriculture (4 firms), Banking (12 firms), Consumer Goods (15 firms), Industrial Goods (10 firms) and Oil and Gas (6 firms) with 25 firms from other sectors giving 720 firm-year observations (Nigerian Exchange Group, 2025).</w:t>
      </w:r>
    </w:p>
    <w:p w14:paraId="1FA708FB" w14:textId="7F70BDF8"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3.3 </w:t>
      </w:r>
      <w:r w:rsidR="00965A0A" w:rsidRPr="00DA0907">
        <w:rPr>
          <w:rFonts w:ascii="Times New Roman" w:hAnsi="Times New Roman" w:cs="Times New Roman"/>
          <w:b/>
          <w:bCs/>
        </w:rPr>
        <w:t>Data Sources</w:t>
      </w:r>
    </w:p>
    <w:p w14:paraId="17ED63AF" w14:textId="77777777" w:rsidR="00AD5C18" w:rsidRPr="00DA0907" w:rsidRDefault="00AD5C1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study is based on secondary data from various institutional sources. The data on stock returns was sourced from the NGX market data portal and the annual factbooks (Nigerian Exchange Group, 2024, 2025). The data on inflation (annual Consumer Price Index inflation rate) were sourced from National Bureau of Statistics reports (National Bureau of Statistics, 2024, 2025) and Central Bank of Nigeria statistical bulletins (Central Bank of Nigeria, 2024). CBN annual reports and statistical bulletins were used to obtain exchange rate and interest rate data. Data on total assets, total liabilities and return on assets were retrieved from the annual reports and financial statements on the NGX website and individual company websites. Data on GDP growth were obtained from the National Bureau of Statistics and World Bank Development Indicators (World Bank, 2024).</w:t>
      </w:r>
    </w:p>
    <w:p w14:paraId="1AA7970C" w14:textId="6A45EEF7"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3.4 </w:t>
      </w:r>
      <w:r w:rsidR="00965A0A" w:rsidRPr="00DA0907">
        <w:rPr>
          <w:rFonts w:ascii="Times New Roman" w:hAnsi="Times New Roman" w:cs="Times New Roman"/>
          <w:b/>
          <w:bCs/>
        </w:rPr>
        <w:t>Variable Measurement</w:t>
      </w:r>
    </w:p>
    <w:p w14:paraId="2A5A6A6C" w14:textId="33CE547F"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2</w:t>
      </w:r>
      <w:r w:rsidRPr="00DA0907">
        <w:rPr>
          <w:rFonts w:ascii="Times New Roman" w:hAnsi="Times New Roman" w:cs="Times New Roman"/>
          <w:b/>
          <w:bCs/>
        </w:rPr>
        <w:t>: Variable Definitions and Measurement</w:t>
      </w:r>
    </w:p>
    <w:tbl>
      <w:tblPr>
        <w:tblStyle w:val="GridTable1Light"/>
        <w:tblW w:w="0" w:type="auto"/>
        <w:tblLook w:val="04A0" w:firstRow="1" w:lastRow="0" w:firstColumn="1" w:lastColumn="0" w:noHBand="0" w:noVBand="1"/>
      </w:tblPr>
      <w:tblGrid>
        <w:gridCol w:w="1985"/>
        <w:gridCol w:w="1096"/>
        <w:gridCol w:w="3377"/>
        <w:gridCol w:w="1462"/>
        <w:gridCol w:w="1430"/>
      </w:tblGrid>
      <w:tr w:rsidR="00965A0A" w:rsidRPr="00DA0907" w14:paraId="727DE745"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B17A83"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Variable</w:t>
            </w:r>
          </w:p>
        </w:tc>
        <w:tc>
          <w:tcPr>
            <w:tcW w:w="0" w:type="auto"/>
            <w:hideMark/>
          </w:tcPr>
          <w:p w14:paraId="58B5E627"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Symbol</w:t>
            </w:r>
          </w:p>
        </w:tc>
        <w:tc>
          <w:tcPr>
            <w:tcW w:w="0" w:type="auto"/>
            <w:hideMark/>
          </w:tcPr>
          <w:p w14:paraId="554B5BF4"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Measurement</w:t>
            </w:r>
          </w:p>
        </w:tc>
        <w:tc>
          <w:tcPr>
            <w:tcW w:w="0" w:type="auto"/>
            <w:hideMark/>
          </w:tcPr>
          <w:p w14:paraId="47138E29"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Data Source</w:t>
            </w:r>
          </w:p>
        </w:tc>
        <w:tc>
          <w:tcPr>
            <w:tcW w:w="0" w:type="auto"/>
            <w:hideMark/>
          </w:tcPr>
          <w:p w14:paraId="544191A9"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Expected Sign</w:t>
            </w:r>
          </w:p>
        </w:tc>
      </w:tr>
      <w:tr w:rsidR="00965A0A" w:rsidRPr="00DA0907" w14:paraId="74B4B2FA"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31E2AF7"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i/>
                <w:iCs/>
              </w:rPr>
              <w:t>Dependent Variable</w:t>
            </w:r>
          </w:p>
        </w:tc>
        <w:tc>
          <w:tcPr>
            <w:tcW w:w="0" w:type="auto"/>
            <w:hideMark/>
          </w:tcPr>
          <w:p w14:paraId="17632AF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273E20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2B3FFE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E6C884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7BB15B6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34320F2"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Sectoral stock returns</w:t>
            </w:r>
          </w:p>
        </w:tc>
        <w:tc>
          <w:tcPr>
            <w:tcW w:w="0" w:type="auto"/>
            <w:hideMark/>
          </w:tcPr>
          <w:p w14:paraId="5153D52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RET</w:t>
            </w:r>
          </w:p>
        </w:tc>
        <w:tc>
          <w:tcPr>
            <w:tcW w:w="0" w:type="auto"/>
            <w:hideMark/>
          </w:tcPr>
          <w:p w14:paraId="18243E7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DA0907">
              <w:rPr>
                <w:rFonts w:ascii="Times New Roman" w:hAnsi="Times New Roman" w:cs="Times New Roman"/>
              </w:rPr>
              <w:t>Annualised</w:t>
            </w:r>
            <w:proofErr w:type="spellEnd"/>
            <w:r w:rsidRPr="00DA0907">
              <w:rPr>
                <w:rFonts w:ascii="Times New Roman" w:hAnsi="Times New Roman" w:cs="Times New Roman"/>
              </w:rPr>
              <w:t xml:space="preserve"> sectoral index return: ln(Pₜ/Pₜ₋₁) × 100</w:t>
            </w:r>
          </w:p>
        </w:tc>
        <w:tc>
          <w:tcPr>
            <w:tcW w:w="0" w:type="auto"/>
            <w:hideMark/>
          </w:tcPr>
          <w:p w14:paraId="417C144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NGX</w:t>
            </w:r>
          </w:p>
        </w:tc>
        <w:tc>
          <w:tcPr>
            <w:tcW w:w="0" w:type="auto"/>
            <w:hideMark/>
          </w:tcPr>
          <w:p w14:paraId="502377A2" w14:textId="21C8FD45" w:rsidR="00965A0A" w:rsidRPr="00DA0907" w:rsidRDefault="002437DD"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2A887AA7"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E0BE77D"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i/>
                <w:iCs/>
              </w:rPr>
              <w:t>Independent Variables</w:t>
            </w:r>
          </w:p>
        </w:tc>
        <w:tc>
          <w:tcPr>
            <w:tcW w:w="0" w:type="auto"/>
            <w:hideMark/>
          </w:tcPr>
          <w:p w14:paraId="09BC907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1FDCCF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0ADD78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83168A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4203BE90"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0D6240C"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Inflation rate</w:t>
            </w:r>
          </w:p>
        </w:tc>
        <w:tc>
          <w:tcPr>
            <w:tcW w:w="0" w:type="auto"/>
            <w:hideMark/>
          </w:tcPr>
          <w:p w14:paraId="4231AFD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w:t>
            </w:r>
          </w:p>
        </w:tc>
        <w:tc>
          <w:tcPr>
            <w:tcW w:w="0" w:type="auto"/>
            <w:hideMark/>
          </w:tcPr>
          <w:p w14:paraId="07345A0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CPI inflation rate (%)</w:t>
            </w:r>
          </w:p>
        </w:tc>
        <w:tc>
          <w:tcPr>
            <w:tcW w:w="0" w:type="auto"/>
            <w:hideMark/>
          </w:tcPr>
          <w:p w14:paraId="7E6F510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NBS, CBN</w:t>
            </w:r>
          </w:p>
        </w:tc>
        <w:tc>
          <w:tcPr>
            <w:tcW w:w="0" w:type="auto"/>
            <w:hideMark/>
          </w:tcPr>
          <w:p w14:paraId="0F837A9E" w14:textId="0D354F41" w:rsidR="00965A0A" w:rsidRPr="00DA0907" w:rsidRDefault="002437DD"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0E8D7817"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4B278E0"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lastRenderedPageBreak/>
              <w:t>Inflation volatility</w:t>
            </w:r>
          </w:p>
        </w:tc>
        <w:tc>
          <w:tcPr>
            <w:tcW w:w="0" w:type="auto"/>
            <w:hideMark/>
          </w:tcPr>
          <w:p w14:paraId="6DD3E5B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INFVOL</w:t>
            </w:r>
          </w:p>
        </w:tc>
        <w:tc>
          <w:tcPr>
            <w:tcW w:w="0" w:type="auto"/>
            <w:hideMark/>
          </w:tcPr>
          <w:p w14:paraId="751F999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Standard deviation of monthly inflation rates (%)</w:t>
            </w:r>
          </w:p>
        </w:tc>
        <w:tc>
          <w:tcPr>
            <w:tcW w:w="0" w:type="auto"/>
            <w:hideMark/>
          </w:tcPr>
          <w:p w14:paraId="5854B52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NBS</w:t>
            </w:r>
          </w:p>
        </w:tc>
        <w:tc>
          <w:tcPr>
            <w:tcW w:w="0" w:type="auto"/>
            <w:hideMark/>
          </w:tcPr>
          <w:p w14:paraId="44B5D3DC" w14:textId="0EC4A324" w:rsidR="00965A0A" w:rsidRPr="00DA0907" w:rsidRDefault="002437DD"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575681F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444C3AC"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i/>
                <w:iCs/>
              </w:rPr>
              <w:t>Control Variables</w:t>
            </w:r>
          </w:p>
        </w:tc>
        <w:tc>
          <w:tcPr>
            <w:tcW w:w="0" w:type="auto"/>
            <w:hideMark/>
          </w:tcPr>
          <w:p w14:paraId="3D139BF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4531D9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3A2C89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6F59B6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6E54C90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CC50DF7"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Exchange rate</w:t>
            </w:r>
          </w:p>
        </w:tc>
        <w:tc>
          <w:tcPr>
            <w:tcW w:w="0" w:type="auto"/>
            <w:hideMark/>
          </w:tcPr>
          <w:p w14:paraId="1EB594C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EXR</w:t>
            </w:r>
          </w:p>
        </w:tc>
        <w:tc>
          <w:tcPr>
            <w:tcW w:w="0" w:type="auto"/>
            <w:hideMark/>
          </w:tcPr>
          <w:p w14:paraId="371933D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average official exchange rate (₦/US$)</w:t>
            </w:r>
          </w:p>
        </w:tc>
        <w:tc>
          <w:tcPr>
            <w:tcW w:w="0" w:type="auto"/>
            <w:hideMark/>
          </w:tcPr>
          <w:p w14:paraId="5CE5A22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CBN</w:t>
            </w:r>
          </w:p>
        </w:tc>
        <w:tc>
          <w:tcPr>
            <w:tcW w:w="0" w:type="auto"/>
            <w:hideMark/>
          </w:tcPr>
          <w:p w14:paraId="7089B795" w14:textId="4D3A8AA8"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r w:rsidR="002437DD" w:rsidRPr="00DA0907">
              <w:rPr>
                <w:rFonts w:ascii="Segoe UI" w:hAnsi="Segoe UI" w:cs="Segoe UI"/>
                <w:color w:val="0F1115"/>
                <w:sz w:val="23"/>
                <w:szCs w:val="23"/>
                <w:shd w:val="clear" w:color="auto" w:fill="FFFFFF"/>
              </w:rPr>
              <w:t xml:space="preserve"> </w:t>
            </w:r>
            <w:r w:rsidR="002437DD" w:rsidRPr="00DA0907">
              <w:rPr>
                <w:rFonts w:ascii="Times New Roman" w:hAnsi="Times New Roman" w:cs="Times New Roman"/>
              </w:rPr>
              <w:t>-</w:t>
            </w:r>
          </w:p>
        </w:tc>
      </w:tr>
      <w:tr w:rsidR="00965A0A" w:rsidRPr="00DA0907" w14:paraId="39F444B8"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5B14C7D"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Interest rate</w:t>
            </w:r>
          </w:p>
        </w:tc>
        <w:tc>
          <w:tcPr>
            <w:tcW w:w="0" w:type="auto"/>
            <w:hideMark/>
          </w:tcPr>
          <w:p w14:paraId="3DD038B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INT</w:t>
            </w:r>
          </w:p>
        </w:tc>
        <w:tc>
          <w:tcPr>
            <w:tcW w:w="0" w:type="auto"/>
            <w:hideMark/>
          </w:tcPr>
          <w:p w14:paraId="781DA8F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average monetary policy rate (%)</w:t>
            </w:r>
          </w:p>
        </w:tc>
        <w:tc>
          <w:tcPr>
            <w:tcW w:w="0" w:type="auto"/>
            <w:hideMark/>
          </w:tcPr>
          <w:p w14:paraId="24E8D53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CBN</w:t>
            </w:r>
          </w:p>
        </w:tc>
        <w:tc>
          <w:tcPr>
            <w:tcW w:w="0" w:type="auto"/>
            <w:hideMark/>
          </w:tcPr>
          <w:p w14:paraId="13478634" w14:textId="562A2AFF" w:rsidR="00965A0A" w:rsidRPr="00DA0907" w:rsidRDefault="002437DD"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757E5007"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AFD19C9"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 growth</w:t>
            </w:r>
          </w:p>
        </w:tc>
        <w:tc>
          <w:tcPr>
            <w:tcW w:w="0" w:type="auto"/>
            <w:hideMark/>
          </w:tcPr>
          <w:p w14:paraId="0AD3372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GDP</w:t>
            </w:r>
          </w:p>
        </w:tc>
        <w:tc>
          <w:tcPr>
            <w:tcW w:w="0" w:type="auto"/>
            <w:hideMark/>
          </w:tcPr>
          <w:p w14:paraId="63F75B7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real GDP growth rate (%)</w:t>
            </w:r>
          </w:p>
        </w:tc>
        <w:tc>
          <w:tcPr>
            <w:tcW w:w="0" w:type="auto"/>
            <w:hideMark/>
          </w:tcPr>
          <w:p w14:paraId="237D841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NBS, World Bank</w:t>
            </w:r>
          </w:p>
        </w:tc>
        <w:tc>
          <w:tcPr>
            <w:tcW w:w="0" w:type="auto"/>
            <w:hideMark/>
          </w:tcPr>
          <w:p w14:paraId="2141D46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4FD8D0C6"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9D109DE"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Firm size</w:t>
            </w:r>
          </w:p>
        </w:tc>
        <w:tc>
          <w:tcPr>
            <w:tcW w:w="0" w:type="auto"/>
            <w:hideMark/>
          </w:tcPr>
          <w:p w14:paraId="33743DB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SIZE</w:t>
            </w:r>
          </w:p>
        </w:tc>
        <w:tc>
          <w:tcPr>
            <w:tcW w:w="0" w:type="auto"/>
            <w:hideMark/>
          </w:tcPr>
          <w:p w14:paraId="0D70C54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Natural logarithm of total assets</w:t>
            </w:r>
          </w:p>
        </w:tc>
        <w:tc>
          <w:tcPr>
            <w:tcW w:w="0" w:type="auto"/>
            <w:hideMark/>
          </w:tcPr>
          <w:p w14:paraId="3A4C7A2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reports</w:t>
            </w:r>
          </w:p>
        </w:tc>
        <w:tc>
          <w:tcPr>
            <w:tcW w:w="0" w:type="auto"/>
            <w:hideMark/>
          </w:tcPr>
          <w:p w14:paraId="22F5EED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31F364E2"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BCE22E1"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Leverage</w:t>
            </w:r>
          </w:p>
        </w:tc>
        <w:tc>
          <w:tcPr>
            <w:tcW w:w="0" w:type="auto"/>
            <w:hideMark/>
          </w:tcPr>
          <w:p w14:paraId="3E1D019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LEV</w:t>
            </w:r>
          </w:p>
        </w:tc>
        <w:tc>
          <w:tcPr>
            <w:tcW w:w="0" w:type="auto"/>
            <w:hideMark/>
          </w:tcPr>
          <w:p w14:paraId="79D3786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Total liabilities / total assets</w:t>
            </w:r>
          </w:p>
        </w:tc>
        <w:tc>
          <w:tcPr>
            <w:tcW w:w="0" w:type="auto"/>
            <w:hideMark/>
          </w:tcPr>
          <w:p w14:paraId="40BF63E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reports</w:t>
            </w:r>
          </w:p>
        </w:tc>
        <w:tc>
          <w:tcPr>
            <w:tcW w:w="0" w:type="auto"/>
            <w:hideMark/>
          </w:tcPr>
          <w:p w14:paraId="0969912F" w14:textId="6D2657FB" w:rsidR="00965A0A" w:rsidRPr="00DA0907" w:rsidRDefault="002437DD"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344BB54F"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171FD67"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Profitability</w:t>
            </w:r>
          </w:p>
        </w:tc>
        <w:tc>
          <w:tcPr>
            <w:tcW w:w="0" w:type="auto"/>
            <w:hideMark/>
          </w:tcPr>
          <w:p w14:paraId="6D13474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ROA</w:t>
            </w:r>
          </w:p>
        </w:tc>
        <w:tc>
          <w:tcPr>
            <w:tcW w:w="0" w:type="auto"/>
            <w:hideMark/>
          </w:tcPr>
          <w:p w14:paraId="17A39B5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Net income / total assets (%)</w:t>
            </w:r>
          </w:p>
        </w:tc>
        <w:tc>
          <w:tcPr>
            <w:tcW w:w="0" w:type="auto"/>
            <w:hideMark/>
          </w:tcPr>
          <w:p w14:paraId="7A89F80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Annual reports</w:t>
            </w:r>
          </w:p>
        </w:tc>
        <w:tc>
          <w:tcPr>
            <w:tcW w:w="0" w:type="auto"/>
            <w:hideMark/>
          </w:tcPr>
          <w:p w14:paraId="19FDAFB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bl>
    <w:p w14:paraId="577774C2" w14:textId="7777777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i/>
          <w:iCs/>
        </w:rPr>
        <w:t>Source: Authors' compilation, 2025</w:t>
      </w:r>
    </w:p>
    <w:p w14:paraId="1CC7273F" w14:textId="223E7079"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3.5</w:t>
      </w:r>
      <w:r w:rsidR="00965A0A" w:rsidRPr="00DA0907">
        <w:rPr>
          <w:rFonts w:ascii="Times New Roman" w:hAnsi="Times New Roman" w:cs="Times New Roman"/>
          <w:b/>
          <w:bCs/>
        </w:rPr>
        <w:t>Model Specification</w:t>
      </w:r>
    </w:p>
    <w:p w14:paraId="18033B96" w14:textId="77777777" w:rsidR="00AD5C18" w:rsidRPr="00DA0907" w:rsidRDefault="00AD5C1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study adopts a panel regression model to investigate the impact of the inflation and other macroeconomic variables on sectoral stock returns:</w:t>
      </w:r>
    </w:p>
    <w:p w14:paraId="76C5BC03" w14:textId="05A7F8DF"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RETᵢₜ = α + β₁INFₜ + β₂INFVOLₜ + β₃EXRₜ + β₄INTₜ + β₅GDPₜ + β₆SIZEᵢₜ + β₇LEVᵢₜ + β₈ROAᵢₜ + μᵢ + λₜ + εᵢₜ</w:t>
      </w:r>
    </w:p>
    <w:p w14:paraId="33436A8A" w14:textId="77777777" w:rsidR="00AD5C18"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where RETᵢₜ is the stock return of firm </w:t>
      </w:r>
      <w:proofErr w:type="spellStart"/>
      <w:r w:rsidRPr="00DA0907">
        <w:rPr>
          <w:rFonts w:ascii="Times New Roman" w:hAnsi="Times New Roman" w:cs="Times New Roman"/>
        </w:rPr>
        <w:t>i</w:t>
      </w:r>
      <w:proofErr w:type="spellEnd"/>
      <w:r w:rsidRPr="00DA0907">
        <w:rPr>
          <w:rFonts w:ascii="Times New Roman" w:hAnsi="Times New Roman" w:cs="Times New Roman"/>
        </w:rPr>
        <w:t xml:space="preserve"> in year t; INFₜ, INFVOLₜ, EXRₜ, INTₜ, and GDPₜ are the macroeconomic explanatory variables; SIZEᵢₜ, LEVᵢₜ, and ROAᵢₜ are firm-level control variables; μᵢ captures firm-specific fixed effects; λₜ captures time fixed effects; and εᵢₜ is the idiosyncratic error term. </w:t>
      </w:r>
      <w:r w:rsidR="00AD5C18" w:rsidRPr="00DA0907">
        <w:rPr>
          <w:rFonts w:ascii="Times New Roman" w:hAnsi="Times New Roman" w:cs="Times New Roman"/>
        </w:rPr>
        <w:t>In order to explore the sectoral heterogeneity, sectoral regressions were also estimated for each of the five major sectors.</w:t>
      </w:r>
    </w:p>
    <w:p w14:paraId="2FFC9248" w14:textId="3A358BDD" w:rsidR="000F4859" w:rsidRPr="00DA0907" w:rsidRDefault="000F4859"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noProof/>
        </w:rPr>
        <w:lastRenderedPageBreak/>
        <w:drawing>
          <wp:inline distT="0" distB="0" distL="0" distR="0" wp14:anchorId="09BC5703" wp14:editId="0FDA2A63">
            <wp:extent cx="5943600" cy="4020820"/>
            <wp:effectExtent l="0" t="0" r="0" b="0"/>
            <wp:docPr id="827685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85846" name="Picture 8276858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020820"/>
                    </a:xfrm>
                    <a:prstGeom prst="rect">
                      <a:avLst/>
                    </a:prstGeom>
                  </pic:spPr>
                </pic:pic>
              </a:graphicData>
            </a:graphic>
          </wp:inline>
        </w:drawing>
      </w:r>
    </w:p>
    <w:p w14:paraId="4A5A63A7" w14:textId="309D7E2E" w:rsidR="000F4859" w:rsidRPr="00DA0907" w:rsidRDefault="000F4859" w:rsidP="000F4859">
      <w:pPr>
        <w:tabs>
          <w:tab w:val="left" w:pos="2070"/>
        </w:tabs>
        <w:spacing w:line="360" w:lineRule="auto"/>
        <w:rPr>
          <w:rFonts w:ascii="Times New Roman" w:hAnsi="Times New Roman" w:cs="Times New Roman"/>
          <w:b/>
          <w:bCs/>
          <w:i/>
          <w:iCs/>
        </w:rPr>
      </w:pPr>
      <w:r w:rsidRPr="00DA0907">
        <w:rPr>
          <w:rFonts w:ascii="Times New Roman" w:hAnsi="Times New Roman" w:cs="Times New Roman"/>
          <w:b/>
          <w:bCs/>
          <w:i/>
          <w:iCs/>
        </w:rPr>
        <w:t xml:space="preserve">Figure 1. </w:t>
      </w:r>
      <w:r w:rsidRPr="00DA0907">
        <w:rPr>
          <w:rFonts w:ascii="Times New Roman" w:hAnsi="Times New Roman" w:cs="Times New Roman"/>
          <w:i/>
          <w:iCs/>
        </w:rPr>
        <w:t>Conceptual Framework of the Study</w:t>
      </w:r>
    </w:p>
    <w:p w14:paraId="6623DB8C" w14:textId="506D92D8" w:rsidR="000F4859" w:rsidRPr="00DA0907" w:rsidRDefault="000F4859" w:rsidP="004079F8">
      <w:pPr>
        <w:tabs>
          <w:tab w:val="left" w:pos="2070"/>
        </w:tabs>
        <w:spacing w:line="360" w:lineRule="auto"/>
        <w:rPr>
          <w:rFonts w:ascii="Times New Roman" w:hAnsi="Times New Roman" w:cs="Times New Roman"/>
          <w:b/>
          <w:bCs/>
          <w:i/>
          <w:iCs/>
        </w:rPr>
      </w:pPr>
      <w:r w:rsidRPr="00DA0907">
        <w:rPr>
          <w:rFonts w:ascii="Times New Roman" w:hAnsi="Times New Roman" w:cs="Times New Roman"/>
          <w:b/>
          <w:bCs/>
          <w:i/>
          <w:iCs/>
        </w:rPr>
        <w:t xml:space="preserve">Source: </w:t>
      </w:r>
      <w:r w:rsidRPr="00DA0907">
        <w:rPr>
          <w:rFonts w:ascii="Times New Roman" w:hAnsi="Times New Roman" w:cs="Times New Roman"/>
          <w:i/>
          <w:iCs/>
        </w:rPr>
        <w:t xml:space="preserve">Authors' </w:t>
      </w:r>
      <w:proofErr w:type="spellStart"/>
      <w:r w:rsidRPr="00DA0907">
        <w:rPr>
          <w:rFonts w:ascii="Times New Roman" w:hAnsi="Times New Roman" w:cs="Times New Roman"/>
          <w:i/>
          <w:iCs/>
        </w:rPr>
        <w:t>conceptualisation</w:t>
      </w:r>
      <w:proofErr w:type="spellEnd"/>
      <w:r w:rsidRPr="00DA0907">
        <w:rPr>
          <w:rFonts w:ascii="Times New Roman" w:hAnsi="Times New Roman" w:cs="Times New Roman"/>
          <w:i/>
          <w:iCs/>
        </w:rPr>
        <w:t>, 2025</w:t>
      </w:r>
    </w:p>
    <w:p w14:paraId="6D4AA6E3" w14:textId="4A447E5E"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3.6 </w:t>
      </w:r>
      <w:r w:rsidR="00965A0A" w:rsidRPr="00DA0907">
        <w:rPr>
          <w:rFonts w:ascii="Times New Roman" w:hAnsi="Times New Roman" w:cs="Times New Roman"/>
          <w:b/>
          <w:bCs/>
        </w:rPr>
        <w:t>Analytical Techniques</w:t>
      </w:r>
    </w:p>
    <w:p w14:paraId="01F2E40C" w14:textId="77777777" w:rsidR="00AD5C18" w:rsidRPr="00DA0907" w:rsidRDefault="00AD5C18" w:rsidP="00AD5C18">
      <w:pPr>
        <w:spacing w:line="360" w:lineRule="auto"/>
        <w:jc w:val="both"/>
        <w:rPr>
          <w:rFonts w:ascii="Times New Roman" w:hAnsi="Times New Roman" w:cs="Times New Roman"/>
        </w:rPr>
      </w:pPr>
      <w:r w:rsidRPr="00DA0907">
        <w:rPr>
          <w:rFonts w:ascii="Times New Roman" w:hAnsi="Times New Roman" w:cs="Times New Roman"/>
        </w:rPr>
        <w:t xml:space="preserve">All variables were calculated descriptive statistics (mean, median, standard deviation, minimum and maximum) and then correlation analysis and Variance Inflation Factor (VIF) tests were used to check for multicollinearity. Fixed Effects (FE) and Random Effects (RE) specifications were compared using the Hausman test and Pooled OLS is reported for comparison. Strong standard errors took care of heteroscedasticity and serial correlation inside panels. The results were robust, as reflected in the results of robustness checks such as alternative measures of inflation, exclusion of the COVID period (2020-2021), inclusion of oil price, and </w:t>
      </w:r>
      <w:proofErr w:type="spellStart"/>
      <w:r w:rsidRPr="00DA0907">
        <w:rPr>
          <w:rFonts w:ascii="Times New Roman" w:hAnsi="Times New Roman" w:cs="Times New Roman"/>
        </w:rPr>
        <w:t>winsorised</w:t>
      </w:r>
      <w:proofErr w:type="spellEnd"/>
      <w:r w:rsidRPr="00DA0907">
        <w:rPr>
          <w:rFonts w:ascii="Times New Roman" w:hAnsi="Times New Roman" w:cs="Times New Roman"/>
        </w:rPr>
        <w:t xml:space="preserve"> returns.</w:t>
      </w:r>
    </w:p>
    <w:p w14:paraId="32267DD5" w14:textId="77777777" w:rsidR="00BF6C82" w:rsidRPr="00DA0907" w:rsidRDefault="00BF6C82" w:rsidP="00BF6C82">
      <w:pPr>
        <w:rPr>
          <w:rFonts w:ascii="Times New Roman" w:hAnsi="Times New Roman" w:cs="Times New Roman"/>
          <w:b/>
          <w:bCs/>
          <w:sz w:val="26"/>
          <w:szCs w:val="26"/>
        </w:rPr>
      </w:pPr>
    </w:p>
    <w:p w14:paraId="052895AC" w14:textId="42C246E4" w:rsidR="00965A0A" w:rsidRPr="00DA0907" w:rsidRDefault="004079F8" w:rsidP="00BF6C82">
      <w:pPr>
        <w:rPr>
          <w:rFonts w:ascii="Times New Roman" w:hAnsi="Times New Roman" w:cs="Times New Roman"/>
          <w:b/>
          <w:bCs/>
          <w:sz w:val="26"/>
          <w:szCs w:val="26"/>
        </w:rPr>
      </w:pPr>
      <w:r w:rsidRPr="00DA0907">
        <w:rPr>
          <w:rFonts w:ascii="Times New Roman" w:hAnsi="Times New Roman" w:cs="Times New Roman"/>
          <w:b/>
          <w:bCs/>
          <w:sz w:val="26"/>
          <w:szCs w:val="26"/>
        </w:rPr>
        <w:t xml:space="preserve">4.0 </w:t>
      </w:r>
      <w:r w:rsidR="00965A0A" w:rsidRPr="00DA0907">
        <w:rPr>
          <w:rFonts w:ascii="Times New Roman" w:hAnsi="Times New Roman" w:cs="Times New Roman"/>
          <w:b/>
          <w:bCs/>
          <w:sz w:val="26"/>
          <w:szCs w:val="26"/>
        </w:rPr>
        <w:t>Results</w:t>
      </w:r>
    </w:p>
    <w:p w14:paraId="4386C044" w14:textId="43C51A79"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4.1 </w:t>
      </w:r>
      <w:r w:rsidR="00965A0A" w:rsidRPr="00DA0907">
        <w:rPr>
          <w:rFonts w:ascii="Times New Roman" w:hAnsi="Times New Roman" w:cs="Times New Roman"/>
          <w:b/>
          <w:bCs/>
        </w:rPr>
        <w:t>Descriptive Statistics</w:t>
      </w:r>
    </w:p>
    <w:p w14:paraId="238AC3E0" w14:textId="5B3A1BA2"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lastRenderedPageBreak/>
        <w:t xml:space="preserve">Table </w:t>
      </w:r>
      <w:r w:rsidR="00E374C5" w:rsidRPr="00DA0907">
        <w:rPr>
          <w:rFonts w:ascii="Times New Roman" w:hAnsi="Times New Roman" w:cs="Times New Roman"/>
          <w:b/>
          <w:bCs/>
        </w:rPr>
        <w:t>3</w:t>
      </w:r>
      <w:r w:rsidRPr="00DA0907">
        <w:rPr>
          <w:rFonts w:ascii="Times New Roman" w:hAnsi="Times New Roman" w:cs="Times New Roman"/>
          <w:b/>
          <w:bCs/>
        </w:rPr>
        <w:t>: Descriptive Statistics (2015–2024)</w:t>
      </w:r>
    </w:p>
    <w:tbl>
      <w:tblPr>
        <w:tblStyle w:val="GridTable1Light"/>
        <w:tblW w:w="0" w:type="auto"/>
        <w:tblLook w:val="04A0" w:firstRow="1" w:lastRow="0" w:firstColumn="1" w:lastColumn="0" w:noHBand="0" w:noVBand="1"/>
      </w:tblPr>
      <w:tblGrid>
        <w:gridCol w:w="1610"/>
        <w:gridCol w:w="630"/>
        <w:gridCol w:w="876"/>
        <w:gridCol w:w="1003"/>
        <w:gridCol w:w="1130"/>
        <w:gridCol w:w="1243"/>
        <w:gridCol w:w="1283"/>
      </w:tblGrid>
      <w:tr w:rsidR="00965A0A" w:rsidRPr="00DA0907" w14:paraId="2A4089D6"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8933AE"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Variable</w:t>
            </w:r>
          </w:p>
        </w:tc>
        <w:tc>
          <w:tcPr>
            <w:tcW w:w="0" w:type="auto"/>
            <w:hideMark/>
          </w:tcPr>
          <w:p w14:paraId="339062BE"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DA0907">
              <w:rPr>
                <w:rFonts w:ascii="Times New Roman" w:hAnsi="Times New Roman" w:cs="Times New Roman"/>
              </w:rPr>
              <w:t>Obs</w:t>
            </w:r>
            <w:proofErr w:type="spellEnd"/>
          </w:p>
        </w:tc>
        <w:tc>
          <w:tcPr>
            <w:tcW w:w="0" w:type="auto"/>
            <w:hideMark/>
          </w:tcPr>
          <w:p w14:paraId="4528E645"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Mean</w:t>
            </w:r>
          </w:p>
        </w:tc>
        <w:tc>
          <w:tcPr>
            <w:tcW w:w="0" w:type="auto"/>
            <w:hideMark/>
          </w:tcPr>
          <w:p w14:paraId="4D16B756"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Median</w:t>
            </w:r>
          </w:p>
        </w:tc>
        <w:tc>
          <w:tcPr>
            <w:tcW w:w="0" w:type="auto"/>
            <w:hideMark/>
          </w:tcPr>
          <w:p w14:paraId="7B844903"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Std. Dev.</w:t>
            </w:r>
          </w:p>
        </w:tc>
        <w:tc>
          <w:tcPr>
            <w:tcW w:w="0" w:type="auto"/>
            <w:hideMark/>
          </w:tcPr>
          <w:p w14:paraId="1CF1F213"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Minimum</w:t>
            </w:r>
          </w:p>
        </w:tc>
        <w:tc>
          <w:tcPr>
            <w:tcW w:w="0" w:type="auto"/>
            <w:hideMark/>
          </w:tcPr>
          <w:p w14:paraId="08E091A8"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Maximum</w:t>
            </w:r>
          </w:p>
        </w:tc>
      </w:tr>
      <w:tr w:rsidR="00965A0A" w:rsidRPr="00DA0907" w14:paraId="2CB9E0FB"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8F4AC3D"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RET (%)</w:t>
            </w:r>
          </w:p>
        </w:tc>
        <w:tc>
          <w:tcPr>
            <w:tcW w:w="0" w:type="auto"/>
            <w:hideMark/>
          </w:tcPr>
          <w:p w14:paraId="2D805D4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3088353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15.32</w:t>
            </w:r>
          </w:p>
        </w:tc>
        <w:tc>
          <w:tcPr>
            <w:tcW w:w="0" w:type="auto"/>
            <w:hideMark/>
          </w:tcPr>
          <w:p w14:paraId="746DEAB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8.47</w:t>
            </w:r>
          </w:p>
        </w:tc>
        <w:tc>
          <w:tcPr>
            <w:tcW w:w="0" w:type="auto"/>
            <w:hideMark/>
          </w:tcPr>
          <w:p w14:paraId="37D39FF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23.64</w:t>
            </w:r>
          </w:p>
        </w:tc>
        <w:tc>
          <w:tcPr>
            <w:tcW w:w="0" w:type="auto"/>
            <w:hideMark/>
          </w:tcPr>
          <w:p w14:paraId="4CABB27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-24.35</w:t>
            </w:r>
          </w:p>
        </w:tc>
        <w:tc>
          <w:tcPr>
            <w:tcW w:w="0" w:type="auto"/>
            <w:hideMark/>
          </w:tcPr>
          <w:p w14:paraId="71E9ADB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159.81</w:t>
            </w:r>
          </w:p>
        </w:tc>
      </w:tr>
      <w:tr w:rsidR="00965A0A" w:rsidRPr="00DA0907" w14:paraId="22E6298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1F8CA22"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 (%)</w:t>
            </w:r>
          </w:p>
        </w:tc>
        <w:tc>
          <w:tcPr>
            <w:tcW w:w="0" w:type="auto"/>
            <w:hideMark/>
          </w:tcPr>
          <w:p w14:paraId="706F691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7D1FA98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18.15</w:t>
            </w:r>
          </w:p>
        </w:tc>
        <w:tc>
          <w:tcPr>
            <w:tcW w:w="0" w:type="auto"/>
            <w:hideMark/>
          </w:tcPr>
          <w:p w14:paraId="42B7FBA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16.25</w:t>
            </w:r>
          </w:p>
        </w:tc>
        <w:tc>
          <w:tcPr>
            <w:tcW w:w="0" w:type="auto"/>
            <w:hideMark/>
          </w:tcPr>
          <w:p w14:paraId="273E44D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7.37</w:t>
            </w:r>
          </w:p>
        </w:tc>
        <w:tc>
          <w:tcPr>
            <w:tcW w:w="0" w:type="auto"/>
            <w:hideMark/>
          </w:tcPr>
          <w:p w14:paraId="1AE463D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9.01</w:t>
            </w:r>
          </w:p>
        </w:tc>
        <w:tc>
          <w:tcPr>
            <w:tcW w:w="0" w:type="auto"/>
            <w:hideMark/>
          </w:tcPr>
          <w:p w14:paraId="46D6361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34.80</w:t>
            </w:r>
          </w:p>
        </w:tc>
      </w:tr>
      <w:tr w:rsidR="00965A0A" w:rsidRPr="00DA0907" w14:paraId="530E46D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2D3448E"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INFVOL (%)</w:t>
            </w:r>
          </w:p>
        </w:tc>
        <w:tc>
          <w:tcPr>
            <w:tcW w:w="0" w:type="auto"/>
            <w:hideMark/>
          </w:tcPr>
          <w:p w14:paraId="2DF9DDB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65BC9A1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3.82</w:t>
            </w:r>
          </w:p>
        </w:tc>
        <w:tc>
          <w:tcPr>
            <w:tcW w:w="0" w:type="auto"/>
            <w:hideMark/>
          </w:tcPr>
          <w:p w14:paraId="0F6F421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3.41</w:t>
            </w:r>
          </w:p>
        </w:tc>
        <w:tc>
          <w:tcPr>
            <w:tcW w:w="0" w:type="auto"/>
            <w:hideMark/>
          </w:tcPr>
          <w:p w14:paraId="3A46290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1.56</w:t>
            </w:r>
          </w:p>
        </w:tc>
        <w:tc>
          <w:tcPr>
            <w:tcW w:w="0" w:type="auto"/>
            <w:hideMark/>
          </w:tcPr>
          <w:p w14:paraId="30A06A0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1.28</w:t>
            </w:r>
          </w:p>
        </w:tc>
        <w:tc>
          <w:tcPr>
            <w:tcW w:w="0" w:type="auto"/>
            <w:hideMark/>
          </w:tcPr>
          <w:p w14:paraId="1511484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6.73</w:t>
            </w:r>
          </w:p>
        </w:tc>
      </w:tr>
      <w:tr w:rsidR="00965A0A" w:rsidRPr="00DA0907" w14:paraId="5648190E"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5C0CD1E"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EXR (₦/US$)</w:t>
            </w:r>
          </w:p>
        </w:tc>
        <w:tc>
          <w:tcPr>
            <w:tcW w:w="0" w:type="auto"/>
            <w:hideMark/>
          </w:tcPr>
          <w:p w14:paraId="3089F36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374AB74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483.21</w:t>
            </w:r>
          </w:p>
        </w:tc>
        <w:tc>
          <w:tcPr>
            <w:tcW w:w="0" w:type="auto"/>
            <w:hideMark/>
          </w:tcPr>
          <w:p w14:paraId="48657C2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410.50</w:t>
            </w:r>
          </w:p>
        </w:tc>
        <w:tc>
          <w:tcPr>
            <w:tcW w:w="0" w:type="auto"/>
            <w:hideMark/>
          </w:tcPr>
          <w:p w14:paraId="7859A75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296.84</w:t>
            </w:r>
          </w:p>
        </w:tc>
        <w:tc>
          <w:tcPr>
            <w:tcW w:w="0" w:type="auto"/>
            <w:hideMark/>
          </w:tcPr>
          <w:p w14:paraId="227551A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197.00</w:t>
            </w:r>
          </w:p>
        </w:tc>
        <w:tc>
          <w:tcPr>
            <w:tcW w:w="0" w:type="auto"/>
            <w:hideMark/>
          </w:tcPr>
          <w:p w14:paraId="09CB45F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1,543.00</w:t>
            </w:r>
          </w:p>
        </w:tc>
      </w:tr>
      <w:tr w:rsidR="00965A0A" w:rsidRPr="00DA0907" w14:paraId="1A2BCA84"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6F5FF63"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 (%)</w:t>
            </w:r>
          </w:p>
        </w:tc>
        <w:tc>
          <w:tcPr>
            <w:tcW w:w="0" w:type="auto"/>
            <w:hideMark/>
          </w:tcPr>
          <w:p w14:paraId="46532F8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0052976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15.47</w:t>
            </w:r>
          </w:p>
        </w:tc>
        <w:tc>
          <w:tcPr>
            <w:tcW w:w="0" w:type="auto"/>
            <w:hideMark/>
          </w:tcPr>
          <w:p w14:paraId="7B87D41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14.50</w:t>
            </w:r>
          </w:p>
        </w:tc>
        <w:tc>
          <w:tcPr>
            <w:tcW w:w="0" w:type="auto"/>
            <w:hideMark/>
          </w:tcPr>
          <w:p w14:paraId="24E13A2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2.86</w:t>
            </w:r>
          </w:p>
        </w:tc>
        <w:tc>
          <w:tcPr>
            <w:tcW w:w="0" w:type="auto"/>
            <w:hideMark/>
          </w:tcPr>
          <w:p w14:paraId="6F7F9A8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11.50</w:t>
            </w:r>
          </w:p>
        </w:tc>
        <w:tc>
          <w:tcPr>
            <w:tcW w:w="0" w:type="auto"/>
            <w:hideMark/>
          </w:tcPr>
          <w:p w14:paraId="0D5893D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26.75</w:t>
            </w:r>
          </w:p>
        </w:tc>
      </w:tr>
      <w:tr w:rsidR="00965A0A" w:rsidRPr="00DA0907" w14:paraId="37674B46"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D04DAA9"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 (%)</w:t>
            </w:r>
          </w:p>
        </w:tc>
        <w:tc>
          <w:tcPr>
            <w:tcW w:w="0" w:type="auto"/>
            <w:hideMark/>
          </w:tcPr>
          <w:p w14:paraId="5E453B6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2105504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2.84</w:t>
            </w:r>
          </w:p>
        </w:tc>
        <w:tc>
          <w:tcPr>
            <w:tcW w:w="0" w:type="auto"/>
            <w:hideMark/>
          </w:tcPr>
          <w:p w14:paraId="63E5E73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2.62</w:t>
            </w:r>
          </w:p>
        </w:tc>
        <w:tc>
          <w:tcPr>
            <w:tcW w:w="0" w:type="auto"/>
            <w:hideMark/>
          </w:tcPr>
          <w:p w14:paraId="05E536D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1.93</w:t>
            </w:r>
          </w:p>
        </w:tc>
        <w:tc>
          <w:tcPr>
            <w:tcW w:w="0" w:type="auto"/>
            <w:hideMark/>
          </w:tcPr>
          <w:p w14:paraId="4576104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-1.92</w:t>
            </w:r>
          </w:p>
        </w:tc>
        <w:tc>
          <w:tcPr>
            <w:tcW w:w="0" w:type="auto"/>
            <w:hideMark/>
          </w:tcPr>
          <w:p w14:paraId="5D5C424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5.01</w:t>
            </w:r>
          </w:p>
        </w:tc>
      </w:tr>
      <w:tr w:rsidR="00965A0A" w:rsidRPr="00DA0907" w14:paraId="718C48FD"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0BFA016"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SIZE (log)</w:t>
            </w:r>
          </w:p>
        </w:tc>
        <w:tc>
          <w:tcPr>
            <w:tcW w:w="0" w:type="auto"/>
            <w:hideMark/>
          </w:tcPr>
          <w:p w14:paraId="226D35C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52B5A9B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8.91</w:t>
            </w:r>
          </w:p>
        </w:tc>
        <w:tc>
          <w:tcPr>
            <w:tcW w:w="0" w:type="auto"/>
            <w:hideMark/>
          </w:tcPr>
          <w:p w14:paraId="1E3D1D8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8.76</w:t>
            </w:r>
          </w:p>
        </w:tc>
        <w:tc>
          <w:tcPr>
            <w:tcW w:w="0" w:type="auto"/>
            <w:hideMark/>
          </w:tcPr>
          <w:p w14:paraId="29A1F55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1.48</w:t>
            </w:r>
          </w:p>
        </w:tc>
        <w:tc>
          <w:tcPr>
            <w:tcW w:w="0" w:type="auto"/>
            <w:hideMark/>
          </w:tcPr>
          <w:p w14:paraId="454EFBA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5.67</w:t>
            </w:r>
          </w:p>
        </w:tc>
        <w:tc>
          <w:tcPr>
            <w:tcW w:w="0" w:type="auto"/>
            <w:hideMark/>
          </w:tcPr>
          <w:p w14:paraId="0218193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12.34</w:t>
            </w:r>
          </w:p>
        </w:tc>
      </w:tr>
      <w:tr w:rsidR="00965A0A" w:rsidRPr="00DA0907" w14:paraId="7D6ED80C"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DD91557"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LEV (%)</w:t>
            </w:r>
          </w:p>
        </w:tc>
        <w:tc>
          <w:tcPr>
            <w:tcW w:w="0" w:type="auto"/>
            <w:hideMark/>
          </w:tcPr>
          <w:p w14:paraId="7C1465B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358F501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47.23</w:t>
            </w:r>
          </w:p>
        </w:tc>
        <w:tc>
          <w:tcPr>
            <w:tcW w:w="0" w:type="auto"/>
            <w:hideMark/>
          </w:tcPr>
          <w:p w14:paraId="56011D3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48.10</w:t>
            </w:r>
          </w:p>
        </w:tc>
        <w:tc>
          <w:tcPr>
            <w:tcW w:w="0" w:type="auto"/>
            <w:hideMark/>
          </w:tcPr>
          <w:p w14:paraId="03CA6EB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22.56</w:t>
            </w:r>
          </w:p>
        </w:tc>
        <w:tc>
          <w:tcPr>
            <w:tcW w:w="0" w:type="auto"/>
            <w:hideMark/>
          </w:tcPr>
          <w:p w14:paraId="0805607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5.20</w:t>
            </w:r>
          </w:p>
        </w:tc>
        <w:tc>
          <w:tcPr>
            <w:tcW w:w="0" w:type="auto"/>
            <w:hideMark/>
          </w:tcPr>
          <w:p w14:paraId="515322E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89.70</w:t>
            </w:r>
          </w:p>
        </w:tc>
      </w:tr>
      <w:tr w:rsidR="00965A0A" w:rsidRPr="00DA0907" w14:paraId="2264E0CD"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063464A"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ROA (%)</w:t>
            </w:r>
          </w:p>
        </w:tc>
        <w:tc>
          <w:tcPr>
            <w:tcW w:w="0" w:type="auto"/>
            <w:hideMark/>
          </w:tcPr>
          <w:p w14:paraId="1B8C372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720</w:t>
            </w:r>
          </w:p>
        </w:tc>
        <w:tc>
          <w:tcPr>
            <w:tcW w:w="0" w:type="auto"/>
            <w:hideMark/>
          </w:tcPr>
          <w:p w14:paraId="6D2CF52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9.84</w:t>
            </w:r>
          </w:p>
        </w:tc>
        <w:tc>
          <w:tcPr>
            <w:tcW w:w="0" w:type="auto"/>
            <w:hideMark/>
          </w:tcPr>
          <w:p w14:paraId="70C61AD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8.92</w:t>
            </w:r>
          </w:p>
        </w:tc>
        <w:tc>
          <w:tcPr>
            <w:tcW w:w="0" w:type="auto"/>
            <w:hideMark/>
          </w:tcPr>
          <w:p w14:paraId="7B01323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6.73</w:t>
            </w:r>
          </w:p>
        </w:tc>
        <w:tc>
          <w:tcPr>
            <w:tcW w:w="0" w:type="auto"/>
            <w:hideMark/>
          </w:tcPr>
          <w:p w14:paraId="77F0BFD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-12.40</w:t>
            </w:r>
          </w:p>
        </w:tc>
        <w:tc>
          <w:tcPr>
            <w:tcW w:w="0" w:type="auto"/>
            <w:hideMark/>
          </w:tcPr>
          <w:p w14:paraId="69FCCD8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28.50</w:t>
            </w:r>
          </w:p>
        </w:tc>
      </w:tr>
    </w:tbl>
    <w:p w14:paraId="1310D385" w14:textId="7777777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i/>
          <w:iCs/>
        </w:rPr>
        <w:t>Source: Authors' computation, 2025</w:t>
      </w:r>
    </w:p>
    <w:p w14:paraId="794DDC2F" w14:textId="6536C3F1" w:rsidR="00AD5C18" w:rsidRPr="00DA0907" w:rsidRDefault="00AD5C1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mean annual inflation rate for the study period was 18.15 percent (SD = 7.37) with the minimum inflation rate recorded in 2015 (9.01 percent) and the maximum recorded in 2024 (34.80 percent) (National Bureau of Statistics, 2025). The mean sectoral stock return was 15.32 percent with high dispersion (SD = 23.64) </w:t>
      </w:r>
      <w:r w:rsidR="00897946" w:rsidRPr="00DA0907">
        <w:rPr>
          <w:rFonts w:ascii="Times New Roman" w:hAnsi="Times New Roman" w:cs="Times New Roman"/>
        </w:rPr>
        <w:t xml:space="preserve">ranging </w:t>
      </w:r>
      <w:r w:rsidRPr="00DA0907">
        <w:rPr>
          <w:rFonts w:ascii="Times New Roman" w:hAnsi="Times New Roman" w:cs="Times New Roman"/>
        </w:rPr>
        <w:t>from -24.35 percent (Consumer Goods, 2018) to 159.81 percent (Oil and Gas, 2024) (Nigerian Exchange Group, 2025). The mean exchange rate of ₦483.21/US$ indicates significant naira depreciation during the period (Central Bank of Nigeria, 2024).</w:t>
      </w:r>
    </w:p>
    <w:p w14:paraId="1FABDCA0" w14:textId="6074BB9A" w:rsidR="00965A0A" w:rsidRPr="00DA0907" w:rsidRDefault="004079F8"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4.2 </w:t>
      </w:r>
      <w:r w:rsidR="00965A0A" w:rsidRPr="00DA0907">
        <w:rPr>
          <w:rFonts w:ascii="Times New Roman" w:hAnsi="Times New Roman" w:cs="Times New Roman"/>
          <w:b/>
          <w:bCs/>
        </w:rPr>
        <w:t>Correlation Analysis</w:t>
      </w:r>
    </w:p>
    <w:p w14:paraId="1F3BB3D4" w14:textId="27F1D3F4"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4</w:t>
      </w:r>
      <w:r w:rsidRPr="00DA0907">
        <w:rPr>
          <w:rFonts w:ascii="Times New Roman" w:hAnsi="Times New Roman" w:cs="Times New Roman"/>
          <w:b/>
          <w:bCs/>
        </w:rPr>
        <w:t>: Correlation Matrix</w:t>
      </w:r>
    </w:p>
    <w:tbl>
      <w:tblPr>
        <w:tblStyle w:val="GridTable1Light"/>
        <w:tblW w:w="0" w:type="auto"/>
        <w:tblLook w:val="04A0" w:firstRow="1" w:lastRow="0" w:firstColumn="1" w:lastColumn="0" w:noHBand="0" w:noVBand="1"/>
      </w:tblPr>
      <w:tblGrid>
        <w:gridCol w:w="1093"/>
        <w:gridCol w:w="952"/>
        <w:gridCol w:w="952"/>
        <w:gridCol w:w="1093"/>
        <w:gridCol w:w="952"/>
        <w:gridCol w:w="952"/>
        <w:gridCol w:w="839"/>
        <w:gridCol w:w="952"/>
        <w:gridCol w:w="839"/>
        <w:gridCol w:w="726"/>
      </w:tblGrid>
      <w:tr w:rsidR="00965A0A" w:rsidRPr="00DA0907" w14:paraId="5C7E2222"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6E8D5A" w14:textId="77777777" w:rsidR="00965A0A" w:rsidRPr="00DA0907" w:rsidRDefault="00965A0A" w:rsidP="00965A0A">
            <w:pPr>
              <w:tabs>
                <w:tab w:val="left" w:pos="2070"/>
              </w:tabs>
              <w:spacing w:after="160" w:line="360" w:lineRule="auto"/>
              <w:jc w:val="both"/>
              <w:rPr>
                <w:rFonts w:ascii="Times New Roman" w:hAnsi="Times New Roman" w:cs="Times New Roman"/>
              </w:rPr>
            </w:pPr>
          </w:p>
        </w:tc>
        <w:tc>
          <w:tcPr>
            <w:tcW w:w="0" w:type="auto"/>
            <w:hideMark/>
          </w:tcPr>
          <w:p w14:paraId="3C319E85"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RET</w:t>
            </w:r>
          </w:p>
        </w:tc>
        <w:tc>
          <w:tcPr>
            <w:tcW w:w="0" w:type="auto"/>
            <w:hideMark/>
          </w:tcPr>
          <w:p w14:paraId="569B3293"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w:t>
            </w:r>
          </w:p>
        </w:tc>
        <w:tc>
          <w:tcPr>
            <w:tcW w:w="0" w:type="auto"/>
            <w:hideMark/>
          </w:tcPr>
          <w:p w14:paraId="1AF01E93"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INFVOL</w:t>
            </w:r>
          </w:p>
        </w:tc>
        <w:tc>
          <w:tcPr>
            <w:tcW w:w="0" w:type="auto"/>
            <w:hideMark/>
          </w:tcPr>
          <w:p w14:paraId="08D1B9D5"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EXR</w:t>
            </w:r>
          </w:p>
        </w:tc>
        <w:tc>
          <w:tcPr>
            <w:tcW w:w="0" w:type="auto"/>
            <w:hideMark/>
          </w:tcPr>
          <w:p w14:paraId="70D2DE58"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INT</w:t>
            </w:r>
          </w:p>
        </w:tc>
        <w:tc>
          <w:tcPr>
            <w:tcW w:w="0" w:type="auto"/>
            <w:hideMark/>
          </w:tcPr>
          <w:p w14:paraId="64A8B81F"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GDP</w:t>
            </w:r>
          </w:p>
        </w:tc>
        <w:tc>
          <w:tcPr>
            <w:tcW w:w="0" w:type="auto"/>
            <w:hideMark/>
          </w:tcPr>
          <w:p w14:paraId="37AC7BAB"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SIZE</w:t>
            </w:r>
          </w:p>
        </w:tc>
        <w:tc>
          <w:tcPr>
            <w:tcW w:w="0" w:type="auto"/>
            <w:hideMark/>
          </w:tcPr>
          <w:p w14:paraId="6F111301"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LEV</w:t>
            </w:r>
          </w:p>
        </w:tc>
        <w:tc>
          <w:tcPr>
            <w:tcW w:w="0" w:type="auto"/>
            <w:hideMark/>
          </w:tcPr>
          <w:p w14:paraId="7D12FCEE"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ROA</w:t>
            </w:r>
          </w:p>
        </w:tc>
      </w:tr>
      <w:tr w:rsidR="00965A0A" w:rsidRPr="00DA0907" w14:paraId="2104CAE7"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DF04CF0"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RET</w:t>
            </w:r>
          </w:p>
        </w:tc>
        <w:tc>
          <w:tcPr>
            <w:tcW w:w="0" w:type="auto"/>
            <w:hideMark/>
          </w:tcPr>
          <w:p w14:paraId="36C4842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2C0FAF4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0C3229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912A36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B13178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679AA7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48CB78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56A516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AC274B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55A4158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FE8D6C2"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lastRenderedPageBreak/>
              <w:t>INF</w:t>
            </w:r>
          </w:p>
        </w:tc>
        <w:tc>
          <w:tcPr>
            <w:tcW w:w="0" w:type="auto"/>
            <w:hideMark/>
          </w:tcPr>
          <w:p w14:paraId="3283BE5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-0.312**</w:t>
            </w:r>
          </w:p>
        </w:tc>
        <w:tc>
          <w:tcPr>
            <w:tcW w:w="0" w:type="auto"/>
            <w:hideMark/>
          </w:tcPr>
          <w:p w14:paraId="0329349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5ED2844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D297D5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BB9A85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C7C5E5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A3ADFD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FA9ADC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B7C2BA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7BB9344F"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2DA2CFE"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INFVOL</w:t>
            </w:r>
          </w:p>
        </w:tc>
        <w:tc>
          <w:tcPr>
            <w:tcW w:w="0" w:type="auto"/>
            <w:hideMark/>
          </w:tcPr>
          <w:p w14:paraId="56FCBD0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-0.286*</w:t>
            </w:r>
          </w:p>
        </w:tc>
        <w:tc>
          <w:tcPr>
            <w:tcW w:w="0" w:type="auto"/>
            <w:hideMark/>
          </w:tcPr>
          <w:p w14:paraId="38ED7F1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0.742**</w:t>
            </w:r>
          </w:p>
        </w:tc>
        <w:tc>
          <w:tcPr>
            <w:tcW w:w="0" w:type="auto"/>
            <w:hideMark/>
          </w:tcPr>
          <w:p w14:paraId="0A30F69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136FB30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F34D12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849111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622BC6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DA3D6E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1790B7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6C51519B"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B18AC5E"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EXR</w:t>
            </w:r>
          </w:p>
        </w:tc>
        <w:tc>
          <w:tcPr>
            <w:tcW w:w="0" w:type="auto"/>
            <w:hideMark/>
          </w:tcPr>
          <w:p w14:paraId="4C995AC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0.284*</w:t>
            </w:r>
          </w:p>
        </w:tc>
        <w:tc>
          <w:tcPr>
            <w:tcW w:w="0" w:type="auto"/>
            <w:hideMark/>
          </w:tcPr>
          <w:p w14:paraId="323B785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0.612**</w:t>
            </w:r>
          </w:p>
        </w:tc>
        <w:tc>
          <w:tcPr>
            <w:tcW w:w="0" w:type="auto"/>
            <w:hideMark/>
          </w:tcPr>
          <w:p w14:paraId="2E83FCA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0.487**</w:t>
            </w:r>
          </w:p>
        </w:tc>
        <w:tc>
          <w:tcPr>
            <w:tcW w:w="0" w:type="auto"/>
            <w:hideMark/>
          </w:tcPr>
          <w:p w14:paraId="1880F0E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25A6C46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9C89DC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058806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E43BFD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823B13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1C8F51E1"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6B498FB"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w:t>
            </w:r>
          </w:p>
        </w:tc>
        <w:tc>
          <w:tcPr>
            <w:tcW w:w="0" w:type="auto"/>
            <w:hideMark/>
          </w:tcPr>
          <w:p w14:paraId="595D776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-0.198*</w:t>
            </w:r>
          </w:p>
        </w:tc>
        <w:tc>
          <w:tcPr>
            <w:tcW w:w="0" w:type="auto"/>
            <w:hideMark/>
          </w:tcPr>
          <w:p w14:paraId="71BB6AC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0.523**</w:t>
            </w:r>
          </w:p>
        </w:tc>
        <w:tc>
          <w:tcPr>
            <w:tcW w:w="0" w:type="auto"/>
            <w:hideMark/>
          </w:tcPr>
          <w:p w14:paraId="3DFD7BB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0.401**</w:t>
            </w:r>
          </w:p>
        </w:tc>
        <w:tc>
          <w:tcPr>
            <w:tcW w:w="0" w:type="auto"/>
            <w:hideMark/>
          </w:tcPr>
          <w:p w14:paraId="407FE05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0.412**</w:t>
            </w:r>
          </w:p>
        </w:tc>
        <w:tc>
          <w:tcPr>
            <w:tcW w:w="0" w:type="auto"/>
            <w:hideMark/>
          </w:tcPr>
          <w:p w14:paraId="04CE40A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7793E2D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F735D6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7D4055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BDD1C3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5385880D"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144E2B4"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w:t>
            </w:r>
          </w:p>
        </w:tc>
        <w:tc>
          <w:tcPr>
            <w:tcW w:w="0" w:type="auto"/>
            <w:hideMark/>
          </w:tcPr>
          <w:p w14:paraId="0AB9F58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0.215*</w:t>
            </w:r>
          </w:p>
        </w:tc>
        <w:tc>
          <w:tcPr>
            <w:tcW w:w="0" w:type="auto"/>
            <w:hideMark/>
          </w:tcPr>
          <w:p w14:paraId="1B0DD3C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-0.356**</w:t>
            </w:r>
          </w:p>
        </w:tc>
        <w:tc>
          <w:tcPr>
            <w:tcW w:w="0" w:type="auto"/>
            <w:hideMark/>
          </w:tcPr>
          <w:p w14:paraId="7C81490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-0.298*</w:t>
            </w:r>
          </w:p>
        </w:tc>
        <w:tc>
          <w:tcPr>
            <w:tcW w:w="0" w:type="auto"/>
            <w:hideMark/>
          </w:tcPr>
          <w:p w14:paraId="06DCBC4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-0.287*</w:t>
            </w:r>
          </w:p>
        </w:tc>
        <w:tc>
          <w:tcPr>
            <w:tcW w:w="0" w:type="auto"/>
            <w:hideMark/>
          </w:tcPr>
          <w:p w14:paraId="5D2F1AE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-0.384**</w:t>
            </w:r>
          </w:p>
        </w:tc>
        <w:tc>
          <w:tcPr>
            <w:tcW w:w="0" w:type="auto"/>
            <w:hideMark/>
          </w:tcPr>
          <w:p w14:paraId="7327CB1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58A7DE0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AFE22F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291195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2B26AA4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4C14113"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SIZE</w:t>
            </w:r>
          </w:p>
        </w:tc>
        <w:tc>
          <w:tcPr>
            <w:tcW w:w="0" w:type="auto"/>
            <w:hideMark/>
          </w:tcPr>
          <w:p w14:paraId="44EA546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0.148</w:t>
            </w:r>
          </w:p>
        </w:tc>
        <w:tc>
          <w:tcPr>
            <w:tcW w:w="0" w:type="auto"/>
            <w:hideMark/>
          </w:tcPr>
          <w:p w14:paraId="6CB435A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0.024</w:t>
            </w:r>
          </w:p>
        </w:tc>
        <w:tc>
          <w:tcPr>
            <w:tcW w:w="0" w:type="auto"/>
            <w:hideMark/>
          </w:tcPr>
          <w:p w14:paraId="587C144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-0.017</w:t>
            </w:r>
          </w:p>
        </w:tc>
        <w:tc>
          <w:tcPr>
            <w:tcW w:w="0" w:type="auto"/>
            <w:hideMark/>
          </w:tcPr>
          <w:p w14:paraId="2B22A6F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0.098</w:t>
            </w:r>
          </w:p>
        </w:tc>
        <w:tc>
          <w:tcPr>
            <w:tcW w:w="0" w:type="auto"/>
            <w:hideMark/>
          </w:tcPr>
          <w:p w14:paraId="6B6BE39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0.124</w:t>
            </w:r>
          </w:p>
        </w:tc>
        <w:tc>
          <w:tcPr>
            <w:tcW w:w="0" w:type="auto"/>
            <w:hideMark/>
          </w:tcPr>
          <w:p w14:paraId="2505EDF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0.056</w:t>
            </w:r>
          </w:p>
        </w:tc>
        <w:tc>
          <w:tcPr>
            <w:tcW w:w="0" w:type="auto"/>
            <w:hideMark/>
          </w:tcPr>
          <w:p w14:paraId="6F880BA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5133F27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0E98F2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223D13F5"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55F6C71"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LEV</w:t>
            </w:r>
          </w:p>
        </w:tc>
        <w:tc>
          <w:tcPr>
            <w:tcW w:w="0" w:type="auto"/>
            <w:hideMark/>
          </w:tcPr>
          <w:p w14:paraId="38CFEE3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-0.087</w:t>
            </w:r>
          </w:p>
        </w:tc>
        <w:tc>
          <w:tcPr>
            <w:tcW w:w="0" w:type="auto"/>
            <w:hideMark/>
          </w:tcPr>
          <w:p w14:paraId="1BF177B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0.113</w:t>
            </w:r>
          </w:p>
        </w:tc>
        <w:tc>
          <w:tcPr>
            <w:tcW w:w="0" w:type="auto"/>
            <w:hideMark/>
          </w:tcPr>
          <w:p w14:paraId="1989630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0.087</w:t>
            </w:r>
          </w:p>
        </w:tc>
        <w:tc>
          <w:tcPr>
            <w:tcW w:w="0" w:type="auto"/>
            <w:hideMark/>
          </w:tcPr>
          <w:p w14:paraId="46A8869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0.142</w:t>
            </w:r>
          </w:p>
        </w:tc>
        <w:tc>
          <w:tcPr>
            <w:tcW w:w="0" w:type="auto"/>
            <w:hideMark/>
          </w:tcPr>
          <w:p w14:paraId="4A41200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0.167*</w:t>
            </w:r>
          </w:p>
        </w:tc>
        <w:tc>
          <w:tcPr>
            <w:tcW w:w="0" w:type="auto"/>
            <w:hideMark/>
          </w:tcPr>
          <w:p w14:paraId="3F76BB6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-0.102</w:t>
            </w:r>
          </w:p>
        </w:tc>
        <w:tc>
          <w:tcPr>
            <w:tcW w:w="0" w:type="auto"/>
            <w:hideMark/>
          </w:tcPr>
          <w:p w14:paraId="490153B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0.284*</w:t>
            </w:r>
          </w:p>
        </w:tc>
        <w:tc>
          <w:tcPr>
            <w:tcW w:w="0" w:type="auto"/>
            <w:hideMark/>
          </w:tcPr>
          <w:p w14:paraId="52F5446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c>
          <w:tcPr>
            <w:tcW w:w="0" w:type="auto"/>
            <w:hideMark/>
          </w:tcPr>
          <w:p w14:paraId="264E3B1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5A0A" w:rsidRPr="00DA0907" w14:paraId="14917B8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C335F7E"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ROA</w:t>
            </w:r>
          </w:p>
        </w:tc>
        <w:tc>
          <w:tcPr>
            <w:tcW w:w="0" w:type="auto"/>
            <w:hideMark/>
          </w:tcPr>
          <w:p w14:paraId="79E3352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0.236*</w:t>
            </w:r>
          </w:p>
        </w:tc>
        <w:tc>
          <w:tcPr>
            <w:tcW w:w="0" w:type="auto"/>
            <w:hideMark/>
          </w:tcPr>
          <w:p w14:paraId="1C7BAF0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-0.184*</w:t>
            </w:r>
          </w:p>
        </w:tc>
        <w:tc>
          <w:tcPr>
            <w:tcW w:w="0" w:type="auto"/>
            <w:hideMark/>
          </w:tcPr>
          <w:p w14:paraId="4FF580E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-0.156</w:t>
            </w:r>
          </w:p>
        </w:tc>
        <w:tc>
          <w:tcPr>
            <w:tcW w:w="0" w:type="auto"/>
            <w:hideMark/>
          </w:tcPr>
          <w:p w14:paraId="185FA31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-0.098</w:t>
            </w:r>
          </w:p>
        </w:tc>
        <w:tc>
          <w:tcPr>
            <w:tcW w:w="0" w:type="auto"/>
            <w:hideMark/>
          </w:tcPr>
          <w:p w14:paraId="2801976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-0.142</w:t>
            </w:r>
          </w:p>
        </w:tc>
        <w:tc>
          <w:tcPr>
            <w:tcW w:w="0" w:type="auto"/>
            <w:hideMark/>
          </w:tcPr>
          <w:p w14:paraId="60194A2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0.198*</w:t>
            </w:r>
          </w:p>
        </w:tc>
        <w:tc>
          <w:tcPr>
            <w:tcW w:w="0" w:type="auto"/>
            <w:hideMark/>
          </w:tcPr>
          <w:p w14:paraId="453E221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0.312**</w:t>
            </w:r>
          </w:p>
        </w:tc>
        <w:tc>
          <w:tcPr>
            <w:tcW w:w="0" w:type="auto"/>
            <w:hideMark/>
          </w:tcPr>
          <w:p w14:paraId="7BAFA6F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-0.245*</w:t>
            </w:r>
          </w:p>
        </w:tc>
        <w:tc>
          <w:tcPr>
            <w:tcW w:w="0" w:type="auto"/>
            <w:hideMark/>
          </w:tcPr>
          <w:p w14:paraId="1CA582A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1.000</w:t>
            </w:r>
          </w:p>
        </w:tc>
      </w:tr>
    </w:tbl>
    <w:p w14:paraId="2C3C1154" w14:textId="7777777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*Note: **p &lt; 0.01, </w:t>
      </w:r>
      <w:r w:rsidRPr="00DA0907">
        <w:rPr>
          <w:rFonts w:ascii="Times New Roman" w:hAnsi="Times New Roman" w:cs="Times New Roman"/>
          <w:i/>
          <w:iCs/>
        </w:rPr>
        <w:t>p &lt; 0.05. Source: Authors' computation, 2025</w:t>
      </w:r>
    </w:p>
    <w:p w14:paraId="7F0AAD73" w14:textId="77777777" w:rsidR="00AD5C18" w:rsidRPr="00DA0907" w:rsidRDefault="00AD5C1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results show that sectoral stock returns are negatively and significantly correlated with inflation (r = -0.312, p &lt; 0.01), which is in line with the predictions of the DCF and APT models (Dada et al., 2021). Exchange rate is positively correlated with returns (r = 0.284, p &lt; 0.05), interest rate is negatively correlated (r = -0.198, p &lt; 0.05), and GDP growth is positively correlated (r = 0.215, p &lt; 0.05).</w:t>
      </w:r>
    </w:p>
    <w:p w14:paraId="7C5281DE" w14:textId="6ABD664E" w:rsidR="00965A0A" w:rsidRPr="00DA0907" w:rsidRDefault="00E738C2"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4.3 </w:t>
      </w:r>
      <w:r w:rsidR="00965A0A" w:rsidRPr="00DA0907">
        <w:rPr>
          <w:rFonts w:ascii="Times New Roman" w:hAnsi="Times New Roman" w:cs="Times New Roman"/>
          <w:b/>
          <w:bCs/>
        </w:rPr>
        <w:t>Multicollinearity Diagnostics</w:t>
      </w:r>
    </w:p>
    <w:p w14:paraId="044D0BD3" w14:textId="23B0F62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5</w:t>
      </w:r>
      <w:r w:rsidRPr="00DA0907">
        <w:rPr>
          <w:rFonts w:ascii="Times New Roman" w:hAnsi="Times New Roman" w:cs="Times New Roman"/>
          <w:b/>
          <w:bCs/>
        </w:rPr>
        <w:t>: Variance Inflation Factor (VIF) Results</w:t>
      </w:r>
    </w:p>
    <w:tbl>
      <w:tblPr>
        <w:tblStyle w:val="GridTable1Light"/>
        <w:tblW w:w="0" w:type="auto"/>
        <w:tblLook w:val="04A0" w:firstRow="1" w:lastRow="0" w:firstColumn="1" w:lastColumn="0" w:noHBand="0" w:noVBand="1"/>
      </w:tblPr>
      <w:tblGrid>
        <w:gridCol w:w="1272"/>
        <w:gridCol w:w="636"/>
        <w:gridCol w:w="816"/>
      </w:tblGrid>
      <w:tr w:rsidR="00965A0A" w:rsidRPr="00DA0907" w14:paraId="2AC0A165"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CB5FF7"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lastRenderedPageBreak/>
              <w:t>Variable</w:t>
            </w:r>
          </w:p>
        </w:tc>
        <w:tc>
          <w:tcPr>
            <w:tcW w:w="0" w:type="auto"/>
            <w:hideMark/>
          </w:tcPr>
          <w:p w14:paraId="072D570F"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VIF</w:t>
            </w:r>
          </w:p>
        </w:tc>
        <w:tc>
          <w:tcPr>
            <w:tcW w:w="0" w:type="auto"/>
            <w:hideMark/>
          </w:tcPr>
          <w:p w14:paraId="71718322"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1/VIF</w:t>
            </w:r>
          </w:p>
        </w:tc>
      </w:tr>
      <w:tr w:rsidR="00965A0A" w:rsidRPr="00DA0907" w14:paraId="38DF635E"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AFC64DA"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w:t>
            </w:r>
          </w:p>
        </w:tc>
        <w:tc>
          <w:tcPr>
            <w:tcW w:w="0" w:type="auto"/>
            <w:hideMark/>
          </w:tcPr>
          <w:p w14:paraId="7FB5CBC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4.54</w:t>
            </w:r>
          </w:p>
        </w:tc>
        <w:tc>
          <w:tcPr>
            <w:tcW w:w="0" w:type="auto"/>
            <w:hideMark/>
          </w:tcPr>
          <w:p w14:paraId="7C5736D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0.220</w:t>
            </w:r>
          </w:p>
        </w:tc>
      </w:tr>
      <w:tr w:rsidR="00965A0A" w:rsidRPr="00DA0907" w14:paraId="432DD65C"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CF3ECD4"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INFVOL</w:t>
            </w:r>
          </w:p>
        </w:tc>
        <w:tc>
          <w:tcPr>
            <w:tcW w:w="0" w:type="auto"/>
            <w:hideMark/>
          </w:tcPr>
          <w:p w14:paraId="64D17F7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3.87</w:t>
            </w:r>
          </w:p>
        </w:tc>
        <w:tc>
          <w:tcPr>
            <w:tcW w:w="0" w:type="auto"/>
            <w:hideMark/>
          </w:tcPr>
          <w:p w14:paraId="5414F5F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0.258</w:t>
            </w:r>
          </w:p>
        </w:tc>
      </w:tr>
      <w:tr w:rsidR="00965A0A" w:rsidRPr="00DA0907" w14:paraId="7080E32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0854D08"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EXR</w:t>
            </w:r>
          </w:p>
        </w:tc>
        <w:tc>
          <w:tcPr>
            <w:tcW w:w="0" w:type="auto"/>
            <w:hideMark/>
          </w:tcPr>
          <w:p w14:paraId="24E8FBE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3.12</w:t>
            </w:r>
          </w:p>
        </w:tc>
        <w:tc>
          <w:tcPr>
            <w:tcW w:w="0" w:type="auto"/>
            <w:hideMark/>
          </w:tcPr>
          <w:p w14:paraId="1915B30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0.321</w:t>
            </w:r>
          </w:p>
        </w:tc>
      </w:tr>
      <w:tr w:rsidR="00965A0A" w:rsidRPr="00DA0907" w14:paraId="3E22DD8E"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B9785C5"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w:t>
            </w:r>
          </w:p>
        </w:tc>
        <w:tc>
          <w:tcPr>
            <w:tcW w:w="0" w:type="auto"/>
            <w:hideMark/>
          </w:tcPr>
          <w:p w14:paraId="1EF3A35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2.98</w:t>
            </w:r>
          </w:p>
        </w:tc>
        <w:tc>
          <w:tcPr>
            <w:tcW w:w="0" w:type="auto"/>
            <w:hideMark/>
          </w:tcPr>
          <w:p w14:paraId="03CF2DF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0.336</w:t>
            </w:r>
          </w:p>
        </w:tc>
      </w:tr>
      <w:tr w:rsidR="00965A0A" w:rsidRPr="00DA0907" w14:paraId="0EE12788"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A9A6A59"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w:t>
            </w:r>
          </w:p>
        </w:tc>
        <w:tc>
          <w:tcPr>
            <w:tcW w:w="0" w:type="auto"/>
            <w:hideMark/>
          </w:tcPr>
          <w:p w14:paraId="70EEC96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2.34</w:t>
            </w:r>
          </w:p>
        </w:tc>
        <w:tc>
          <w:tcPr>
            <w:tcW w:w="0" w:type="auto"/>
            <w:hideMark/>
          </w:tcPr>
          <w:p w14:paraId="13B12B9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0.427</w:t>
            </w:r>
          </w:p>
        </w:tc>
      </w:tr>
      <w:tr w:rsidR="00965A0A" w:rsidRPr="00DA0907" w14:paraId="4FE5BE4B"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6EB63551"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SIZE</w:t>
            </w:r>
          </w:p>
        </w:tc>
        <w:tc>
          <w:tcPr>
            <w:tcW w:w="0" w:type="auto"/>
            <w:hideMark/>
          </w:tcPr>
          <w:p w14:paraId="5F28450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1.87</w:t>
            </w:r>
          </w:p>
        </w:tc>
        <w:tc>
          <w:tcPr>
            <w:tcW w:w="0" w:type="auto"/>
            <w:hideMark/>
          </w:tcPr>
          <w:p w14:paraId="26EC3CD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0.535</w:t>
            </w:r>
          </w:p>
        </w:tc>
      </w:tr>
      <w:tr w:rsidR="00965A0A" w:rsidRPr="00DA0907" w14:paraId="405E2DB2"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BC22F12"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LEV</w:t>
            </w:r>
          </w:p>
        </w:tc>
        <w:tc>
          <w:tcPr>
            <w:tcW w:w="0" w:type="auto"/>
            <w:hideMark/>
          </w:tcPr>
          <w:p w14:paraId="239487A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1.62</w:t>
            </w:r>
          </w:p>
        </w:tc>
        <w:tc>
          <w:tcPr>
            <w:tcW w:w="0" w:type="auto"/>
            <w:hideMark/>
          </w:tcPr>
          <w:p w14:paraId="1423E6E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0.617</w:t>
            </w:r>
          </w:p>
        </w:tc>
      </w:tr>
      <w:tr w:rsidR="00965A0A" w:rsidRPr="00DA0907" w14:paraId="178E379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80BD037"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ROA</w:t>
            </w:r>
          </w:p>
        </w:tc>
        <w:tc>
          <w:tcPr>
            <w:tcW w:w="0" w:type="auto"/>
            <w:hideMark/>
          </w:tcPr>
          <w:p w14:paraId="783FC3E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1.42</w:t>
            </w:r>
          </w:p>
        </w:tc>
        <w:tc>
          <w:tcPr>
            <w:tcW w:w="0" w:type="auto"/>
            <w:hideMark/>
          </w:tcPr>
          <w:p w14:paraId="414BE49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0.704</w:t>
            </w:r>
          </w:p>
        </w:tc>
      </w:tr>
      <w:tr w:rsidR="00965A0A" w:rsidRPr="00DA0907" w14:paraId="0D51E2DC"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5F6C264"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Mean VIF</w:t>
            </w:r>
          </w:p>
        </w:tc>
        <w:tc>
          <w:tcPr>
            <w:tcW w:w="0" w:type="auto"/>
            <w:hideMark/>
          </w:tcPr>
          <w:p w14:paraId="268C54D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b/>
                <w:bCs/>
              </w:rPr>
              <w:t>2.13</w:t>
            </w:r>
          </w:p>
        </w:tc>
        <w:tc>
          <w:tcPr>
            <w:tcW w:w="0" w:type="auto"/>
            <w:hideMark/>
          </w:tcPr>
          <w:p w14:paraId="709E8B4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1978D117" w14:textId="7777777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i/>
          <w:iCs/>
        </w:rPr>
        <w:t>Source: Authors' computation, 2025</w:t>
      </w:r>
    </w:p>
    <w:p w14:paraId="4AFA178D" w14:textId="7777777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All VIF values fall well below the conventional threshold of 10, with a mean VIF of 2.13, indicating that multicollinearity is not a significant concern (Folorunso, 2023).</w:t>
      </w:r>
    </w:p>
    <w:p w14:paraId="77665EE6" w14:textId="78CE0B5E" w:rsidR="00965A0A" w:rsidRPr="00DA0907" w:rsidRDefault="00E738C2"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4.4 </w:t>
      </w:r>
      <w:r w:rsidR="00965A0A" w:rsidRPr="00DA0907">
        <w:rPr>
          <w:rFonts w:ascii="Times New Roman" w:hAnsi="Times New Roman" w:cs="Times New Roman"/>
          <w:b/>
          <w:bCs/>
        </w:rPr>
        <w:t>Regression Results</w:t>
      </w:r>
    </w:p>
    <w:p w14:paraId="2D53A63A" w14:textId="68C25D36"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6</w:t>
      </w:r>
      <w:r w:rsidRPr="00DA0907">
        <w:rPr>
          <w:rFonts w:ascii="Times New Roman" w:hAnsi="Times New Roman" w:cs="Times New Roman"/>
          <w:b/>
          <w:bCs/>
        </w:rPr>
        <w:t>: Panel Regression Results</w:t>
      </w:r>
    </w:p>
    <w:tbl>
      <w:tblPr>
        <w:tblStyle w:val="GridTable1Light"/>
        <w:tblW w:w="0" w:type="auto"/>
        <w:tblLook w:val="04A0" w:firstRow="1" w:lastRow="0" w:firstColumn="1" w:lastColumn="0" w:noHBand="0" w:noVBand="1"/>
      </w:tblPr>
      <w:tblGrid>
        <w:gridCol w:w="1446"/>
        <w:gridCol w:w="1956"/>
        <w:gridCol w:w="1956"/>
        <w:gridCol w:w="1956"/>
      </w:tblGrid>
      <w:tr w:rsidR="00965A0A" w:rsidRPr="00DA0907" w14:paraId="092BD5D2"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1CBE88"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Variable</w:t>
            </w:r>
          </w:p>
        </w:tc>
        <w:tc>
          <w:tcPr>
            <w:tcW w:w="0" w:type="auto"/>
            <w:hideMark/>
          </w:tcPr>
          <w:p w14:paraId="52C661D7"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Pooled OLS</w:t>
            </w:r>
          </w:p>
        </w:tc>
        <w:tc>
          <w:tcPr>
            <w:tcW w:w="0" w:type="auto"/>
            <w:hideMark/>
          </w:tcPr>
          <w:p w14:paraId="1FA44774"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Fixed Effects</w:t>
            </w:r>
          </w:p>
        </w:tc>
        <w:tc>
          <w:tcPr>
            <w:tcW w:w="0" w:type="auto"/>
            <w:hideMark/>
          </w:tcPr>
          <w:p w14:paraId="7C55F884"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Random Effects</w:t>
            </w:r>
          </w:p>
        </w:tc>
      </w:tr>
      <w:tr w:rsidR="00965A0A" w:rsidRPr="00DA0907" w14:paraId="1648B752"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1B6821F"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w:t>
            </w:r>
          </w:p>
        </w:tc>
        <w:tc>
          <w:tcPr>
            <w:tcW w:w="0" w:type="auto"/>
            <w:hideMark/>
          </w:tcPr>
          <w:p w14:paraId="01AADF3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-0.378*** (0.084)</w:t>
            </w:r>
          </w:p>
        </w:tc>
        <w:tc>
          <w:tcPr>
            <w:tcW w:w="0" w:type="auto"/>
            <w:hideMark/>
          </w:tcPr>
          <w:p w14:paraId="13430A4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-0.432*** (0.105)</w:t>
            </w:r>
          </w:p>
        </w:tc>
        <w:tc>
          <w:tcPr>
            <w:tcW w:w="0" w:type="auto"/>
            <w:hideMark/>
          </w:tcPr>
          <w:p w14:paraId="0DEE9EA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-0.398*** (0.092)</w:t>
            </w:r>
          </w:p>
        </w:tc>
      </w:tr>
      <w:tr w:rsidR="00965A0A" w:rsidRPr="00DA0907" w14:paraId="268514EE"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EAD9209"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INFVOL</w:t>
            </w:r>
          </w:p>
        </w:tc>
        <w:tc>
          <w:tcPr>
            <w:tcW w:w="0" w:type="auto"/>
            <w:hideMark/>
          </w:tcPr>
          <w:p w14:paraId="63C86DE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-0.156 (0.098)</w:t>
            </w:r>
          </w:p>
        </w:tc>
        <w:tc>
          <w:tcPr>
            <w:tcW w:w="0" w:type="auto"/>
            <w:hideMark/>
          </w:tcPr>
          <w:p w14:paraId="1B2C78C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-0.198* (0.112)</w:t>
            </w:r>
          </w:p>
        </w:tc>
        <w:tc>
          <w:tcPr>
            <w:tcW w:w="0" w:type="auto"/>
            <w:hideMark/>
          </w:tcPr>
          <w:p w14:paraId="14233A6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-0.174* (0.104)</w:t>
            </w:r>
          </w:p>
        </w:tc>
      </w:tr>
      <w:tr w:rsidR="00965A0A" w:rsidRPr="00DA0907" w14:paraId="4FA08B44"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A80C42D"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EXR</w:t>
            </w:r>
          </w:p>
        </w:tc>
        <w:tc>
          <w:tcPr>
            <w:tcW w:w="0" w:type="auto"/>
            <w:hideMark/>
          </w:tcPr>
          <w:p w14:paraId="18F2EAC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0.167** (0.071)</w:t>
            </w:r>
          </w:p>
        </w:tc>
        <w:tc>
          <w:tcPr>
            <w:tcW w:w="0" w:type="auto"/>
            <w:hideMark/>
          </w:tcPr>
          <w:p w14:paraId="3A24EA5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0.184** (0.086)</w:t>
            </w:r>
          </w:p>
        </w:tc>
        <w:tc>
          <w:tcPr>
            <w:tcW w:w="0" w:type="auto"/>
            <w:hideMark/>
          </w:tcPr>
          <w:p w14:paraId="353F11F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0.172** (0.078)</w:t>
            </w:r>
          </w:p>
        </w:tc>
      </w:tr>
      <w:tr w:rsidR="00965A0A" w:rsidRPr="00DA0907" w14:paraId="1BC3EC21"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D0B906F"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INT</w:t>
            </w:r>
          </w:p>
        </w:tc>
        <w:tc>
          <w:tcPr>
            <w:tcW w:w="0" w:type="auto"/>
            <w:hideMark/>
          </w:tcPr>
          <w:p w14:paraId="1FB0DF4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-0.089 (0.078)</w:t>
            </w:r>
          </w:p>
        </w:tc>
        <w:tc>
          <w:tcPr>
            <w:tcW w:w="0" w:type="auto"/>
            <w:hideMark/>
          </w:tcPr>
          <w:p w14:paraId="5F7237F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-0.102 (0.092)</w:t>
            </w:r>
          </w:p>
        </w:tc>
        <w:tc>
          <w:tcPr>
            <w:tcW w:w="0" w:type="auto"/>
            <w:hideMark/>
          </w:tcPr>
          <w:p w14:paraId="3BD955F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-0.094 (0.085)</w:t>
            </w:r>
          </w:p>
        </w:tc>
      </w:tr>
      <w:tr w:rsidR="00965A0A" w:rsidRPr="00DA0907" w14:paraId="5DA18148"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6466A15"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GDP</w:t>
            </w:r>
          </w:p>
        </w:tc>
        <w:tc>
          <w:tcPr>
            <w:tcW w:w="0" w:type="auto"/>
            <w:hideMark/>
          </w:tcPr>
          <w:p w14:paraId="1660750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0.148* (0.086)</w:t>
            </w:r>
          </w:p>
        </w:tc>
        <w:tc>
          <w:tcPr>
            <w:tcW w:w="0" w:type="auto"/>
            <w:hideMark/>
          </w:tcPr>
          <w:p w14:paraId="0D767FB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0.164** (0.073)</w:t>
            </w:r>
          </w:p>
        </w:tc>
        <w:tc>
          <w:tcPr>
            <w:tcW w:w="0" w:type="auto"/>
            <w:hideMark/>
          </w:tcPr>
          <w:p w14:paraId="160F223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0.158** (0.075)</w:t>
            </w:r>
          </w:p>
        </w:tc>
      </w:tr>
      <w:tr w:rsidR="00965A0A" w:rsidRPr="00DA0907" w14:paraId="2C774E53"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7E9A26B"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SIZE</w:t>
            </w:r>
          </w:p>
        </w:tc>
        <w:tc>
          <w:tcPr>
            <w:tcW w:w="0" w:type="auto"/>
            <w:hideMark/>
          </w:tcPr>
          <w:p w14:paraId="79088EA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0.061 (0.054)</w:t>
            </w:r>
          </w:p>
        </w:tc>
        <w:tc>
          <w:tcPr>
            <w:tcW w:w="0" w:type="auto"/>
            <w:hideMark/>
          </w:tcPr>
          <w:p w14:paraId="5854935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0.073 (0.062)</w:t>
            </w:r>
          </w:p>
        </w:tc>
        <w:tc>
          <w:tcPr>
            <w:tcW w:w="0" w:type="auto"/>
            <w:hideMark/>
          </w:tcPr>
          <w:p w14:paraId="3FA4B31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0.068 (0.058)</w:t>
            </w:r>
          </w:p>
        </w:tc>
      </w:tr>
      <w:tr w:rsidR="00965A0A" w:rsidRPr="00DA0907" w14:paraId="04F1B561"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8049F3D"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lastRenderedPageBreak/>
              <w:t>LEV</w:t>
            </w:r>
          </w:p>
        </w:tc>
        <w:tc>
          <w:tcPr>
            <w:tcW w:w="0" w:type="auto"/>
            <w:hideMark/>
          </w:tcPr>
          <w:p w14:paraId="645DE63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-0.054 (0.043)</w:t>
            </w:r>
          </w:p>
        </w:tc>
        <w:tc>
          <w:tcPr>
            <w:tcW w:w="0" w:type="auto"/>
            <w:hideMark/>
          </w:tcPr>
          <w:p w14:paraId="01568E6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-0.062 (0.048)</w:t>
            </w:r>
          </w:p>
        </w:tc>
        <w:tc>
          <w:tcPr>
            <w:tcW w:w="0" w:type="auto"/>
            <w:hideMark/>
          </w:tcPr>
          <w:p w14:paraId="70A1A98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-0.058 (0.045)</w:t>
            </w:r>
          </w:p>
        </w:tc>
      </w:tr>
      <w:tr w:rsidR="00965A0A" w:rsidRPr="00DA0907" w14:paraId="1095AD25"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7C809B4"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ROA</w:t>
            </w:r>
          </w:p>
        </w:tc>
        <w:tc>
          <w:tcPr>
            <w:tcW w:w="0" w:type="auto"/>
            <w:hideMark/>
          </w:tcPr>
          <w:p w14:paraId="6029127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0.218** (0.096)</w:t>
            </w:r>
          </w:p>
        </w:tc>
        <w:tc>
          <w:tcPr>
            <w:tcW w:w="0" w:type="auto"/>
            <w:hideMark/>
          </w:tcPr>
          <w:p w14:paraId="22B60B1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0.236** (0.108)</w:t>
            </w:r>
          </w:p>
        </w:tc>
        <w:tc>
          <w:tcPr>
            <w:tcW w:w="0" w:type="auto"/>
            <w:hideMark/>
          </w:tcPr>
          <w:p w14:paraId="3CD3489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0.224** (0.102)</w:t>
            </w:r>
          </w:p>
        </w:tc>
      </w:tr>
      <w:tr w:rsidR="00965A0A" w:rsidRPr="00DA0907" w14:paraId="51E6AB1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9200C74"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Constant</w:t>
            </w:r>
          </w:p>
        </w:tc>
        <w:tc>
          <w:tcPr>
            <w:tcW w:w="0" w:type="auto"/>
            <w:hideMark/>
          </w:tcPr>
          <w:p w14:paraId="3D8A97D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1.087 (0.542)</w:t>
            </w:r>
          </w:p>
        </w:tc>
        <w:tc>
          <w:tcPr>
            <w:tcW w:w="0" w:type="auto"/>
            <w:hideMark/>
          </w:tcPr>
          <w:p w14:paraId="08EF8A1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1.142 (0.568)</w:t>
            </w:r>
          </w:p>
        </w:tc>
        <w:tc>
          <w:tcPr>
            <w:tcW w:w="0" w:type="auto"/>
            <w:hideMark/>
          </w:tcPr>
          <w:p w14:paraId="68925C2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1.114 (0.556)</w:t>
            </w:r>
          </w:p>
        </w:tc>
      </w:tr>
      <w:tr w:rsidR="00965A0A" w:rsidRPr="00DA0907" w14:paraId="1CF955B0"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93EB0E1"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R²</w:t>
            </w:r>
          </w:p>
        </w:tc>
        <w:tc>
          <w:tcPr>
            <w:tcW w:w="0" w:type="auto"/>
            <w:hideMark/>
          </w:tcPr>
          <w:p w14:paraId="1514769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0.421</w:t>
            </w:r>
          </w:p>
        </w:tc>
        <w:tc>
          <w:tcPr>
            <w:tcW w:w="0" w:type="auto"/>
            <w:hideMark/>
          </w:tcPr>
          <w:p w14:paraId="4D154F73"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0.472</w:t>
            </w:r>
          </w:p>
        </w:tc>
        <w:tc>
          <w:tcPr>
            <w:tcW w:w="0" w:type="auto"/>
            <w:hideMark/>
          </w:tcPr>
          <w:p w14:paraId="4595C026"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0.448</w:t>
            </w:r>
          </w:p>
        </w:tc>
      </w:tr>
      <w:tr w:rsidR="00965A0A" w:rsidRPr="00DA0907" w14:paraId="78612E4B"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458F949"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Adj. R²</w:t>
            </w:r>
          </w:p>
        </w:tc>
        <w:tc>
          <w:tcPr>
            <w:tcW w:w="0" w:type="auto"/>
            <w:hideMark/>
          </w:tcPr>
          <w:p w14:paraId="04602FC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0.408</w:t>
            </w:r>
          </w:p>
        </w:tc>
        <w:tc>
          <w:tcPr>
            <w:tcW w:w="0" w:type="auto"/>
            <w:hideMark/>
          </w:tcPr>
          <w:p w14:paraId="791598F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0.455</w:t>
            </w:r>
          </w:p>
        </w:tc>
        <w:tc>
          <w:tcPr>
            <w:tcW w:w="0" w:type="auto"/>
            <w:hideMark/>
          </w:tcPr>
          <w:p w14:paraId="4C9B2ED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0.434</w:t>
            </w:r>
          </w:p>
        </w:tc>
      </w:tr>
      <w:tr w:rsidR="00965A0A" w:rsidRPr="00DA0907" w14:paraId="0BEFCA3F"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4339EFED"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F-statistic</w:t>
            </w:r>
          </w:p>
        </w:tc>
        <w:tc>
          <w:tcPr>
            <w:tcW w:w="0" w:type="auto"/>
            <w:hideMark/>
          </w:tcPr>
          <w:p w14:paraId="20B63A8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32.14***</w:t>
            </w:r>
          </w:p>
        </w:tc>
        <w:tc>
          <w:tcPr>
            <w:tcW w:w="0" w:type="auto"/>
            <w:hideMark/>
          </w:tcPr>
          <w:p w14:paraId="09F0284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27.63***</w:t>
            </w:r>
          </w:p>
        </w:tc>
        <w:tc>
          <w:tcPr>
            <w:tcW w:w="0" w:type="auto"/>
            <w:hideMark/>
          </w:tcPr>
          <w:p w14:paraId="5D471B51"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r w:rsidR="00965A0A" w:rsidRPr="00DA0907" w14:paraId="7BCCF17B"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092E81DF"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Hausman χ²</w:t>
            </w:r>
          </w:p>
        </w:tc>
        <w:tc>
          <w:tcPr>
            <w:tcW w:w="0" w:type="auto"/>
            <w:hideMark/>
          </w:tcPr>
          <w:p w14:paraId="5838F73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c>
          <w:tcPr>
            <w:tcW w:w="0" w:type="auto"/>
            <w:hideMark/>
          </w:tcPr>
          <w:p w14:paraId="1C70E37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27.63***</w:t>
            </w:r>
          </w:p>
        </w:tc>
        <w:tc>
          <w:tcPr>
            <w:tcW w:w="0" w:type="auto"/>
            <w:hideMark/>
          </w:tcPr>
          <w:p w14:paraId="31D2B74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w:t>
            </w:r>
          </w:p>
        </w:tc>
      </w:tr>
    </w:tbl>
    <w:p w14:paraId="0058F6B8" w14:textId="7777777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*Note: Standard errors in parentheses; ***p &lt; 0.001, **p &lt; 0.01, </w:t>
      </w:r>
      <w:r w:rsidRPr="00DA0907">
        <w:rPr>
          <w:rFonts w:ascii="Times New Roman" w:hAnsi="Times New Roman" w:cs="Times New Roman"/>
          <w:i/>
          <w:iCs/>
        </w:rPr>
        <w:t>p &lt; 0.05. Source: Authors' computation, 2025</w:t>
      </w:r>
    </w:p>
    <w:p w14:paraId="2FCB130D" w14:textId="77777777" w:rsidR="00AD5C18" w:rsidRPr="00DA0907" w:rsidRDefault="00AD5C18"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Hausman test statistic is significant (χ² = 27.63, p = 0.001), which means that the Random Effects specification is rejected in </w:t>
      </w:r>
      <w:proofErr w:type="spellStart"/>
      <w:r w:rsidRPr="00DA0907">
        <w:rPr>
          <w:rFonts w:ascii="Times New Roman" w:hAnsi="Times New Roman" w:cs="Times New Roman"/>
        </w:rPr>
        <w:t>favour</w:t>
      </w:r>
      <w:proofErr w:type="spellEnd"/>
      <w:r w:rsidRPr="00DA0907">
        <w:rPr>
          <w:rFonts w:ascii="Times New Roman" w:hAnsi="Times New Roman" w:cs="Times New Roman"/>
        </w:rPr>
        <w:t xml:space="preserve"> of Fixed Effects. In the preferred Fixed Effects model, inflation has a statistically significant negative relationship with sectoral stock returns (β = -0.432, t = -4.127, p &lt; 0.001): For each percentage point rise in annual inflation, stock returns fall by 0.432 percentage points, controlling for other variables. Exchange rate has a positive and significant effect (β = 0.184, t = 2.851, p &lt; 0.01). Interest rate is negative but insignificant (β = -0.102, p &gt; 0.10). GDP growth has a positive and significant effect (β = 0.164, t = 2.694, p &lt; 0.01). The size of the firm (β = 0.073) and leverage (β = -0.062) are statistically insignificant, while profitability (ROA) is positively and significantly related to the firm's performance (β = 0.236, t = 3.028, p &lt; 0.01). The model explains 47.2 percent of the variation in sectoral stock returns (R² = 0.472).</w:t>
      </w:r>
    </w:p>
    <w:p w14:paraId="72111E63" w14:textId="0FC9122D" w:rsidR="00965A0A" w:rsidRPr="00DA0907" w:rsidRDefault="00E738C2"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4.5 </w:t>
      </w:r>
      <w:r w:rsidR="00965A0A" w:rsidRPr="00DA0907">
        <w:rPr>
          <w:rFonts w:ascii="Times New Roman" w:hAnsi="Times New Roman" w:cs="Times New Roman"/>
          <w:b/>
          <w:bCs/>
        </w:rPr>
        <w:t>Robustness Tests</w:t>
      </w:r>
    </w:p>
    <w:p w14:paraId="15C7C337" w14:textId="34CBB23D"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b/>
          <w:bCs/>
        </w:rPr>
        <w:t xml:space="preserve">Table </w:t>
      </w:r>
      <w:r w:rsidR="00E374C5" w:rsidRPr="00DA0907">
        <w:rPr>
          <w:rFonts w:ascii="Times New Roman" w:hAnsi="Times New Roman" w:cs="Times New Roman"/>
          <w:b/>
          <w:bCs/>
        </w:rPr>
        <w:t>7</w:t>
      </w:r>
      <w:r w:rsidRPr="00DA0907">
        <w:rPr>
          <w:rFonts w:ascii="Times New Roman" w:hAnsi="Times New Roman" w:cs="Times New Roman"/>
          <w:b/>
          <w:bCs/>
        </w:rPr>
        <w:t>: Robustness Test Results</w:t>
      </w:r>
    </w:p>
    <w:tbl>
      <w:tblPr>
        <w:tblStyle w:val="GridTable1Light"/>
        <w:tblW w:w="0" w:type="auto"/>
        <w:tblLook w:val="04A0" w:firstRow="1" w:lastRow="0" w:firstColumn="1" w:lastColumn="0" w:noHBand="0" w:noVBand="1"/>
      </w:tblPr>
      <w:tblGrid>
        <w:gridCol w:w="4663"/>
        <w:gridCol w:w="2123"/>
        <w:gridCol w:w="756"/>
        <w:gridCol w:w="1769"/>
      </w:tblGrid>
      <w:tr w:rsidR="00965A0A" w:rsidRPr="00DA0907" w14:paraId="21DC2564" w14:textId="77777777" w:rsidTr="00965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98C336"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Model Specification</w:t>
            </w:r>
          </w:p>
        </w:tc>
        <w:tc>
          <w:tcPr>
            <w:tcW w:w="0" w:type="auto"/>
            <w:hideMark/>
          </w:tcPr>
          <w:p w14:paraId="1E85CB3B"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Coefficient on INF</w:t>
            </w:r>
          </w:p>
        </w:tc>
        <w:tc>
          <w:tcPr>
            <w:tcW w:w="0" w:type="auto"/>
            <w:hideMark/>
          </w:tcPr>
          <w:p w14:paraId="0DD25D65"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R²</w:t>
            </w:r>
          </w:p>
        </w:tc>
        <w:tc>
          <w:tcPr>
            <w:tcW w:w="0" w:type="auto"/>
            <w:hideMark/>
          </w:tcPr>
          <w:p w14:paraId="5A559FB1" w14:textId="77777777" w:rsidR="00965A0A" w:rsidRPr="00DA0907" w:rsidRDefault="00965A0A" w:rsidP="00965A0A">
            <w:pPr>
              <w:tabs>
                <w:tab w:val="left" w:pos="2070"/>
              </w:tabs>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Remark</w:t>
            </w:r>
          </w:p>
        </w:tc>
      </w:tr>
      <w:tr w:rsidR="00965A0A" w:rsidRPr="00DA0907" w14:paraId="626AC486"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159329E0"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Baseline FE model</w:t>
            </w:r>
          </w:p>
        </w:tc>
        <w:tc>
          <w:tcPr>
            <w:tcW w:w="0" w:type="auto"/>
            <w:hideMark/>
          </w:tcPr>
          <w:p w14:paraId="49BA20DC"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-0.432***</w:t>
            </w:r>
          </w:p>
        </w:tc>
        <w:tc>
          <w:tcPr>
            <w:tcW w:w="0" w:type="auto"/>
            <w:hideMark/>
          </w:tcPr>
          <w:p w14:paraId="048B7164"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0.472</w:t>
            </w:r>
          </w:p>
        </w:tc>
        <w:tc>
          <w:tcPr>
            <w:tcW w:w="0" w:type="auto"/>
            <w:hideMark/>
          </w:tcPr>
          <w:p w14:paraId="7489B828"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Preferred model</w:t>
            </w:r>
          </w:p>
        </w:tc>
      </w:tr>
      <w:tr w:rsidR="00965A0A" w:rsidRPr="00DA0907" w14:paraId="66AD4EC9"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35023B65"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Alternative: RE model</w:t>
            </w:r>
          </w:p>
        </w:tc>
        <w:tc>
          <w:tcPr>
            <w:tcW w:w="0" w:type="auto"/>
            <w:hideMark/>
          </w:tcPr>
          <w:p w14:paraId="31AD6F0E"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-0.398***</w:t>
            </w:r>
          </w:p>
        </w:tc>
        <w:tc>
          <w:tcPr>
            <w:tcW w:w="0" w:type="auto"/>
            <w:hideMark/>
          </w:tcPr>
          <w:p w14:paraId="658A2BFF"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0.448</w:t>
            </w:r>
          </w:p>
        </w:tc>
        <w:tc>
          <w:tcPr>
            <w:tcW w:w="0" w:type="auto"/>
            <w:hideMark/>
          </w:tcPr>
          <w:p w14:paraId="00C6D385"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r w:rsidR="00965A0A" w:rsidRPr="00DA0907" w14:paraId="4AC8447A"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1B45B13"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Alternative: using core inflation</w:t>
            </w:r>
          </w:p>
        </w:tc>
        <w:tc>
          <w:tcPr>
            <w:tcW w:w="0" w:type="auto"/>
            <w:hideMark/>
          </w:tcPr>
          <w:p w14:paraId="1F16B5FB"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-0.387***</w:t>
            </w:r>
          </w:p>
        </w:tc>
        <w:tc>
          <w:tcPr>
            <w:tcW w:w="0" w:type="auto"/>
            <w:hideMark/>
          </w:tcPr>
          <w:p w14:paraId="45501C0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0.461</w:t>
            </w:r>
          </w:p>
        </w:tc>
        <w:tc>
          <w:tcPr>
            <w:tcW w:w="0" w:type="auto"/>
            <w:hideMark/>
          </w:tcPr>
          <w:p w14:paraId="2D4F003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r w:rsidR="00965A0A" w:rsidRPr="00DA0907" w14:paraId="092E688D"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7FF7D7E1"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lastRenderedPageBreak/>
              <w:t>Alternative: excluding 2020–2021 (COVID)</w:t>
            </w:r>
          </w:p>
        </w:tc>
        <w:tc>
          <w:tcPr>
            <w:tcW w:w="0" w:type="auto"/>
            <w:hideMark/>
          </w:tcPr>
          <w:p w14:paraId="6221D19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-0.445***</w:t>
            </w:r>
          </w:p>
        </w:tc>
        <w:tc>
          <w:tcPr>
            <w:tcW w:w="0" w:type="auto"/>
            <w:hideMark/>
          </w:tcPr>
          <w:p w14:paraId="46727BA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0.478</w:t>
            </w:r>
          </w:p>
        </w:tc>
        <w:tc>
          <w:tcPr>
            <w:tcW w:w="0" w:type="auto"/>
            <w:hideMark/>
          </w:tcPr>
          <w:p w14:paraId="30FD86F0"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r w:rsidR="00965A0A" w:rsidRPr="00DA0907" w14:paraId="489C4A8E"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546DA803"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Alternative: including oil price</w:t>
            </w:r>
          </w:p>
        </w:tc>
        <w:tc>
          <w:tcPr>
            <w:tcW w:w="0" w:type="auto"/>
            <w:hideMark/>
          </w:tcPr>
          <w:p w14:paraId="0DD35D2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-0.419***</w:t>
            </w:r>
          </w:p>
        </w:tc>
        <w:tc>
          <w:tcPr>
            <w:tcW w:w="0" w:type="auto"/>
            <w:hideMark/>
          </w:tcPr>
          <w:p w14:paraId="00AA31E9"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0.484</w:t>
            </w:r>
          </w:p>
        </w:tc>
        <w:tc>
          <w:tcPr>
            <w:tcW w:w="0" w:type="auto"/>
            <w:hideMark/>
          </w:tcPr>
          <w:p w14:paraId="1C4971B7"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r w:rsidR="00965A0A" w:rsidRPr="00DA0907" w14:paraId="7B5C071B" w14:textId="77777777" w:rsidTr="00965A0A">
        <w:tc>
          <w:tcPr>
            <w:cnfStyle w:val="001000000000" w:firstRow="0" w:lastRow="0" w:firstColumn="1" w:lastColumn="0" w:oddVBand="0" w:evenVBand="0" w:oddHBand="0" w:evenHBand="0" w:firstRowFirstColumn="0" w:firstRowLastColumn="0" w:lastRowFirstColumn="0" w:lastRowLastColumn="0"/>
            <w:tcW w:w="0" w:type="auto"/>
            <w:hideMark/>
          </w:tcPr>
          <w:p w14:paraId="2EE4FD18" w14:textId="77777777" w:rsidR="00965A0A" w:rsidRPr="00DA0907" w:rsidRDefault="00965A0A" w:rsidP="00965A0A">
            <w:pPr>
              <w:tabs>
                <w:tab w:val="left" w:pos="2070"/>
              </w:tabs>
              <w:spacing w:after="160" w:line="360" w:lineRule="auto"/>
              <w:jc w:val="both"/>
              <w:rPr>
                <w:rFonts w:ascii="Times New Roman" w:hAnsi="Times New Roman" w:cs="Times New Roman"/>
              </w:rPr>
            </w:pPr>
            <w:r w:rsidRPr="00DA0907">
              <w:rPr>
                <w:rFonts w:ascii="Times New Roman" w:hAnsi="Times New Roman" w:cs="Times New Roman"/>
              </w:rPr>
              <w:t xml:space="preserve">Alternative: </w:t>
            </w:r>
            <w:proofErr w:type="spellStart"/>
            <w:r w:rsidRPr="00DA0907">
              <w:rPr>
                <w:rFonts w:ascii="Times New Roman" w:hAnsi="Times New Roman" w:cs="Times New Roman"/>
              </w:rPr>
              <w:t>winsorised</w:t>
            </w:r>
            <w:proofErr w:type="spellEnd"/>
            <w:r w:rsidRPr="00DA0907">
              <w:rPr>
                <w:rFonts w:ascii="Times New Roman" w:hAnsi="Times New Roman" w:cs="Times New Roman"/>
              </w:rPr>
              <w:t xml:space="preserve"> returns</w:t>
            </w:r>
          </w:p>
        </w:tc>
        <w:tc>
          <w:tcPr>
            <w:tcW w:w="0" w:type="auto"/>
            <w:hideMark/>
          </w:tcPr>
          <w:p w14:paraId="21CE593D"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-0.428***</w:t>
            </w:r>
          </w:p>
        </w:tc>
        <w:tc>
          <w:tcPr>
            <w:tcW w:w="0" w:type="auto"/>
            <w:hideMark/>
          </w:tcPr>
          <w:p w14:paraId="044232A2"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0.470</w:t>
            </w:r>
          </w:p>
        </w:tc>
        <w:tc>
          <w:tcPr>
            <w:tcW w:w="0" w:type="auto"/>
            <w:hideMark/>
          </w:tcPr>
          <w:p w14:paraId="7A9D308A" w14:textId="77777777" w:rsidR="00965A0A" w:rsidRPr="00DA0907" w:rsidRDefault="00965A0A" w:rsidP="00965A0A">
            <w:pPr>
              <w:tabs>
                <w:tab w:val="left" w:pos="2070"/>
              </w:tabs>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907">
              <w:rPr>
                <w:rFonts w:ascii="Times New Roman" w:hAnsi="Times New Roman" w:cs="Times New Roman"/>
              </w:rPr>
              <w:t>Consistent</w:t>
            </w:r>
          </w:p>
        </w:tc>
      </w:tr>
    </w:tbl>
    <w:p w14:paraId="14898315" w14:textId="7777777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*Note: **</w:t>
      </w:r>
      <w:r w:rsidRPr="00DA0907">
        <w:rPr>
          <w:rFonts w:ascii="Times New Roman" w:hAnsi="Times New Roman" w:cs="Times New Roman"/>
          <w:i/>
          <w:iCs/>
        </w:rPr>
        <w:t>p &lt; 0.001. Source: Authors' computation, 2025</w:t>
      </w:r>
    </w:p>
    <w:p w14:paraId="7A76823C" w14:textId="59198187"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coefficient on inflation remain</w:t>
      </w:r>
      <w:r w:rsidR="00BF6C82" w:rsidRPr="00DA0907">
        <w:rPr>
          <w:rFonts w:ascii="Times New Roman" w:hAnsi="Times New Roman" w:cs="Times New Roman"/>
        </w:rPr>
        <w:t>s</w:t>
      </w:r>
      <w:r w:rsidRPr="00DA0907">
        <w:rPr>
          <w:rFonts w:ascii="Times New Roman" w:hAnsi="Times New Roman" w:cs="Times New Roman"/>
        </w:rPr>
        <w:t xml:space="preserve"> negative and significant </w:t>
      </w:r>
      <w:r w:rsidR="00BF6C82" w:rsidRPr="00DA0907">
        <w:rPr>
          <w:rFonts w:ascii="Times New Roman" w:hAnsi="Times New Roman" w:cs="Times New Roman"/>
        </w:rPr>
        <w:t xml:space="preserve">at p &lt; 0.001 </w:t>
      </w:r>
      <w:r w:rsidRPr="00DA0907">
        <w:rPr>
          <w:rFonts w:ascii="Times New Roman" w:hAnsi="Times New Roman" w:cs="Times New Roman"/>
        </w:rPr>
        <w:t>across all alternative specifications, ranging from -0.387 to -0.445, confirming the stability of the core finding.</w:t>
      </w:r>
    </w:p>
    <w:p w14:paraId="2F6F2E2F" w14:textId="0D83AFAE" w:rsidR="00965A0A" w:rsidRPr="00DA0907" w:rsidRDefault="00E738C2"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4.6 </w:t>
      </w:r>
      <w:r w:rsidR="00965A0A" w:rsidRPr="00DA0907">
        <w:rPr>
          <w:rFonts w:ascii="Times New Roman" w:hAnsi="Times New Roman" w:cs="Times New Roman"/>
          <w:b/>
          <w:bCs/>
        </w:rPr>
        <w:t>Sectoral Heterogeneity in Inflation Sensitivity</w:t>
      </w:r>
    </w:p>
    <w:p w14:paraId="674FC4F8" w14:textId="77777777" w:rsidR="00AD5C18" w:rsidRPr="00DA0907" w:rsidRDefault="00AD5C18" w:rsidP="00965A0A">
      <w:pPr>
        <w:tabs>
          <w:tab w:val="left" w:pos="2070"/>
        </w:tabs>
        <w:spacing w:line="360" w:lineRule="auto"/>
        <w:jc w:val="both"/>
      </w:pPr>
      <w:r w:rsidRPr="00DA0907">
        <w:t>The regressions by sector show that there is significant variation in the inflation sensitivity of the different sectors of the NGX (</w:t>
      </w:r>
      <w:proofErr w:type="spellStart"/>
      <w:r w:rsidRPr="00DA0907">
        <w:t>Ikoku</w:t>
      </w:r>
      <w:proofErr w:type="spellEnd"/>
      <w:r w:rsidRPr="00DA0907">
        <w:t xml:space="preserve"> &amp; Okorie, 2010). The Consumer Goods sector is most sensitive to the negative side (β = -0.612, t = -3.845, p &lt; 0.001), which is due to the input cost inflation, wage pressure and weak consumer purchasing power. The Banking sector follows (β = -0.478, t = -3.124, p &lt; 0.01), which is due to the impact of monetary tightening on net interest margins and loan demand. The Industrial Goods sector exhibits moderate negative sensitivity (β = -0.394, t = -2.871, p &lt; 0.01) and the </w:t>
      </w:r>
      <w:proofErr w:type="gramStart"/>
      <w:r w:rsidRPr="00DA0907">
        <w:t>Agriculture</w:t>
      </w:r>
      <w:proofErr w:type="gramEnd"/>
      <w:r w:rsidRPr="00DA0907">
        <w:t xml:space="preserve"> sector exhibits a smaller but significant negative effect (β = -0.301, t = -1.987, p &lt; 0.05). The Oil and Gas sector, on the other hand, has no statistically significant sensitivity to inflation (β = -0.112, t = -0.634, p &gt; 0.10), which is partly due to the fact that the revenues are in dollars, and partly because of the positive effect of deregulation and exchange rate reform (Leadership Newspapers, 2024).</w:t>
      </w:r>
    </w:p>
    <w:p w14:paraId="1F0C490A" w14:textId="74407184" w:rsidR="00965A0A" w:rsidRPr="00DA0907" w:rsidRDefault="00E738C2" w:rsidP="00965A0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 xml:space="preserve">5.0 </w:t>
      </w:r>
      <w:r w:rsidR="00965A0A" w:rsidRPr="00DA0907">
        <w:rPr>
          <w:rFonts w:ascii="Times New Roman" w:hAnsi="Times New Roman" w:cs="Times New Roman"/>
          <w:b/>
          <w:bCs/>
          <w:sz w:val="26"/>
          <w:szCs w:val="26"/>
        </w:rPr>
        <w:t>Discussion</w:t>
      </w:r>
    </w:p>
    <w:p w14:paraId="2FBF26F2" w14:textId="1D8DCCA8" w:rsidR="009E3A6A" w:rsidRPr="00DA0907" w:rsidRDefault="009E3A6A" w:rsidP="009E3A6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findings of the negative and statistically significant effect of inflation on sectoral stock returns corroborates the predictions of the Discounted Cash Flow perspective, and the Arbitrage Pricing Theory (Dada et al., 2021; Isibor &amp; </w:t>
      </w:r>
      <w:proofErr w:type="spellStart"/>
      <w:r w:rsidRPr="00DA0907">
        <w:rPr>
          <w:rFonts w:ascii="Times New Roman" w:hAnsi="Times New Roman" w:cs="Times New Roman"/>
        </w:rPr>
        <w:t>Esechie</w:t>
      </w:r>
      <w:proofErr w:type="spellEnd"/>
      <w:r w:rsidRPr="00DA0907">
        <w:rPr>
          <w:rFonts w:ascii="Times New Roman" w:hAnsi="Times New Roman" w:cs="Times New Roman"/>
        </w:rPr>
        <w:t xml:space="preserve">, 2026) and is in line with Folorunso (2023) who reported that inflation negatively and significantly affects stock returns on both aggregate and sectoral bases, and with Isibor and </w:t>
      </w:r>
      <w:proofErr w:type="spellStart"/>
      <w:r w:rsidRPr="00DA0907">
        <w:rPr>
          <w:rFonts w:ascii="Times New Roman" w:hAnsi="Times New Roman" w:cs="Times New Roman"/>
        </w:rPr>
        <w:t>Esechie</w:t>
      </w:r>
      <w:proofErr w:type="spellEnd"/>
      <w:r w:rsidRPr="00DA0907">
        <w:rPr>
          <w:rFonts w:ascii="Times New Roman" w:hAnsi="Times New Roman" w:cs="Times New Roman"/>
        </w:rPr>
        <w:t xml:space="preserve"> (2026) who found that inflation has a weak but generally negative effect on manufacturing firm profitability over a much longer period of history and Usman and </w:t>
      </w:r>
      <w:proofErr w:type="spellStart"/>
      <w:r w:rsidR="002002B8" w:rsidRPr="00DA0907">
        <w:rPr>
          <w:rFonts w:ascii="Times New Roman" w:hAnsi="Times New Roman" w:cs="Times New Roman"/>
        </w:rPr>
        <w:t>Adejare</w:t>
      </w:r>
      <w:proofErr w:type="spellEnd"/>
      <w:r w:rsidRPr="00DA0907">
        <w:rPr>
          <w:rFonts w:ascii="Times New Roman" w:hAnsi="Times New Roman" w:cs="Times New Roman"/>
        </w:rPr>
        <w:t xml:space="preserve"> (2013) who reported a weak but generally negative relationship over a much longer period of history. It differs, however, from </w:t>
      </w:r>
      <w:proofErr w:type="spellStart"/>
      <w:r w:rsidRPr="00DA0907">
        <w:rPr>
          <w:rFonts w:ascii="Times New Roman" w:hAnsi="Times New Roman" w:cs="Times New Roman"/>
        </w:rPr>
        <w:t>Uruemu</w:t>
      </w:r>
      <w:proofErr w:type="spellEnd"/>
      <w:r w:rsidRPr="00DA0907">
        <w:rPr>
          <w:rFonts w:ascii="Times New Roman" w:hAnsi="Times New Roman" w:cs="Times New Roman"/>
        </w:rPr>
        <w:t xml:space="preserve"> (2022) who reported a positive </w:t>
      </w:r>
      <w:r w:rsidRPr="00DA0907">
        <w:rPr>
          <w:rFonts w:ascii="Times New Roman" w:hAnsi="Times New Roman" w:cs="Times New Roman"/>
        </w:rPr>
        <w:lastRenderedPageBreak/>
        <w:t xml:space="preserve">relationship between inflation and the liquidity of the stock market, and from </w:t>
      </w:r>
      <w:proofErr w:type="spellStart"/>
      <w:r w:rsidRPr="00DA0907">
        <w:rPr>
          <w:rFonts w:ascii="Times New Roman" w:hAnsi="Times New Roman" w:cs="Times New Roman"/>
        </w:rPr>
        <w:t>Kukandaka</w:t>
      </w:r>
      <w:proofErr w:type="spellEnd"/>
      <w:r w:rsidRPr="00DA0907">
        <w:rPr>
          <w:rFonts w:ascii="Times New Roman" w:hAnsi="Times New Roman" w:cs="Times New Roman"/>
        </w:rPr>
        <w:t xml:space="preserve"> et al. (2026) who found that the long-run relationship between inflation and the Industrial Goods sector index was positive; a contrast that this study's sector-specific results help to explain as the Industrial Goods sector here is found to be significantly negatively sensitive, meaning that the direction of the relationship may be sensitive to the dependent variable used (returns versus liquidity) and to the precise period and sub-index examined. The negative effect is through the following channels that are consistent with theory: higher inflation leads to higher discount rate applied to future cash flows; inflation erodes profit margins due to rising input costs, </w:t>
      </w:r>
      <w:proofErr w:type="spellStart"/>
      <w:r w:rsidRPr="00DA0907">
        <w:rPr>
          <w:rFonts w:ascii="Times New Roman" w:hAnsi="Times New Roman" w:cs="Times New Roman"/>
        </w:rPr>
        <w:t>labour</w:t>
      </w:r>
      <w:proofErr w:type="spellEnd"/>
      <w:r w:rsidRPr="00DA0907">
        <w:rPr>
          <w:rFonts w:ascii="Times New Roman" w:hAnsi="Times New Roman" w:cs="Times New Roman"/>
        </w:rPr>
        <w:t xml:space="preserve"> costs, financing costs, especially when firms are unable to pass the costs through to consumers; inflation creates uncertainty about future cash flows and hence the equity risk premium; and the contractionary monetary policy response to inflation increases borrowing costs and reduces economic activity (Folorunso, 2023; Abu, 2024; Central Bank of Nigeria, 2024).</w:t>
      </w:r>
    </w:p>
    <w:p w14:paraId="5345ED53" w14:textId="77777777" w:rsidR="009E3A6A" w:rsidRPr="00DA0907" w:rsidRDefault="009E3A6A" w:rsidP="009E3A6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Although the effect is counterintuitive at first sight, the positive effect of exchange rate depreciation on returns is consistent with the findings of </w:t>
      </w:r>
      <w:proofErr w:type="spellStart"/>
      <w:r w:rsidRPr="00DA0907">
        <w:rPr>
          <w:rFonts w:ascii="Times New Roman" w:hAnsi="Times New Roman" w:cs="Times New Roman"/>
        </w:rPr>
        <w:t>Kukandaka</w:t>
      </w:r>
      <w:proofErr w:type="spellEnd"/>
      <w:r w:rsidRPr="00DA0907">
        <w:rPr>
          <w:rFonts w:ascii="Times New Roman" w:hAnsi="Times New Roman" w:cs="Times New Roman"/>
        </w:rPr>
        <w:t xml:space="preserve"> et al. (2026) and points to the increase in naira-denominated earnings of firms with foreign-currency revenues, export competitiveness or dollar-linked operations, especially in Oil and Gas. The positive GDP growth effect supports the expansionary relationship between economic growth and corporate profitability as suggested by Dada et al. (2021). The sectoral heterogeneity found here is the main contribution of the study. The sensitivity of the Consumer Goods sector is consistent with Abu's (2024) finding that high inflation poses pricing and profitability pressures for FMCG companies, but the negative short-run impact identified here does not hold true for the long-run positive impact Abu (2024) observed in a longer time series (2007-2023), which could be due to the extreme level of inflation after 2022, and perhaps the firms' inability to react quickly enough to the inflation shock during the period covered by this study. The sensitivity of the Banking sector is due to the impact of monetary tightening on demand for loans and net interest margin (NIM) (</w:t>
      </w:r>
      <w:proofErr w:type="spellStart"/>
      <w:r w:rsidRPr="00DA0907">
        <w:rPr>
          <w:rFonts w:ascii="Times New Roman" w:hAnsi="Times New Roman" w:cs="Times New Roman"/>
        </w:rPr>
        <w:t>Kukandaka</w:t>
      </w:r>
      <w:proofErr w:type="spellEnd"/>
      <w:r w:rsidRPr="00DA0907">
        <w:rPr>
          <w:rFonts w:ascii="Times New Roman" w:hAnsi="Times New Roman" w:cs="Times New Roman"/>
        </w:rPr>
        <w:t xml:space="preserve"> et al., 2026), while the resilience of the Oil and Gas sector is attributed to dollar-denominated revenues and the particular positive effect of the deregulation of the sector in 2023–2024 (Leadership Newspapers, 2024; Guardian Nigeria, 2025).</w:t>
      </w:r>
    </w:p>
    <w:p w14:paraId="380F32A1" w14:textId="0DAB6A29" w:rsidR="009E3A6A" w:rsidRPr="00DA0907" w:rsidRDefault="009E3A6A" w:rsidP="009E3A6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apparent paradox of sustained high inflation and exceptional aggregate NGX performance from 2020 to 2024 (Nigerian Exchange Group, 2024) can be explained by factors that do not </w:t>
      </w:r>
      <w:r w:rsidRPr="00DA0907">
        <w:rPr>
          <w:rFonts w:ascii="Times New Roman" w:hAnsi="Times New Roman" w:cs="Times New Roman"/>
        </w:rPr>
        <w:lastRenderedPageBreak/>
        <w:t>contradict the inflation-return relationship found here: naira depreciation inflating naira value of foreign-currency linked earnings; exchange rate and energy sector reforms increasing business confidence (World Bank, 2024); high-profile new listings (</w:t>
      </w:r>
      <w:proofErr w:type="spellStart"/>
      <w:r w:rsidRPr="00DA0907">
        <w:rPr>
          <w:rFonts w:ascii="Times New Roman" w:hAnsi="Times New Roman" w:cs="Times New Roman"/>
        </w:rPr>
        <w:t>Geregu</w:t>
      </w:r>
      <w:proofErr w:type="spellEnd"/>
      <w:r w:rsidRPr="00DA0907">
        <w:rPr>
          <w:rFonts w:ascii="Times New Roman" w:hAnsi="Times New Roman" w:cs="Times New Roman"/>
        </w:rPr>
        <w:t xml:space="preserve"> Power, Transcorp Power, </w:t>
      </w:r>
      <w:proofErr w:type="spellStart"/>
      <w:r w:rsidRPr="00DA0907">
        <w:rPr>
          <w:rFonts w:ascii="Times New Roman" w:hAnsi="Times New Roman" w:cs="Times New Roman"/>
        </w:rPr>
        <w:t>Aradel</w:t>
      </w:r>
      <w:proofErr w:type="spellEnd"/>
      <w:r w:rsidRPr="00DA0907">
        <w:rPr>
          <w:rFonts w:ascii="Times New Roman" w:hAnsi="Times New Roman" w:cs="Times New Roman"/>
        </w:rPr>
        <w:t xml:space="preserve"> Holdings, BUA Foods) expanding market </w:t>
      </w:r>
      <w:proofErr w:type="spellStart"/>
      <w:r w:rsidRPr="00DA0907">
        <w:rPr>
          <w:rFonts w:ascii="Times New Roman" w:hAnsi="Times New Roman" w:cs="Times New Roman"/>
        </w:rPr>
        <w:t>capitalisation</w:t>
      </w:r>
      <w:proofErr w:type="spellEnd"/>
      <w:r w:rsidRPr="00DA0907">
        <w:rPr>
          <w:rFonts w:ascii="Times New Roman" w:hAnsi="Times New Roman" w:cs="Times New Roman"/>
        </w:rPr>
        <w:t xml:space="preserve"> (Nigerian Exchange Group, 2024); and negative real yields on fixed-income instruments driving a "search for yield" into equities (</w:t>
      </w:r>
      <w:proofErr w:type="spellStart"/>
      <w:r w:rsidRPr="00DA0907">
        <w:rPr>
          <w:rFonts w:ascii="Times New Roman" w:hAnsi="Times New Roman" w:cs="Times New Roman"/>
        </w:rPr>
        <w:t>Nairametrics</w:t>
      </w:r>
      <w:proofErr w:type="spellEnd"/>
      <w:r w:rsidRPr="00DA0907">
        <w:rPr>
          <w:rFonts w:ascii="Times New Roman" w:hAnsi="Times New Roman" w:cs="Times New Roman"/>
        </w:rPr>
        <w:t xml:space="preserve">, 2025). These forces were not uniform market-wide, but rather in specific sectors and new listings, as is consistent with, not in contradiction to, a negative relationship between inflation and return on the firm level and sector level under an increasing market-wide inflation index. Overall, the negative, rather than positive inflation-return relationship, as indicated by the rejection of the Fisher hypothesis, is consistent with previous Nigerian findings (Usman &amp; </w:t>
      </w:r>
      <w:proofErr w:type="spellStart"/>
      <w:r w:rsidR="002002B8" w:rsidRPr="00DA0907">
        <w:rPr>
          <w:rFonts w:ascii="Times New Roman" w:hAnsi="Times New Roman" w:cs="Times New Roman"/>
        </w:rPr>
        <w:t>Adejare</w:t>
      </w:r>
      <w:proofErr w:type="spellEnd"/>
      <w:r w:rsidRPr="00DA0907">
        <w:rPr>
          <w:rFonts w:ascii="Times New Roman" w:hAnsi="Times New Roman" w:cs="Times New Roman"/>
        </w:rPr>
        <w:t>, 2013; Folorunso, 2023) and suggests that over this period, equities have not been an effective inflation hedge in Nigeria, as the market is financially repressed, inefficient, and subject to policy-driven profitability pressure (</w:t>
      </w:r>
      <w:proofErr w:type="spellStart"/>
      <w:r w:rsidRPr="00DA0907">
        <w:rPr>
          <w:rFonts w:ascii="Times New Roman" w:hAnsi="Times New Roman" w:cs="Times New Roman"/>
        </w:rPr>
        <w:t>Uruemu</w:t>
      </w:r>
      <w:proofErr w:type="spellEnd"/>
      <w:r w:rsidRPr="00DA0907">
        <w:rPr>
          <w:rFonts w:ascii="Times New Roman" w:hAnsi="Times New Roman" w:cs="Times New Roman"/>
        </w:rPr>
        <w:t>, 2022).</w:t>
      </w:r>
    </w:p>
    <w:p w14:paraId="0C34E97A" w14:textId="0C8DD41E" w:rsidR="00E738C2" w:rsidRPr="00DA0907" w:rsidRDefault="00E738C2" w:rsidP="009E3A6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6.0 Conclusion and Recommendations</w:t>
      </w:r>
    </w:p>
    <w:p w14:paraId="4405DB20" w14:textId="7C6DCC8C" w:rsidR="00E738C2" w:rsidRPr="00DA0907" w:rsidRDefault="00E738C2" w:rsidP="00965A0A">
      <w:pPr>
        <w:tabs>
          <w:tab w:val="left" w:pos="2070"/>
        </w:tabs>
        <w:spacing w:line="360" w:lineRule="auto"/>
        <w:jc w:val="both"/>
        <w:rPr>
          <w:rFonts w:ascii="Times New Roman" w:hAnsi="Times New Roman" w:cs="Times New Roman"/>
          <w:sz w:val="22"/>
          <w:szCs w:val="22"/>
        </w:rPr>
      </w:pPr>
      <w:r w:rsidRPr="00DA0907">
        <w:rPr>
          <w:rFonts w:ascii="Times New Roman" w:hAnsi="Times New Roman" w:cs="Times New Roman"/>
          <w:b/>
          <w:bCs/>
        </w:rPr>
        <w:t>6.1 Conclusion</w:t>
      </w:r>
    </w:p>
    <w:p w14:paraId="15E71008" w14:textId="77777777" w:rsidR="009E3A6A" w:rsidRPr="00DA0907" w:rsidRDefault="009E3A6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study investigated the impact of the dynamics of inflation on the performance of the stock market of firms listed on the Nigerian Stock Exchange (NGX) in the period 2015 – 2024. The results demonstrate that inflation has a statistically significant and economically meaningful negative relationship with the stock returns of the sectors, and a one percent increase in inflation leads to a decrease of 0.432 percent in the stock returns of the sectors, which is in line with the Discounted Cash Flow perspective and the Arbitrage Pricing Theory. This impact is very different across the various sectors, with the Consumer Goods and Banking sectors being the most vulnerable, and the Oil and Gas sector the most resilient. This negative correlation did not cause the Nigerian equity market to suffer from poor aggregate returns during the period; this is because the currency depreciation effects, policy reform, and new listings that were experienced during the period were responsible for this resilience and not the inflation-hedging properties of equities as such. Based on this evidence, the null hypothesis of no significant effect of inflation on the performance of the stock market sectors is rejected. The empirical contribution of the study is that the link between aggregate inflation and the stock market in Nigeria masks the existence of significant sectoral differences that have policy implications for portfolio construction.</w:t>
      </w:r>
    </w:p>
    <w:p w14:paraId="1ABB5771" w14:textId="43CC7666" w:rsidR="00965A0A" w:rsidRPr="00DA0907" w:rsidRDefault="00E738C2" w:rsidP="00965A0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lastRenderedPageBreak/>
        <w:t xml:space="preserve">6.2 </w:t>
      </w:r>
      <w:r w:rsidR="00965A0A" w:rsidRPr="00DA0907">
        <w:rPr>
          <w:rFonts w:ascii="Times New Roman" w:hAnsi="Times New Roman" w:cs="Times New Roman"/>
          <w:b/>
          <w:bCs/>
        </w:rPr>
        <w:t>Recommendations</w:t>
      </w:r>
    </w:p>
    <w:p w14:paraId="3B47DF97" w14:textId="38768EF0" w:rsidR="009E3A6A" w:rsidRPr="00DA0907" w:rsidRDefault="009E3A6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study recommends that the following measures should be taken:</w:t>
      </w:r>
    </w:p>
    <w:p w14:paraId="57BFC995" w14:textId="71A8A821" w:rsidR="009E3A6A" w:rsidRPr="00DA0907" w:rsidRDefault="009E3A6A" w:rsidP="009E3A6A">
      <w:pPr>
        <w:pStyle w:val="ListParagraph"/>
        <w:numPr>
          <w:ilvl w:val="0"/>
          <w:numId w:val="10"/>
        </w:num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Central Bank of Nigeria further enhanced its monetary policy framework and reiterated its commitment to price stability as its main objective by credible inflation targeting and better coordination with the fiscal authorities to anchor inflation expectations. </w:t>
      </w:r>
    </w:p>
    <w:p w14:paraId="73A533B7" w14:textId="6A366E66" w:rsidR="009E3A6A" w:rsidRPr="00DA0907" w:rsidRDefault="009E3A6A" w:rsidP="009E3A6A">
      <w:pPr>
        <w:pStyle w:val="ListParagraph"/>
        <w:numPr>
          <w:ilvl w:val="0"/>
          <w:numId w:val="10"/>
        </w:num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Federal Government cut the reliance on deficit </w:t>
      </w:r>
      <w:proofErr w:type="spellStart"/>
      <w:r w:rsidRPr="00DA0907">
        <w:rPr>
          <w:rFonts w:ascii="Times New Roman" w:hAnsi="Times New Roman" w:cs="Times New Roman"/>
        </w:rPr>
        <w:t>monetisation</w:t>
      </w:r>
      <w:proofErr w:type="spellEnd"/>
      <w:r w:rsidRPr="00DA0907">
        <w:rPr>
          <w:rFonts w:ascii="Times New Roman" w:hAnsi="Times New Roman" w:cs="Times New Roman"/>
        </w:rPr>
        <w:t xml:space="preserve"> by Ways and Means advances and opted for revenue </w:t>
      </w:r>
      <w:proofErr w:type="spellStart"/>
      <w:r w:rsidRPr="00DA0907">
        <w:rPr>
          <w:rFonts w:ascii="Times New Roman" w:hAnsi="Times New Roman" w:cs="Times New Roman"/>
        </w:rPr>
        <w:t>mobilisation</w:t>
      </w:r>
      <w:proofErr w:type="spellEnd"/>
      <w:r w:rsidRPr="00DA0907">
        <w:rPr>
          <w:rFonts w:ascii="Times New Roman" w:hAnsi="Times New Roman" w:cs="Times New Roman"/>
        </w:rPr>
        <w:t xml:space="preserve">, cost </w:t>
      </w:r>
      <w:proofErr w:type="spellStart"/>
      <w:r w:rsidRPr="00DA0907">
        <w:rPr>
          <w:rFonts w:ascii="Times New Roman" w:hAnsi="Times New Roman" w:cs="Times New Roman"/>
        </w:rPr>
        <w:t>rationalisation</w:t>
      </w:r>
      <w:proofErr w:type="spellEnd"/>
      <w:r w:rsidRPr="00DA0907">
        <w:rPr>
          <w:rFonts w:ascii="Times New Roman" w:hAnsi="Times New Roman" w:cs="Times New Roman"/>
        </w:rPr>
        <w:t xml:space="preserve"> and productive investment in infrastructure that alleviates cost pressures.</w:t>
      </w:r>
    </w:p>
    <w:p w14:paraId="23BDE479" w14:textId="094AD602" w:rsidR="009E3A6A" w:rsidRPr="00DA0907" w:rsidRDefault="009E3A6A" w:rsidP="009E3A6A">
      <w:pPr>
        <w:pStyle w:val="ListParagraph"/>
        <w:numPr>
          <w:ilvl w:val="0"/>
          <w:numId w:val="10"/>
        </w:num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Sector-specific interventions should be considered to lower input costs and build up domestic manufacturing capacity in Consumer Goods, and intermediation and buffers in capital and liquidity in Banking, which are more sensitive to inflation. </w:t>
      </w:r>
    </w:p>
    <w:p w14:paraId="46F2CC80" w14:textId="5B26CC60" w:rsidR="009E3A6A" w:rsidRPr="00DA0907" w:rsidRDefault="009E3A6A" w:rsidP="009E3A6A">
      <w:pPr>
        <w:pStyle w:val="ListParagraph"/>
        <w:numPr>
          <w:ilvl w:val="0"/>
          <w:numId w:val="10"/>
        </w:num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Securities and Exchange Commission and the NGX increase investor awareness on inflation-hedging investment strategies and promote the creation of financial products linked to inflation. </w:t>
      </w:r>
    </w:p>
    <w:p w14:paraId="1A08E3E2" w14:textId="023CF38E" w:rsidR="009E3A6A" w:rsidRPr="00DA0907" w:rsidRDefault="009E3A6A" w:rsidP="009E3A6A">
      <w:pPr>
        <w:pStyle w:val="ListParagraph"/>
        <w:numPr>
          <w:ilvl w:val="0"/>
          <w:numId w:val="10"/>
        </w:numPr>
        <w:tabs>
          <w:tab w:val="left" w:pos="2070"/>
        </w:tabs>
        <w:spacing w:line="360" w:lineRule="auto"/>
        <w:jc w:val="both"/>
        <w:rPr>
          <w:rFonts w:ascii="Times New Roman" w:hAnsi="Times New Roman" w:cs="Times New Roman"/>
          <w:b/>
          <w:bCs/>
        </w:rPr>
      </w:pPr>
      <w:r w:rsidRPr="00DA0907">
        <w:rPr>
          <w:rFonts w:ascii="Times New Roman" w:hAnsi="Times New Roman" w:cs="Times New Roman"/>
        </w:rPr>
        <w:t>Listed companies implement pricing policies that consider margin protection and affordability, seek cost efficiency by leveraging technology and diversify their revenue to mitigate concentrated exposure to domestic inflation.</w:t>
      </w:r>
      <w:r w:rsidRPr="00DA0907">
        <w:rPr>
          <w:rFonts w:ascii="Times New Roman" w:hAnsi="Times New Roman" w:cs="Times New Roman"/>
          <w:b/>
          <w:bCs/>
        </w:rPr>
        <w:t xml:space="preserve"> </w:t>
      </w:r>
    </w:p>
    <w:p w14:paraId="7D7086DE" w14:textId="2F48E1BD" w:rsidR="00965A0A" w:rsidRPr="00DA0907" w:rsidRDefault="00E738C2" w:rsidP="009E3A6A">
      <w:pPr>
        <w:tabs>
          <w:tab w:val="left" w:pos="2070"/>
        </w:tabs>
        <w:spacing w:line="360" w:lineRule="auto"/>
        <w:jc w:val="both"/>
        <w:rPr>
          <w:rFonts w:ascii="Times New Roman" w:hAnsi="Times New Roman" w:cs="Times New Roman"/>
          <w:b/>
          <w:bCs/>
        </w:rPr>
      </w:pPr>
      <w:r w:rsidRPr="00DA0907">
        <w:rPr>
          <w:rFonts w:ascii="Times New Roman" w:hAnsi="Times New Roman" w:cs="Times New Roman"/>
          <w:b/>
          <w:bCs/>
        </w:rPr>
        <w:t xml:space="preserve">6.3 </w:t>
      </w:r>
      <w:r w:rsidR="00965A0A" w:rsidRPr="00DA0907">
        <w:rPr>
          <w:rFonts w:ascii="Times New Roman" w:hAnsi="Times New Roman" w:cs="Times New Roman"/>
          <w:b/>
          <w:bCs/>
        </w:rPr>
        <w:t>Limitations and Future Research</w:t>
      </w:r>
    </w:p>
    <w:p w14:paraId="2D46BB0A" w14:textId="2E4D62C0" w:rsidR="009E3A6A" w:rsidRPr="00DA0907" w:rsidRDefault="009E3A6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There are four important limitations to this study. </w:t>
      </w:r>
      <w:r w:rsidR="00EB2FD0" w:rsidRPr="00DA0907">
        <w:rPr>
          <w:rFonts w:ascii="Times New Roman" w:hAnsi="Times New Roman" w:cs="Times New Roman"/>
        </w:rPr>
        <w:t>First</w:t>
      </w:r>
      <w:r w:rsidRPr="00DA0907">
        <w:rPr>
          <w:rFonts w:ascii="Times New Roman" w:hAnsi="Times New Roman" w:cs="Times New Roman"/>
        </w:rPr>
        <w:t xml:space="preserve">, data limitations meant that not all NGX sectors were included, especially Insurance and Information Technology, which should be included in future studies as more data becomes available. Second, the study uses annual data because the data for firms is available at that level, and quarterly or monthly data would be more useful for capturing the immediate impact of inflation shocks. Third, the study does not explicitly consider potential non-linearities in the relationship between inflation and returns at very high inflation levels, which could be explored in future work. Fourth, </w:t>
      </w:r>
      <w:r w:rsidR="00EB2FD0" w:rsidRPr="00DA0907">
        <w:rPr>
          <w:rFonts w:ascii="Times New Roman" w:hAnsi="Times New Roman" w:cs="Times New Roman"/>
        </w:rPr>
        <w:t>the findings are limited to the</w:t>
      </w:r>
      <w:r w:rsidR="003F38E9" w:rsidRPr="00DA0907">
        <w:rPr>
          <w:rFonts w:ascii="Times New Roman" w:hAnsi="Times New Roman" w:cs="Times New Roman"/>
        </w:rPr>
        <w:t xml:space="preserve"> </w:t>
      </w:r>
      <w:r w:rsidRPr="00DA0907">
        <w:rPr>
          <w:rFonts w:ascii="Times New Roman" w:hAnsi="Times New Roman" w:cs="Times New Roman"/>
        </w:rPr>
        <w:t xml:space="preserve">2015–2024 focus and would be more </w:t>
      </w:r>
      <w:proofErr w:type="spellStart"/>
      <w:r w:rsidRPr="00DA0907">
        <w:rPr>
          <w:rFonts w:ascii="Times New Roman" w:hAnsi="Times New Roman" w:cs="Times New Roman"/>
        </w:rPr>
        <w:t>generalisable</w:t>
      </w:r>
      <w:proofErr w:type="spellEnd"/>
      <w:r w:rsidRPr="00DA0907">
        <w:rPr>
          <w:rFonts w:ascii="Times New Roman" w:hAnsi="Times New Roman" w:cs="Times New Roman"/>
        </w:rPr>
        <w:t xml:space="preserve"> if comparative cross-country studies were conducted. </w:t>
      </w:r>
    </w:p>
    <w:p w14:paraId="7FE40EFB" w14:textId="1553072B" w:rsidR="00965A0A" w:rsidRPr="00DA0907" w:rsidRDefault="00965A0A" w:rsidP="00965A0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Data Availability Statement</w:t>
      </w:r>
    </w:p>
    <w:p w14:paraId="16BF4F9F" w14:textId="77777777" w:rsidR="009E3A6A" w:rsidRPr="00DA0907" w:rsidRDefault="009E3A6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The macroeconomic data used in this study is publicly available from the National Bureau of Statistics, Central Bank of Nigeria and the Nigerian Exchange Group. The data for the firms was </w:t>
      </w:r>
      <w:r w:rsidRPr="00DA0907">
        <w:rPr>
          <w:rFonts w:ascii="Times New Roman" w:hAnsi="Times New Roman" w:cs="Times New Roman"/>
        </w:rPr>
        <w:lastRenderedPageBreak/>
        <w:t xml:space="preserve">obtained from the audited annual reports and financial statements from the sampled firms which are available on the NGX website and individual companies' websites. The compiled panel data is available on reasonable request from the corresponding author. </w:t>
      </w:r>
    </w:p>
    <w:p w14:paraId="3B3FE28E" w14:textId="4762074F" w:rsidR="00965A0A" w:rsidRPr="00DA0907" w:rsidRDefault="00965A0A" w:rsidP="00965A0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Conflicts of Interest</w:t>
      </w:r>
    </w:p>
    <w:p w14:paraId="01357470" w14:textId="06F334CA" w:rsidR="00965A0A" w:rsidRPr="00DA0907" w:rsidRDefault="00965A0A" w:rsidP="00965A0A">
      <w:pPr>
        <w:tabs>
          <w:tab w:val="left" w:pos="2070"/>
        </w:tabs>
        <w:spacing w:line="360" w:lineRule="auto"/>
        <w:jc w:val="both"/>
        <w:rPr>
          <w:rFonts w:ascii="Times New Roman" w:hAnsi="Times New Roman" w:cs="Times New Roman"/>
        </w:rPr>
      </w:pPr>
      <w:r w:rsidRPr="00DA0907">
        <w:rPr>
          <w:rFonts w:ascii="Times New Roman" w:hAnsi="Times New Roman" w:cs="Times New Roman"/>
        </w:rPr>
        <w:t>The authors declare no conflicts of interest.</w:t>
      </w:r>
    </w:p>
    <w:p w14:paraId="4BC77583" w14:textId="77777777" w:rsidR="00562B4B" w:rsidRPr="00DA0907" w:rsidRDefault="00562B4B" w:rsidP="00562B4B">
      <w:pPr>
        <w:spacing w:after="0" w:line="240" w:lineRule="auto"/>
        <w:rPr>
          <w:rFonts w:ascii="Times New Roman" w:hAnsi="Times New Roman" w:cs="Times New Roman"/>
          <w:b/>
        </w:rPr>
      </w:pPr>
      <w:r w:rsidRPr="00DA0907">
        <w:rPr>
          <w:rFonts w:ascii="Times New Roman" w:hAnsi="Times New Roman" w:cs="Times New Roman"/>
          <w:b/>
        </w:rPr>
        <w:t>Declaration of AI Use</w:t>
      </w:r>
    </w:p>
    <w:p w14:paraId="3DF3EFD7" w14:textId="77777777" w:rsidR="00562B4B" w:rsidRPr="00DA0907" w:rsidRDefault="00562B4B" w:rsidP="00562B4B">
      <w:pPr>
        <w:spacing w:after="0" w:line="240" w:lineRule="auto"/>
        <w:rPr>
          <w:rFonts w:ascii="Times New Roman" w:hAnsi="Times New Roman" w:cs="Times New Roman"/>
          <w:b/>
        </w:rPr>
      </w:pPr>
    </w:p>
    <w:p w14:paraId="5244EF5C" w14:textId="77777777" w:rsidR="00562B4B" w:rsidRPr="00DA0907" w:rsidRDefault="00562B4B" w:rsidP="00562B4B">
      <w:pPr>
        <w:spacing w:after="0" w:line="240" w:lineRule="auto"/>
        <w:rPr>
          <w:rFonts w:ascii="Times New Roman" w:hAnsi="Times New Roman" w:cs="Times New Roman"/>
          <w:b/>
        </w:rPr>
      </w:pPr>
    </w:p>
    <w:p w14:paraId="399F779C" w14:textId="77777777" w:rsidR="00562B4B" w:rsidRPr="00DA0907" w:rsidRDefault="00562B4B" w:rsidP="00562B4B">
      <w:pPr>
        <w:spacing w:after="0" w:line="240" w:lineRule="auto"/>
        <w:rPr>
          <w:rFonts w:ascii="Times New Roman" w:hAnsi="Times New Roman" w:cs="Times New Roman"/>
          <w:b/>
        </w:rPr>
      </w:pPr>
    </w:p>
    <w:p w14:paraId="35BC77AF" w14:textId="77777777" w:rsidR="00562B4B" w:rsidRPr="00DA0907" w:rsidRDefault="00562B4B" w:rsidP="00562B4B">
      <w:pPr>
        <w:spacing w:after="0" w:line="240" w:lineRule="auto"/>
        <w:rPr>
          <w:rFonts w:ascii="Arial" w:hAnsi="Arial" w:cs="Arial"/>
          <w:sz w:val="20"/>
          <w:szCs w:val="20"/>
        </w:rPr>
      </w:pPr>
      <w:r w:rsidRPr="00DA0907">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120B3C0" w14:textId="77777777" w:rsidR="00562B4B" w:rsidRPr="00DA0907" w:rsidRDefault="00562B4B" w:rsidP="00562B4B">
      <w:pPr>
        <w:jc w:val="both"/>
        <w:outlineLvl w:val="0"/>
        <w:rPr>
          <w:rFonts w:ascii="Arial" w:hAnsi="Arial" w:cs="Arial"/>
        </w:rPr>
      </w:pPr>
      <w:r w:rsidRPr="00DA0907">
        <w:rPr>
          <w:rFonts w:ascii="Arial" w:hAnsi="Arial" w:cs="Arial"/>
          <w:b/>
          <w:bCs/>
        </w:rPr>
        <w:t>COMPETING INTERESTS DISCLAIMER:</w:t>
      </w:r>
    </w:p>
    <w:p w14:paraId="6E9CA144" w14:textId="77777777" w:rsidR="00562B4B" w:rsidRPr="00DA0907" w:rsidRDefault="00562B4B" w:rsidP="00562B4B">
      <w:r w:rsidRPr="00DA0907">
        <w:t>Authors have declared that they have no known competing financial interests OR non-financial interests OR personal relationships that could have appeared to influence the work reported in this paper.</w:t>
      </w:r>
    </w:p>
    <w:p w14:paraId="09E3A9B7" w14:textId="77777777" w:rsidR="00562B4B" w:rsidRPr="00DA0907" w:rsidRDefault="00562B4B" w:rsidP="00562B4B"/>
    <w:p w14:paraId="7DF27644" w14:textId="77777777" w:rsidR="00562B4B" w:rsidRPr="00DA0907" w:rsidRDefault="00562B4B" w:rsidP="00562B4B"/>
    <w:p w14:paraId="70280EAA" w14:textId="77777777" w:rsidR="00562B4B" w:rsidRPr="00DA0907" w:rsidRDefault="00562B4B" w:rsidP="00965A0A">
      <w:pPr>
        <w:tabs>
          <w:tab w:val="left" w:pos="2070"/>
        </w:tabs>
        <w:spacing w:line="360" w:lineRule="auto"/>
        <w:jc w:val="both"/>
        <w:rPr>
          <w:rFonts w:ascii="Times New Roman" w:hAnsi="Times New Roman" w:cs="Times New Roman"/>
        </w:rPr>
      </w:pPr>
    </w:p>
    <w:p w14:paraId="7AC0A5B4" w14:textId="77777777" w:rsidR="00965A0A" w:rsidRPr="00DA0907" w:rsidRDefault="00965A0A" w:rsidP="00965A0A">
      <w:pPr>
        <w:tabs>
          <w:tab w:val="left" w:pos="2070"/>
        </w:tabs>
        <w:spacing w:line="360" w:lineRule="auto"/>
        <w:jc w:val="both"/>
        <w:rPr>
          <w:rFonts w:ascii="Times New Roman" w:hAnsi="Times New Roman" w:cs="Times New Roman"/>
          <w:b/>
          <w:bCs/>
          <w:sz w:val="26"/>
          <w:szCs w:val="26"/>
        </w:rPr>
      </w:pPr>
      <w:r w:rsidRPr="00DA0907">
        <w:rPr>
          <w:rFonts w:ascii="Times New Roman" w:hAnsi="Times New Roman" w:cs="Times New Roman"/>
          <w:b/>
          <w:bCs/>
          <w:sz w:val="26"/>
          <w:szCs w:val="26"/>
        </w:rPr>
        <w:t>References</w:t>
      </w:r>
    </w:p>
    <w:p w14:paraId="4BA1F35C" w14:textId="77777777" w:rsidR="00965A0A" w:rsidRPr="00DA0907" w:rsidRDefault="00965A0A"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Abu, N. I. (2024). Effect of inflation on stock market performance of fast-moving consumer goods sector in Nigeria. </w:t>
      </w:r>
      <w:r w:rsidRPr="00DA0907">
        <w:rPr>
          <w:rFonts w:ascii="Times New Roman" w:hAnsi="Times New Roman" w:cs="Times New Roman"/>
          <w:i/>
          <w:iCs/>
        </w:rPr>
        <w:t>Nigerian Journal of Management Studies, 26</w:t>
      </w:r>
      <w:r w:rsidRPr="00DA0907">
        <w:rPr>
          <w:rFonts w:ascii="Times New Roman" w:hAnsi="Times New Roman" w:cs="Times New Roman"/>
        </w:rPr>
        <w:t>(1). https://njms.unilag.edu.ng/article/view/2348</w:t>
      </w:r>
    </w:p>
    <w:p w14:paraId="1F01F74D" w14:textId="5CC77663" w:rsidR="00965A0A" w:rsidRPr="00DA0907" w:rsidRDefault="00965A0A"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Central Bank of Nigeria. (2024). </w:t>
      </w:r>
      <w:r w:rsidRPr="00DA0907">
        <w:rPr>
          <w:rFonts w:ascii="Times New Roman" w:hAnsi="Times New Roman" w:cs="Times New Roman"/>
          <w:i/>
          <w:iCs/>
        </w:rPr>
        <w:t>Annual statistical bulletin</w:t>
      </w:r>
      <w:r w:rsidRPr="00DA0907">
        <w:rPr>
          <w:rFonts w:ascii="Times New Roman" w:hAnsi="Times New Roman" w:cs="Times New Roman"/>
        </w:rPr>
        <w:t>. CBN Publications.</w:t>
      </w:r>
      <w:r w:rsidR="00E374C5" w:rsidRPr="00DA0907">
        <w:rPr>
          <w:rFonts w:ascii="Times New Roman" w:hAnsi="Times New Roman" w:cs="Times New Roman"/>
        </w:rPr>
        <w:t xml:space="preserve"> https://www.cbn.gov.ng/documents/Statbulletin.html</w:t>
      </w:r>
    </w:p>
    <w:p w14:paraId="5E4747B6" w14:textId="77777777" w:rsidR="0092193B" w:rsidRPr="00DA0907" w:rsidRDefault="0092193B"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Central Bank of Nigeria. (2024). </w:t>
      </w:r>
      <w:r w:rsidRPr="00DA0907">
        <w:rPr>
          <w:rFonts w:ascii="Times New Roman" w:hAnsi="Times New Roman" w:cs="Times New Roman"/>
          <w:i/>
          <w:iCs/>
        </w:rPr>
        <w:t>Inflation expectations survey report: December 2024</w:t>
      </w:r>
      <w:r w:rsidRPr="00DA0907">
        <w:rPr>
          <w:rFonts w:ascii="Times New Roman" w:hAnsi="Times New Roman" w:cs="Times New Roman"/>
        </w:rPr>
        <w:t>. CBN Publications.</w:t>
      </w:r>
    </w:p>
    <w:p w14:paraId="30588122" w14:textId="77777777" w:rsidR="0092193B" w:rsidRPr="00DA0907" w:rsidRDefault="0092193B"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Central Bank of Nigeria. (2024). </w:t>
      </w:r>
      <w:r w:rsidRPr="00DA0907">
        <w:rPr>
          <w:rFonts w:ascii="Times New Roman" w:hAnsi="Times New Roman" w:cs="Times New Roman"/>
          <w:i/>
          <w:iCs/>
        </w:rPr>
        <w:t xml:space="preserve">Macroeconomic outlook: Price discovery for economic </w:t>
      </w:r>
      <w:proofErr w:type="spellStart"/>
      <w:r w:rsidRPr="00DA0907">
        <w:rPr>
          <w:rFonts w:ascii="Times New Roman" w:hAnsi="Times New Roman" w:cs="Times New Roman"/>
          <w:i/>
          <w:iCs/>
        </w:rPr>
        <w:t>stabilisation</w:t>
      </w:r>
      <w:proofErr w:type="spellEnd"/>
      <w:r w:rsidRPr="00DA0907">
        <w:rPr>
          <w:rFonts w:ascii="Times New Roman" w:hAnsi="Times New Roman" w:cs="Times New Roman"/>
        </w:rPr>
        <w:t>. CBN Publications.</w:t>
      </w:r>
    </w:p>
    <w:p w14:paraId="6957E69A" w14:textId="4AB671E1" w:rsidR="00965A0A" w:rsidRPr="00DA0907" w:rsidRDefault="00965A0A"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lastRenderedPageBreak/>
        <w:t xml:space="preserve">Fisher, I. (1930). </w:t>
      </w:r>
      <w:r w:rsidRPr="00DA0907">
        <w:rPr>
          <w:rFonts w:ascii="Times New Roman" w:hAnsi="Times New Roman" w:cs="Times New Roman"/>
          <w:i/>
          <w:iCs/>
        </w:rPr>
        <w:t>The theory of interest</w:t>
      </w:r>
      <w:r w:rsidRPr="00DA0907">
        <w:rPr>
          <w:rFonts w:ascii="Times New Roman" w:hAnsi="Times New Roman" w:cs="Times New Roman"/>
        </w:rPr>
        <w:t>. Macmillan.</w:t>
      </w:r>
    </w:p>
    <w:p w14:paraId="0F8D273D" w14:textId="77777777" w:rsidR="00E66261" w:rsidRPr="00DA0907" w:rsidRDefault="00E66261"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Folorunso, A. T. (2023). Investigating the impact of inflation and other macroeconomic variables on stock returns in Nigeria. </w:t>
      </w:r>
      <w:r w:rsidRPr="00DA0907">
        <w:rPr>
          <w:rFonts w:ascii="Times New Roman" w:hAnsi="Times New Roman" w:cs="Times New Roman"/>
          <w:i/>
          <w:iCs/>
        </w:rPr>
        <w:t>Asian Journal of Economics Business and Accounting</w:t>
      </w:r>
      <w:r w:rsidRPr="00DA0907">
        <w:rPr>
          <w:rFonts w:ascii="Times New Roman" w:hAnsi="Times New Roman" w:cs="Times New Roman"/>
        </w:rPr>
        <w:t xml:space="preserve">, </w:t>
      </w:r>
      <w:r w:rsidRPr="00DA0907">
        <w:rPr>
          <w:rFonts w:ascii="Times New Roman" w:hAnsi="Times New Roman" w:cs="Times New Roman"/>
          <w:i/>
          <w:iCs/>
        </w:rPr>
        <w:t>23</w:t>
      </w:r>
      <w:r w:rsidRPr="00DA0907">
        <w:rPr>
          <w:rFonts w:ascii="Times New Roman" w:hAnsi="Times New Roman" w:cs="Times New Roman"/>
        </w:rPr>
        <w:t>(14), 8–26. https://doi.org/10.9734/ajeba/2023/v23i141001</w:t>
      </w:r>
    </w:p>
    <w:p w14:paraId="0242F3AB" w14:textId="77777777" w:rsidR="00965A0A" w:rsidRPr="00DA0907" w:rsidRDefault="00965A0A"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Guardian Nigeria. (2025, October 20). Consumer index delivers over 100% returns to investors in 10 years. </w:t>
      </w:r>
      <w:r w:rsidRPr="00DA0907">
        <w:rPr>
          <w:rFonts w:ascii="Times New Roman" w:hAnsi="Times New Roman" w:cs="Times New Roman"/>
          <w:i/>
          <w:iCs/>
        </w:rPr>
        <w:t>The Guardian Nigeria</w:t>
      </w:r>
      <w:r w:rsidRPr="00DA0907">
        <w:rPr>
          <w:rFonts w:ascii="Times New Roman" w:hAnsi="Times New Roman" w:cs="Times New Roman"/>
        </w:rPr>
        <w:t>. https://guardian.ng/business-services/consumer-index-delivers-over-100-returns-to-investors-in-10-years/</w:t>
      </w:r>
    </w:p>
    <w:p w14:paraId="5D8A9A98" w14:textId="313657F1" w:rsidR="00965A0A" w:rsidRPr="00DA0907" w:rsidRDefault="00965A0A" w:rsidP="00D75A4E">
      <w:pPr>
        <w:tabs>
          <w:tab w:val="left" w:pos="2070"/>
        </w:tabs>
        <w:spacing w:line="360" w:lineRule="auto"/>
        <w:jc w:val="both"/>
        <w:rPr>
          <w:rFonts w:ascii="Times New Roman" w:hAnsi="Times New Roman" w:cs="Times New Roman"/>
        </w:rPr>
      </w:pPr>
      <w:proofErr w:type="spellStart"/>
      <w:r w:rsidRPr="00DA0907">
        <w:rPr>
          <w:rFonts w:ascii="Times New Roman" w:hAnsi="Times New Roman" w:cs="Times New Roman"/>
        </w:rPr>
        <w:t>Ikoku</w:t>
      </w:r>
      <w:proofErr w:type="spellEnd"/>
      <w:r w:rsidRPr="00DA0907">
        <w:rPr>
          <w:rFonts w:ascii="Times New Roman" w:hAnsi="Times New Roman" w:cs="Times New Roman"/>
        </w:rPr>
        <w:t xml:space="preserve">, A. E., &amp; Okorie, G. (2010). The performance of Nigerian stock exchange sectorial indices: January 2009–December 2010. </w:t>
      </w:r>
      <w:r w:rsidRPr="00DA0907">
        <w:rPr>
          <w:rFonts w:ascii="Times New Roman" w:hAnsi="Times New Roman" w:cs="Times New Roman"/>
          <w:i/>
          <w:iCs/>
        </w:rPr>
        <w:t>Bullion, 34</w:t>
      </w:r>
      <w:r w:rsidRPr="00DA0907">
        <w:rPr>
          <w:rFonts w:ascii="Times New Roman" w:hAnsi="Times New Roman" w:cs="Times New Roman"/>
        </w:rPr>
        <w:t>(4), 1.</w:t>
      </w:r>
      <w:r w:rsidR="00E66261" w:rsidRPr="00DA0907">
        <w:t xml:space="preserve"> </w:t>
      </w:r>
      <w:r w:rsidR="00E66261" w:rsidRPr="00DA0907">
        <w:rPr>
          <w:rFonts w:ascii="Times New Roman" w:hAnsi="Times New Roman" w:cs="Times New Roman"/>
        </w:rPr>
        <w:t>https://dc.cbn.gov.ng/bullion/vol34/iss4/1</w:t>
      </w:r>
    </w:p>
    <w:p w14:paraId="2959B142" w14:textId="77777777" w:rsidR="00965A0A" w:rsidRPr="00DA0907" w:rsidRDefault="00965A0A"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Isibor, E., &amp; </w:t>
      </w:r>
      <w:proofErr w:type="spellStart"/>
      <w:r w:rsidRPr="00DA0907">
        <w:rPr>
          <w:rFonts w:ascii="Times New Roman" w:hAnsi="Times New Roman" w:cs="Times New Roman"/>
        </w:rPr>
        <w:t>Esechie</w:t>
      </w:r>
      <w:proofErr w:type="spellEnd"/>
      <w:r w:rsidRPr="00DA0907">
        <w:rPr>
          <w:rFonts w:ascii="Times New Roman" w:hAnsi="Times New Roman" w:cs="Times New Roman"/>
        </w:rPr>
        <w:t xml:space="preserve">, E. T. (2026). Corporate financial performance and macroeconomic dynamics of listed manufacturing firms in Nigeria. </w:t>
      </w:r>
      <w:r w:rsidRPr="00DA0907">
        <w:rPr>
          <w:rFonts w:ascii="Times New Roman" w:hAnsi="Times New Roman" w:cs="Times New Roman"/>
          <w:i/>
          <w:iCs/>
        </w:rPr>
        <w:t>African Banking and Finance Review Journal, 21</w:t>
      </w:r>
      <w:r w:rsidRPr="00DA0907">
        <w:rPr>
          <w:rFonts w:ascii="Times New Roman" w:hAnsi="Times New Roman" w:cs="Times New Roman"/>
        </w:rPr>
        <w:t>(6), 226–239. http://www.abfrjournal.com/index.php/abfr/article/view/491</w:t>
      </w:r>
    </w:p>
    <w:p w14:paraId="70F1FB01" w14:textId="77777777" w:rsidR="00965A0A" w:rsidRPr="00DA0907" w:rsidRDefault="00965A0A" w:rsidP="00D75A4E">
      <w:pPr>
        <w:tabs>
          <w:tab w:val="left" w:pos="2070"/>
        </w:tabs>
        <w:spacing w:line="360" w:lineRule="auto"/>
        <w:jc w:val="both"/>
        <w:rPr>
          <w:rFonts w:ascii="Times New Roman" w:hAnsi="Times New Roman" w:cs="Times New Roman"/>
        </w:rPr>
      </w:pPr>
      <w:proofErr w:type="spellStart"/>
      <w:r w:rsidRPr="00DA0907">
        <w:rPr>
          <w:rFonts w:ascii="Times New Roman" w:hAnsi="Times New Roman" w:cs="Times New Roman"/>
        </w:rPr>
        <w:t>Kukandaka</w:t>
      </w:r>
      <w:proofErr w:type="spellEnd"/>
      <w:r w:rsidRPr="00DA0907">
        <w:rPr>
          <w:rFonts w:ascii="Times New Roman" w:hAnsi="Times New Roman" w:cs="Times New Roman"/>
        </w:rPr>
        <w:t xml:space="preserve">, I., Abdullahi, A. M., &amp; </w:t>
      </w:r>
      <w:proofErr w:type="spellStart"/>
      <w:r w:rsidRPr="00DA0907">
        <w:rPr>
          <w:rFonts w:ascii="Times New Roman" w:hAnsi="Times New Roman" w:cs="Times New Roman"/>
        </w:rPr>
        <w:t>Mairafi</w:t>
      </w:r>
      <w:proofErr w:type="spellEnd"/>
      <w:r w:rsidRPr="00DA0907">
        <w:rPr>
          <w:rFonts w:ascii="Times New Roman" w:hAnsi="Times New Roman" w:cs="Times New Roman"/>
        </w:rPr>
        <w:t xml:space="preserve">, S. L. (2026). Macroeconomic variables and industrial goods sector index performance: Evidence from the Nigerian Exchange Group (NGX). </w:t>
      </w:r>
      <w:r w:rsidRPr="00DA0907">
        <w:rPr>
          <w:rFonts w:ascii="Times New Roman" w:hAnsi="Times New Roman" w:cs="Times New Roman"/>
          <w:i/>
          <w:iCs/>
        </w:rPr>
        <w:t>Tanzanian Journal of Multidisciplinary Studies, 2</w:t>
      </w:r>
      <w:r w:rsidRPr="00DA0907">
        <w:rPr>
          <w:rFonts w:ascii="Times New Roman" w:hAnsi="Times New Roman" w:cs="Times New Roman"/>
        </w:rPr>
        <w:t>(1), 1–19. http://journal.kiut.ac.tz/index.php/tzjms/article/view/274</w:t>
      </w:r>
    </w:p>
    <w:p w14:paraId="7E4D5ABA" w14:textId="1B3E80AB" w:rsidR="00836101" w:rsidRPr="00DA0907" w:rsidRDefault="00836101"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Leadership Newspapers. (2024, December 31). 2024: Equities market defies economic challenges, gains N21.85trn. </w:t>
      </w:r>
      <w:r w:rsidRPr="00DA0907">
        <w:rPr>
          <w:rFonts w:ascii="Times New Roman" w:hAnsi="Times New Roman" w:cs="Times New Roman"/>
          <w:i/>
          <w:iCs/>
        </w:rPr>
        <w:t>Leadership</w:t>
      </w:r>
      <w:r w:rsidRPr="00DA0907">
        <w:rPr>
          <w:rFonts w:ascii="Times New Roman" w:hAnsi="Times New Roman" w:cs="Times New Roman"/>
        </w:rPr>
        <w:t>. https://leadership.ng/2024-equities-market-defies-economic-challenges-gains-n21-85trn/</w:t>
      </w:r>
    </w:p>
    <w:p w14:paraId="182AC9E2" w14:textId="7ABF7418" w:rsidR="00836101" w:rsidRPr="00DA0907" w:rsidRDefault="00836101"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Murtala, B. M., Bashir, A. M., Hamisu, A. M., &amp; Bolade, B. B. (2025). Challenges and perceptions of Building Information Modeling adoption in the Nigerian construction industry: Insights from Bauchi Metropolis, Nigeria. </w:t>
      </w:r>
      <w:r w:rsidRPr="00DA0907">
        <w:rPr>
          <w:rFonts w:ascii="Times New Roman" w:hAnsi="Times New Roman" w:cs="Times New Roman"/>
          <w:i/>
          <w:iCs/>
        </w:rPr>
        <w:t>COOU African Journal of Environmental Research</w:t>
      </w:r>
      <w:r w:rsidRPr="00DA0907">
        <w:rPr>
          <w:rFonts w:ascii="Times New Roman" w:hAnsi="Times New Roman" w:cs="Times New Roman"/>
        </w:rPr>
        <w:t>, </w:t>
      </w:r>
      <w:r w:rsidRPr="00DA0907">
        <w:rPr>
          <w:rFonts w:ascii="Times New Roman" w:hAnsi="Times New Roman" w:cs="Times New Roman"/>
          <w:i/>
          <w:iCs/>
        </w:rPr>
        <w:t>6(</w:t>
      </w:r>
      <w:r w:rsidRPr="00DA0907">
        <w:rPr>
          <w:rFonts w:ascii="Times New Roman" w:hAnsi="Times New Roman" w:cs="Times New Roman"/>
        </w:rPr>
        <w:t>2), 34–48. https://ajer.org.ng/index.php/journal/article/view/194</w:t>
      </w:r>
    </w:p>
    <w:p w14:paraId="664BBE58" w14:textId="554CC977" w:rsidR="00836101" w:rsidRPr="00DA0907" w:rsidRDefault="00836101" w:rsidP="00D75A4E">
      <w:pPr>
        <w:tabs>
          <w:tab w:val="left" w:pos="2070"/>
        </w:tabs>
        <w:spacing w:line="360" w:lineRule="auto"/>
        <w:jc w:val="both"/>
        <w:rPr>
          <w:rFonts w:ascii="Times New Roman" w:hAnsi="Times New Roman" w:cs="Times New Roman"/>
        </w:rPr>
      </w:pPr>
      <w:proofErr w:type="spellStart"/>
      <w:r w:rsidRPr="00DA0907">
        <w:rPr>
          <w:rFonts w:ascii="Times New Roman" w:hAnsi="Times New Roman" w:cs="Times New Roman"/>
        </w:rPr>
        <w:t>Nairametrics</w:t>
      </w:r>
      <w:proofErr w:type="spellEnd"/>
      <w:r w:rsidRPr="00DA0907">
        <w:rPr>
          <w:rFonts w:ascii="Times New Roman" w:hAnsi="Times New Roman" w:cs="Times New Roman"/>
        </w:rPr>
        <w:t>. (2025, January 30). 83.5% of households, 80.6% of businesses perceive inflation rate as high – CBN report. </w:t>
      </w:r>
      <w:r w:rsidRPr="00DA0907">
        <w:rPr>
          <w:rFonts w:ascii="Times New Roman" w:hAnsi="Times New Roman" w:cs="Times New Roman"/>
          <w:i/>
          <w:iCs/>
        </w:rPr>
        <w:t>Nairametrics</w:t>
      </w:r>
      <w:r w:rsidRPr="00DA0907">
        <w:rPr>
          <w:rFonts w:ascii="Times New Roman" w:hAnsi="Times New Roman" w:cs="Times New Roman"/>
        </w:rPr>
        <w:t>. https://nairametrics.com/2025/01/30/83-5-of-households-80-6-of-businesses-perceive-inflation-rate-as-high-cbn-report/</w:t>
      </w:r>
    </w:p>
    <w:p w14:paraId="6D8E612F" w14:textId="5468E14D" w:rsidR="00836101" w:rsidRPr="00DA0907" w:rsidRDefault="00836101"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National Bureau of Statistics. (2024). </w:t>
      </w:r>
      <w:r w:rsidRPr="00DA0907">
        <w:rPr>
          <w:rFonts w:ascii="Times New Roman" w:hAnsi="Times New Roman" w:cs="Times New Roman"/>
          <w:i/>
          <w:iCs/>
        </w:rPr>
        <w:t>Consumer Price Index and inflation report: October 2024</w:t>
      </w:r>
      <w:r w:rsidRPr="00DA0907">
        <w:rPr>
          <w:rFonts w:ascii="Times New Roman" w:hAnsi="Times New Roman" w:cs="Times New Roman"/>
        </w:rPr>
        <w:t>. NBS Publications. https://www.nigerianstat.gov.ng/pdfuploads/CPI_OCTOBER_2024.pdf</w:t>
      </w:r>
    </w:p>
    <w:p w14:paraId="33695F8B" w14:textId="77777777" w:rsidR="00836101" w:rsidRPr="00DA0907" w:rsidRDefault="00836101"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lastRenderedPageBreak/>
        <w:t>National Bureau of Statistics. (2025). </w:t>
      </w:r>
      <w:r w:rsidRPr="00DA0907">
        <w:rPr>
          <w:rFonts w:ascii="Times New Roman" w:hAnsi="Times New Roman" w:cs="Times New Roman"/>
          <w:i/>
          <w:iCs/>
        </w:rPr>
        <w:t>Consumer Price Index and inflation report: December 2024</w:t>
      </w:r>
      <w:r w:rsidRPr="00DA0907">
        <w:rPr>
          <w:rFonts w:ascii="Times New Roman" w:hAnsi="Times New Roman" w:cs="Times New Roman"/>
        </w:rPr>
        <w:t>. NBS Publications.</w:t>
      </w:r>
    </w:p>
    <w:p w14:paraId="6147CC79" w14:textId="622E5699" w:rsidR="008C5CC1" w:rsidRPr="00DA0907" w:rsidRDefault="008C5CC1"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Nigerian Exchange Group. (2024, December 31). </w:t>
      </w:r>
      <w:r w:rsidRPr="00DA0907">
        <w:rPr>
          <w:rFonts w:ascii="Times New Roman" w:hAnsi="Times New Roman" w:cs="Times New Roman"/>
          <w:i/>
          <w:iCs/>
        </w:rPr>
        <w:t>NGX ASI closes 2024 with +37% return</w:t>
      </w:r>
      <w:r w:rsidRPr="00DA0907">
        <w:rPr>
          <w:rFonts w:ascii="Times New Roman" w:hAnsi="Times New Roman" w:cs="Times New Roman"/>
        </w:rPr>
        <w:t>. https://ngxgroup.com/ngx-asi-closes-2024-with-37-return/</w:t>
      </w:r>
    </w:p>
    <w:p w14:paraId="77009AF1" w14:textId="0A4415DA" w:rsidR="008C5CC1" w:rsidRPr="00DA0907" w:rsidRDefault="008C5CC1"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Nigerian Exchange Group. (2025). </w:t>
      </w:r>
      <w:r w:rsidRPr="00DA0907">
        <w:rPr>
          <w:rFonts w:ascii="Times New Roman" w:hAnsi="Times New Roman" w:cs="Times New Roman"/>
          <w:i/>
          <w:iCs/>
        </w:rPr>
        <w:t>Equities price list and sectoral indices</w:t>
      </w:r>
      <w:r w:rsidRPr="00DA0907">
        <w:rPr>
          <w:rFonts w:ascii="Times New Roman" w:hAnsi="Times New Roman" w:cs="Times New Roman"/>
        </w:rPr>
        <w:t>. https://ngxgroup.com/exchange/data/equities-price-list/</w:t>
      </w:r>
    </w:p>
    <w:p w14:paraId="57BED2F8" w14:textId="77777777" w:rsidR="008C5CC1" w:rsidRPr="00DA0907" w:rsidRDefault="008C5CC1"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Dada, S. O., Kolapo, F. T., </w:t>
      </w:r>
      <w:proofErr w:type="spellStart"/>
      <w:r w:rsidRPr="00DA0907">
        <w:rPr>
          <w:rFonts w:ascii="Times New Roman" w:hAnsi="Times New Roman" w:cs="Times New Roman"/>
        </w:rPr>
        <w:t>Mokuolu</w:t>
      </w:r>
      <w:proofErr w:type="spellEnd"/>
      <w:r w:rsidRPr="00DA0907">
        <w:rPr>
          <w:rFonts w:ascii="Times New Roman" w:hAnsi="Times New Roman" w:cs="Times New Roman"/>
        </w:rPr>
        <w:t xml:space="preserve">, J. O., &amp; Alabi, K. M. (2021). Robust Application of the Arbitrage Pricing Theory and the Test for Volatility in the Stock Market: Evidence from Nigeria. </w:t>
      </w:r>
      <w:r w:rsidRPr="00DA0907">
        <w:rPr>
          <w:rFonts w:ascii="Times New Roman" w:hAnsi="Times New Roman" w:cs="Times New Roman"/>
          <w:i/>
          <w:iCs/>
        </w:rPr>
        <w:t>Research Journal of Finance and Accounting</w:t>
      </w:r>
      <w:r w:rsidRPr="00DA0907">
        <w:rPr>
          <w:rFonts w:ascii="Times New Roman" w:hAnsi="Times New Roman" w:cs="Times New Roman"/>
        </w:rPr>
        <w:t>. https://doi.org/10.7176/rjfa/12-4-01</w:t>
      </w:r>
    </w:p>
    <w:p w14:paraId="384BA362" w14:textId="2549E867" w:rsidR="001508DB" w:rsidRPr="00DA0907" w:rsidRDefault="001508DB"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Usman, O. A., &amp; </w:t>
      </w:r>
      <w:proofErr w:type="spellStart"/>
      <w:r w:rsidRPr="00DA0907">
        <w:rPr>
          <w:rFonts w:ascii="Times New Roman" w:hAnsi="Times New Roman" w:cs="Times New Roman"/>
        </w:rPr>
        <w:t>Adejare</w:t>
      </w:r>
      <w:proofErr w:type="spellEnd"/>
      <w:r w:rsidRPr="00DA0907">
        <w:rPr>
          <w:rFonts w:ascii="Times New Roman" w:hAnsi="Times New Roman" w:cs="Times New Roman"/>
        </w:rPr>
        <w:t>, A. T. (2013). Assessment of financial restructuring and capital market on economic growth in Nigeria. </w:t>
      </w:r>
      <w:r w:rsidRPr="00DA0907">
        <w:rPr>
          <w:rFonts w:ascii="Times New Roman" w:hAnsi="Times New Roman" w:cs="Times New Roman"/>
          <w:i/>
          <w:iCs/>
        </w:rPr>
        <w:t>International Journal of Academic Research in Economics and Management Sciences</w:t>
      </w:r>
      <w:r w:rsidRPr="00DA0907">
        <w:rPr>
          <w:rFonts w:ascii="Times New Roman" w:hAnsi="Times New Roman" w:cs="Times New Roman"/>
        </w:rPr>
        <w:t>, </w:t>
      </w:r>
      <w:r w:rsidRPr="00DA0907">
        <w:rPr>
          <w:rFonts w:ascii="Times New Roman" w:hAnsi="Times New Roman" w:cs="Times New Roman"/>
          <w:i/>
          <w:iCs/>
        </w:rPr>
        <w:t>2</w:t>
      </w:r>
      <w:r w:rsidRPr="00DA0907">
        <w:rPr>
          <w:rFonts w:ascii="Times New Roman" w:hAnsi="Times New Roman" w:cs="Times New Roman"/>
        </w:rPr>
        <w:t>(6), 159–171. https://doi.org/10.6007/IJAREMS/v2-i6/800</w:t>
      </w:r>
    </w:p>
    <w:p w14:paraId="3315F31E" w14:textId="1D6032EB" w:rsidR="001508DB" w:rsidRPr="00DA0907" w:rsidRDefault="001508DB"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Punch Newspapers. (2025, January 16). 2024 inflation exceeds CBN 21.40% target. </w:t>
      </w:r>
      <w:r w:rsidRPr="00DA0907">
        <w:rPr>
          <w:rFonts w:ascii="Times New Roman" w:hAnsi="Times New Roman" w:cs="Times New Roman"/>
          <w:i/>
          <w:iCs/>
        </w:rPr>
        <w:t>Punch Newspapers</w:t>
      </w:r>
      <w:r w:rsidRPr="00DA0907">
        <w:rPr>
          <w:rFonts w:ascii="Times New Roman" w:hAnsi="Times New Roman" w:cs="Times New Roman"/>
        </w:rPr>
        <w:t>. https://punchng.com/2024-inflation-exceeds-cbn-21-40-target/</w:t>
      </w:r>
    </w:p>
    <w:p w14:paraId="006077C6" w14:textId="4693E71C" w:rsidR="00965A0A" w:rsidRPr="00DA0907" w:rsidRDefault="00965A0A"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Ross, S. A. (1976). The arbitrage theory of capital asset pricing. </w:t>
      </w:r>
      <w:r w:rsidRPr="00DA0907">
        <w:rPr>
          <w:rFonts w:ascii="Times New Roman" w:hAnsi="Times New Roman" w:cs="Times New Roman"/>
          <w:i/>
          <w:iCs/>
        </w:rPr>
        <w:t>Journal of Economic Theory, 13</w:t>
      </w:r>
      <w:r w:rsidRPr="00DA0907">
        <w:rPr>
          <w:rFonts w:ascii="Times New Roman" w:hAnsi="Times New Roman" w:cs="Times New Roman"/>
        </w:rPr>
        <w:t>(3), 341–360. https://doi.org/10.1016/0022-0531(76)90046-6</w:t>
      </w:r>
    </w:p>
    <w:p w14:paraId="5173A85D" w14:textId="482A588E" w:rsidR="00D75A4E" w:rsidRPr="00DA0907" w:rsidRDefault="00D75A4E" w:rsidP="00D75A4E">
      <w:pPr>
        <w:tabs>
          <w:tab w:val="left" w:pos="2070"/>
        </w:tabs>
        <w:spacing w:line="360" w:lineRule="auto"/>
        <w:jc w:val="both"/>
        <w:rPr>
          <w:rFonts w:ascii="Times New Roman" w:hAnsi="Times New Roman" w:cs="Times New Roman"/>
        </w:rPr>
      </w:pPr>
      <w:proofErr w:type="spellStart"/>
      <w:r w:rsidRPr="00DA0907">
        <w:rPr>
          <w:rFonts w:ascii="Times New Roman" w:hAnsi="Times New Roman" w:cs="Times New Roman"/>
        </w:rPr>
        <w:t>Uruemu</w:t>
      </w:r>
      <w:proofErr w:type="spellEnd"/>
      <w:r w:rsidRPr="00DA0907">
        <w:rPr>
          <w:rFonts w:ascii="Times New Roman" w:hAnsi="Times New Roman" w:cs="Times New Roman"/>
        </w:rPr>
        <w:t>, H. I. (2022). Liquidity of stock market and inflation in Nigeria. </w:t>
      </w:r>
      <w:r w:rsidRPr="00DA0907">
        <w:rPr>
          <w:rFonts w:ascii="Times New Roman" w:hAnsi="Times New Roman" w:cs="Times New Roman"/>
          <w:i/>
          <w:iCs/>
        </w:rPr>
        <w:t>Journal of Financial Studies</w:t>
      </w:r>
      <w:r w:rsidRPr="00DA0907">
        <w:rPr>
          <w:rFonts w:ascii="Times New Roman" w:hAnsi="Times New Roman" w:cs="Times New Roman"/>
        </w:rPr>
        <w:t>, </w:t>
      </w:r>
      <w:r w:rsidRPr="00DA0907">
        <w:rPr>
          <w:rFonts w:ascii="Times New Roman" w:hAnsi="Times New Roman" w:cs="Times New Roman"/>
          <w:i/>
          <w:iCs/>
        </w:rPr>
        <w:t>14</w:t>
      </w:r>
      <w:r w:rsidRPr="00DA0907">
        <w:rPr>
          <w:rFonts w:ascii="Times New Roman" w:hAnsi="Times New Roman" w:cs="Times New Roman"/>
        </w:rPr>
        <w:t>(3), 642–653. https://www.ceeol.com/search/article-detail?id=1102786</w:t>
      </w:r>
    </w:p>
    <w:p w14:paraId="621A3060" w14:textId="575ACCE7" w:rsidR="00965A0A" w:rsidRPr="00D75A4E" w:rsidRDefault="00965A0A" w:rsidP="00D75A4E">
      <w:pPr>
        <w:tabs>
          <w:tab w:val="left" w:pos="2070"/>
        </w:tabs>
        <w:spacing w:line="360" w:lineRule="auto"/>
        <w:jc w:val="both"/>
        <w:rPr>
          <w:rFonts w:ascii="Times New Roman" w:hAnsi="Times New Roman" w:cs="Times New Roman"/>
        </w:rPr>
      </w:pPr>
      <w:r w:rsidRPr="00DA0907">
        <w:rPr>
          <w:rFonts w:ascii="Times New Roman" w:hAnsi="Times New Roman" w:cs="Times New Roman"/>
        </w:rPr>
        <w:t xml:space="preserve">World Bank. (2024). </w:t>
      </w:r>
      <w:r w:rsidRPr="00DA0907">
        <w:rPr>
          <w:rFonts w:ascii="Times New Roman" w:hAnsi="Times New Roman" w:cs="Times New Roman"/>
          <w:i/>
          <w:iCs/>
        </w:rPr>
        <w:t>Nigeria development update: Five policy missteps between 2015 and 2023 responsible for high inflation in Nigeria</w:t>
      </w:r>
      <w:r w:rsidRPr="00DA0907">
        <w:rPr>
          <w:rFonts w:ascii="Times New Roman" w:hAnsi="Times New Roman" w:cs="Times New Roman"/>
        </w:rPr>
        <w:t>. World Bank Group.</w:t>
      </w:r>
    </w:p>
    <w:p w14:paraId="1F78678D" w14:textId="679786D3" w:rsidR="00442614" w:rsidRPr="00965A0A" w:rsidRDefault="00442614" w:rsidP="00D75A4E">
      <w:pPr>
        <w:tabs>
          <w:tab w:val="left" w:pos="2070"/>
        </w:tabs>
        <w:spacing w:line="360" w:lineRule="auto"/>
        <w:jc w:val="both"/>
        <w:rPr>
          <w:rFonts w:ascii="Times New Roman" w:hAnsi="Times New Roman" w:cs="Times New Roman"/>
        </w:rPr>
      </w:pPr>
    </w:p>
    <w:sectPr w:rsidR="00442614" w:rsidRPr="00965A0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30C61" w14:textId="77777777" w:rsidR="00482100" w:rsidRDefault="00482100" w:rsidP="005C4FBC">
      <w:pPr>
        <w:spacing w:after="0" w:line="240" w:lineRule="auto"/>
      </w:pPr>
      <w:r>
        <w:separator/>
      </w:r>
    </w:p>
  </w:endnote>
  <w:endnote w:type="continuationSeparator" w:id="0">
    <w:p w14:paraId="38972574" w14:textId="77777777" w:rsidR="00482100" w:rsidRDefault="00482100" w:rsidP="005C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9EFF" w14:textId="77777777" w:rsidR="005C4FBC" w:rsidRDefault="005C4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2269" w14:textId="77777777" w:rsidR="005C4FBC" w:rsidRDefault="005C4F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82A3" w14:textId="77777777" w:rsidR="005C4FBC" w:rsidRDefault="005C4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33B71" w14:textId="77777777" w:rsidR="00482100" w:rsidRDefault="00482100" w:rsidP="005C4FBC">
      <w:pPr>
        <w:spacing w:after="0" w:line="240" w:lineRule="auto"/>
      </w:pPr>
      <w:r>
        <w:separator/>
      </w:r>
    </w:p>
  </w:footnote>
  <w:footnote w:type="continuationSeparator" w:id="0">
    <w:p w14:paraId="25D3BA4A" w14:textId="77777777" w:rsidR="00482100" w:rsidRDefault="00482100" w:rsidP="005C4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0FD5F" w14:textId="14F5F9A6" w:rsidR="005C4FBC" w:rsidRDefault="005C4FBC">
    <w:pPr>
      <w:pStyle w:val="Header"/>
    </w:pPr>
    <w:r>
      <w:rPr>
        <w:noProof/>
      </w:rPr>
      <w:pict w14:anchorId="6B5773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4568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8BBF" w14:textId="2A6FCA48" w:rsidR="005C4FBC" w:rsidRDefault="005C4FBC">
    <w:pPr>
      <w:pStyle w:val="Header"/>
    </w:pPr>
    <w:r>
      <w:rPr>
        <w:noProof/>
      </w:rPr>
      <w:pict w14:anchorId="39EF3F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4568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81979" w14:textId="12472988" w:rsidR="005C4FBC" w:rsidRDefault="005C4FBC">
    <w:pPr>
      <w:pStyle w:val="Header"/>
    </w:pPr>
    <w:r>
      <w:rPr>
        <w:noProof/>
      </w:rPr>
      <w:pict w14:anchorId="7E4403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4568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A13"/>
    <w:multiLevelType w:val="hybridMultilevel"/>
    <w:tmpl w:val="FACAA2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C7B1A"/>
    <w:multiLevelType w:val="multilevel"/>
    <w:tmpl w:val="EFD8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F5805"/>
    <w:multiLevelType w:val="hybridMultilevel"/>
    <w:tmpl w:val="2D708F76"/>
    <w:lvl w:ilvl="0" w:tplc="352067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3E7715"/>
    <w:multiLevelType w:val="hybridMultilevel"/>
    <w:tmpl w:val="A4061BE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42430D"/>
    <w:multiLevelType w:val="multilevel"/>
    <w:tmpl w:val="3C72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D63053"/>
    <w:multiLevelType w:val="hybridMultilevel"/>
    <w:tmpl w:val="55868192"/>
    <w:lvl w:ilvl="0" w:tplc="575A8F42">
      <w:start w:val="1"/>
      <w:numFmt w:val="lowerRoman"/>
      <w:lvlText w:val="%1."/>
      <w:lvlJc w:val="left"/>
      <w:pPr>
        <w:ind w:left="2430" w:hanging="20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243654"/>
    <w:multiLevelType w:val="hybridMultilevel"/>
    <w:tmpl w:val="C9348B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483B2F"/>
    <w:multiLevelType w:val="hybridMultilevel"/>
    <w:tmpl w:val="652E04EC"/>
    <w:lvl w:ilvl="0" w:tplc="FBE651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AD416E"/>
    <w:multiLevelType w:val="hybridMultilevel"/>
    <w:tmpl w:val="B68812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F60C87"/>
    <w:multiLevelType w:val="hybridMultilevel"/>
    <w:tmpl w:val="7E16992A"/>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9306E93"/>
    <w:multiLevelType w:val="hybridMultilevel"/>
    <w:tmpl w:val="73F4BA76"/>
    <w:lvl w:ilvl="0" w:tplc="5D0038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848928">
    <w:abstractNumId w:val="1"/>
  </w:num>
  <w:num w:numId="2" w16cid:durableId="371731607">
    <w:abstractNumId w:val="4"/>
  </w:num>
  <w:num w:numId="3" w16cid:durableId="2002656207">
    <w:abstractNumId w:val="7"/>
  </w:num>
  <w:num w:numId="4" w16cid:durableId="607662870">
    <w:abstractNumId w:val="2"/>
  </w:num>
  <w:num w:numId="5" w16cid:durableId="2074813503">
    <w:abstractNumId w:val="6"/>
  </w:num>
  <w:num w:numId="6" w16cid:durableId="1565489798">
    <w:abstractNumId w:val="10"/>
  </w:num>
  <w:num w:numId="7" w16cid:durableId="1092508191">
    <w:abstractNumId w:val="9"/>
  </w:num>
  <w:num w:numId="8" w16cid:durableId="34162998">
    <w:abstractNumId w:val="8"/>
  </w:num>
  <w:num w:numId="9" w16cid:durableId="1017191784">
    <w:abstractNumId w:val="3"/>
  </w:num>
  <w:num w:numId="10" w16cid:durableId="2012098869">
    <w:abstractNumId w:val="0"/>
  </w:num>
  <w:num w:numId="11" w16cid:durableId="1910007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BEC"/>
    <w:rsid w:val="000375CF"/>
    <w:rsid w:val="000874E9"/>
    <w:rsid w:val="000F4859"/>
    <w:rsid w:val="001508DB"/>
    <w:rsid w:val="002002B8"/>
    <w:rsid w:val="00230C19"/>
    <w:rsid w:val="002437DD"/>
    <w:rsid w:val="00247724"/>
    <w:rsid w:val="00342A84"/>
    <w:rsid w:val="003C2B08"/>
    <w:rsid w:val="003F38E9"/>
    <w:rsid w:val="004079F8"/>
    <w:rsid w:val="00442614"/>
    <w:rsid w:val="00482100"/>
    <w:rsid w:val="005134AE"/>
    <w:rsid w:val="00562B4B"/>
    <w:rsid w:val="00590C61"/>
    <w:rsid w:val="005C4FBC"/>
    <w:rsid w:val="006B2340"/>
    <w:rsid w:val="00777BA1"/>
    <w:rsid w:val="00836101"/>
    <w:rsid w:val="00897946"/>
    <w:rsid w:val="008A5A65"/>
    <w:rsid w:val="008C5CC1"/>
    <w:rsid w:val="008F204E"/>
    <w:rsid w:val="0092193B"/>
    <w:rsid w:val="00965A0A"/>
    <w:rsid w:val="009E3A6A"/>
    <w:rsid w:val="00A0057B"/>
    <w:rsid w:val="00A56B39"/>
    <w:rsid w:val="00AD5C18"/>
    <w:rsid w:val="00AF4057"/>
    <w:rsid w:val="00B017B3"/>
    <w:rsid w:val="00BF6C82"/>
    <w:rsid w:val="00C30BEC"/>
    <w:rsid w:val="00D75A4E"/>
    <w:rsid w:val="00DA0907"/>
    <w:rsid w:val="00DA6163"/>
    <w:rsid w:val="00E374C5"/>
    <w:rsid w:val="00E66261"/>
    <w:rsid w:val="00E6752F"/>
    <w:rsid w:val="00E738C2"/>
    <w:rsid w:val="00EB2FD0"/>
    <w:rsid w:val="00F059ED"/>
    <w:rsid w:val="00F07BBA"/>
    <w:rsid w:val="00F12F11"/>
    <w:rsid w:val="00F25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EFECD"/>
  <w15:chartTrackingRefBased/>
  <w15:docId w15:val="{E05ED4F1-5798-46A9-9BAA-146329367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0B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0B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0B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0B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0B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0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B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0B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0B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0B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0B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0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BEC"/>
    <w:rPr>
      <w:rFonts w:eastAsiaTheme="majorEastAsia" w:cstheme="majorBidi"/>
      <w:color w:val="272727" w:themeColor="text1" w:themeTint="D8"/>
    </w:rPr>
  </w:style>
  <w:style w:type="paragraph" w:styleId="Title">
    <w:name w:val="Title"/>
    <w:basedOn w:val="Normal"/>
    <w:next w:val="Normal"/>
    <w:link w:val="TitleChar"/>
    <w:uiPriority w:val="10"/>
    <w:qFormat/>
    <w:rsid w:val="00C30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BEC"/>
    <w:pPr>
      <w:spacing w:before="160"/>
      <w:jc w:val="center"/>
    </w:pPr>
    <w:rPr>
      <w:i/>
      <w:iCs/>
      <w:color w:val="404040" w:themeColor="text1" w:themeTint="BF"/>
    </w:rPr>
  </w:style>
  <w:style w:type="character" w:customStyle="1" w:styleId="QuoteChar">
    <w:name w:val="Quote Char"/>
    <w:basedOn w:val="DefaultParagraphFont"/>
    <w:link w:val="Quote"/>
    <w:uiPriority w:val="29"/>
    <w:rsid w:val="00C30BEC"/>
    <w:rPr>
      <w:i/>
      <w:iCs/>
      <w:color w:val="404040" w:themeColor="text1" w:themeTint="BF"/>
    </w:rPr>
  </w:style>
  <w:style w:type="paragraph" w:styleId="ListParagraph">
    <w:name w:val="List Paragraph"/>
    <w:basedOn w:val="Normal"/>
    <w:uiPriority w:val="34"/>
    <w:qFormat/>
    <w:rsid w:val="00C30BEC"/>
    <w:pPr>
      <w:ind w:left="720"/>
      <w:contextualSpacing/>
    </w:pPr>
  </w:style>
  <w:style w:type="character" w:styleId="IntenseEmphasis">
    <w:name w:val="Intense Emphasis"/>
    <w:basedOn w:val="DefaultParagraphFont"/>
    <w:uiPriority w:val="21"/>
    <w:qFormat/>
    <w:rsid w:val="00C30BEC"/>
    <w:rPr>
      <w:i/>
      <w:iCs/>
      <w:color w:val="2F5496" w:themeColor="accent1" w:themeShade="BF"/>
    </w:rPr>
  </w:style>
  <w:style w:type="paragraph" w:styleId="IntenseQuote">
    <w:name w:val="Intense Quote"/>
    <w:basedOn w:val="Normal"/>
    <w:next w:val="Normal"/>
    <w:link w:val="IntenseQuoteChar"/>
    <w:uiPriority w:val="30"/>
    <w:qFormat/>
    <w:rsid w:val="00C30B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0BEC"/>
    <w:rPr>
      <w:i/>
      <w:iCs/>
      <w:color w:val="2F5496" w:themeColor="accent1" w:themeShade="BF"/>
    </w:rPr>
  </w:style>
  <w:style w:type="character" w:styleId="IntenseReference">
    <w:name w:val="Intense Reference"/>
    <w:basedOn w:val="DefaultParagraphFont"/>
    <w:uiPriority w:val="32"/>
    <w:qFormat/>
    <w:rsid w:val="00C30BEC"/>
    <w:rPr>
      <w:b/>
      <w:bCs/>
      <w:smallCaps/>
      <w:color w:val="2F5496" w:themeColor="accent1" w:themeShade="BF"/>
      <w:spacing w:val="5"/>
    </w:rPr>
  </w:style>
  <w:style w:type="table" w:styleId="GridTable1Light">
    <w:name w:val="Grid Table 1 Light"/>
    <w:basedOn w:val="TableNormal"/>
    <w:uiPriority w:val="46"/>
    <w:rsid w:val="00965A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836101"/>
    <w:rPr>
      <w:color w:val="0563C1" w:themeColor="hyperlink"/>
      <w:u w:val="single"/>
    </w:rPr>
  </w:style>
  <w:style w:type="character" w:styleId="UnresolvedMention">
    <w:name w:val="Unresolved Mention"/>
    <w:basedOn w:val="DefaultParagraphFont"/>
    <w:uiPriority w:val="99"/>
    <w:semiHidden/>
    <w:unhideWhenUsed/>
    <w:rsid w:val="00836101"/>
    <w:rPr>
      <w:color w:val="605E5C"/>
      <w:shd w:val="clear" w:color="auto" w:fill="E1DFDD"/>
    </w:rPr>
  </w:style>
  <w:style w:type="paragraph" w:styleId="Header">
    <w:name w:val="header"/>
    <w:basedOn w:val="Normal"/>
    <w:link w:val="HeaderChar"/>
    <w:uiPriority w:val="99"/>
    <w:unhideWhenUsed/>
    <w:rsid w:val="005C4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FBC"/>
  </w:style>
  <w:style w:type="paragraph" w:styleId="Footer">
    <w:name w:val="footer"/>
    <w:basedOn w:val="Normal"/>
    <w:link w:val="FooterChar"/>
    <w:uiPriority w:val="99"/>
    <w:unhideWhenUsed/>
    <w:rsid w:val="005C4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736</TotalTime>
  <Pages>24</Pages>
  <Words>6562</Words>
  <Characters>37404</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TAOFIQ YUSUFF</dc:creator>
  <cp:keywords/>
  <dc:description/>
  <cp:lastModifiedBy>SDI 1084</cp:lastModifiedBy>
  <cp:revision>19</cp:revision>
  <dcterms:created xsi:type="dcterms:W3CDTF">2026-08-13T22:44:00Z</dcterms:created>
  <dcterms:modified xsi:type="dcterms:W3CDTF">2026-08-18T13:39:00Z</dcterms:modified>
</cp:coreProperties>
</file>