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7FC74" w14:textId="77777777" w:rsidR="00C17286" w:rsidRPr="00E618F0" w:rsidRDefault="00C17286" w:rsidP="001D0DDC">
      <w:pPr>
        <w:pStyle w:val="isselectedend"/>
        <w:jc w:val="both"/>
        <w:rPr>
          <w:b/>
        </w:rPr>
      </w:pPr>
      <w:r w:rsidRPr="00E618F0">
        <w:rPr>
          <w:b/>
        </w:rPr>
        <w:t xml:space="preserve">CORPORATE TAX OPTIMIZATION </w:t>
      </w:r>
      <w:r w:rsidR="00A92111" w:rsidRPr="00E618F0">
        <w:rPr>
          <w:b/>
        </w:rPr>
        <w:t xml:space="preserve">STRATEGIES </w:t>
      </w:r>
      <w:r w:rsidRPr="00E618F0">
        <w:rPr>
          <w:b/>
        </w:rPr>
        <w:t>AND FINANCIAL DISTRESS OF LISTED HEALTHCARE FIRMS IN NIGERIA</w:t>
      </w:r>
    </w:p>
    <w:p w14:paraId="613EDA3F" w14:textId="77777777" w:rsidR="0084034F" w:rsidRDefault="0084034F" w:rsidP="00C17286">
      <w:pPr>
        <w:pStyle w:val="isselectedend"/>
        <w:rPr>
          <w:b/>
        </w:rPr>
      </w:pPr>
    </w:p>
    <w:p w14:paraId="499C685E" w14:textId="09FA453D" w:rsidR="00C17286" w:rsidRPr="00E618F0" w:rsidRDefault="00C17286" w:rsidP="00C17286">
      <w:pPr>
        <w:pStyle w:val="isselectedend"/>
        <w:rPr>
          <w:b/>
        </w:rPr>
      </w:pPr>
      <w:r w:rsidRPr="00E618F0">
        <w:rPr>
          <w:b/>
        </w:rPr>
        <w:t>ABSTRACT</w:t>
      </w:r>
    </w:p>
    <w:p w14:paraId="105CBC1D" w14:textId="77777777" w:rsidR="0077689C" w:rsidRPr="00E618F0" w:rsidRDefault="0077689C" w:rsidP="0077689C">
      <w:pPr>
        <w:pStyle w:val="NormalWeb"/>
        <w:jc w:val="both"/>
      </w:pPr>
      <w:r w:rsidRPr="00E618F0">
        <w:t xml:space="preserve">This study examines the relationship between corporate tax optimization strategies and financial distress among listed healthcare firms in Nigeria. Utilizing panel data comprising 75 firm-year observations drawn from five listed healthcare firms over a 15-year period (2010–2024), the study adopts an </w:t>
      </w:r>
      <w:r w:rsidRPr="00E618F0">
        <w:rPr>
          <w:i/>
        </w:rPr>
        <w:t>ex-post facto</w:t>
      </w:r>
      <w:r w:rsidRPr="00E618F0">
        <w:t xml:space="preserve"> research design. Data were sourced from audited annual reports, the Nigerian Exchange Group Fact Books, Central Bank of Nigeria statistical bulletins, and Federal Inland Revenue Service publications. The study employed panel regression techniques, utilizing a fixed-effects model with Driscoll–Kraay standard errors to correct for heteroskedasticity and cross-sectional dependence. The dependent variable, financial distress, was operationalized using the Altman Z-score model. The empirical findings revealed that effective tax rate has a positive but statistically insignificant relationship with financial distress. Thin capitalization exhibited a significant negative relationship, indicating that increased reliance on debt financing heightens financial vulnerability. Tax shields and depreciation tax shields showed negative but statistically insignificant relationships with financial distress. Capital intensity demonstrated a significant negative relationship, suggesting that excessive asset investment relative to revenue generation worsens financial distress thresholds. The study contribute</w:t>
      </w:r>
      <w:r w:rsidR="00634CAC" w:rsidRPr="00E618F0">
        <w:t>d</w:t>
      </w:r>
      <w:r w:rsidRPr="00E618F0">
        <w:t xml:space="preserve"> to </w:t>
      </w:r>
      <w:r w:rsidR="00634CAC" w:rsidRPr="00E618F0">
        <w:t>knowledge</w:t>
      </w:r>
      <w:r w:rsidRPr="00E618F0">
        <w:t xml:space="preserve"> by </w:t>
      </w:r>
      <w:r w:rsidR="00634CAC" w:rsidRPr="00E618F0">
        <w:t>apply</w:t>
      </w:r>
      <w:r w:rsidRPr="00E618F0">
        <w:t xml:space="preserve">ing an integrated analytical framework that unifies tax </w:t>
      </w:r>
      <w:proofErr w:type="spellStart"/>
      <w:r w:rsidRPr="00E618F0">
        <w:t>behavio</w:t>
      </w:r>
      <w:r w:rsidR="00634CAC" w:rsidRPr="00E618F0">
        <w:t>u</w:t>
      </w:r>
      <w:r w:rsidRPr="00E618F0">
        <w:t>r</w:t>
      </w:r>
      <w:proofErr w:type="spellEnd"/>
      <w:r w:rsidRPr="00E618F0">
        <w:t xml:space="preserve">, capital structure, and asset utilization </w:t>
      </w:r>
      <w:r w:rsidR="00634CAC" w:rsidRPr="00E618F0">
        <w:t>to</w:t>
      </w:r>
      <w:r w:rsidRPr="00E618F0">
        <w:t xml:space="preserve"> provid</w:t>
      </w:r>
      <w:r w:rsidR="00634CAC" w:rsidRPr="00E618F0">
        <w:t>e</w:t>
      </w:r>
      <w:r w:rsidRPr="00E618F0">
        <w:t xml:space="preserve"> novel, sector-specific evidence of the </w:t>
      </w:r>
      <w:r w:rsidR="00634CAC" w:rsidRPr="00E618F0">
        <w:t>mix outcome</w:t>
      </w:r>
      <w:r w:rsidRPr="00E618F0">
        <w:t>s of asset- and financ</w:t>
      </w:r>
      <w:r w:rsidR="00634CAC" w:rsidRPr="00E618F0">
        <w:t>e</w:t>
      </w:r>
      <w:r w:rsidRPr="00E618F0">
        <w:t xml:space="preserve">-based tax strategies from the understudied Nigerian healthcare </w:t>
      </w:r>
      <w:r w:rsidR="00634CAC" w:rsidRPr="00E618F0">
        <w:t>firms</w:t>
      </w:r>
      <w:r w:rsidRPr="00E618F0">
        <w:t xml:space="preserve">. The study concludes that tax optimization mechanisms yield </w:t>
      </w:r>
      <w:r w:rsidR="00634CAC" w:rsidRPr="00E618F0">
        <w:t>mix outcomes</w:t>
      </w:r>
      <w:r w:rsidRPr="00E618F0">
        <w:t>, with leverage-driven and asset-heavy structures significantly magnifying financial risk. Managers are advised to prioritize sustainable capital structures over aggressive tax minimization practices, consistent with the propositions of Trade-Off Theory.</w:t>
      </w:r>
    </w:p>
    <w:p w14:paraId="50A94F78" w14:textId="77777777" w:rsidR="0064287D" w:rsidRPr="00E618F0" w:rsidRDefault="0064287D" w:rsidP="0064287D">
      <w:pPr>
        <w:pStyle w:val="NormalWeb"/>
        <w:jc w:val="both"/>
      </w:pPr>
      <w:r w:rsidRPr="00E618F0">
        <w:rPr>
          <w:b/>
        </w:rPr>
        <w:t>Keywords</w:t>
      </w:r>
      <w:r w:rsidRPr="00E618F0">
        <w:t>: Corporate Tax Optimization, Financial Distress, Effective Tax Rate, Thin Capitalization, Tax Shield, Capital Intensity</w:t>
      </w:r>
      <w:r w:rsidR="004F3EF8" w:rsidRPr="00E618F0">
        <w:t>.</w:t>
      </w:r>
    </w:p>
    <w:p w14:paraId="0A5A8B82" w14:textId="77777777" w:rsidR="00C17286" w:rsidRPr="00E618F0" w:rsidRDefault="00C17286" w:rsidP="00ED6D51">
      <w:pPr>
        <w:numPr>
          <w:ilvl w:val="0"/>
          <w:numId w:val="1"/>
        </w:numPr>
        <w:tabs>
          <w:tab w:val="clear" w:pos="720"/>
        </w:tabs>
        <w:spacing w:before="100" w:beforeAutospacing="1" w:after="100" w:afterAutospacing="1" w:line="240" w:lineRule="auto"/>
        <w:ind w:left="360"/>
        <w:rPr>
          <w:rFonts w:ascii="Times New Roman" w:eastAsia="Times New Roman" w:hAnsi="Times New Roman" w:cs="Times New Roman"/>
          <w:b/>
          <w:sz w:val="24"/>
          <w:szCs w:val="24"/>
        </w:rPr>
      </w:pPr>
      <w:r w:rsidRPr="00E618F0">
        <w:rPr>
          <w:rFonts w:ascii="Times New Roman" w:eastAsia="Times New Roman" w:hAnsi="Times New Roman" w:cs="Times New Roman"/>
          <w:b/>
          <w:sz w:val="24"/>
          <w:szCs w:val="24"/>
        </w:rPr>
        <w:t>INTRODUCTION</w:t>
      </w:r>
    </w:p>
    <w:p w14:paraId="4EA6B6B1" w14:textId="77777777" w:rsidR="00C17286" w:rsidRPr="00E618F0"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sz w:val="24"/>
        </w:rPr>
        <w:t>Corporate tax optimization represents a critical pillar in corporate financial management, particularly within emerging markets like Nigeria, where fiscal landscapes undergo rapid regulatory reforms. Tax planning has long been recognized as a mechanism through which firms seek to maximize shareholder wealth by minimizing tax obligations within legal boundaries (Jensen &amp; Meckling, 1976; Desai &amp; Dharmapala, 2009). In the Nigerian healthcare sector, listed firms navigate a complex socioeconomic environment where balancing corporate tax burdens is essential to maintaining profitability, cash flow, and market competitiveness.</w:t>
      </w:r>
    </w:p>
    <w:p w14:paraId="6CBB948A" w14:textId="77777777" w:rsidR="00C17286" w:rsidRPr="00E618F0"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 xml:space="preserve">The capital-intensive nature of medical operations, coupled with tight liquidity constraints, demands strategic engagement with tax optimization mechanisms. These include adjustments </w:t>
      </w:r>
      <w:r w:rsidRPr="00E618F0">
        <w:rPr>
          <w:rFonts w:ascii="Times New Roman" w:eastAsia="Times New Roman" w:hAnsi="Times New Roman" w:cs="Times New Roman"/>
          <w:sz w:val="24"/>
          <w:szCs w:val="24"/>
        </w:rPr>
        <w:lastRenderedPageBreak/>
        <w:t>to the Effective Tax Rate (ETR), Thin Capitalization (TCAP) through debt-equity structuring, Tax Shields (TS), Depreciation Tax Shields (DETS), and the Capital Intensity Ratio (CAPINT). Effective tax rate measures are among the most widely used proxies for assessing corporate tax planning and tax aggressiveness in accounting and finance research (Shackelford &amp; Shevlin, 2001).</w:t>
      </w:r>
    </w:p>
    <w:p w14:paraId="733E7614" w14:textId="77777777" w:rsidR="00C17286" w:rsidRPr="00E618F0"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Recent governmental updates, such as the Finance Act 2022 and the 2025 Tax Reform Act, have embedded tax reli</w:t>
      </w:r>
      <w:r w:rsidR="00CB52FF" w:rsidRPr="00E618F0">
        <w:rPr>
          <w:rFonts w:ascii="Times New Roman" w:eastAsia="Times New Roman" w:hAnsi="Times New Roman" w:cs="Times New Roman"/>
          <w:sz w:val="24"/>
          <w:szCs w:val="24"/>
        </w:rPr>
        <w:t xml:space="preserve">efs, </w:t>
      </w:r>
      <w:r w:rsidRPr="00E618F0">
        <w:rPr>
          <w:rFonts w:ascii="Times New Roman" w:eastAsia="Times New Roman" w:hAnsi="Times New Roman" w:cs="Times New Roman"/>
          <w:sz w:val="24"/>
          <w:szCs w:val="24"/>
        </w:rPr>
        <w:t>including corporate income tax reductions, VAT exemptions on essential medicines, and capital tariff waivers. These policy initiatives are intended to improve corporate liquidity and encourage investment. However, the strategic execution of these fiscal incentives shapes corporate solvency outcomes and influences long-term financial sustainability.</w:t>
      </w:r>
    </w:p>
    <w:p w14:paraId="3E44D886" w14:textId="77777777" w:rsidR="00C17286" w:rsidRPr="00E618F0"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Nigerian listed healthcare firms are increasingly grappling with severe fiscal volatility, liquidity constraints, declining profit margins, and mounting default risks. This scenario exposes an intricate fiscal-solvency paradox: while legal tax planning theoretically enhances cash preservation and after-tax profitability, persistent operational fragility among firms listed on the Nigerian Exchange Group (NGX) indicates that aggressive corporate tax minimization may actively undermine institutional longevity. Empirical evidence suggests that aggressive tax avoidance can increase agency conflicts, regulatory scrutiny, and financial reporting opacity, thereby elevating firm risk (Desai &amp; Dharmapala, 2006; Blouin, 2014</w:t>
      </w:r>
      <w:r w:rsidR="002D3613" w:rsidRPr="00E618F0">
        <w:rPr>
          <w:rFonts w:ascii="Times New Roman" w:eastAsia="Times New Roman" w:hAnsi="Times New Roman" w:cs="Times New Roman"/>
          <w:sz w:val="24"/>
          <w:szCs w:val="24"/>
        </w:rPr>
        <w:t xml:space="preserve">; </w:t>
      </w:r>
      <w:proofErr w:type="spellStart"/>
      <w:r w:rsidR="004B4346" w:rsidRPr="00E618F0">
        <w:rPr>
          <w:rFonts w:ascii="Times New Roman" w:eastAsia="Times New Roman" w:hAnsi="Times New Roman" w:cs="Times New Roman"/>
          <w:sz w:val="24"/>
          <w:szCs w:val="24"/>
        </w:rPr>
        <w:t>Ogboi</w:t>
      </w:r>
      <w:proofErr w:type="spellEnd"/>
      <w:r w:rsidR="004B4346" w:rsidRPr="00E618F0">
        <w:rPr>
          <w:rFonts w:ascii="Times New Roman" w:eastAsia="Times New Roman" w:hAnsi="Times New Roman" w:cs="Times New Roman"/>
          <w:sz w:val="24"/>
          <w:szCs w:val="24"/>
        </w:rPr>
        <w:t xml:space="preserve"> &amp; Okolie, 2024</w:t>
      </w:r>
      <w:r w:rsidRPr="00E618F0">
        <w:rPr>
          <w:rFonts w:ascii="Times New Roman" w:eastAsia="Times New Roman" w:hAnsi="Times New Roman" w:cs="Times New Roman"/>
          <w:sz w:val="24"/>
          <w:szCs w:val="24"/>
        </w:rPr>
        <w:t>).</w:t>
      </w:r>
    </w:p>
    <w:p w14:paraId="72335EE0" w14:textId="77777777" w:rsidR="00C17286" w:rsidRPr="00E618F0"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Evolving legislative burdens, such as the Tertiary Education Tax (TET) increase and the introduction of a 15 percent Minimum Effective Tax Rate under the Nigeria Tax Act 2025, have substantially compressed residual income. To shield earnings, healthcare managers frequently rely on thin capitalization strategies that increase interest deductibility through higher debt levels. However, excessive leverage often introduces financial rigidity and heightens bankruptcy risk during adverse economic conditions (Myers, 1984).</w:t>
      </w:r>
    </w:p>
    <w:p w14:paraId="37CB9B2E" w14:textId="77777777" w:rsidR="00C17286" w:rsidRPr="00E618F0"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The collapse of historically prominent entities such as Evans Medical Plc and Nigeria-German Chemical Plc underscores the consequences of failing to balance tax efficiency with structural solvency.</w:t>
      </w:r>
      <w:r w:rsidR="00CA0FAF" w:rsidRPr="00E618F0">
        <w:rPr>
          <w:rFonts w:ascii="Times New Roman" w:eastAsia="Times New Roman" w:hAnsi="Times New Roman" w:cs="Times New Roman"/>
          <w:sz w:val="24"/>
          <w:szCs w:val="24"/>
        </w:rPr>
        <w:t xml:space="preserve">  </w:t>
      </w:r>
      <w:r w:rsidRPr="00E618F0">
        <w:rPr>
          <w:rFonts w:ascii="Times New Roman" w:eastAsia="Times New Roman" w:hAnsi="Times New Roman" w:cs="Times New Roman"/>
          <w:sz w:val="24"/>
          <w:szCs w:val="24"/>
        </w:rPr>
        <w:t>The broad objective of this study is to analyze the effect of corporate tax optimization on the financial distress of listed Nigerian healthcare firms.</w:t>
      </w:r>
    </w:p>
    <w:p w14:paraId="190D0B74" w14:textId="77777777" w:rsidR="00C17286" w:rsidRPr="00E618F0" w:rsidRDefault="00C17286" w:rsidP="00DB115C">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This study bridges a critical empirical gap by evaluating sector-specific tax implications in the post-2025 reform era. For policymakers and tax authorities, the findings provide evidence useful for calibrating fiscal interventions without inducing corporate vulnerability. For managers and investors, the study offers data-driven insights into liquidity management and capital structure decisions. Academically, it enriches the literature connecting corporate taxation, capital structure theory, and financial distress prediction models such as the Altman Z-score (Altman, 1968; Altman, 20</w:t>
      </w:r>
      <w:r w:rsidR="00392FD4" w:rsidRPr="00E618F0">
        <w:rPr>
          <w:rFonts w:ascii="Times New Roman" w:eastAsia="Times New Roman" w:hAnsi="Times New Roman" w:cs="Times New Roman"/>
          <w:sz w:val="24"/>
          <w:szCs w:val="24"/>
        </w:rPr>
        <w:t>13</w:t>
      </w:r>
      <w:r w:rsidRPr="00E618F0">
        <w:rPr>
          <w:rFonts w:ascii="Times New Roman" w:eastAsia="Times New Roman" w:hAnsi="Times New Roman" w:cs="Times New Roman"/>
          <w:sz w:val="24"/>
          <w:szCs w:val="24"/>
        </w:rPr>
        <w:t>).</w:t>
      </w:r>
    </w:p>
    <w:p w14:paraId="247D2F85" w14:textId="77777777" w:rsidR="001D0DDC" w:rsidRPr="00E618F0" w:rsidRDefault="001D0DDC" w:rsidP="00FF5BEF">
      <w:pPr>
        <w:pStyle w:val="ListParagraph"/>
        <w:numPr>
          <w:ilvl w:val="1"/>
          <w:numId w:val="8"/>
        </w:num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E618F0">
        <w:rPr>
          <w:rFonts w:ascii="Times New Roman" w:eastAsia="Times New Roman" w:hAnsi="Times New Roman" w:cs="Times New Roman"/>
          <w:b/>
          <w:bCs/>
          <w:kern w:val="36"/>
          <w:sz w:val="24"/>
          <w:szCs w:val="24"/>
        </w:rPr>
        <w:t>RESEARCH HYPOTHESES</w:t>
      </w:r>
    </w:p>
    <w:p w14:paraId="7194B4A4" w14:textId="77777777" w:rsidR="00D92B8F" w:rsidRPr="00E618F0" w:rsidRDefault="00D92B8F" w:rsidP="00770A4A">
      <w:pPr>
        <w:pStyle w:val="NoSpacing"/>
        <w:ind w:left="1440" w:hanging="1080"/>
        <w:jc w:val="both"/>
        <w:rPr>
          <w:rFonts w:ascii="Times New Roman" w:hAnsi="Times New Roman" w:cs="Times New Roman"/>
          <w:sz w:val="24"/>
          <w:szCs w:val="24"/>
        </w:rPr>
      </w:pPr>
      <w:r w:rsidRPr="00E618F0">
        <w:rPr>
          <w:rStyle w:val="Strong"/>
          <w:rFonts w:ascii="Times New Roman" w:hAnsi="Times New Roman" w:cs="Times New Roman"/>
          <w:sz w:val="24"/>
          <w:szCs w:val="24"/>
        </w:rPr>
        <w:t>H</w:t>
      </w:r>
      <w:r w:rsidRPr="00E618F0">
        <w:rPr>
          <w:rStyle w:val="Strong"/>
          <w:rFonts w:ascii="Times New Roman" w:hAnsi="Times New Roman" w:cs="Times New Roman"/>
          <w:sz w:val="24"/>
          <w:szCs w:val="24"/>
          <w:vertAlign w:val="subscript"/>
        </w:rPr>
        <w:t>01</w:t>
      </w:r>
      <w:r w:rsidRPr="00E618F0">
        <w:rPr>
          <w:rStyle w:val="Strong"/>
          <w:rFonts w:ascii="Times New Roman" w:hAnsi="Times New Roman" w:cs="Times New Roman"/>
          <w:sz w:val="24"/>
          <w:szCs w:val="24"/>
        </w:rPr>
        <w:t>:</w:t>
      </w:r>
      <w:r w:rsidRPr="00E618F0">
        <w:rPr>
          <w:rStyle w:val="Strong"/>
          <w:rFonts w:ascii="Times New Roman" w:hAnsi="Times New Roman" w:cs="Times New Roman"/>
          <w:sz w:val="24"/>
          <w:szCs w:val="24"/>
        </w:rPr>
        <w:tab/>
      </w:r>
      <w:r w:rsidRPr="00E618F0">
        <w:rPr>
          <w:rFonts w:ascii="Times New Roman" w:hAnsi="Times New Roman" w:cs="Times New Roman"/>
          <w:sz w:val="24"/>
          <w:szCs w:val="24"/>
        </w:rPr>
        <w:t>There is no statistically significant relationship between the Effective Tax Rate (ETR) and financial distress costs among Nigerian listed healthcare firms;</w:t>
      </w:r>
    </w:p>
    <w:p w14:paraId="70E2E1AD" w14:textId="77777777" w:rsidR="00D92B8F" w:rsidRPr="00E618F0" w:rsidRDefault="00D92B8F" w:rsidP="00770A4A">
      <w:pPr>
        <w:pStyle w:val="NoSpacing"/>
        <w:ind w:left="1440" w:hanging="1080"/>
        <w:jc w:val="both"/>
        <w:rPr>
          <w:rFonts w:ascii="Times New Roman" w:hAnsi="Times New Roman" w:cs="Times New Roman"/>
          <w:sz w:val="24"/>
          <w:szCs w:val="24"/>
        </w:rPr>
      </w:pPr>
      <w:r w:rsidRPr="00E618F0">
        <w:rPr>
          <w:rStyle w:val="Strong"/>
          <w:rFonts w:ascii="Times New Roman" w:hAnsi="Times New Roman" w:cs="Times New Roman"/>
          <w:sz w:val="24"/>
          <w:szCs w:val="24"/>
        </w:rPr>
        <w:lastRenderedPageBreak/>
        <w:t>H</w:t>
      </w:r>
      <w:r w:rsidRPr="00E618F0">
        <w:rPr>
          <w:rStyle w:val="Strong"/>
          <w:rFonts w:ascii="Times New Roman" w:hAnsi="Times New Roman" w:cs="Times New Roman"/>
          <w:sz w:val="24"/>
          <w:szCs w:val="24"/>
          <w:vertAlign w:val="subscript"/>
        </w:rPr>
        <w:t>02</w:t>
      </w:r>
      <w:r w:rsidRPr="00E618F0">
        <w:rPr>
          <w:rStyle w:val="Strong"/>
          <w:rFonts w:ascii="Times New Roman" w:hAnsi="Times New Roman" w:cs="Times New Roman"/>
          <w:sz w:val="24"/>
          <w:szCs w:val="24"/>
        </w:rPr>
        <w:t>:</w:t>
      </w:r>
      <w:r w:rsidRPr="00E618F0">
        <w:rPr>
          <w:rStyle w:val="Strong"/>
          <w:rFonts w:ascii="Times New Roman" w:hAnsi="Times New Roman" w:cs="Times New Roman"/>
          <w:sz w:val="24"/>
          <w:szCs w:val="24"/>
        </w:rPr>
        <w:tab/>
      </w:r>
      <w:r w:rsidRPr="00E618F0">
        <w:rPr>
          <w:rFonts w:ascii="Times New Roman" w:hAnsi="Times New Roman" w:cs="Times New Roman"/>
          <w:sz w:val="24"/>
          <w:szCs w:val="24"/>
        </w:rPr>
        <w:t>Thin Capitalization (TCAP) has no statistically significant effect on the financial distress levels of Nigerian listed healthcare firms;</w:t>
      </w:r>
    </w:p>
    <w:p w14:paraId="4AF88B7B" w14:textId="77777777" w:rsidR="00D92B8F" w:rsidRPr="00E618F0" w:rsidRDefault="00D92B8F" w:rsidP="00770A4A">
      <w:pPr>
        <w:pStyle w:val="NoSpacing"/>
        <w:ind w:left="1440" w:hanging="1080"/>
        <w:jc w:val="both"/>
        <w:rPr>
          <w:rFonts w:ascii="Times New Roman" w:hAnsi="Times New Roman" w:cs="Times New Roman"/>
          <w:sz w:val="24"/>
          <w:szCs w:val="24"/>
        </w:rPr>
      </w:pPr>
      <w:r w:rsidRPr="00E618F0">
        <w:rPr>
          <w:rStyle w:val="Strong"/>
          <w:rFonts w:ascii="Times New Roman" w:hAnsi="Times New Roman" w:cs="Times New Roman"/>
          <w:sz w:val="24"/>
          <w:szCs w:val="24"/>
        </w:rPr>
        <w:t>H</w:t>
      </w:r>
      <w:r w:rsidRPr="00E618F0">
        <w:rPr>
          <w:rStyle w:val="Strong"/>
          <w:rFonts w:ascii="Times New Roman" w:hAnsi="Times New Roman" w:cs="Times New Roman"/>
          <w:sz w:val="24"/>
          <w:szCs w:val="24"/>
          <w:vertAlign w:val="subscript"/>
        </w:rPr>
        <w:t>03</w:t>
      </w:r>
      <w:r w:rsidRPr="00E618F0">
        <w:rPr>
          <w:rStyle w:val="Strong"/>
          <w:rFonts w:ascii="Times New Roman" w:hAnsi="Times New Roman" w:cs="Times New Roman"/>
          <w:sz w:val="24"/>
          <w:szCs w:val="24"/>
        </w:rPr>
        <w:t>:</w:t>
      </w:r>
      <w:r w:rsidRPr="00E618F0">
        <w:rPr>
          <w:rStyle w:val="Strong"/>
          <w:rFonts w:ascii="Times New Roman" w:hAnsi="Times New Roman" w:cs="Times New Roman"/>
          <w:sz w:val="24"/>
          <w:szCs w:val="24"/>
        </w:rPr>
        <w:tab/>
      </w:r>
      <w:r w:rsidRPr="00E618F0">
        <w:rPr>
          <w:rFonts w:ascii="Times New Roman" w:hAnsi="Times New Roman" w:cs="Times New Roman"/>
          <w:sz w:val="24"/>
          <w:szCs w:val="24"/>
        </w:rPr>
        <w:t>Tax Shield (TS) has no statistically significant effect on financial distress among Nigerian healthcare firms;</w:t>
      </w:r>
    </w:p>
    <w:p w14:paraId="3C0BBB3C" w14:textId="77777777" w:rsidR="00D92B8F" w:rsidRPr="00E618F0" w:rsidRDefault="00D92B8F" w:rsidP="00770A4A">
      <w:pPr>
        <w:pStyle w:val="NoSpacing"/>
        <w:ind w:left="1440" w:hanging="1080"/>
        <w:jc w:val="both"/>
        <w:rPr>
          <w:rFonts w:ascii="Times New Roman" w:hAnsi="Times New Roman" w:cs="Times New Roman"/>
          <w:sz w:val="24"/>
          <w:szCs w:val="24"/>
        </w:rPr>
      </w:pPr>
      <w:r w:rsidRPr="00E618F0">
        <w:rPr>
          <w:rStyle w:val="Strong"/>
          <w:rFonts w:ascii="Times New Roman" w:hAnsi="Times New Roman" w:cs="Times New Roman"/>
          <w:sz w:val="24"/>
          <w:szCs w:val="24"/>
        </w:rPr>
        <w:t>H</w:t>
      </w:r>
      <w:r w:rsidRPr="00E618F0">
        <w:rPr>
          <w:rStyle w:val="Strong"/>
          <w:rFonts w:ascii="Times New Roman" w:hAnsi="Times New Roman" w:cs="Times New Roman"/>
          <w:sz w:val="24"/>
          <w:szCs w:val="24"/>
          <w:vertAlign w:val="subscript"/>
        </w:rPr>
        <w:t>04</w:t>
      </w:r>
      <w:r w:rsidRPr="00E618F0">
        <w:rPr>
          <w:rStyle w:val="Strong"/>
          <w:rFonts w:ascii="Times New Roman" w:hAnsi="Times New Roman" w:cs="Times New Roman"/>
          <w:sz w:val="24"/>
          <w:szCs w:val="24"/>
        </w:rPr>
        <w:t>:</w:t>
      </w:r>
      <w:r w:rsidRPr="00E618F0">
        <w:rPr>
          <w:rStyle w:val="Strong"/>
          <w:rFonts w:ascii="Times New Roman" w:hAnsi="Times New Roman" w:cs="Times New Roman"/>
          <w:sz w:val="24"/>
          <w:szCs w:val="24"/>
        </w:rPr>
        <w:tab/>
      </w:r>
      <w:r w:rsidRPr="00E618F0">
        <w:rPr>
          <w:rFonts w:ascii="Times New Roman" w:hAnsi="Times New Roman" w:cs="Times New Roman"/>
          <w:sz w:val="24"/>
          <w:szCs w:val="24"/>
        </w:rPr>
        <w:t>Depreciation Tax Shield (DETS) does not significantly influence the financial stability and bankruptcy risk of Nigerian listed healthcare firms;</w:t>
      </w:r>
    </w:p>
    <w:p w14:paraId="291AC690" w14:textId="77777777" w:rsidR="00D92B8F" w:rsidRPr="00E618F0" w:rsidRDefault="00D92B8F" w:rsidP="00770A4A">
      <w:pPr>
        <w:pStyle w:val="NoSpacing"/>
        <w:ind w:left="1440" w:hanging="1080"/>
        <w:jc w:val="both"/>
        <w:rPr>
          <w:rFonts w:ascii="Times New Roman" w:hAnsi="Times New Roman" w:cs="Times New Roman"/>
          <w:sz w:val="24"/>
          <w:szCs w:val="24"/>
        </w:rPr>
      </w:pPr>
      <w:r w:rsidRPr="00E618F0">
        <w:rPr>
          <w:rStyle w:val="Strong"/>
          <w:rFonts w:ascii="Times New Roman" w:hAnsi="Times New Roman" w:cs="Times New Roman"/>
          <w:sz w:val="24"/>
          <w:szCs w:val="24"/>
        </w:rPr>
        <w:t>H</w:t>
      </w:r>
      <w:r w:rsidRPr="00E618F0">
        <w:rPr>
          <w:rStyle w:val="Strong"/>
          <w:rFonts w:ascii="Times New Roman" w:hAnsi="Times New Roman" w:cs="Times New Roman"/>
          <w:sz w:val="24"/>
          <w:szCs w:val="24"/>
          <w:vertAlign w:val="subscript"/>
        </w:rPr>
        <w:t>05</w:t>
      </w:r>
      <w:r w:rsidRPr="00E618F0">
        <w:rPr>
          <w:rStyle w:val="Strong"/>
          <w:rFonts w:ascii="Times New Roman" w:hAnsi="Times New Roman" w:cs="Times New Roman"/>
          <w:sz w:val="24"/>
          <w:szCs w:val="24"/>
        </w:rPr>
        <w:t>:</w:t>
      </w:r>
      <w:r w:rsidRPr="00E618F0">
        <w:rPr>
          <w:rStyle w:val="Strong"/>
          <w:rFonts w:ascii="Times New Roman" w:hAnsi="Times New Roman" w:cs="Times New Roman"/>
          <w:sz w:val="24"/>
          <w:szCs w:val="24"/>
        </w:rPr>
        <w:tab/>
      </w:r>
      <w:r w:rsidRPr="00E618F0">
        <w:rPr>
          <w:rFonts w:ascii="Times New Roman" w:hAnsi="Times New Roman" w:cs="Times New Roman"/>
          <w:sz w:val="24"/>
          <w:szCs w:val="24"/>
        </w:rPr>
        <w:t>Capital Intensity Ratio (CAPINT) does not significantly affect the relationship between corporate tax optimization strategies and financial distress of Nigerian listed healthcare firms</w:t>
      </w:r>
    </w:p>
    <w:p w14:paraId="03404D05" w14:textId="77777777" w:rsidR="00C17286" w:rsidRPr="00E618F0" w:rsidRDefault="00C17286" w:rsidP="001D0DDC">
      <w:pPr>
        <w:pStyle w:val="ListParagraph"/>
        <w:numPr>
          <w:ilvl w:val="0"/>
          <w:numId w:val="1"/>
        </w:numPr>
        <w:tabs>
          <w:tab w:val="clear" w:pos="720"/>
        </w:tabs>
        <w:spacing w:before="100" w:beforeAutospacing="1" w:after="100" w:afterAutospacing="1" w:line="240" w:lineRule="auto"/>
        <w:ind w:left="360"/>
        <w:outlineLvl w:val="0"/>
        <w:rPr>
          <w:rFonts w:ascii="Times New Roman" w:eastAsia="Times New Roman" w:hAnsi="Times New Roman" w:cs="Times New Roman"/>
          <w:b/>
          <w:bCs/>
          <w:kern w:val="36"/>
          <w:sz w:val="24"/>
          <w:szCs w:val="24"/>
        </w:rPr>
      </w:pPr>
      <w:r w:rsidRPr="00E618F0">
        <w:rPr>
          <w:rFonts w:ascii="Times New Roman" w:eastAsia="Times New Roman" w:hAnsi="Times New Roman" w:cs="Times New Roman"/>
          <w:b/>
          <w:bCs/>
          <w:kern w:val="36"/>
          <w:sz w:val="24"/>
          <w:szCs w:val="24"/>
        </w:rPr>
        <w:t xml:space="preserve">REVIEW OF RELATED LITERATURE </w:t>
      </w:r>
    </w:p>
    <w:p w14:paraId="54D76FF6" w14:textId="77777777" w:rsidR="00C17286" w:rsidRPr="00E618F0" w:rsidRDefault="001D0DDC" w:rsidP="00DD65E4">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t>2</w:t>
      </w:r>
      <w:r w:rsidR="00DD65E4" w:rsidRPr="00E618F0">
        <w:rPr>
          <w:rFonts w:ascii="Times New Roman" w:eastAsia="Times New Roman" w:hAnsi="Times New Roman" w:cs="Times New Roman"/>
          <w:b/>
          <w:bCs/>
          <w:sz w:val="24"/>
          <w:szCs w:val="24"/>
        </w:rPr>
        <w:t>.1</w:t>
      </w:r>
      <w:r w:rsidR="00DD65E4" w:rsidRPr="00E618F0">
        <w:rPr>
          <w:rFonts w:ascii="Times New Roman" w:eastAsia="Times New Roman" w:hAnsi="Times New Roman" w:cs="Times New Roman"/>
          <w:b/>
          <w:bCs/>
          <w:sz w:val="24"/>
          <w:szCs w:val="24"/>
        </w:rPr>
        <w:tab/>
      </w:r>
      <w:r w:rsidR="00C17286" w:rsidRPr="00E618F0">
        <w:rPr>
          <w:rFonts w:ascii="Times New Roman" w:eastAsia="Times New Roman" w:hAnsi="Times New Roman" w:cs="Times New Roman"/>
          <w:b/>
          <w:bCs/>
          <w:sz w:val="24"/>
          <w:szCs w:val="24"/>
        </w:rPr>
        <w:t>Corporate Tax Optimization Strategies</w:t>
      </w:r>
    </w:p>
    <w:p w14:paraId="67EF2495"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Corporate tax optimization encompasses the legal exploitation of statutory tax provisions to minimize overall corporate liabilities, thereby maximizing after-tax cash flows and shareholder wealth (</w:t>
      </w:r>
      <w:proofErr w:type="spellStart"/>
      <w:r w:rsidRPr="00E618F0">
        <w:rPr>
          <w:rFonts w:ascii="Times New Roman" w:eastAsia="Times New Roman" w:hAnsi="Times New Roman" w:cs="Times New Roman"/>
          <w:sz w:val="24"/>
          <w:szCs w:val="24"/>
        </w:rPr>
        <w:t>Slemrod</w:t>
      </w:r>
      <w:proofErr w:type="spellEnd"/>
      <w:r w:rsidRPr="00E618F0">
        <w:rPr>
          <w:rFonts w:ascii="Times New Roman" w:eastAsia="Times New Roman" w:hAnsi="Times New Roman" w:cs="Times New Roman"/>
          <w:sz w:val="24"/>
          <w:szCs w:val="24"/>
        </w:rPr>
        <w:t>, 2004; Shackelford &amp; Shevlin, 2001). It involves a strategic blend of effective tax rate adjustments, capital structure decisions, asset depreciation strategies, and statutory tax incentives aimed at reducing tax burdens within regulatory limits (Desai &amp; Dharmapala, 2009).</w:t>
      </w:r>
    </w:p>
    <w:p w14:paraId="5C5B4E68"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Firms alter their capital structures via thin capitalization, utilizing high debt-to-equity frameworks to shelter pre-tax income through tax-deductible interest pay</w:t>
      </w:r>
      <w:r w:rsidR="004A3F9C" w:rsidRPr="00E618F0">
        <w:rPr>
          <w:rFonts w:ascii="Times New Roman" w:eastAsia="Times New Roman" w:hAnsi="Times New Roman" w:cs="Times New Roman"/>
          <w:sz w:val="24"/>
          <w:szCs w:val="24"/>
        </w:rPr>
        <w:t>ments (</w:t>
      </w:r>
      <w:r w:rsidRPr="00E618F0">
        <w:rPr>
          <w:rFonts w:ascii="Times New Roman" w:eastAsia="Times New Roman" w:hAnsi="Times New Roman" w:cs="Times New Roman"/>
          <w:sz w:val="24"/>
          <w:szCs w:val="24"/>
        </w:rPr>
        <w:t>Myers, 1984). However, such leverage decisions involve trade-offs between tax benefits and financial distress costs (Kraus &amp; Litzenberger, 1973).</w:t>
      </w:r>
    </w:p>
    <w:p w14:paraId="35DBC34C"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 xml:space="preserve">Timing strategies such as accelerated depreciation schedules allow firms to construct depreciation tax shields, which lower near-term income tax obligations and preserve internal liquidity. Non-debt tax shields such as depreciation and investment allowances are also recognized as substitutes for debt tax shields in corporate financing decisions (DeAngelo &amp; </w:t>
      </w:r>
      <w:proofErr w:type="spellStart"/>
      <w:r w:rsidRPr="00E618F0">
        <w:rPr>
          <w:rFonts w:ascii="Times New Roman" w:eastAsia="Times New Roman" w:hAnsi="Times New Roman" w:cs="Times New Roman"/>
          <w:sz w:val="24"/>
          <w:szCs w:val="24"/>
        </w:rPr>
        <w:t>Masulis</w:t>
      </w:r>
      <w:proofErr w:type="spellEnd"/>
      <w:r w:rsidRPr="00E618F0">
        <w:rPr>
          <w:rFonts w:ascii="Times New Roman" w:eastAsia="Times New Roman" w:hAnsi="Times New Roman" w:cs="Times New Roman"/>
          <w:sz w:val="24"/>
          <w:szCs w:val="24"/>
        </w:rPr>
        <w:t>, 1980).</w:t>
      </w:r>
    </w:p>
    <w:p w14:paraId="4AE01A71" w14:textId="77777777" w:rsidR="00C17286" w:rsidRPr="00E618F0" w:rsidRDefault="001D0DDC" w:rsidP="00DD65E4">
      <w:pPr>
        <w:spacing w:before="100" w:beforeAutospacing="1" w:after="100" w:afterAutospacing="1" w:line="240" w:lineRule="auto"/>
        <w:ind w:left="360" w:hanging="360"/>
        <w:jc w:val="both"/>
        <w:outlineLvl w:val="1"/>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t>2.2</w:t>
      </w:r>
      <w:r w:rsidRPr="00E618F0">
        <w:rPr>
          <w:rFonts w:ascii="Times New Roman" w:eastAsia="Times New Roman" w:hAnsi="Times New Roman" w:cs="Times New Roman"/>
          <w:b/>
          <w:bCs/>
          <w:sz w:val="24"/>
          <w:szCs w:val="24"/>
        </w:rPr>
        <w:tab/>
      </w:r>
      <w:r w:rsidR="00C17286" w:rsidRPr="00E618F0">
        <w:rPr>
          <w:rFonts w:ascii="Times New Roman" w:eastAsia="Times New Roman" w:hAnsi="Times New Roman" w:cs="Times New Roman"/>
          <w:b/>
          <w:bCs/>
          <w:sz w:val="24"/>
          <w:szCs w:val="24"/>
        </w:rPr>
        <w:t>Financial Distress</w:t>
      </w:r>
    </w:p>
    <w:p w14:paraId="1263471B"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Financial distress characterizes a state wherein a firm experiences structural difficulties in fulfilling its mandatory financial obligations, often caused by poor asset efficiency, working capital misalignment, or unsustainable leverage levels (Ohlson, 1980; Altman, 1968). In advanced empirical literature, financial distress is widely modeled using the Altman Z-score, which remains one of the most robust predictors of corporate failure (Altman, 20</w:t>
      </w:r>
      <w:r w:rsidR="00392FD4" w:rsidRPr="00E618F0">
        <w:rPr>
          <w:rFonts w:ascii="Times New Roman" w:eastAsia="Times New Roman" w:hAnsi="Times New Roman" w:cs="Times New Roman"/>
          <w:sz w:val="24"/>
          <w:szCs w:val="24"/>
        </w:rPr>
        <w:t>13</w:t>
      </w:r>
      <w:r w:rsidRPr="00E618F0">
        <w:rPr>
          <w:rFonts w:ascii="Times New Roman" w:eastAsia="Times New Roman" w:hAnsi="Times New Roman" w:cs="Times New Roman"/>
          <w:sz w:val="24"/>
          <w:szCs w:val="24"/>
        </w:rPr>
        <w:t>).</w:t>
      </w:r>
    </w:p>
    <w:p w14:paraId="05AB996C"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In the Nigerian setting, these structural constraints are compounded by systemic shocks, inflationary pressures, and currency devaluations, which further increase default probability and weaken corporate liquidity positions. Financial distress typically manifests in reduced operational capacity, higher borrowing costs, loss of investor confidence, and eventual insolvency (Myers, 1984; Ohlson, 1980).</w:t>
      </w:r>
    </w:p>
    <w:p w14:paraId="23298A12" w14:textId="77777777" w:rsidR="00C17286" w:rsidRPr="00E618F0" w:rsidRDefault="001D0DDC" w:rsidP="00DD65E4">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t>2.3</w:t>
      </w:r>
      <w:r w:rsidRPr="00E618F0">
        <w:rPr>
          <w:rFonts w:ascii="Times New Roman" w:eastAsia="Times New Roman" w:hAnsi="Times New Roman" w:cs="Times New Roman"/>
          <w:b/>
          <w:bCs/>
          <w:sz w:val="24"/>
          <w:szCs w:val="24"/>
        </w:rPr>
        <w:tab/>
      </w:r>
      <w:r w:rsidR="00C17286" w:rsidRPr="00E618F0">
        <w:rPr>
          <w:rFonts w:ascii="Times New Roman" w:eastAsia="Times New Roman" w:hAnsi="Times New Roman" w:cs="Times New Roman"/>
          <w:b/>
          <w:bCs/>
          <w:sz w:val="24"/>
          <w:szCs w:val="24"/>
        </w:rPr>
        <w:t>Nigerian Healthcare Sector Context</w:t>
      </w:r>
    </w:p>
    <w:p w14:paraId="0BA2931C"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lastRenderedPageBreak/>
        <w:t>Listed healthcare firms on the Nigerian Exchange Group (NGX) operate within a highly specialized, capital-intensive fiscal regime. While the sector benefits from government interventions such as tariff waivers and VAT exemptions on essential medical inputs, operational stability remains fragile due to macroeconomic volatility and supply chain constraints.</w:t>
      </w:r>
    </w:p>
    <w:p w14:paraId="76F23FFB"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sz w:val="24"/>
        </w:rPr>
        <w:t>Healthcare industries in emerging economies are particularly sensitive to exchange rate shocks because of reliance on imported pharmaceutical inputs and medical technologies. Such volatility increases cost pressures and affects corporate cash flow stability (Damodaran, 2014). These conditions make effective tax planning and internal tax shielding mechanisms critical for survival and liquidity preservation.</w:t>
      </w:r>
    </w:p>
    <w:p w14:paraId="468D83D5" w14:textId="77777777" w:rsidR="00C17286" w:rsidRPr="00E618F0" w:rsidRDefault="001D0DDC" w:rsidP="00DD65E4">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t>2.4</w:t>
      </w:r>
      <w:r w:rsidRPr="00E618F0">
        <w:rPr>
          <w:rFonts w:ascii="Times New Roman" w:eastAsia="Times New Roman" w:hAnsi="Times New Roman" w:cs="Times New Roman"/>
          <w:b/>
          <w:bCs/>
          <w:sz w:val="24"/>
          <w:szCs w:val="24"/>
        </w:rPr>
        <w:tab/>
      </w:r>
      <w:r w:rsidR="00C17286" w:rsidRPr="00E618F0">
        <w:rPr>
          <w:rFonts w:ascii="Times New Roman" w:eastAsia="Times New Roman" w:hAnsi="Times New Roman" w:cs="Times New Roman"/>
          <w:b/>
          <w:bCs/>
          <w:sz w:val="24"/>
          <w:szCs w:val="24"/>
        </w:rPr>
        <w:t>Conceptual Relationships among the Variables</w:t>
      </w:r>
    </w:p>
    <w:p w14:paraId="3E0761C3"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The Effective Tax Rate (ETR) reflects a firm's average tax burden and is widely used as a proxy for tax planning intensity in empirical accounting research (Shackelford &amp; Shevlin, 2001). High ETR values reduce available cash flows and increase financial strain, while unusually low ETRs may signal aggressive tax avoidance strategies that attract regulatory scrutiny and enforcement risks (Desai &amp; Dharmapala, 2006; Blouin, 2014).</w:t>
      </w:r>
    </w:p>
    <w:p w14:paraId="3C3E5872"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Thin Capitalization (TCAP) reflects the trade-off between tax benefits of debt financing and increased financial fragility. Excessive leverage increases bankruptcy risk despite providing interest tax shields, consistent with capital structure theory (Myers, 1984; Leland, 1994).</w:t>
      </w:r>
    </w:p>
    <w:p w14:paraId="3ED3E8C1"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 xml:space="preserve">Tax Shields (TS) and Depreciation Tax Shields (DETS) serve as internal financing buffers that reduce taxable income and improve cash flow stability. Non-debt tax shields are known to substitute for debt tax shields in determining optimal capital structure decisions (DeAngelo &amp; </w:t>
      </w:r>
      <w:proofErr w:type="spellStart"/>
      <w:r w:rsidRPr="00E618F0">
        <w:rPr>
          <w:rFonts w:ascii="Times New Roman" w:eastAsia="Times New Roman" w:hAnsi="Times New Roman" w:cs="Times New Roman"/>
          <w:sz w:val="24"/>
          <w:szCs w:val="24"/>
        </w:rPr>
        <w:t>Masulis</w:t>
      </w:r>
      <w:proofErr w:type="spellEnd"/>
      <w:r w:rsidRPr="00E618F0">
        <w:rPr>
          <w:rFonts w:ascii="Times New Roman" w:eastAsia="Times New Roman" w:hAnsi="Times New Roman" w:cs="Times New Roman"/>
          <w:sz w:val="24"/>
          <w:szCs w:val="24"/>
        </w:rPr>
        <w:t>, 1980).</w:t>
      </w:r>
    </w:p>
    <w:p w14:paraId="6294F7B2"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sz w:val="24"/>
        </w:rPr>
        <w:t>Capital Intensity (CAPINT) enhances access to capital allowances but may increase financial distress risk when asset bases are not matched by sufficient revenue generation. Asset-heavy firms are particularly vulnerable during downturns due to high fixed-cost burdens and low operational flexibility (Damodaran, 2014).</w:t>
      </w:r>
    </w:p>
    <w:p w14:paraId="07EF61BA" w14:textId="77777777" w:rsidR="00E53FF4" w:rsidRPr="00E618F0" w:rsidRDefault="00E53FF4" w:rsidP="00DD65E4">
      <w:pPr>
        <w:spacing w:before="100" w:beforeAutospacing="1" w:after="100" w:afterAutospacing="1" w:line="240" w:lineRule="auto"/>
        <w:ind w:left="360"/>
        <w:jc w:val="both"/>
        <w:rPr>
          <w:rFonts w:ascii="Times New Roman" w:eastAsia="Times New Roman" w:hAnsi="Times New Roman" w:cs="Times New Roman"/>
          <w:sz w:val="24"/>
          <w:szCs w:val="24"/>
        </w:rPr>
      </w:pPr>
    </w:p>
    <w:p w14:paraId="0584CBEE" w14:textId="77777777" w:rsidR="00E53FF4" w:rsidRPr="00E618F0" w:rsidRDefault="00E53FF4" w:rsidP="00DD65E4">
      <w:pPr>
        <w:spacing w:before="100" w:beforeAutospacing="1" w:after="100" w:afterAutospacing="1" w:line="240" w:lineRule="auto"/>
        <w:ind w:left="360"/>
        <w:jc w:val="both"/>
        <w:rPr>
          <w:rFonts w:ascii="Times New Roman" w:eastAsia="Times New Roman" w:hAnsi="Times New Roman" w:cs="Times New Roman"/>
          <w:sz w:val="24"/>
          <w:szCs w:val="24"/>
        </w:rPr>
      </w:pPr>
    </w:p>
    <w:p w14:paraId="52901525" w14:textId="77777777" w:rsidR="00566B28" w:rsidRPr="00E618F0" w:rsidRDefault="00566B28" w:rsidP="00DD65E4">
      <w:pPr>
        <w:spacing w:before="100" w:beforeAutospacing="1" w:after="100" w:afterAutospacing="1" w:line="240" w:lineRule="auto"/>
        <w:ind w:left="360"/>
        <w:jc w:val="both"/>
        <w:rPr>
          <w:rFonts w:ascii="Times New Roman" w:eastAsia="Times New Roman" w:hAnsi="Times New Roman" w:cs="Times New Roman"/>
          <w:sz w:val="24"/>
          <w:szCs w:val="24"/>
        </w:rPr>
      </w:pPr>
    </w:p>
    <w:p w14:paraId="7C88024E" w14:textId="77777777" w:rsidR="00566B28" w:rsidRPr="00E618F0" w:rsidRDefault="00566B28" w:rsidP="00DD65E4">
      <w:pPr>
        <w:spacing w:before="100" w:beforeAutospacing="1" w:after="100" w:afterAutospacing="1" w:line="240" w:lineRule="auto"/>
        <w:ind w:left="360"/>
        <w:jc w:val="both"/>
        <w:rPr>
          <w:rFonts w:ascii="Times New Roman" w:eastAsia="Times New Roman" w:hAnsi="Times New Roman" w:cs="Times New Roman"/>
          <w:sz w:val="24"/>
          <w:szCs w:val="24"/>
        </w:rPr>
      </w:pPr>
    </w:p>
    <w:p w14:paraId="08CD70B0" w14:textId="77777777" w:rsidR="00C17286" w:rsidRPr="00E618F0" w:rsidRDefault="001D0DDC" w:rsidP="00DD65E4">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t>2.5</w:t>
      </w:r>
      <w:r w:rsidRPr="00E618F0">
        <w:rPr>
          <w:rFonts w:ascii="Times New Roman" w:eastAsia="Times New Roman" w:hAnsi="Times New Roman" w:cs="Times New Roman"/>
          <w:b/>
          <w:bCs/>
          <w:sz w:val="24"/>
          <w:szCs w:val="24"/>
        </w:rPr>
        <w:tab/>
      </w:r>
      <w:r w:rsidR="00C17286" w:rsidRPr="00E618F0">
        <w:rPr>
          <w:rFonts w:ascii="Times New Roman" w:eastAsia="Times New Roman" w:hAnsi="Times New Roman" w:cs="Times New Roman"/>
          <w:b/>
          <w:bCs/>
          <w:sz w:val="24"/>
          <w:szCs w:val="24"/>
        </w:rPr>
        <w:t>Conceptual Framework</w:t>
      </w:r>
    </w:p>
    <w:p w14:paraId="4C68B746" w14:textId="77777777" w:rsidR="008F3C03" w:rsidRPr="00E618F0" w:rsidRDefault="001C5155" w:rsidP="008F3C03">
      <w:pPr>
        <w:spacing w:after="0" w:line="360" w:lineRule="auto"/>
        <w:ind w:left="540" w:hanging="540"/>
        <w:jc w:val="both"/>
        <w:rPr>
          <w:rFonts w:ascii="Times New Roman" w:hAnsi="Times New Roman" w:cs="Times New Roman"/>
          <w:sz w:val="24"/>
          <w:szCs w:val="24"/>
          <w:u w:val="single"/>
        </w:rPr>
      </w:pPr>
      <w:r w:rsidRPr="00E618F0">
        <w:rPr>
          <w:rFonts w:ascii="Times New Roman" w:hAnsi="Times New Roman" w:cs="Times New Roman"/>
          <w:noProof/>
          <w:sz w:val="24"/>
          <w:szCs w:val="24"/>
        </w:rPr>
        <mc:AlternateContent>
          <mc:Choice Requires="wpg">
            <w:drawing>
              <wp:anchor distT="0" distB="0" distL="114300" distR="114300" simplePos="0" relativeHeight="251672576" behindDoc="0" locked="0" layoutInCell="1" allowOverlap="1" wp14:anchorId="4D7EDC15" wp14:editId="16CDE301">
                <wp:simplePos x="0" y="0"/>
                <wp:positionH relativeFrom="column">
                  <wp:posOffset>333375</wp:posOffset>
                </wp:positionH>
                <wp:positionV relativeFrom="paragraph">
                  <wp:posOffset>147955</wp:posOffset>
                </wp:positionV>
                <wp:extent cx="5708015" cy="3876675"/>
                <wp:effectExtent l="0" t="0" r="26035" b="28575"/>
                <wp:wrapNone/>
                <wp:docPr id="31" name="Group 31"/>
                <wp:cNvGraphicFramePr/>
                <a:graphic xmlns:a="http://schemas.openxmlformats.org/drawingml/2006/main">
                  <a:graphicData uri="http://schemas.microsoft.com/office/word/2010/wordprocessingGroup">
                    <wpg:wgp>
                      <wpg:cNvGrpSpPr/>
                      <wpg:grpSpPr>
                        <a:xfrm>
                          <a:off x="0" y="0"/>
                          <a:ext cx="5708015" cy="3876675"/>
                          <a:chOff x="0" y="0"/>
                          <a:chExt cx="5708015" cy="3876675"/>
                        </a:xfrm>
                      </wpg:grpSpPr>
                      <wps:wsp>
                        <wps:cNvPr id="6" name="AutoShape 7"/>
                        <wps:cNvCnPr>
                          <a:cxnSpLocks noChangeShapeType="1"/>
                        </wps:cNvCnPr>
                        <wps:spPr bwMode="auto">
                          <a:xfrm>
                            <a:off x="857250" y="9525"/>
                            <a:ext cx="0" cy="505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8"/>
                        <wps:cNvCnPr>
                          <a:cxnSpLocks noChangeShapeType="1"/>
                        </wps:cNvCnPr>
                        <wps:spPr bwMode="auto">
                          <a:xfrm>
                            <a:off x="4486275" y="0"/>
                            <a:ext cx="44450" cy="1831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Rectangle 3"/>
                        <wps:cNvSpPr>
                          <a:spLocks noChangeArrowheads="1"/>
                        </wps:cNvSpPr>
                        <wps:spPr bwMode="auto">
                          <a:xfrm>
                            <a:off x="0" y="514350"/>
                            <a:ext cx="1974215" cy="457200"/>
                          </a:xfrm>
                          <a:prstGeom prst="rect">
                            <a:avLst/>
                          </a:prstGeom>
                          <a:solidFill>
                            <a:srgbClr val="FFFFFF"/>
                          </a:solidFill>
                          <a:ln w="9525">
                            <a:solidFill>
                              <a:srgbClr val="000000"/>
                            </a:solidFill>
                            <a:miter lim="800000"/>
                            <a:headEnd/>
                            <a:tailEnd/>
                          </a:ln>
                        </wps:spPr>
                        <wps:txbx>
                          <w:txbxContent>
                            <w:p w14:paraId="1AA380AD" w14:textId="77777777" w:rsidR="00FD5862" w:rsidRDefault="00FD5862" w:rsidP="008F3C03">
                              <w:pPr>
                                <w:pStyle w:val="NoSpacing"/>
                                <w:jc w:val="center"/>
                                <w:rPr>
                                  <w:rFonts w:ascii="Times New Roman" w:hAnsi="Times New Roman" w:cs="Times New Roman"/>
                                  <w:sz w:val="24"/>
                                  <w:szCs w:val="24"/>
                                </w:rPr>
                              </w:pPr>
                              <w:r>
                                <w:rPr>
                                  <w:rFonts w:ascii="Times New Roman" w:hAnsi="Times New Roman" w:cs="Times New Roman"/>
                                  <w:sz w:val="24"/>
                                  <w:szCs w:val="24"/>
                                </w:rPr>
                                <w:t>Tax Shield</w:t>
                              </w:r>
                            </w:p>
                            <w:p w14:paraId="0D8C3947" w14:textId="77777777" w:rsidR="00FD5862" w:rsidRDefault="00FD5862" w:rsidP="008F3C03">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 Strategies</w:t>
                              </w:r>
                            </w:p>
                            <w:p w14:paraId="577E16C2" w14:textId="77777777" w:rsidR="00FD5862" w:rsidRDefault="00FD5862" w:rsidP="008F3C03"/>
                          </w:txbxContent>
                        </wps:txbx>
                        <wps:bodyPr rot="0" vert="horz" wrap="square" lIns="91440" tIns="45720" rIns="91440" bIns="45720" anchor="t" anchorCtr="0" upright="1">
                          <a:noAutofit/>
                        </wps:bodyPr>
                      </wps:wsp>
                      <wps:wsp>
                        <wps:cNvPr id="9" name="Rectangle 4"/>
                        <wps:cNvSpPr>
                          <a:spLocks noChangeArrowheads="1"/>
                        </wps:cNvSpPr>
                        <wps:spPr bwMode="auto">
                          <a:xfrm>
                            <a:off x="0" y="1219200"/>
                            <a:ext cx="1974215" cy="457200"/>
                          </a:xfrm>
                          <a:prstGeom prst="rect">
                            <a:avLst/>
                          </a:prstGeom>
                          <a:solidFill>
                            <a:srgbClr val="FFFFFF"/>
                          </a:solidFill>
                          <a:ln w="9525">
                            <a:solidFill>
                              <a:srgbClr val="000000"/>
                            </a:solidFill>
                            <a:miter lim="800000"/>
                            <a:headEnd/>
                            <a:tailEnd/>
                          </a:ln>
                        </wps:spPr>
                        <wps:txbx>
                          <w:txbxContent>
                            <w:p w14:paraId="65D808BE" w14:textId="77777777" w:rsidR="00FD5862" w:rsidRDefault="00FD5862" w:rsidP="008F3C03">
                              <w:pPr>
                                <w:jc w:val="center"/>
                              </w:pPr>
                              <w:r>
                                <w:rPr>
                                  <w:rFonts w:ascii="Times New Roman" w:eastAsia="Times New Roman" w:hAnsi="Times New Roman" w:cs="Times New Roman"/>
                                  <w:bCs/>
                                  <w:sz w:val="24"/>
                                  <w:szCs w:val="24"/>
                                </w:rPr>
                                <w:t>Thin Capitalization (TCAP)</w:t>
                              </w:r>
                            </w:p>
                          </w:txbxContent>
                        </wps:txbx>
                        <wps:bodyPr rot="0" vert="horz" wrap="square" lIns="91440" tIns="45720" rIns="91440" bIns="45720" anchor="t" anchorCtr="0" upright="1">
                          <a:noAutofit/>
                        </wps:bodyPr>
                      </wps:wsp>
                      <wps:wsp>
                        <wps:cNvPr id="10" name="Rectangle 5"/>
                        <wps:cNvSpPr>
                          <a:spLocks noChangeArrowheads="1"/>
                        </wps:cNvSpPr>
                        <wps:spPr bwMode="auto">
                          <a:xfrm>
                            <a:off x="0" y="1933575"/>
                            <a:ext cx="1974215" cy="457200"/>
                          </a:xfrm>
                          <a:prstGeom prst="rect">
                            <a:avLst/>
                          </a:prstGeom>
                          <a:solidFill>
                            <a:srgbClr val="FFFFFF"/>
                          </a:solidFill>
                          <a:ln w="9525">
                            <a:solidFill>
                              <a:srgbClr val="000000"/>
                            </a:solidFill>
                            <a:miter lim="800000"/>
                            <a:headEnd/>
                            <a:tailEnd/>
                          </a:ln>
                        </wps:spPr>
                        <wps:txbx>
                          <w:txbxContent>
                            <w:p w14:paraId="0841DDB1" w14:textId="77777777" w:rsidR="00FD5862" w:rsidRDefault="00FD5862" w:rsidP="008F3C03">
                              <w:pPr>
                                <w:jc w:val="center"/>
                              </w:pPr>
                              <w:r>
                                <w:rPr>
                                  <w:rFonts w:ascii="Times New Roman" w:eastAsia="Times New Roman" w:hAnsi="Times New Roman" w:cs="Times New Roman"/>
                                  <w:bCs/>
                                  <w:sz w:val="24"/>
                                  <w:szCs w:val="24"/>
                                </w:rPr>
                                <w:t>Depreciation Tax Shield (DETS)</w:t>
                              </w:r>
                            </w:p>
                            <w:p w14:paraId="61E293C9" w14:textId="77777777" w:rsidR="00FD5862" w:rsidRDefault="00FD5862" w:rsidP="008F3C03"/>
                          </w:txbxContent>
                        </wps:txbx>
                        <wps:bodyPr rot="0" vert="horz" wrap="square" lIns="91440" tIns="45720" rIns="91440" bIns="45720" anchor="t" anchorCtr="0" upright="1">
                          <a:noAutofit/>
                        </wps:bodyPr>
                      </wps:wsp>
                      <wps:wsp>
                        <wps:cNvPr id="5" name="AutoShape 16"/>
                        <wps:cNvCnPr>
                          <a:cxnSpLocks noChangeShapeType="1"/>
                        </wps:cNvCnPr>
                        <wps:spPr bwMode="auto">
                          <a:xfrm flipV="1">
                            <a:off x="3371850" y="2219325"/>
                            <a:ext cx="337820" cy="658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Rectangle 8"/>
                        <wps:cNvSpPr>
                          <a:spLocks noChangeArrowheads="1"/>
                        </wps:cNvSpPr>
                        <wps:spPr bwMode="auto">
                          <a:xfrm>
                            <a:off x="3733800" y="1828800"/>
                            <a:ext cx="1974215" cy="619125"/>
                          </a:xfrm>
                          <a:prstGeom prst="rect">
                            <a:avLst/>
                          </a:prstGeom>
                          <a:solidFill>
                            <a:srgbClr val="FFFFFF"/>
                          </a:solidFill>
                          <a:ln w="9525">
                            <a:solidFill>
                              <a:srgbClr val="000000"/>
                            </a:solidFill>
                            <a:miter lim="800000"/>
                            <a:headEnd/>
                            <a:tailEnd/>
                          </a:ln>
                        </wps:spPr>
                        <wps:txbx>
                          <w:txbxContent>
                            <w:p w14:paraId="29230B4D" w14:textId="77777777" w:rsidR="00FD5862" w:rsidRDefault="00FD5862" w:rsidP="008F3C03">
                              <w:pPr>
                                <w:pStyle w:val="NoSpacing"/>
                                <w:jc w:val="center"/>
                                <w:rPr>
                                  <w:rFonts w:ascii="Times New Roman" w:hAnsi="Times New Roman" w:cs="Times New Roman"/>
                                  <w:sz w:val="24"/>
                                  <w:szCs w:val="24"/>
                                </w:rPr>
                              </w:pPr>
                              <w:r>
                                <w:rPr>
                                  <w:rFonts w:ascii="Times New Roman" w:hAnsi="Times New Roman" w:cs="Times New Roman"/>
                                  <w:sz w:val="24"/>
                                  <w:szCs w:val="24"/>
                                </w:rPr>
                                <w:t>Financial Distress</w:t>
                              </w:r>
                            </w:p>
                            <w:p w14:paraId="40755F84" w14:textId="77777777" w:rsidR="00FD5862" w:rsidRDefault="00FD5862" w:rsidP="008F3C03">
                              <w:pPr>
                                <w:pStyle w:val="NoSpacing"/>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bCs/>
                                  <w:sz w:val="24"/>
                                  <w:szCs w:val="24"/>
                                </w:rPr>
                                <w:t>Altman’s Z-Score and Bankruptcy)</w:t>
                              </w:r>
                            </w:p>
                          </w:txbxContent>
                        </wps:txbx>
                        <wps:bodyPr rot="0" vert="horz" wrap="square" lIns="91440" tIns="45720" rIns="91440" bIns="45720" anchor="t" anchorCtr="0" upright="1">
                          <a:noAutofit/>
                        </wps:bodyPr>
                      </wps:wsp>
                      <wps:wsp>
                        <wps:cNvPr id="15" name="AutoShape 16"/>
                        <wps:cNvCnPr>
                          <a:cxnSpLocks noChangeShapeType="1"/>
                        </wps:cNvCnPr>
                        <wps:spPr bwMode="auto">
                          <a:xfrm>
                            <a:off x="1971675" y="723900"/>
                            <a:ext cx="1760220" cy="1272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7"/>
                        <wps:cNvCnPr>
                          <a:cxnSpLocks noChangeShapeType="1"/>
                        </wps:cNvCnPr>
                        <wps:spPr bwMode="auto">
                          <a:xfrm>
                            <a:off x="1971675" y="1428750"/>
                            <a:ext cx="1760220" cy="619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8"/>
                        <wps:cNvCnPr>
                          <a:cxnSpLocks noChangeShapeType="1"/>
                        </wps:cNvCnPr>
                        <wps:spPr bwMode="auto">
                          <a:xfrm flipV="1">
                            <a:off x="1971675" y="2095500"/>
                            <a:ext cx="1760220" cy="73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0"/>
                        <wps:cNvSpPr>
                          <a:spLocks noChangeArrowheads="1"/>
                        </wps:cNvSpPr>
                        <wps:spPr bwMode="auto">
                          <a:xfrm rot="6912989">
                            <a:off x="3238500" y="1647825"/>
                            <a:ext cx="139065" cy="67310"/>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20" name="AutoShape 21"/>
                        <wps:cNvSpPr>
                          <a:spLocks noChangeArrowheads="1"/>
                        </wps:cNvSpPr>
                        <wps:spPr bwMode="auto">
                          <a:xfrm rot="6912989">
                            <a:off x="3200400" y="1847850"/>
                            <a:ext cx="139065" cy="67310"/>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8" name="AutoShape 19"/>
                        <wps:cNvCnPr>
                          <a:cxnSpLocks noChangeShapeType="1"/>
                        </wps:cNvCnPr>
                        <wps:spPr bwMode="auto">
                          <a:xfrm flipV="1">
                            <a:off x="1981200" y="2162175"/>
                            <a:ext cx="1757680" cy="7169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22"/>
                        <wps:cNvSpPr>
                          <a:spLocks noChangeArrowheads="1"/>
                        </wps:cNvSpPr>
                        <wps:spPr bwMode="auto">
                          <a:xfrm rot="6912989">
                            <a:off x="3200400" y="2057400"/>
                            <a:ext cx="139065" cy="67310"/>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22" name="AutoShape 23"/>
                        <wps:cNvSpPr>
                          <a:spLocks noChangeArrowheads="1"/>
                        </wps:cNvSpPr>
                        <wps:spPr bwMode="auto">
                          <a:xfrm rot="3253251">
                            <a:off x="3276600" y="2276475"/>
                            <a:ext cx="149860" cy="100965"/>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11" name="Rectangle 6"/>
                        <wps:cNvSpPr>
                          <a:spLocks noChangeArrowheads="1"/>
                        </wps:cNvSpPr>
                        <wps:spPr bwMode="auto">
                          <a:xfrm>
                            <a:off x="0" y="2657475"/>
                            <a:ext cx="1974215" cy="457200"/>
                          </a:xfrm>
                          <a:prstGeom prst="rect">
                            <a:avLst/>
                          </a:prstGeom>
                          <a:solidFill>
                            <a:srgbClr val="FFFFFF"/>
                          </a:solidFill>
                          <a:ln w="9525">
                            <a:solidFill>
                              <a:srgbClr val="000000"/>
                            </a:solidFill>
                            <a:miter lim="800000"/>
                            <a:headEnd/>
                            <a:tailEnd/>
                          </a:ln>
                        </wps:spPr>
                        <wps:txbx>
                          <w:txbxContent>
                            <w:p w14:paraId="71087EFF" w14:textId="77777777" w:rsidR="00FD5862" w:rsidRDefault="00FD5862" w:rsidP="008F3C03">
                              <w:pPr>
                                <w:spacing w:line="240" w:lineRule="auto"/>
                                <w:jc w:val="center"/>
                              </w:pPr>
                              <w:r>
                                <w:rPr>
                                  <w:rFonts w:ascii="Times New Roman" w:eastAsia="Times New Roman" w:hAnsi="Times New Roman" w:cs="Times New Roman"/>
                                  <w:bCs/>
                                  <w:sz w:val="24"/>
                                  <w:szCs w:val="24"/>
                                </w:rPr>
                                <w:t>Effective Tax Rate (ETR)</w:t>
                              </w:r>
                            </w:p>
                            <w:p w14:paraId="6DFCE0D0" w14:textId="77777777" w:rsidR="00FD5862" w:rsidRDefault="00FD5862" w:rsidP="008F3C03"/>
                          </w:txbxContent>
                        </wps:txbx>
                        <wps:bodyPr rot="0" vert="horz" wrap="square" lIns="91440" tIns="45720" rIns="91440" bIns="45720" anchor="t" anchorCtr="0" upright="1">
                          <a:noAutofit/>
                        </wps:bodyPr>
                      </wps:wsp>
                      <wps:wsp>
                        <wps:cNvPr id="12" name="Rectangle 7"/>
                        <wps:cNvSpPr>
                          <a:spLocks noChangeArrowheads="1"/>
                        </wps:cNvSpPr>
                        <wps:spPr bwMode="auto">
                          <a:xfrm>
                            <a:off x="0" y="3419475"/>
                            <a:ext cx="1974215" cy="457200"/>
                          </a:xfrm>
                          <a:prstGeom prst="rect">
                            <a:avLst/>
                          </a:prstGeom>
                          <a:solidFill>
                            <a:srgbClr val="FFFFFF"/>
                          </a:solidFill>
                          <a:ln w="9525">
                            <a:solidFill>
                              <a:srgbClr val="000000"/>
                            </a:solidFill>
                            <a:miter lim="800000"/>
                            <a:headEnd/>
                            <a:tailEnd/>
                          </a:ln>
                        </wps:spPr>
                        <wps:txbx>
                          <w:txbxContent>
                            <w:p w14:paraId="34AEF985" w14:textId="77777777" w:rsidR="00FD5862" w:rsidRDefault="00FD5862" w:rsidP="008F3C03">
                              <w:pPr>
                                <w:jc w:val="center"/>
                              </w:pPr>
                              <w:r>
                                <w:rPr>
                                  <w:rFonts w:ascii="Times New Roman" w:eastAsia="Times New Roman" w:hAnsi="Times New Roman" w:cs="Times New Roman"/>
                                  <w:bCs/>
                                  <w:sz w:val="24"/>
                                  <w:szCs w:val="24"/>
                                </w:rPr>
                                <w:t>Capital Intensity (CAPINT)</w:t>
                              </w:r>
                            </w:p>
                            <w:p w14:paraId="37A741BA" w14:textId="77777777" w:rsidR="00FD5862" w:rsidRDefault="00FD5862" w:rsidP="008F3C03"/>
                          </w:txbxContent>
                        </wps:txbx>
                        <wps:bodyPr rot="0" vert="horz" wrap="square" lIns="91440" tIns="45720" rIns="91440" bIns="45720" anchor="t" anchorCtr="0" upright="1">
                          <a:noAutofit/>
                        </wps:bodyPr>
                      </wps:wsp>
                      <wps:wsp>
                        <wps:cNvPr id="14" name="Rectangle 14"/>
                        <wps:cNvSpPr>
                          <a:spLocks noChangeArrowheads="1"/>
                        </wps:cNvSpPr>
                        <wps:spPr bwMode="auto">
                          <a:xfrm>
                            <a:off x="3009900" y="2876550"/>
                            <a:ext cx="871220" cy="314325"/>
                          </a:xfrm>
                          <a:prstGeom prst="rect">
                            <a:avLst/>
                          </a:prstGeom>
                          <a:solidFill>
                            <a:srgbClr val="FFFFFF"/>
                          </a:solidFill>
                          <a:ln w="9525">
                            <a:solidFill>
                              <a:srgbClr val="000000"/>
                            </a:solidFill>
                            <a:miter lim="800000"/>
                            <a:headEnd/>
                            <a:tailEnd/>
                          </a:ln>
                        </wps:spPr>
                        <wps:txbx>
                          <w:txbxContent>
                            <w:p w14:paraId="2FE9549D" w14:textId="77777777" w:rsidR="00FD5862" w:rsidRDefault="00FD5862" w:rsidP="008F3C03">
                              <w:pPr>
                                <w:jc w:val="center"/>
                              </w:pPr>
                              <w:r>
                                <w:rPr>
                                  <w:rFonts w:ascii="Times New Roman" w:eastAsia="Times New Roman" w:hAnsi="Times New Roman" w:cs="Times New Roman"/>
                                  <w:bCs/>
                                  <w:sz w:val="24"/>
                                  <w:szCs w:val="24"/>
                                </w:rPr>
                                <w:t>Firm Size</w:t>
                              </w:r>
                            </w:p>
                            <w:p w14:paraId="255FC9C1" w14:textId="77777777" w:rsidR="00FD5862" w:rsidRDefault="00FD5862" w:rsidP="008F3C03"/>
                          </w:txbxContent>
                        </wps:txbx>
                        <wps:bodyPr rot="0" vert="horz" wrap="square" lIns="91440" tIns="45720" rIns="91440" bIns="45720" anchor="t" anchorCtr="0" upright="1">
                          <a:noAutofit/>
                        </wps:bodyPr>
                      </wps:wsp>
                      <wps:wsp>
                        <wps:cNvPr id="24" name="AutoShape 25"/>
                        <wps:cNvSpPr>
                          <a:spLocks noChangeArrowheads="1"/>
                        </wps:cNvSpPr>
                        <wps:spPr bwMode="auto">
                          <a:xfrm rot="3253251">
                            <a:off x="3324225" y="2486025"/>
                            <a:ext cx="149860" cy="100965"/>
                          </a:xfrm>
                          <a:prstGeom prst="triangle">
                            <a:avLst>
                              <a:gd name="adj" fmla="val 57412"/>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wps:wsp>
                        <wps:cNvPr id="23" name="AutoShape 24"/>
                        <wps:cNvCnPr>
                          <a:cxnSpLocks noChangeShapeType="1"/>
                        </wps:cNvCnPr>
                        <wps:spPr bwMode="auto">
                          <a:xfrm flipV="1">
                            <a:off x="1962150" y="2362200"/>
                            <a:ext cx="1691640" cy="1262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5"/>
                        <wps:cNvCnPr>
                          <a:cxnSpLocks noChangeShapeType="1"/>
                        </wps:cNvCnPr>
                        <wps:spPr bwMode="auto">
                          <a:xfrm flipV="1">
                            <a:off x="3400425" y="3190875"/>
                            <a:ext cx="0" cy="68135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25"/>
                        <wps:cNvSpPr txBox="1"/>
                        <wps:spPr>
                          <a:xfrm rot="178692">
                            <a:off x="2352675" y="981075"/>
                            <a:ext cx="454025" cy="363220"/>
                          </a:xfrm>
                          <a:prstGeom prst="rect">
                            <a:avLst/>
                          </a:prstGeom>
                          <a:solidFill>
                            <a:schemeClr val="bg1"/>
                          </a:solidFill>
                          <a:ln>
                            <a:noFill/>
                          </a:ln>
                        </wps:spPr>
                        <wps:txbx>
                          <w:txbxContent>
                            <w:p w14:paraId="2DA6E455" w14:textId="77777777" w:rsidR="00FD5862" w:rsidRPr="00FF5BEF" w:rsidRDefault="00FD5862" w:rsidP="00FF5BEF">
                              <w:pPr>
                                <w:pStyle w:val="ListParagraph"/>
                                <w:spacing w:before="100" w:beforeAutospacing="1" w:after="100" w:afterAutospacing="1" w:line="240" w:lineRule="auto"/>
                                <w:ind w:left="0"/>
                                <w:jc w:val="center"/>
                                <w:outlineLvl w:val="0"/>
                                <w:rPr>
                                  <w:rFonts w:ascii="Times New Roman" w:eastAsia="Times New Roman" w:hAnsi="Times New Roman" w:cs="Times New Roman"/>
                                  <w:bCs/>
                                  <w:color w:val="000000" w:themeColor="text1"/>
                                  <w:kern w:val="3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rFonts w:ascii="Times New Roman" w:eastAsia="Times New Roman" w:hAnsi="Times New Roman" w:cs="Times New Roman"/>
                                  <w:bCs/>
                                  <w:color w:val="000000" w:themeColor="text1"/>
                                  <w:kern w:val="3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sidRPr="00FF5BEF">
                                <w:rPr>
                                  <w:rFonts w:ascii="Times New Roman" w:eastAsia="Times New Roman" w:hAnsi="Times New Roman" w:cs="Times New Roman"/>
                                  <w:bCs/>
                                  <w:color w:val="000000" w:themeColor="text1"/>
                                  <w:kern w:val="36"/>
                                  <w:sz w:val="24"/>
                                  <w:szCs w:val="24"/>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6" name="Text Box 26"/>
                        <wps:cNvSpPr txBox="1"/>
                        <wps:spPr>
                          <a:xfrm>
                            <a:off x="2314575" y="1485900"/>
                            <a:ext cx="454025" cy="363220"/>
                          </a:xfrm>
                          <a:prstGeom prst="rect">
                            <a:avLst/>
                          </a:prstGeom>
                          <a:solidFill>
                            <a:schemeClr val="bg1"/>
                          </a:solidFill>
                          <a:ln>
                            <a:noFill/>
                          </a:ln>
                        </wps:spPr>
                        <wps:txbx>
                          <w:txbxContent>
                            <w:p w14:paraId="6543BDFF" w14:textId="77777777" w:rsidR="00FD5862" w:rsidRPr="00FF5BEF" w:rsidRDefault="00FD5862" w:rsidP="00FF5BEF">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sidRPr="00FF5BEF">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7" name="Text Box 27"/>
                        <wps:cNvSpPr txBox="1"/>
                        <wps:spPr>
                          <a:xfrm>
                            <a:off x="2305050" y="1990725"/>
                            <a:ext cx="454025" cy="363220"/>
                          </a:xfrm>
                          <a:prstGeom prst="rect">
                            <a:avLst/>
                          </a:prstGeom>
                          <a:solidFill>
                            <a:sysClr val="window" lastClr="FFFFFF"/>
                          </a:solidFill>
                          <a:ln>
                            <a:noFill/>
                          </a:ln>
                        </wps:spPr>
                        <wps:txbx>
                          <w:txbxContent>
                            <w:p w14:paraId="19318A15" w14:textId="77777777" w:rsidR="00FD5862" w:rsidRPr="00FF5BEF" w:rsidRDefault="00FD5862" w:rsidP="00FF5BEF">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8" name="Text Box 28"/>
                        <wps:cNvSpPr txBox="1"/>
                        <wps:spPr>
                          <a:xfrm>
                            <a:off x="2333625" y="2495550"/>
                            <a:ext cx="454025" cy="363220"/>
                          </a:xfrm>
                          <a:prstGeom prst="rect">
                            <a:avLst/>
                          </a:prstGeom>
                          <a:solidFill>
                            <a:sysClr val="window" lastClr="FFFFFF"/>
                          </a:solidFill>
                          <a:ln>
                            <a:noFill/>
                          </a:ln>
                        </wps:spPr>
                        <wps:txbx>
                          <w:txbxContent>
                            <w:p w14:paraId="1A4612B1" w14:textId="77777777" w:rsidR="00FD5862" w:rsidRPr="00FF5BEF" w:rsidRDefault="00FD5862" w:rsidP="001C5155">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9" name="Text Box 29"/>
                        <wps:cNvSpPr txBox="1"/>
                        <wps:spPr>
                          <a:xfrm>
                            <a:off x="2343150" y="3038475"/>
                            <a:ext cx="454025" cy="363220"/>
                          </a:xfrm>
                          <a:prstGeom prst="rect">
                            <a:avLst/>
                          </a:prstGeom>
                          <a:solidFill>
                            <a:sysClr val="window" lastClr="FFFFFF"/>
                          </a:solidFill>
                          <a:ln>
                            <a:noFill/>
                          </a:ln>
                        </wps:spPr>
                        <wps:txbx>
                          <w:txbxContent>
                            <w:p w14:paraId="16033166" w14:textId="77777777" w:rsidR="00FD5862" w:rsidRPr="00FF5BEF" w:rsidRDefault="00FD5862" w:rsidP="001C5155">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D7EDC15" id="Group 31" o:spid="_x0000_s1026" style="position:absolute;left:0;text-align:left;margin-left:26.25pt;margin-top:11.65pt;width:449.45pt;height:305.25pt;z-index:251672576" coordsize="57080,38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">
                <v:shapetype id="_x0000_t32" coordsize="21600,21600" o:spt="32" o:oned="t" path="m,l21600,21600e" filled="f">
                  <v:path arrowok="t" fillok="f" o:connecttype="none"/>
                  <o:lock v:ext="edit" shapetype="t"/>
                </v:shapetype>
                <v:shape id="AutoShape 7" o:spid="_x0000_s1027" type="#_x0000_t32" style="position:absolute;left:8572;top:95;width:0;height:50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">
                  <v:stroke endarrow="block"/>
                </v:shape>
                <v:shape id="AutoShape 8" o:spid="_x0000_s1028" type="#_x0000_t32" style="position:absolute;left:44862;width:445;height:183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rect id="Rectangle 3" o:spid="_x0000_s1029" style="position:absolute;top:5143;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1AA380AD" w14:textId="77777777" w:rsidR="00FD5862" w:rsidRDefault="00FD5862" w:rsidP="008F3C03">
                        <w:pPr>
                          <w:pStyle w:val="NoSpacing"/>
                          <w:jc w:val="center"/>
                          <w:rPr>
                            <w:rFonts w:ascii="Times New Roman" w:hAnsi="Times New Roman" w:cs="Times New Roman"/>
                            <w:sz w:val="24"/>
                            <w:szCs w:val="24"/>
                          </w:rPr>
                        </w:pPr>
                        <w:r>
                          <w:rPr>
                            <w:rFonts w:ascii="Times New Roman" w:hAnsi="Times New Roman" w:cs="Times New Roman"/>
                            <w:sz w:val="24"/>
                            <w:szCs w:val="24"/>
                          </w:rPr>
                          <w:t>Tax Shield</w:t>
                        </w:r>
                      </w:p>
                      <w:p w14:paraId="0D8C3947" w14:textId="77777777" w:rsidR="00FD5862" w:rsidRDefault="00FD5862" w:rsidP="008F3C03">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 Strategies</w:t>
                        </w:r>
                      </w:p>
                      <w:p w14:paraId="577E16C2" w14:textId="77777777" w:rsidR="00FD5862" w:rsidRDefault="00FD5862" w:rsidP="008F3C03"/>
                    </w:txbxContent>
                  </v:textbox>
                </v:rect>
                <v:rect id="Rectangle 4" o:spid="_x0000_s1030" style="position:absolute;top:12192;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14:paraId="65D808BE" w14:textId="77777777" w:rsidR="00FD5862" w:rsidRDefault="00FD5862" w:rsidP="008F3C03">
                        <w:pPr>
                          <w:jc w:val="center"/>
                        </w:pPr>
                        <w:r>
                          <w:rPr>
                            <w:rFonts w:ascii="Times New Roman" w:eastAsia="Times New Roman" w:hAnsi="Times New Roman" w:cs="Times New Roman"/>
                            <w:bCs/>
                            <w:sz w:val="24"/>
                            <w:szCs w:val="24"/>
                          </w:rPr>
                          <w:t>Thin Capitalization (TCAP)</w:t>
                        </w:r>
                      </w:p>
                    </w:txbxContent>
                  </v:textbox>
                </v:rect>
                <v:rect id="Rectangle 5" o:spid="_x0000_s1031" style="position:absolute;top:19335;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0841DDB1" w14:textId="77777777" w:rsidR="00FD5862" w:rsidRDefault="00FD5862" w:rsidP="008F3C03">
                        <w:pPr>
                          <w:jc w:val="center"/>
                        </w:pPr>
                        <w:r>
                          <w:rPr>
                            <w:rFonts w:ascii="Times New Roman" w:eastAsia="Times New Roman" w:hAnsi="Times New Roman" w:cs="Times New Roman"/>
                            <w:bCs/>
                            <w:sz w:val="24"/>
                            <w:szCs w:val="24"/>
                          </w:rPr>
                          <w:t>Depreciation Tax Shield (DETS)</w:t>
                        </w:r>
                      </w:p>
                      <w:p w14:paraId="61E293C9" w14:textId="77777777" w:rsidR="00FD5862" w:rsidRDefault="00FD5862" w:rsidP="008F3C03"/>
                    </w:txbxContent>
                  </v:textbox>
                </v:rect>
                <v:shape id="AutoShape 16" o:spid="_x0000_s1032" type="#_x0000_t32" style="position:absolute;left:33718;top:22193;width:3378;height:65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">
                  <v:stroke endarrow="block"/>
                </v:shape>
                <v:rect id="Rectangle 8" o:spid="_x0000_s1033" style="position:absolute;left:37338;top:18288;width:19742;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14:paraId="29230B4D" w14:textId="77777777" w:rsidR="00FD5862" w:rsidRDefault="00FD5862" w:rsidP="008F3C03">
                        <w:pPr>
                          <w:pStyle w:val="NoSpacing"/>
                          <w:jc w:val="center"/>
                          <w:rPr>
                            <w:rFonts w:ascii="Times New Roman" w:hAnsi="Times New Roman" w:cs="Times New Roman"/>
                            <w:sz w:val="24"/>
                            <w:szCs w:val="24"/>
                          </w:rPr>
                        </w:pPr>
                        <w:r>
                          <w:rPr>
                            <w:rFonts w:ascii="Times New Roman" w:hAnsi="Times New Roman" w:cs="Times New Roman"/>
                            <w:sz w:val="24"/>
                            <w:szCs w:val="24"/>
                          </w:rPr>
                          <w:t>Financial Distress</w:t>
                        </w:r>
                      </w:p>
                      <w:p w14:paraId="40755F84" w14:textId="77777777" w:rsidR="00FD5862" w:rsidRDefault="00FD5862" w:rsidP="008F3C03">
                        <w:pPr>
                          <w:pStyle w:val="NoSpacing"/>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bCs/>
                            <w:sz w:val="24"/>
                            <w:szCs w:val="24"/>
                          </w:rPr>
                          <w:t>Altman’s Z-Score and Bankruptcy)</w:t>
                        </w:r>
                      </w:p>
                    </w:txbxContent>
                  </v:textbox>
                </v:rect>
                <v:shape id="AutoShape 16" o:spid="_x0000_s1034" type="#_x0000_t32" style="position:absolute;left:19716;top:7239;width:17602;height:127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AutoShape 17" o:spid="_x0000_s1035" type="#_x0000_t32" style="position:absolute;left:19716;top:14287;width:17602;height:61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AutoShape 18" o:spid="_x0000_s1036" type="#_x0000_t32" style="position:absolute;left:19716;top:20955;width:17602;height:7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0" o:spid="_x0000_s1037" type="#_x0000_t5" style="position:absolute;left:32384;top:16478;width:1391;height:673;rotation:75508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" adj="12401" fillcolor="black"/>
                <v:shape id="AutoShape 21" o:spid="_x0000_s1038" type="#_x0000_t5" style="position:absolute;left:32003;top:18478;width:1391;height:673;rotation:75508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" adj="12401" fillcolor="black"/>
                <v:shape id="AutoShape 19" o:spid="_x0000_s1039" type="#_x0000_t32" style="position:absolute;left:19812;top:21621;width:17576;height:71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">
                  <v:stroke endarrow="block"/>
                </v:shape>
                <v:shape id="AutoShape 22" o:spid="_x0000_s1040" type="#_x0000_t5" style="position:absolute;left:32004;top:20573;width:1390;height:673;rotation:75508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" adj="12401" fillcolor="black"/>
                <v:shape id="AutoShape 23" o:spid="_x0000_s1041" type="#_x0000_t5" style="position:absolute;left:32766;top:22764;width:1498;height:1010;rotation:35534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" adj="12401" fillcolor="black"/>
                <v:rect id="Rectangle 6" o:spid="_x0000_s1042" style="position:absolute;top:26574;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14:paraId="71087EFF" w14:textId="77777777" w:rsidR="00FD5862" w:rsidRDefault="00FD5862" w:rsidP="008F3C03">
                        <w:pPr>
                          <w:spacing w:line="240" w:lineRule="auto"/>
                          <w:jc w:val="center"/>
                        </w:pPr>
                        <w:r>
                          <w:rPr>
                            <w:rFonts w:ascii="Times New Roman" w:eastAsia="Times New Roman" w:hAnsi="Times New Roman" w:cs="Times New Roman"/>
                            <w:bCs/>
                            <w:sz w:val="24"/>
                            <w:szCs w:val="24"/>
                          </w:rPr>
                          <w:t>Effective Tax Rate (ETR)</w:t>
                        </w:r>
                      </w:p>
                      <w:p w14:paraId="6DFCE0D0" w14:textId="77777777" w:rsidR="00FD5862" w:rsidRDefault="00FD5862" w:rsidP="008F3C03"/>
                    </w:txbxContent>
                  </v:textbox>
                </v:rect>
                <v:rect id="Rectangle 7" o:spid="_x0000_s1043" style="position:absolute;top:34194;width:197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14:paraId="34AEF985" w14:textId="77777777" w:rsidR="00FD5862" w:rsidRDefault="00FD5862" w:rsidP="008F3C03">
                        <w:pPr>
                          <w:jc w:val="center"/>
                        </w:pPr>
                        <w:r>
                          <w:rPr>
                            <w:rFonts w:ascii="Times New Roman" w:eastAsia="Times New Roman" w:hAnsi="Times New Roman" w:cs="Times New Roman"/>
                            <w:bCs/>
                            <w:sz w:val="24"/>
                            <w:szCs w:val="24"/>
                          </w:rPr>
                          <w:t>Capital Intensity (CAPINT)</w:t>
                        </w:r>
                      </w:p>
                      <w:p w14:paraId="37A741BA" w14:textId="77777777" w:rsidR="00FD5862" w:rsidRDefault="00FD5862" w:rsidP="008F3C03"/>
                    </w:txbxContent>
                  </v:textbox>
                </v:rect>
                <v:rect id="Rectangle 14" o:spid="_x0000_s1044" style="position:absolute;left:30099;top:28765;width:871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14:paraId="2FE9549D" w14:textId="77777777" w:rsidR="00FD5862" w:rsidRDefault="00FD5862" w:rsidP="008F3C03">
                        <w:pPr>
                          <w:jc w:val="center"/>
                        </w:pPr>
                        <w:r>
                          <w:rPr>
                            <w:rFonts w:ascii="Times New Roman" w:eastAsia="Times New Roman" w:hAnsi="Times New Roman" w:cs="Times New Roman"/>
                            <w:bCs/>
                            <w:sz w:val="24"/>
                            <w:szCs w:val="24"/>
                          </w:rPr>
                          <w:t>Firm Size</w:t>
                        </w:r>
                      </w:p>
                      <w:p w14:paraId="255FC9C1" w14:textId="77777777" w:rsidR="00FD5862" w:rsidRDefault="00FD5862" w:rsidP="008F3C03"/>
                    </w:txbxContent>
                  </v:textbox>
                </v:rect>
                <v:shape id="AutoShape 25" o:spid="_x0000_s1045" type="#_x0000_t5" style="position:absolute;left:33241;top:24860;width:1499;height:1010;rotation:35534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" adj="12401" fillcolor="black"/>
                <v:shape id="AutoShape 24" o:spid="_x0000_s1046" type="#_x0000_t32" style="position:absolute;left:19621;top:23622;width:16916;height:126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ESRwwAAANsAAAAPAAAAZHJzL2Rvd25yZXYueG1sRI9PawIx&#10;FMTvBb9DeEJv3Wwt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icREkcMAAADbAAAADwAA&#10;AAAAAAAAAAAAAAAHAgAAZHJzL2Rvd25yZXYueG1sUEsFBgAAAAADAAMAtwAAAPcCAAAAAA==&#10;">
                  <v:stroke endarrow="block"/>
                </v:shape>
                <v:shape id="AutoShape 5" o:spid="_x0000_s1047" type="#_x0000_t32" style="position:absolute;left:34004;top:31908;width:0;height:68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" strokeweight="1pt">
                  <v:stroke endarrow="block"/>
                </v:shape>
                <v:shapetype id="_x0000_t202" coordsize="21600,21600" o:spt="202" path="m,l,21600r21600,l21600,xe">
                  <v:stroke joinstyle="miter"/>
                  <v:path gradientshapeok="t" o:connecttype="rect"/>
                </v:shapetype>
                <v:shape id="Text Box 25" o:spid="_x0000_s1048" type="#_x0000_t202" style="position:absolute;left:23526;top:9810;width:4541;height:3632;rotation:19517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" fillcolor="white [3212]" stroked="f">
                  <v:textbox>
                    <w:txbxContent>
                      <w:p w14:paraId="2DA6E455" w14:textId="77777777" w:rsidR="00FD5862" w:rsidRPr="00FF5BEF" w:rsidRDefault="00FD5862" w:rsidP="00FF5BEF">
                        <w:pPr>
                          <w:pStyle w:val="ListParagraph"/>
                          <w:spacing w:before="100" w:beforeAutospacing="1" w:after="100" w:afterAutospacing="1" w:line="240" w:lineRule="auto"/>
                          <w:ind w:left="0"/>
                          <w:jc w:val="center"/>
                          <w:outlineLvl w:val="0"/>
                          <w:rPr>
                            <w:rFonts w:ascii="Times New Roman" w:eastAsia="Times New Roman" w:hAnsi="Times New Roman" w:cs="Times New Roman"/>
                            <w:bCs/>
                            <w:color w:val="000000" w:themeColor="text1"/>
                            <w:kern w:val="3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rFonts w:ascii="Times New Roman" w:eastAsia="Times New Roman" w:hAnsi="Times New Roman" w:cs="Times New Roman"/>
                            <w:bCs/>
                            <w:color w:val="000000" w:themeColor="text1"/>
                            <w:kern w:val="36"/>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sidRPr="00FF5BEF">
                          <w:rPr>
                            <w:rFonts w:ascii="Times New Roman" w:eastAsia="Times New Roman" w:hAnsi="Times New Roman" w:cs="Times New Roman"/>
                            <w:bCs/>
                            <w:color w:val="000000" w:themeColor="text1"/>
                            <w:kern w:val="36"/>
                            <w:sz w:val="24"/>
                            <w:szCs w:val="24"/>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shape>
                <v:shape id="Text Box 26" o:spid="_x0000_s1049" type="#_x0000_t202" style="position:absolute;left:23145;top:14859;width:4541;height:36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" fillcolor="white [3212]" stroked="f">
                  <v:textbox>
                    <w:txbxContent>
                      <w:p w14:paraId="6543BDFF" w14:textId="77777777" w:rsidR="00FD5862" w:rsidRPr="00FF5BEF" w:rsidRDefault="00FD5862" w:rsidP="00FF5BEF">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sidRPr="00FF5BEF">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shape>
                <v:shape id="Text Box 27" o:spid="_x0000_s1050" type="#_x0000_t202" style="position:absolute;left:23050;top:19907;width:4540;height:36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" fillcolor="window" stroked="f">
                  <v:textbox>
                    <w:txbxContent>
                      <w:p w14:paraId="19318A15" w14:textId="77777777" w:rsidR="00FD5862" w:rsidRPr="00FF5BEF" w:rsidRDefault="00FD5862" w:rsidP="00FF5BEF">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shape>
                <v:shape id="Text Box 28" o:spid="_x0000_s1051" type="#_x0000_t202" style="position:absolute;left:23336;top:24955;width:4540;height:36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" fillcolor="window" stroked="f">
                  <v:textbox>
                    <w:txbxContent>
                      <w:p w14:paraId="1A4612B1" w14:textId="77777777" w:rsidR="00FD5862" w:rsidRPr="00FF5BEF" w:rsidRDefault="00FD5862" w:rsidP="001C5155">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shape>
                <v:shape id="Text Box 29" o:spid="_x0000_s1052" type="#_x0000_t202" style="position:absolute;left:23431;top:30384;width:4540;height:36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" fillcolor="window" stroked="f">
                  <v:textbox>
                    <w:txbxContent>
                      <w:p w14:paraId="16033166" w14:textId="77777777" w:rsidR="00FD5862" w:rsidRPr="00FF5BEF" w:rsidRDefault="00FD5862" w:rsidP="001C5155">
                        <w:pPr>
                          <w:pStyle w:val="isselectedend"/>
                          <w:contextualSpacing/>
                          <w:jc w:val="center"/>
                          <w:outlineLvl w:val="0"/>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F5BEF">
                          <w:rPr>
                            <w:bCs/>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t>
                        </w:r>
                        <w:r>
                          <w:rPr>
                            <w:bCs/>
                            <w:color w:val="000000" w:themeColor="text1"/>
                            <w:kern w:val="36"/>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v:shape>
              </v:group>
            </w:pict>
          </mc:Fallback>
        </mc:AlternateContent>
      </w:r>
      <w:r w:rsidR="008F3C03" w:rsidRPr="00E618F0">
        <w:rPr>
          <w:rFonts w:ascii="Times New Roman" w:hAnsi="Times New Roman" w:cs="Times New Roman"/>
          <w:sz w:val="24"/>
          <w:szCs w:val="24"/>
        </w:rPr>
        <w:tab/>
      </w:r>
      <w:r w:rsidR="008F3C03" w:rsidRPr="00E618F0">
        <w:rPr>
          <w:rFonts w:ascii="Times New Roman" w:hAnsi="Times New Roman" w:cs="Times New Roman"/>
          <w:sz w:val="24"/>
          <w:szCs w:val="24"/>
          <w:u w:val="single"/>
        </w:rPr>
        <w:t>Independent Variables</w:t>
      </w:r>
      <w:r w:rsidR="008F3C03" w:rsidRPr="00E618F0">
        <w:rPr>
          <w:rFonts w:ascii="Times New Roman" w:hAnsi="Times New Roman" w:cs="Times New Roman"/>
          <w:sz w:val="24"/>
          <w:szCs w:val="24"/>
        </w:rPr>
        <w:tab/>
      </w:r>
      <w:r w:rsidR="008F3C03" w:rsidRPr="00E618F0">
        <w:rPr>
          <w:rFonts w:ascii="Times New Roman" w:hAnsi="Times New Roman" w:cs="Times New Roman"/>
          <w:sz w:val="24"/>
          <w:szCs w:val="24"/>
        </w:rPr>
        <w:tab/>
      </w:r>
      <w:r w:rsidR="008F3C03" w:rsidRPr="00E618F0">
        <w:rPr>
          <w:rFonts w:ascii="Times New Roman" w:hAnsi="Times New Roman" w:cs="Times New Roman"/>
          <w:sz w:val="24"/>
          <w:szCs w:val="24"/>
        </w:rPr>
        <w:tab/>
      </w:r>
      <w:r w:rsidR="008F3C03" w:rsidRPr="00E618F0">
        <w:rPr>
          <w:rFonts w:ascii="Times New Roman" w:hAnsi="Times New Roman" w:cs="Times New Roman"/>
          <w:sz w:val="24"/>
          <w:szCs w:val="24"/>
        </w:rPr>
        <w:tab/>
      </w:r>
      <w:r w:rsidR="008F3C03" w:rsidRPr="00E618F0">
        <w:rPr>
          <w:rFonts w:ascii="Times New Roman" w:hAnsi="Times New Roman" w:cs="Times New Roman"/>
          <w:sz w:val="24"/>
          <w:szCs w:val="24"/>
        </w:rPr>
        <w:tab/>
      </w:r>
      <w:r w:rsidR="008F3C03" w:rsidRPr="00E618F0">
        <w:rPr>
          <w:rFonts w:ascii="Times New Roman" w:hAnsi="Times New Roman" w:cs="Times New Roman"/>
          <w:sz w:val="24"/>
          <w:szCs w:val="24"/>
        </w:rPr>
        <w:tab/>
      </w:r>
      <w:r w:rsidR="008F3C03" w:rsidRPr="00E618F0">
        <w:rPr>
          <w:rFonts w:ascii="Times New Roman" w:hAnsi="Times New Roman" w:cs="Times New Roman"/>
          <w:sz w:val="24"/>
          <w:szCs w:val="24"/>
          <w:u w:val="single"/>
        </w:rPr>
        <w:t>Dependent Variables</w:t>
      </w:r>
    </w:p>
    <w:p w14:paraId="684BE021" w14:textId="77777777" w:rsidR="008F3C03" w:rsidRPr="00E618F0" w:rsidRDefault="008F3C03" w:rsidP="008F3C03">
      <w:pPr>
        <w:spacing w:after="0" w:line="360" w:lineRule="auto"/>
        <w:ind w:left="540" w:hanging="540"/>
        <w:jc w:val="both"/>
        <w:rPr>
          <w:rFonts w:ascii="Times New Roman" w:hAnsi="Times New Roman" w:cs="Times New Roman"/>
          <w:sz w:val="24"/>
          <w:szCs w:val="24"/>
        </w:rPr>
      </w:pPr>
    </w:p>
    <w:p w14:paraId="41E23AD0" w14:textId="77777777" w:rsidR="008F3C03" w:rsidRPr="00E618F0"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1EF71BD3" w14:textId="77777777" w:rsidR="008F3C03" w:rsidRPr="00E618F0"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08F33477" w14:textId="77777777" w:rsidR="008F3C03" w:rsidRPr="00E618F0"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75305F4B" w14:textId="77777777" w:rsidR="008F3C03" w:rsidRPr="00E618F0"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5BC4A493" w14:textId="77777777" w:rsidR="008F3C03" w:rsidRPr="00E618F0"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21EA7DA3" w14:textId="77777777" w:rsidR="008F3C03" w:rsidRPr="00E618F0"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3BE28EB6" w14:textId="77777777" w:rsidR="008F3C03" w:rsidRPr="00E618F0"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7D89B44E" w14:textId="77777777" w:rsidR="008F3C03" w:rsidRPr="00E618F0"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26D70C86" w14:textId="77777777" w:rsidR="008F3C03" w:rsidRDefault="008F3C03"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40DFF2D3" w14:textId="77777777" w:rsidR="00423219" w:rsidRPr="00E618F0" w:rsidRDefault="00423219" w:rsidP="008F3C03">
      <w:pPr>
        <w:spacing w:before="100" w:beforeAutospacing="1" w:after="100" w:afterAutospacing="1" w:line="240" w:lineRule="auto"/>
        <w:outlineLvl w:val="2"/>
        <w:rPr>
          <w:rFonts w:ascii="Times New Roman" w:eastAsia="Times New Roman" w:hAnsi="Times New Roman" w:cs="Times New Roman"/>
          <w:b/>
          <w:bCs/>
          <w:sz w:val="24"/>
          <w:szCs w:val="24"/>
        </w:rPr>
      </w:pPr>
    </w:p>
    <w:p w14:paraId="230831A5" w14:textId="77777777" w:rsidR="008F3C03" w:rsidRPr="00E618F0" w:rsidRDefault="008F3C03" w:rsidP="008F3C03">
      <w:pPr>
        <w:spacing w:before="100" w:beforeAutospacing="1" w:after="100" w:afterAutospacing="1" w:line="240" w:lineRule="auto"/>
        <w:outlineLvl w:val="2"/>
        <w:rPr>
          <w:rFonts w:ascii="Times New Roman" w:eastAsia="Times New Roman" w:hAnsi="Times New Roman" w:cs="Times New Roman"/>
          <w:bCs/>
          <w:sz w:val="24"/>
          <w:szCs w:val="24"/>
          <w:u w:val="single"/>
        </w:rPr>
      </w:pPr>
      <w:r w:rsidRPr="00E618F0">
        <w:rPr>
          <w:rFonts w:ascii="Times New Roman" w:eastAsia="Times New Roman" w:hAnsi="Times New Roman" w:cs="Times New Roman"/>
          <w:b/>
          <w:bCs/>
          <w:sz w:val="24"/>
          <w:szCs w:val="24"/>
        </w:rPr>
        <w:tab/>
      </w:r>
      <w:r w:rsidRPr="00E618F0">
        <w:rPr>
          <w:rFonts w:ascii="Times New Roman" w:eastAsia="Times New Roman" w:hAnsi="Times New Roman" w:cs="Times New Roman"/>
          <w:b/>
          <w:bCs/>
          <w:sz w:val="24"/>
          <w:szCs w:val="24"/>
        </w:rPr>
        <w:tab/>
      </w:r>
      <w:r w:rsidRPr="00E618F0">
        <w:rPr>
          <w:rFonts w:ascii="Times New Roman" w:eastAsia="Times New Roman" w:hAnsi="Times New Roman" w:cs="Times New Roman"/>
          <w:b/>
          <w:bCs/>
          <w:sz w:val="24"/>
          <w:szCs w:val="24"/>
        </w:rPr>
        <w:tab/>
      </w:r>
      <w:r w:rsidRPr="00E618F0">
        <w:rPr>
          <w:rFonts w:ascii="Times New Roman" w:eastAsia="Times New Roman" w:hAnsi="Times New Roman" w:cs="Times New Roman"/>
          <w:b/>
          <w:bCs/>
          <w:sz w:val="24"/>
          <w:szCs w:val="24"/>
        </w:rPr>
        <w:tab/>
      </w:r>
      <w:r w:rsidRPr="00E618F0">
        <w:rPr>
          <w:rFonts w:ascii="Times New Roman" w:eastAsia="Times New Roman" w:hAnsi="Times New Roman" w:cs="Times New Roman"/>
          <w:b/>
          <w:bCs/>
          <w:sz w:val="24"/>
          <w:szCs w:val="24"/>
        </w:rPr>
        <w:tab/>
      </w:r>
      <w:r w:rsidRPr="00E618F0">
        <w:rPr>
          <w:rFonts w:ascii="Times New Roman" w:eastAsia="Times New Roman" w:hAnsi="Times New Roman" w:cs="Times New Roman"/>
          <w:b/>
          <w:bCs/>
          <w:sz w:val="24"/>
          <w:szCs w:val="24"/>
        </w:rPr>
        <w:tab/>
      </w:r>
      <w:r w:rsidRPr="00E618F0">
        <w:rPr>
          <w:rFonts w:ascii="Times New Roman" w:eastAsia="Times New Roman" w:hAnsi="Times New Roman" w:cs="Times New Roman"/>
          <w:b/>
          <w:bCs/>
          <w:sz w:val="24"/>
          <w:szCs w:val="24"/>
        </w:rPr>
        <w:tab/>
      </w:r>
      <w:r w:rsidRPr="00E618F0">
        <w:rPr>
          <w:rFonts w:ascii="Times New Roman" w:eastAsia="Times New Roman" w:hAnsi="Times New Roman" w:cs="Times New Roman"/>
          <w:bCs/>
          <w:sz w:val="24"/>
          <w:szCs w:val="24"/>
          <w:u w:val="single"/>
        </w:rPr>
        <w:t>Control Variable</w:t>
      </w:r>
    </w:p>
    <w:p w14:paraId="1573C620" w14:textId="77777777" w:rsidR="00423219" w:rsidRDefault="00423219" w:rsidP="008F3C03">
      <w:pPr>
        <w:spacing w:before="100" w:beforeAutospacing="1" w:after="100" w:afterAutospacing="1" w:line="240" w:lineRule="auto"/>
        <w:rPr>
          <w:rFonts w:ascii="Times New Roman" w:hAnsi="Times New Roman" w:cs="Times New Roman"/>
          <w:b/>
          <w:bCs/>
          <w:sz w:val="24"/>
          <w:szCs w:val="24"/>
        </w:rPr>
      </w:pPr>
    </w:p>
    <w:p w14:paraId="1670F811" w14:textId="1441670C" w:rsidR="00423219" w:rsidRDefault="00423219" w:rsidP="008F3C03">
      <w:pPr>
        <w:spacing w:before="100" w:beforeAutospacing="1" w:after="100" w:afterAutospacing="1" w:line="240" w:lineRule="auto"/>
        <w:rPr>
          <w:rFonts w:ascii="Times New Roman" w:hAnsi="Times New Roman" w:cs="Times New Roman"/>
          <w:b/>
          <w:bCs/>
          <w:sz w:val="24"/>
          <w:szCs w:val="24"/>
        </w:rPr>
      </w:pPr>
      <w:r>
        <w:rPr>
          <w:rFonts w:ascii="Times New Roman" w:hAnsi="Times New Roman" w:cs="Times New Roman"/>
          <w:b/>
          <w:bCs/>
          <w:sz w:val="24"/>
          <w:szCs w:val="24"/>
        </w:rPr>
        <w:t xml:space="preserve">Picture </w:t>
      </w:r>
      <w:proofErr w:type="gramStart"/>
      <w:r>
        <w:rPr>
          <w:rFonts w:ascii="Times New Roman" w:hAnsi="Times New Roman" w:cs="Times New Roman"/>
          <w:b/>
          <w:bCs/>
          <w:sz w:val="24"/>
          <w:szCs w:val="24"/>
        </w:rPr>
        <w:t>1 :</w:t>
      </w:r>
      <w:proofErr w:type="gramEnd"/>
      <w:r>
        <w:rPr>
          <w:rFonts w:ascii="Times New Roman" w:hAnsi="Times New Roman" w:cs="Times New Roman"/>
          <w:b/>
          <w:bCs/>
          <w:sz w:val="24"/>
          <w:szCs w:val="24"/>
        </w:rPr>
        <w:t xml:space="preserve"> </w:t>
      </w:r>
      <w:r w:rsidR="005E4846" w:rsidRPr="00E618F0">
        <w:rPr>
          <w:rFonts w:ascii="Times New Roman" w:eastAsia="Times New Roman" w:hAnsi="Times New Roman" w:cs="Times New Roman"/>
          <w:b/>
          <w:bCs/>
          <w:sz w:val="24"/>
          <w:szCs w:val="24"/>
        </w:rPr>
        <w:t>Conceptual Relationships among the Variables</w:t>
      </w:r>
    </w:p>
    <w:p w14:paraId="0C654CEE" w14:textId="15847B0A" w:rsidR="008F3C03" w:rsidRPr="00E618F0" w:rsidRDefault="008F3C03" w:rsidP="008F3C03">
      <w:pPr>
        <w:spacing w:before="100" w:beforeAutospacing="1" w:after="100" w:afterAutospacing="1" w:line="240" w:lineRule="auto"/>
        <w:rPr>
          <w:rFonts w:ascii="Times New Roman" w:eastAsia="Times New Roman" w:hAnsi="Times New Roman" w:cs="Times New Roman"/>
          <w:sz w:val="24"/>
          <w:szCs w:val="24"/>
        </w:rPr>
      </w:pPr>
      <w:r w:rsidRPr="00E618F0">
        <w:rPr>
          <w:rFonts w:ascii="Times New Roman" w:hAnsi="Times New Roman" w:cs="Times New Roman"/>
          <w:b/>
          <w:bCs/>
          <w:sz w:val="24"/>
          <w:szCs w:val="24"/>
        </w:rPr>
        <w:t>Source:</w:t>
      </w:r>
      <w:r w:rsidRPr="00E618F0">
        <w:rPr>
          <w:rFonts w:ascii="Times New Roman" w:hAnsi="Times New Roman" w:cs="Times New Roman"/>
          <w:sz w:val="24"/>
          <w:szCs w:val="24"/>
        </w:rPr>
        <w:t xml:space="preserve"> </w:t>
      </w:r>
      <w:r w:rsidRPr="00E618F0">
        <w:rPr>
          <w:rFonts w:ascii="Times New Roman" w:hAnsi="Times New Roman" w:cs="Times New Roman"/>
          <w:i/>
          <w:iCs/>
          <w:sz w:val="24"/>
          <w:szCs w:val="24"/>
        </w:rPr>
        <w:t>Researcher’s conceptualization (2026)</w:t>
      </w:r>
    </w:p>
    <w:p w14:paraId="2544EC9A" w14:textId="77777777" w:rsidR="00C17286" w:rsidRPr="00E618F0" w:rsidRDefault="00C17286" w:rsidP="00770A4A">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Independent variables (ETR, TCAP, TS, DETS, CAPINT) are theorized to influence financial distress, operationalized via the Altman Z-s</w:t>
      </w:r>
      <w:r w:rsidR="00392FD4" w:rsidRPr="00E618F0">
        <w:rPr>
          <w:rFonts w:ascii="Times New Roman" w:eastAsia="Times New Roman" w:hAnsi="Times New Roman" w:cs="Times New Roman"/>
          <w:sz w:val="24"/>
          <w:szCs w:val="24"/>
        </w:rPr>
        <w:t>core (Altman, 1968; Altman, 2013</w:t>
      </w:r>
      <w:r w:rsidRPr="00E618F0">
        <w:rPr>
          <w:rFonts w:ascii="Times New Roman" w:eastAsia="Times New Roman" w:hAnsi="Times New Roman" w:cs="Times New Roman"/>
          <w:sz w:val="24"/>
          <w:szCs w:val="24"/>
        </w:rPr>
        <w:t>), while firm size acts as a control variable to account for scale effects in financial performance.</w:t>
      </w:r>
    </w:p>
    <w:p w14:paraId="603594E1" w14:textId="77777777" w:rsidR="00E53FF4" w:rsidRPr="00E618F0" w:rsidRDefault="00E53FF4"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The study is anchored on Trade-off theory and Corporate Tax Optimization theory.</w:t>
      </w:r>
    </w:p>
    <w:p w14:paraId="029D59C7" w14:textId="77777777" w:rsidR="00C17286" w:rsidRPr="00E618F0" w:rsidRDefault="00E53FF4"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 xml:space="preserve"> </w:t>
      </w:r>
      <w:r w:rsidR="00C17286" w:rsidRPr="00E618F0">
        <w:rPr>
          <w:rFonts w:ascii="Times New Roman" w:eastAsia="Times New Roman" w:hAnsi="Times New Roman" w:cs="Times New Roman"/>
          <w:sz w:val="24"/>
          <w:szCs w:val="24"/>
        </w:rPr>
        <w:t>The Trade-Off Theory, developed by Kraus and Litzenberger (1973), posits that firms determine optimal capital structure by balancing the tax advantages of debt financing against the expected costs of financial distress. This framework has been widely used to explain corporate leverage behavior in both developed and emerging markets.</w:t>
      </w:r>
    </w:p>
    <w:p w14:paraId="6989D931"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In capital-intensive industries such as healthcare, thin capitalization represents a direct application of this theory, where firms attempt to maximize tax shields while managing bankruptcy risk exposure (Myers, 1984; Leland, 1994). However, excessive leverage increases financial rigidity and reduces firm resilience during revenue downturns.</w:t>
      </w:r>
    </w:p>
    <w:p w14:paraId="685E2BF4" w14:textId="77777777" w:rsidR="00C17286" w:rsidRPr="00E618F0" w:rsidRDefault="00C17286" w:rsidP="00632C60">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Corporate tax optimization theory argues that firms strategically utilize legally permissible tax planning tools to minimize effective tax rates and maximize after-tax firm value (</w:t>
      </w:r>
      <w:proofErr w:type="spellStart"/>
      <w:r w:rsidRPr="00E618F0">
        <w:rPr>
          <w:rFonts w:ascii="Times New Roman" w:eastAsia="Times New Roman" w:hAnsi="Times New Roman" w:cs="Times New Roman"/>
          <w:sz w:val="24"/>
          <w:szCs w:val="24"/>
        </w:rPr>
        <w:t>Slemrod</w:t>
      </w:r>
      <w:proofErr w:type="spellEnd"/>
      <w:r w:rsidRPr="00E618F0">
        <w:rPr>
          <w:rFonts w:ascii="Times New Roman" w:eastAsia="Times New Roman" w:hAnsi="Times New Roman" w:cs="Times New Roman"/>
          <w:sz w:val="24"/>
          <w:szCs w:val="24"/>
        </w:rPr>
        <w:t xml:space="preserve">, </w:t>
      </w:r>
      <w:r w:rsidRPr="00E618F0">
        <w:rPr>
          <w:rFonts w:ascii="Times New Roman" w:eastAsia="Times New Roman" w:hAnsi="Times New Roman" w:cs="Times New Roman"/>
          <w:sz w:val="24"/>
          <w:szCs w:val="24"/>
        </w:rPr>
        <w:lastRenderedPageBreak/>
        <w:t>2004). These tools include accelerated depreciation, timing strategies, and statutory tax incentives that reduce tax liabilities without violating tax laws.</w:t>
      </w:r>
    </w:p>
    <w:p w14:paraId="7FC929D8" w14:textId="77777777" w:rsidR="00C17286" w:rsidRPr="00E618F0" w:rsidRDefault="00C17286" w:rsidP="00DD65E4">
      <w:pPr>
        <w:spacing w:before="100" w:beforeAutospacing="1" w:after="100" w:afterAutospacing="1" w:line="240" w:lineRule="auto"/>
        <w:ind w:left="360"/>
        <w:jc w:val="both"/>
        <w:rPr>
          <w:rFonts w:ascii="Times New Roman" w:eastAsia="Times New Roman" w:hAnsi="Times New Roman" w:cs="Times New Roman"/>
          <w:sz w:val="24"/>
          <w:szCs w:val="24"/>
        </w:rPr>
      </w:pPr>
      <w:r w:rsidRPr="00E618F0">
        <w:rPr>
          <w:sz w:val="24"/>
        </w:rPr>
        <w:t>From an agency perspective, tax planning is considered a value-maximizing strategy when properly executed, but may become harmful when it leads to aggressive avoidance and regulatory exposure (Jensen &amp; Meckling, 1976; Desai &amp; Dharmapala, 2009). Excessive tax aggressiveness has been associated with reputational damage, enforcement risk, and long-term firm instability (Blouin, 2014).</w:t>
      </w:r>
    </w:p>
    <w:p w14:paraId="63574D7C" w14:textId="77777777" w:rsidR="00C17286" w:rsidRPr="00E618F0" w:rsidRDefault="00C17286" w:rsidP="00DD65E4">
      <w:pPr>
        <w:spacing w:before="100" w:beforeAutospacing="1" w:after="100" w:afterAutospacing="1" w:line="240" w:lineRule="auto"/>
        <w:ind w:left="360" w:hanging="360"/>
        <w:outlineLvl w:val="1"/>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t>3. METHODOLOGY</w:t>
      </w:r>
    </w:p>
    <w:p w14:paraId="27447E5E" w14:textId="77777777" w:rsidR="00632C60" w:rsidRPr="00E618F0" w:rsidRDefault="00632C60" w:rsidP="00632C60">
      <w:pPr>
        <w:pStyle w:val="NormalWeb"/>
        <w:ind w:left="360"/>
        <w:jc w:val="both"/>
      </w:pPr>
      <w:r w:rsidRPr="00E618F0">
        <w:t>The study adopted an ex-post facto research design because the variables under investigation were historical and beyond the control of the researcher (Cook &amp; Campbell, 1979; Desai &amp; Dharmapala, 2006).</w:t>
      </w:r>
    </w:p>
    <w:p w14:paraId="09B09A58" w14:textId="77777777" w:rsidR="00632C60" w:rsidRPr="00E618F0" w:rsidRDefault="00632C60" w:rsidP="00632C60">
      <w:pPr>
        <w:pStyle w:val="NormalWeb"/>
        <w:ind w:left="360"/>
        <w:jc w:val="both"/>
      </w:pPr>
      <w:r w:rsidRPr="00E618F0">
        <w:t>The population consisted of all healthcare firms listed on the Nigerian Exchange Group between 2010 and 2024. Due to data availability, five firms were selected, producing a balanced panel dataset of 75 firm-year observations.</w:t>
      </w:r>
    </w:p>
    <w:p w14:paraId="571DCC4D" w14:textId="77777777" w:rsidR="00C17286" w:rsidRPr="00E618F0" w:rsidRDefault="00632C60" w:rsidP="00632C60">
      <w:pPr>
        <w:spacing w:before="100" w:beforeAutospacing="1" w:after="100" w:afterAutospacing="1" w:line="240" w:lineRule="auto"/>
        <w:ind w:left="360"/>
        <w:rPr>
          <w:rFonts w:ascii="Times New Roman" w:eastAsia="Times New Roman" w:hAnsi="Times New Roman" w:cs="Times New Roman"/>
          <w:sz w:val="24"/>
          <w:szCs w:val="24"/>
        </w:rPr>
      </w:pPr>
      <w:r w:rsidRPr="00E618F0">
        <w:rPr>
          <w:rFonts w:ascii="Times New Roman" w:hAnsi="Times New Roman" w:cs="Times New Roman"/>
          <w:sz w:val="24"/>
          <w:szCs w:val="24"/>
        </w:rPr>
        <w:t>Financial distress</w:t>
      </w:r>
      <w:r w:rsidR="000C60E5" w:rsidRPr="00E618F0">
        <w:rPr>
          <w:rFonts w:ascii="Times New Roman" w:hAnsi="Times New Roman" w:cs="Times New Roman"/>
          <w:sz w:val="24"/>
          <w:szCs w:val="24"/>
        </w:rPr>
        <w:t xml:space="preserve"> (FD)</w:t>
      </w:r>
      <w:r w:rsidRPr="00E618F0">
        <w:rPr>
          <w:rFonts w:ascii="Times New Roman" w:hAnsi="Times New Roman" w:cs="Times New Roman"/>
          <w:sz w:val="24"/>
          <w:szCs w:val="24"/>
        </w:rPr>
        <w:t xml:space="preserve"> was measured using the Altman Z-score model (Altman, 1968). Corporate tax optimization was proxied by Effective Tax Rate (ETR), Thin Capitalization (TCAP), Tax Shield (TS), Depreciation Tax Shield (DETS), and Capital Intensity Ratio (CAPINT). Firm size was included as a control variable.</w:t>
      </w:r>
    </w:p>
    <w:p w14:paraId="2D3397DD" w14:textId="77777777" w:rsidR="00C17286" w:rsidRPr="00E618F0" w:rsidRDefault="00C17286" w:rsidP="00DD65E4">
      <w:pPr>
        <w:spacing w:before="100" w:beforeAutospacing="1" w:after="100" w:afterAutospacing="1" w:line="240" w:lineRule="auto"/>
        <w:ind w:firstLine="360"/>
        <w:outlineLvl w:val="2"/>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t>Model Specification</w:t>
      </w:r>
    </w:p>
    <w:p w14:paraId="2F55D6B9" w14:textId="77777777" w:rsidR="00DD65E4" w:rsidRPr="00E618F0" w:rsidRDefault="00DD65E4" w:rsidP="00632C60">
      <w:pPr>
        <w:pStyle w:val="NoSpacing"/>
        <w:spacing w:line="480" w:lineRule="auto"/>
        <w:ind w:firstLine="360"/>
        <w:jc w:val="both"/>
        <w:rPr>
          <w:rFonts w:ascii="Times New Roman" w:hAnsi="Times New Roman" w:cs="Times New Roman"/>
          <w:sz w:val="24"/>
          <w:szCs w:val="24"/>
        </w:rPr>
      </w:pPr>
      <w:proofErr w:type="spellStart"/>
      <w:r w:rsidRPr="00E618F0">
        <w:rPr>
          <w:rFonts w:ascii="Times New Roman" w:hAnsi="Times New Roman" w:cs="Times New Roman"/>
          <w:sz w:val="24"/>
          <w:szCs w:val="24"/>
        </w:rPr>
        <w:t>FD</w:t>
      </w:r>
      <w:r w:rsidRPr="00E618F0">
        <w:rPr>
          <w:rFonts w:ascii="Times New Roman" w:hAnsi="Times New Roman" w:cs="Times New Roman"/>
          <w:sz w:val="24"/>
          <w:szCs w:val="24"/>
          <w:vertAlign w:val="subscript"/>
        </w:rPr>
        <w:t>it</w:t>
      </w:r>
      <w:proofErr w:type="spellEnd"/>
      <w:r w:rsidRPr="00E618F0">
        <w:rPr>
          <w:rFonts w:ascii="Times New Roman" w:hAnsi="Times New Roman" w:cs="Times New Roman"/>
          <w:sz w:val="24"/>
          <w:szCs w:val="24"/>
        </w:rPr>
        <w:t>=β</w:t>
      </w:r>
      <w:r w:rsidRPr="00E618F0">
        <w:rPr>
          <w:rFonts w:ascii="Times New Roman" w:hAnsi="Times New Roman" w:cs="Times New Roman"/>
          <w:sz w:val="24"/>
          <w:szCs w:val="24"/>
          <w:vertAlign w:val="subscript"/>
        </w:rPr>
        <w:t>0</w:t>
      </w:r>
      <w:r w:rsidRPr="00E618F0">
        <w:rPr>
          <w:rFonts w:ascii="Times New Roman" w:hAnsi="Times New Roman" w:cs="Times New Roman"/>
          <w:sz w:val="24"/>
          <w:szCs w:val="24"/>
        </w:rPr>
        <w:t>+β</w:t>
      </w:r>
      <w:r w:rsidRPr="00E618F0">
        <w:rPr>
          <w:rFonts w:ascii="Times New Roman" w:hAnsi="Times New Roman" w:cs="Times New Roman"/>
          <w:sz w:val="24"/>
          <w:szCs w:val="24"/>
          <w:vertAlign w:val="subscript"/>
        </w:rPr>
        <w:t>1</w:t>
      </w:r>
      <w:r w:rsidRPr="00E618F0">
        <w:rPr>
          <w:rFonts w:ascii="Times New Roman" w:hAnsi="Times New Roman" w:cs="Times New Roman"/>
          <w:sz w:val="24"/>
          <w:szCs w:val="24"/>
        </w:rPr>
        <w:t>ETR</w:t>
      </w:r>
      <w:r w:rsidRPr="00E618F0">
        <w:rPr>
          <w:rFonts w:ascii="Times New Roman" w:hAnsi="Times New Roman" w:cs="Times New Roman"/>
          <w:sz w:val="24"/>
          <w:szCs w:val="24"/>
          <w:vertAlign w:val="subscript"/>
        </w:rPr>
        <w:t>it</w:t>
      </w:r>
      <w:r w:rsidRPr="00E618F0">
        <w:rPr>
          <w:rFonts w:ascii="Times New Roman" w:hAnsi="Times New Roman" w:cs="Times New Roman"/>
          <w:sz w:val="24"/>
          <w:szCs w:val="24"/>
        </w:rPr>
        <w:t>+β</w:t>
      </w:r>
      <w:r w:rsidRPr="00E618F0">
        <w:rPr>
          <w:rFonts w:ascii="Times New Roman" w:hAnsi="Times New Roman" w:cs="Times New Roman"/>
          <w:sz w:val="24"/>
          <w:szCs w:val="24"/>
          <w:vertAlign w:val="subscript"/>
        </w:rPr>
        <w:t>2</w:t>
      </w:r>
      <w:r w:rsidRPr="00E618F0">
        <w:rPr>
          <w:rFonts w:ascii="Times New Roman" w:hAnsi="Times New Roman" w:cs="Times New Roman"/>
          <w:sz w:val="24"/>
          <w:szCs w:val="24"/>
        </w:rPr>
        <w:t>TCAP</w:t>
      </w:r>
      <w:r w:rsidRPr="00E618F0">
        <w:rPr>
          <w:rFonts w:ascii="Times New Roman" w:hAnsi="Times New Roman" w:cs="Times New Roman"/>
          <w:sz w:val="24"/>
          <w:szCs w:val="24"/>
          <w:vertAlign w:val="subscript"/>
        </w:rPr>
        <w:t>it</w:t>
      </w:r>
      <w:r w:rsidRPr="00E618F0">
        <w:rPr>
          <w:rFonts w:ascii="Times New Roman" w:hAnsi="Times New Roman" w:cs="Times New Roman"/>
          <w:sz w:val="24"/>
          <w:szCs w:val="24"/>
        </w:rPr>
        <w:t>+β</w:t>
      </w:r>
      <w:r w:rsidRPr="00E618F0">
        <w:rPr>
          <w:rFonts w:ascii="Times New Roman" w:hAnsi="Times New Roman" w:cs="Times New Roman"/>
          <w:sz w:val="24"/>
          <w:szCs w:val="24"/>
          <w:vertAlign w:val="subscript"/>
        </w:rPr>
        <w:t>3</w:t>
      </w:r>
      <w:r w:rsidRPr="00E618F0">
        <w:rPr>
          <w:rFonts w:ascii="Times New Roman" w:hAnsi="Times New Roman" w:cs="Times New Roman"/>
          <w:sz w:val="24"/>
          <w:szCs w:val="24"/>
        </w:rPr>
        <w:t>TS</w:t>
      </w:r>
      <w:r w:rsidRPr="00E618F0">
        <w:rPr>
          <w:rFonts w:ascii="Times New Roman" w:hAnsi="Times New Roman" w:cs="Times New Roman"/>
          <w:sz w:val="24"/>
          <w:szCs w:val="24"/>
          <w:vertAlign w:val="subscript"/>
        </w:rPr>
        <w:t>it</w:t>
      </w:r>
      <w:r w:rsidRPr="00E618F0">
        <w:rPr>
          <w:rFonts w:ascii="Times New Roman" w:hAnsi="Times New Roman" w:cs="Times New Roman"/>
          <w:sz w:val="24"/>
          <w:szCs w:val="24"/>
        </w:rPr>
        <w:t>+β</w:t>
      </w:r>
      <w:r w:rsidRPr="00E618F0">
        <w:rPr>
          <w:rFonts w:ascii="Times New Roman" w:hAnsi="Times New Roman" w:cs="Times New Roman"/>
          <w:sz w:val="24"/>
          <w:szCs w:val="24"/>
          <w:vertAlign w:val="subscript"/>
        </w:rPr>
        <w:t>4</w:t>
      </w:r>
      <w:r w:rsidRPr="00E618F0">
        <w:rPr>
          <w:rFonts w:ascii="Times New Roman" w:hAnsi="Times New Roman" w:cs="Times New Roman"/>
          <w:sz w:val="24"/>
          <w:szCs w:val="24"/>
        </w:rPr>
        <w:t>DETS</w:t>
      </w:r>
      <w:r w:rsidRPr="00E618F0">
        <w:rPr>
          <w:rFonts w:ascii="Times New Roman" w:hAnsi="Times New Roman" w:cs="Times New Roman"/>
          <w:sz w:val="24"/>
          <w:szCs w:val="24"/>
          <w:vertAlign w:val="subscript"/>
        </w:rPr>
        <w:t>it</w:t>
      </w:r>
      <w:r w:rsidRPr="00E618F0">
        <w:rPr>
          <w:rFonts w:ascii="Times New Roman" w:hAnsi="Times New Roman" w:cs="Times New Roman"/>
          <w:sz w:val="24"/>
          <w:szCs w:val="24"/>
        </w:rPr>
        <w:t>+β</w:t>
      </w:r>
      <w:r w:rsidRPr="00E618F0">
        <w:rPr>
          <w:rFonts w:ascii="Times New Roman" w:hAnsi="Times New Roman" w:cs="Times New Roman"/>
          <w:sz w:val="24"/>
          <w:szCs w:val="24"/>
          <w:vertAlign w:val="subscript"/>
        </w:rPr>
        <w:t>5</w:t>
      </w:r>
      <w:r w:rsidRPr="00E618F0">
        <w:rPr>
          <w:rFonts w:ascii="Times New Roman" w:hAnsi="Times New Roman" w:cs="Times New Roman"/>
          <w:sz w:val="24"/>
          <w:szCs w:val="24"/>
        </w:rPr>
        <w:t>CAPINT</w:t>
      </w:r>
      <w:r w:rsidRPr="00E618F0">
        <w:rPr>
          <w:rFonts w:ascii="Times New Roman" w:hAnsi="Times New Roman" w:cs="Times New Roman"/>
          <w:sz w:val="24"/>
          <w:szCs w:val="24"/>
          <w:vertAlign w:val="subscript"/>
        </w:rPr>
        <w:t>it</w:t>
      </w:r>
      <w:r w:rsidRPr="00E618F0">
        <w:rPr>
          <w:rFonts w:ascii="Times New Roman" w:hAnsi="Times New Roman" w:cs="Times New Roman"/>
          <w:sz w:val="24"/>
          <w:szCs w:val="24"/>
        </w:rPr>
        <w:t>+β</w:t>
      </w:r>
      <w:r w:rsidRPr="00E618F0">
        <w:rPr>
          <w:rFonts w:ascii="Times New Roman" w:hAnsi="Times New Roman" w:cs="Times New Roman"/>
          <w:sz w:val="24"/>
          <w:szCs w:val="24"/>
          <w:vertAlign w:val="subscript"/>
        </w:rPr>
        <w:t>6</w:t>
      </w:r>
      <w:r w:rsidRPr="00E618F0">
        <w:rPr>
          <w:rFonts w:ascii="Times New Roman" w:hAnsi="Times New Roman" w:cs="Times New Roman"/>
          <w:sz w:val="24"/>
          <w:szCs w:val="24"/>
        </w:rPr>
        <w:t>FSIZE</w:t>
      </w:r>
      <w:r w:rsidRPr="00E618F0">
        <w:rPr>
          <w:rFonts w:ascii="Times New Roman" w:hAnsi="Times New Roman" w:cs="Times New Roman"/>
          <w:sz w:val="24"/>
          <w:szCs w:val="24"/>
          <w:vertAlign w:val="subscript"/>
        </w:rPr>
        <w:t>it</w:t>
      </w:r>
      <w:r w:rsidRPr="00E618F0">
        <w:rPr>
          <w:rFonts w:ascii="Times New Roman" w:hAnsi="Times New Roman" w:cs="Times New Roman"/>
          <w:sz w:val="24"/>
          <w:szCs w:val="24"/>
        </w:rPr>
        <w:t>+μ</w:t>
      </w:r>
      <w:r w:rsidRPr="00E618F0">
        <w:rPr>
          <w:rFonts w:ascii="Times New Roman" w:hAnsi="Times New Roman" w:cs="Times New Roman"/>
          <w:sz w:val="24"/>
          <w:szCs w:val="24"/>
          <w:vertAlign w:val="subscript"/>
        </w:rPr>
        <w:t>i</w:t>
      </w:r>
    </w:p>
    <w:p w14:paraId="0B1B3E18" w14:textId="77777777" w:rsidR="00C17286" w:rsidRPr="00E618F0" w:rsidRDefault="00632C60" w:rsidP="00632C60">
      <w:pPr>
        <w:pStyle w:val="NormalWeb"/>
        <w:ind w:left="360"/>
        <w:jc w:val="both"/>
      </w:pPr>
      <w:r w:rsidRPr="00E618F0">
        <w:t xml:space="preserve">Panel regression techniques were employed, with the fixed-effects model selected based on the Hausman specification test. Driscoll–Kraay standard errors were applied to address heteroskedasticity and cross-sectional dependence. </w:t>
      </w:r>
      <w:r w:rsidR="00C17286" w:rsidRPr="00E618F0">
        <w:t xml:space="preserve">(Driscoll &amp; Kraay, 1998; </w:t>
      </w:r>
      <w:proofErr w:type="spellStart"/>
      <w:r w:rsidR="00C17286" w:rsidRPr="00E618F0">
        <w:t>Hoechle</w:t>
      </w:r>
      <w:proofErr w:type="spellEnd"/>
      <w:r w:rsidR="00C17286" w:rsidRPr="00E618F0">
        <w:t>, 2007).</w:t>
      </w:r>
    </w:p>
    <w:p w14:paraId="2F29CBC1" w14:textId="77777777" w:rsidR="00C17286" w:rsidRPr="00E618F0" w:rsidRDefault="00DD65E4" w:rsidP="00DD65E4">
      <w:pPr>
        <w:spacing w:before="100" w:beforeAutospacing="1" w:after="100" w:afterAutospacing="1" w:line="240" w:lineRule="auto"/>
        <w:ind w:firstLine="360"/>
        <w:outlineLvl w:val="1"/>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t xml:space="preserve">Table </w:t>
      </w:r>
      <w:r w:rsidR="00C17286" w:rsidRPr="00E618F0">
        <w:rPr>
          <w:rFonts w:ascii="Times New Roman" w:eastAsia="Times New Roman" w:hAnsi="Times New Roman" w:cs="Times New Roman"/>
          <w:b/>
          <w:bCs/>
          <w:sz w:val="24"/>
          <w:szCs w:val="24"/>
        </w:rPr>
        <w:t>1: Descriptive Statistics</w:t>
      </w:r>
    </w:p>
    <w:tbl>
      <w:tblPr>
        <w:tblStyle w:val="PlainTable5"/>
        <w:tblW w:w="0" w:type="auto"/>
        <w:tblLook w:val="04A0" w:firstRow="1" w:lastRow="0" w:firstColumn="1" w:lastColumn="0" w:noHBand="0" w:noVBand="1"/>
      </w:tblPr>
      <w:tblGrid>
        <w:gridCol w:w="1503"/>
        <w:gridCol w:w="955"/>
        <w:gridCol w:w="1536"/>
        <w:gridCol w:w="1546"/>
        <w:gridCol w:w="1536"/>
        <w:gridCol w:w="1536"/>
      </w:tblGrid>
      <w:tr w:rsidR="00DD65E4" w:rsidRPr="00E618F0" w14:paraId="0DE4E9B2" w14:textId="77777777" w:rsidTr="00CB38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03" w:type="dxa"/>
            <w:hideMark/>
          </w:tcPr>
          <w:p w14:paraId="717A64F5" w14:textId="77777777" w:rsidR="00DD65E4" w:rsidRPr="00E618F0" w:rsidRDefault="00DD65E4" w:rsidP="00FD5862">
            <w:pPr>
              <w:jc w:val="center"/>
              <w:rPr>
                <w:rFonts w:ascii="Times New Roman" w:hAnsi="Times New Roman" w:cs="Times New Roman"/>
                <w:b/>
              </w:rPr>
            </w:pPr>
            <w:r w:rsidRPr="00E618F0">
              <w:rPr>
                <w:rFonts w:ascii="Times New Roman" w:eastAsia="Times New Roman" w:hAnsi="Times New Roman" w:cs="Times New Roman"/>
                <w:b/>
                <w:sz w:val="24"/>
                <w:szCs w:val="24"/>
              </w:rPr>
              <w:t>Variable</w:t>
            </w:r>
          </w:p>
        </w:tc>
        <w:tc>
          <w:tcPr>
            <w:tcW w:w="955" w:type="dxa"/>
            <w:hideMark/>
          </w:tcPr>
          <w:p w14:paraId="7F7FED88" w14:textId="77777777" w:rsidR="00DD65E4" w:rsidRPr="00E618F0" w:rsidRDefault="00DD65E4"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proofErr w:type="spellStart"/>
            <w:r w:rsidRPr="00E618F0">
              <w:rPr>
                <w:rFonts w:ascii="Times New Roman" w:eastAsia="Times New Roman" w:hAnsi="Times New Roman" w:cs="Times New Roman"/>
                <w:b/>
                <w:sz w:val="24"/>
                <w:szCs w:val="24"/>
              </w:rPr>
              <w:t>Obs</w:t>
            </w:r>
            <w:proofErr w:type="spellEnd"/>
          </w:p>
        </w:tc>
        <w:tc>
          <w:tcPr>
            <w:tcW w:w="1536" w:type="dxa"/>
            <w:hideMark/>
          </w:tcPr>
          <w:p w14:paraId="69C87536" w14:textId="77777777" w:rsidR="00DD65E4" w:rsidRPr="00E618F0" w:rsidRDefault="00DD65E4"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E618F0">
              <w:rPr>
                <w:rFonts w:ascii="Times New Roman" w:eastAsia="Times New Roman" w:hAnsi="Times New Roman" w:cs="Times New Roman"/>
                <w:b/>
                <w:sz w:val="24"/>
                <w:szCs w:val="24"/>
              </w:rPr>
              <w:t>Mean</w:t>
            </w:r>
          </w:p>
        </w:tc>
        <w:tc>
          <w:tcPr>
            <w:tcW w:w="1546" w:type="dxa"/>
            <w:hideMark/>
          </w:tcPr>
          <w:p w14:paraId="4A458DBB" w14:textId="77777777" w:rsidR="00DD65E4" w:rsidRPr="00E618F0" w:rsidRDefault="00DD65E4"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E618F0">
              <w:rPr>
                <w:rFonts w:ascii="Times New Roman" w:eastAsia="Times New Roman" w:hAnsi="Times New Roman" w:cs="Times New Roman"/>
                <w:b/>
                <w:sz w:val="24"/>
                <w:szCs w:val="24"/>
              </w:rPr>
              <w:t>Std. Dev.</w:t>
            </w:r>
          </w:p>
        </w:tc>
        <w:tc>
          <w:tcPr>
            <w:tcW w:w="1536" w:type="dxa"/>
            <w:hideMark/>
          </w:tcPr>
          <w:p w14:paraId="695B1519" w14:textId="77777777" w:rsidR="00DD65E4" w:rsidRPr="00E618F0" w:rsidRDefault="00DD65E4"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E618F0">
              <w:rPr>
                <w:rFonts w:ascii="Times New Roman" w:eastAsia="Times New Roman" w:hAnsi="Times New Roman" w:cs="Times New Roman"/>
                <w:b/>
                <w:sz w:val="24"/>
                <w:szCs w:val="24"/>
              </w:rPr>
              <w:t>Min</w:t>
            </w:r>
          </w:p>
        </w:tc>
        <w:tc>
          <w:tcPr>
            <w:tcW w:w="1536" w:type="dxa"/>
            <w:hideMark/>
          </w:tcPr>
          <w:p w14:paraId="66455BF0" w14:textId="77777777" w:rsidR="00DD65E4" w:rsidRPr="00E618F0" w:rsidRDefault="00DD65E4"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rPr>
            </w:pPr>
            <w:r w:rsidRPr="00E618F0">
              <w:rPr>
                <w:rFonts w:ascii="Times New Roman" w:eastAsia="Times New Roman" w:hAnsi="Times New Roman" w:cs="Times New Roman"/>
                <w:b/>
                <w:sz w:val="24"/>
                <w:szCs w:val="24"/>
              </w:rPr>
              <w:t>Max</w:t>
            </w:r>
          </w:p>
        </w:tc>
      </w:tr>
      <w:tr w:rsidR="00DD65E4" w:rsidRPr="00E618F0" w14:paraId="143EDA10"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hideMark/>
          </w:tcPr>
          <w:p w14:paraId="21E60D89" w14:textId="77777777" w:rsidR="00DD65E4" w:rsidRPr="00E618F0" w:rsidRDefault="00DD65E4" w:rsidP="00FD5862">
            <w:pPr>
              <w:rPr>
                <w:rFonts w:ascii="Times New Roman" w:hAnsi="Times New Roman" w:cs="Times New Roman"/>
              </w:rPr>
            </w:pPr>
            <w:r w:rsidRPr="00E618F0">
              <w:rPr>
                <w:rFonts w:ascii="Times New Roman" w:eastAsia="Times New Roman" w:hAnsi="Times New Roman" w:cs="Times New Roman"/>
                <w:sz w:val="24"/>
                <w:szCs w:val="24"/>
              </w:rPr>
              <w:t>FID</w:t>
            </w:r>
          </w:p>
        </w:tc>
        <w:tc>
          <w:tcPr>
            <w:tcW w:w="955" w:type="dxa"/>
            <w:hideMark/>
          </w:tcPr>
          <w:p w14:paraId="11A1F945" w14:textId="77777777" w:rsidR="00DD65E4" w:rsidRPr="00E618F0" w:rsidRDefault="00DD65E4" w:rsidP="00FD58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75</w:t>
            </w:r>
          </w:p>
        </w:tc>
        <w:tc>
          <w:tcPr>
            <w:tcW w:w="1536" w:type="dxa"/>
            <w:hideMark/>
          </w:tcPr>
          <w:p w14:paraId="0DE47DE6"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0.5455</w:t>
            </w:r>
          </w:p>
        </w:tc>
        <w:tc>
          <w:tcPr>
            <w:tcW w:w="1546" w:type="dxa"/>
            <w:hideMark/>
          </w:tcPr>
          <w:p w14:paraId="11BE8C04"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0.8802</w:t>
            </w:r>
          </w:p>
        </w:tc>
        <w:tc>
          <w:tcPr>
            <w:tcW w:w="1536" w:type="dxa"/>
            <w:hideMark/>
          </w:tcPr>
          <w:p w14:paraId="560E366A"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-1.34   </w:t>
            </w:r>
          </w:p>
        </w:tc>
        <w:tc>
          <w:tcPr>
            <w:tcW w:w="1536" w:type="dxa"/>
            <w:hideMark/>
          </w:tcPr>
          <w:p w14:paraId="7A4A6CDA"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1.48</w:t>
            </w:r>
          </w:p>
        </w:tc>
      </w:tr>
      <w:tr w:rsidR="00DD65E4" w:rsidRPr="00E618F0" w14:paraId="3FB0269E" w14:textId="77777777" w:rsidTr="00CB38EF">
        <w:tc>
          <w:tcPr>
            <w:cnfStyle w:val="001000000000" w:firstRow="0" w:lastRow="0" w:firstColumn="1" w:lastColumn="0" w:oddVBand="0" w:evenVBand="0" w:oddHBand="0" w:evenHBand="0" w:firstRowFirstColumn="0" w:firstRowLastColumn="0" w:lastRowFirstColumn="0" w:lastRowLastColumn="0"/>
            <w:tcW w:w="1503" w:type="dxa"/>
            <w:hideMark/>
          </w:tcPr>
          <w:p w14:paraId="4A405CD2" w14:textId="77777777" w:rsidR="00DD65E4" w:rsidRPr="00E618F0" w:rsidRDefault="00DD65E4" w:rsidP="00FD5862">
            <w:pPr>
              <w:rPr>
                <w:rFonts w:ascii="Times New Roman" w:hAnsi="Times New Roman" w:cs="Times New Roman"/>
              </w:rPr>
            </w:pPr>
            <w:r w:rsidRPr="00E618F0">
              <w:rPr>
                <w:rFonts w:ascii="Times New Roman" w:eastAsia="Times New Roman" w:hAnsi="Times New Roman" w:cs="Times New Roman"/>
                <w:sz w:val="24"/>
                <w:szCs w:val="24"/>
              </w:rPr>
              <w:t>ETR</w:t>
            </w:r>
          </w:p>
        </w:tc>
        <w:tc>
          <w:tcPr>
            <w:tcW w:w="955" w:type="dxa"/>
            <w:hideMark/>
          </w:tcPr>
          <w:p w14:paraId="2235C94B" w14:textId="77777777" w:rsidR="00DD65E4" w:rsidRPr="00E618F0" w:rsidRDefault="00DD65E4" w:rsidP="00FD5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75</w:t>
            </w:r>
          </w:p>
        </w:tc>
        <w:tc>
          <w:tcPr>
            <w:tcW w:w="1536" w:type="dxa"/>
            <w:hideMark/>
          </w:tcPr>
          <w:p w14:paraId="04781665"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-5.5423</w:t>
            </w:r>
          </w:p>
        </w:tc>
        <w:tc>
          <w:tcPr>
            <w:tcW w:w="1546" w:type="dxa"/>
            <w:hideMark/>
          </w:tcPr>
          <w:p w14:paraId="0DFFD37F"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47.6564    </w:t>
            </w:r>
          </w:p>
        </w:tc>
        <w:tc>
          <w:tcPr>
            <w:tcW w:w="1536" w:type="dxa"/>
            <w:hideMark/>
          </w:tcPr>
          <w:p w14:paraId="2A616875"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-160.58     </w:t>
            </w:r>
          </w:p>
        </w:tc>
        <w:tc>
          <w:tcPr>
            <w:tcW w:w="1536" w:type="dxa"/>
            <w:hideMark/>
          </w:tcPr>
          <w:p w14:paraId="75F1289E"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215.04</w:t>
            </w:r>
          </w:p>
        </w:tc>
      </w:tr>
      <w:tr w:rsidR="00DD65E4" w:rsidRPr="00E618F0" w14:paraId="41C4C093"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hideMark/>
          </w:tcPr>
          <w:p w14:paraId="63C6408E" w14:textId="77777777" w:rsidR="00DD65E4" w:rsidRPr="00E618F0" w:rsidRDefault="00DD65E4" w:rsidP="00FD5862">
            <w:pPr>
              <w:rPr>
                <w:rFonts w:ascii="Times New Roman" w:hAnsi="Times New Roman" w:cs="Times New Roman"/>
              </w:rPr>
            </w:pPr>
            <w:r w:rsidRPr="00E618F0">
              <w:rPr>
                <w:rFonts w:ascii="Times New Roman" w:eastAsia="Times New Roman" w:hAnsi="Times New Roman" w:cs="Times New Roman"/>
                <w:sz w:val="24"/>
                <w:szCs w:val="24"/>
              </w:rPr>
              <w:t>TCAP</w:t>
            </w:r>
          </w:p>
        </w:tc>
        <w:tc>
          <w:tcPr>
            <w:tcW w:w="955" w:type="dxa"/>
            <w:hideMark/>
          </w:tcPr>
          <w:p w14:paraId="47A77A87" w14:textId="77777777" w:rsidR="00DD65E4" w:rsidRPr="00E618F0" w:rsidRDefault="00DD65E4" w:rsidP="00FD58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75</w:t>
            </w:r>
          </w:p>
        </w:tc>
        <w:tc>
          <w:tcPr>
            <w:tcW w:w="1536" w:type="dxa"/>
            <w:hideMark/>
          </w:tcPr>
          <w:p w14:paraId="7F1458F1"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1.9291    </w:t>
            </w:r>
          </w:p>
        </w:tc>
        <w:tc>
          <w:tcPr>
            <w:tcW w:w="1546" w:type="dxa"/>
            <w:hideMark/>
          </w:tcPr>
          <w:p w14:paraId="4AA515D4"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3.2627     </w:t>
            </w:r>
          </w:p>
        </w:tc>
        <w:tc>
          <w:tcPr>
            <w:tcW w:w="1536" w:type="dxa"/>
            <w:hideMark/>
          </w:tcPr>
          <w:p w14:paraId="3A433EA8"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-15.41      </w:t>
            </w:r>
          </w:p>
        </w:tc>
        <w:tc>
          <w:tcPr>
            <w:tcW w:w="1536" w:type="dxa"/>
            <w:hideMark/>
          </w:tcPr>
          <w:p w14:paraId="40C7884D"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12.89</w:t>
            </w:r>
          </w:p>
        </w:tc>
      </w:tr>
      <w:tr w:rsidR="00DD65E4" w:rsidRPr="00E618F0" w14:paraId="36CAC301" w14:textId="77777777" w:rsidTr="00CB38EF">
        <w:tc>
          <w:tcPr>
            <w:cnfStyle w:val="001000000000" w:firstRow="0" w:lastRow="0" w:firstColumn="1" w:lastColumn="0" w:oddVBand="0" w:evenVBand="0" w:oddHBand="0" w:evenHBand="0" w:firstRowFirstColumn="0" w:firstRowLastColumn="0" w:lastRowFirstColumn="0" w:lastRowLastColumn="0"/>
            <w:tcW w:w="1503" w:type="dxa"/>
            <w:hideMark/>
          </w:tcPr>
          <w:p w14:paraId="341C8FA2" w14:textId="77777777" w:rsidR="00DD65E4" w:rsidRPr="00E618F0" w:rsidRDefault="00DD65E4" w:rsidP="00FD5862">
            <w:pPr>
              <w:rPr>
                <w:rFonts w:ascii="Times New Roman" w:hAnsi="Times New Roman" w:cs="Times New Roman"/>
              </w:rPr>
            </w:pPr>
            <w:r w:rsidRPr="00E618F0">
              <w:rPr>
                <w:rFonts w:ascii="Times New Roman" w:eastAsia="Times New Roman" w:hAnsi="Times New Roman" w:cs="Times New Roman"/>
                <w:sz w:val="24"/>
                <w:szCs w:val="24"/>
              </w:rPr>
              <w:t>TS</w:t>
            </w:r>
          </w:p>
        </w:tc>
        <w:tc>
          <w:tcPr>
            <w:tcW w:w="955" w:type="dxa"/>
            <w:hideMark/>
          </w:tcPr>
          <w:p w14:paraId="46BF1796" w14:textId="77777777" w:rsidR="00DD65E4" w:rsidRPr="00E618F0" w:rsidRDefault="00DD65E4" w:rsidP="00FD5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75</w:t>
            </w:r>
          </w:p>
        </w:tc>
        <w:tc>
          <w:tcPr>
            <w:tcW w:w="1536" w:type="dxa"/>
            <w:hideMark/>
          </w:tcPr>
          <w:p w14:paraId="2BF8B840"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3.0099   </w:t>
            </w:r>
          </w:p>
        </w:tc>
        <w:tc>
          <w:tcPr>
            <w:tcW w:w="1546" w:type="dxa"/>
            <w:hideMark/>
          </w:tcPr>
          <w:p w14:paraId="7FC13228"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2.4812       </w:t>
            </w:r>
          </w:p>
        </w:tc>
        <w:tc>
          <w:tcPr>
            <w:tcW w:w="1536" w:type="dxa"/>
            <w:hideMark/>
          </w:tcPr>
          <w:p w14:paraId="31AE309A"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0.00      </w:t>
            </w:r>
          </w:p>
        </w:tc>
        <w:tc>
          <w:tcPr>
            <w:tcW w:w="1536" w:type="dxa"/>
            <w:hideMark/>
          </w:tcPr>
          <w:p w14:paraId="028B5865"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12.77</w:t>
            </w:r>
          </w:p>
        </w:tc>
      </w:tr>
      <w:tr w:rsidR="00DD65E4" w:rsidRPr="00E618F0" w14:paraId="0934F2AC"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hideMark/>
          </w:tcPr>
          <w:p w14:paraId="1BA7CC91" w14:textId="77777777" w:rsidR="00DD65E4" w:rsidRPr="00E618F0" w:rsidRDefault="00DD65E4" w:rsidP="00FD5862">
            <w:pPr>
              <w:rPr>
                <w:rFonts w:ascii="Times New Roman" w:hAnsi="Times New Roman" w:cs="Times New Roman"/>
              </w:rPr>
            </w:pPr>
            <w:r w:rsidRPr="00E618F0">
              <w:rPr>
                <w:rFonts w:ascii="Times New Roman" w:eastAsia="Times New Roman" w:hAnsi="Times New Roman" w:cs="Times New Roman"/>
                <w:sz w:val="24"/>
                <w:szCs w:val="24"/>
              </w:rPr>
              <w:t>DETS</w:t>
            </w:r>
          </w:p>
        </w:tc>
        <w:tc>
          <w:tcPr>
            <w:tcW w:w="955" w:type="dxa"/>
            <w:hideMark/>
          </w:tcPr>
          <w:p w14:paraId="0F5FA0EF" w14:textId="77777777" w:rsidR="00DD65E4" w:rsidRPr="00E618F0" w:rsidRDefault="00DD65E4" w:rsidP="00FD58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75</w:t>
            </w:r>
          </w:p>
        </w:tc>
        <w:tc>
          <w:tcPr>
            <w:tcW w:w="1536" w:type="dxa"/>
            <w:hideMark/>
          </w:tcPr>
          <w:p w14:paraId="62ADA486"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3.4625   </w:t>
            </w:r>
          </w:p>
        </w:tc>
        <w:tc>
          <w:tcPr>
            <w:tcW w:w="1546" w:type="dxa"/>
            <w:hideMark/>
          </w:tcPr>
          <w:p w14:paraId="3A8D8F42"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2.2910       </w:t>
            </w:r>
          </w:p>
        </w:tc>
        <w:tc>
          <w:tcPr>
            <w:tcW w:w="1536" w:type="dxa"/>
            <w:hideMark/>
          </w:tcPr>
          <w:p w14:paraId="63BDA400"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0.28       </w:t>
            </w:r>
          </w:p>
        </w:tc>
        <w:tc>
          <w:tcPr>
            <w:tcW w:w="1536" w:type="dxa"/>
            <w:hideMark/>
          </w:tcPr>
          <w:p w14:paraId="7D4989B5"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9.21</w:t>
            </w:r>
          </w:p>
        </w:tc>
      </w:tr>
      <w:tr w:rsidR="00DD65E4" w:rsidRPr="00E618F0" w14:paraId="43CCADBE" w14:textId="77777777" w:rsidTr="00CB38EF">
        <w:tc>
          <w:tcPr>
            <w:cnfStyle w:val="001000000000" w:firstRow="0" w:lastRow="0" w:firstColumn="1" w:lastColumn="0" w:oddVBand="0" w:evenVBand="0" w:oddHBand="0" w:evenHBand="0" w:firstRowFirstColumn="0" w:firstRowLastColumn="0" w:lastRowFirstColumn="0" w:lastRowLastColumn="0"/>
            <w:tcW w:w="1503" w:type="dxa"/>
            <w:hideMark/>
          </w:tcPr>
          <w:p w14:paraId="4F4E6529" w14:textId="77777777" w:rsidR="00DD65E4" w:rsidRPr="00E618F0" w:rsidRDefault="00DD65E4" w:rsidP="00FD5862">
            <w:pPr>
              <w:rPr>
                <w:rFonts w:ascii="Times New Roman" w:hAnsi="Times New Roman" w:cs="Times New Roman"/>
              </w:rPr>
            </w:pPr>
            <w:r w:rsidRPr="00E618F0">
              <w:rPr>
                <w:rFonts w:ascii="Times New Roman" w:eastAsia="Times New Roman" w:hAnsi="Times New Roman" w:cs="Times New Roman"/>
                <w:sz w:val="24"/>
                <w:szCs w:val="24"/>
              </w:rPr>
              <w:t>CAPINT</w:t>
            </w:r>
          </w:p>
        </w:tc>
        <w:tc>
          <w:tcPr>
            <w:tcW w:w="955" w:type="dxa"/>
            <w:hideMark/>
          </w:tcPr>
          <w:p w14:paraId="0D8BA3F9" w14:textId="77777777" w:rsidR="00DD65E4" w:rsidRPr="00E618F0" w:rsidRDefault="00DD65E4" w:rsidP="00FD58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75</w:t>
            </w:r>
          </w:p>
        </w:tc>
        <w:tc>
          <w:tcPr>
            <w:tcW w:w="1536" w:type="dxa"/>
            <w:hideMark/>
          </w:tcPr>
          <w:p w14:paraId="411E4546"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2.0516      </w:t>
            </w:r>
          </w:p>
        </w:tc>
        <w:tc>
          <w:tcPr>
            <w:tcW w:w="1546" w:type="dxa"/>
            <w:hideMark/>
          </w:tcPr>
          <w:p w14:paraId="415462A6"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1.5504       </w:t>
            </w:r>
          </w:p>
        </w:tc>
        <w:tc>
          <w:tcPr>
            <w:tcW w:w="1536" w:type="dxa"/>
            <w:hideMark/>
          </w:tcPr>
          <w:p w14:paraId="5D595A70"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0.38       </w:t>
            </w:r>
          </w:p>
        </w:tc>
        <w:tc>
          <w:tcPr>
            <w:tcW w:w="1536" w:type="dxa"/>
            <w:hideMark/>
          </w:tcPr>
          <w:p w14:paraId="47EF5640" w14:textId="77777777" w:rsidR="00DD65E4" w:rsidRPr="00E618F0" w:rsidRDefault="00DD65E4"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9.21</w:t>
            </w:r>
          </w:p>
        </w:tc>
      </w:tr>
      <w:tr w:rsidR="00DD65E4" w:rsidRPr="00E618F0" w14:paraId="459C56FB"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3" w:type="dxa"/>
            <w:hideMark/>
          </w:tcPr>
          <w:p w14:paraId="1E32195C" w14:textId="77777777" w:rsidR="00DD65E4" w:rsidRPr="00E618F0" w:rsidRDefault="00DD65E4" w:rsidP="00FD5862">
            <w:pPr>
              <w:rPr>
                <w:rFonts w:ascii="Times New Roman" w:hAnsi="Times New Roman" w:cs="Times New Roman"/>
              </w:rPr>
            </w:pPr>
            <w:r w:rsidRPr="00E618F0">
              <w:rPr>
                <w:rFonts w:ascii="Times New Roman" w:eastAsia="Times New Roman" w:hAnsi="Times New Roman" w:cs="Times New Roman"/>
                <w:sz w:val="24"/>
                <w:szCs w:val="24"/>
              </w:rPr>
              <w:t>FSIZE</w:t>
            </w:r>
          </w:p>
        </w:tc>
        <w:tc>
          <w:tcPr>
            <w:tcW w:w="955" w:type="dxa"/>
            <w:hideMark/>
          </w:tcPr>
          <w:p w14:paraId="03038EE8" w14:textId="77777777" w:rsidR="00DD65E4" w:rsidRPr="00E618F0" w:rsidRDefault="00DD65E4" w:rsidP="00FD58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75</w:t>
            </w:r>
          </w:p>
        </w:tc>
        <w:tc>
          <w:tcPr>
            <w:tcW w:w="1536" w:type="dxa"/>
            <w:hideMark/>
          </w:tcPr>
          <w:p w14:paraId="3A8DFB66"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6.6943    </w:t>
            </w:r>
          </w:p>
        </w:tc>
        <w:tc>
          <w:tcPr>
            <w:tcW w:w="1546" w:type="dxa"/>
            <w:hideMark/>
          </w:tcPr>
          <w:p w14:paraId="73F25CD5"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0.6641      </w:t>
            </w:r>
          </w:p>
        </w:tc>
        <w:tc>
          <w:tcPr>
            <w:tcW w:w="1536" w:type="dxa"/>
            <w:hideMark/>
          </w:tcPr>
          <w:p w14:paraId="33E053FC"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 xml:space="preserve">5.55       </w:t>
            </w:r>
          </w:p>
        </w:tc>
        <w:tc>
          <w:tcPr>
            <w:tcW w:w="1536" w:type="dxa"/>
            <w:hideMark/>
          </w:tcPr>
          <w:p w14:paraId="4002C715" w14:textId="77777777" w:rsidR="00DD65E4" w:rsidRPr="00E618F0" w:rsidRDefault="00DD65E4"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eastAsia="Times New Roman" w:hAnsi="Times New Roman" w:cs="Times New Roman"/>
                <w:sz w:val="24"/>
                <w:szCs w:val="24"/>
              </w:rPr>
              <w:t>7.99</w:t>
            </w:r>
          </w:p>
        </w:tc>
      </w:tr>
    </w:tbl>
    <w:p w14:paraId="19C1B9AC" w14:textId="77777777" w:rsidR="00C17286" w:rsidRPr="00E618F0" w:rsidRDefault="002C27E5" w:rsidP="00C17286">
      <w:pPr>
        <w:spacing w:after="0" w:line="240" w:lineRule="auto"/>
        <w:rPr>
          <w:rFonts w:ascii="Times New Roman" w:eastAsia="Times New Roman" w:hAnsi="Times New Roman" w:cs="Times New Roman"/>
          <w:sz w:val="24"/>
          <w:szCs w:val="24"/>
        </w:rPr>
      </w:pPr>
      <w:r w:rsidRPr="00E618F0">
        <w:rPr>
          <w:rFonts w:ascii="Times New Roman" w:eastAsia="Times New Roman" w:hAnsi="Times New Roman"/>
          <w:b/>
          <w:bCs/>
          <w:i/>
          <w:sz w:val="24"/>
          <w:szCs w:val="24"/>
        </w:rPr>
        <w:t>Source:</w:t>
      </w:r>
      <w:r w:rsidRPr="00E618F0">
        <w:rPr>
          <w:rFonts w:ascii="Times New Roman" w:eastAsia="Times New Roman" w:hAnsi="Times New Roman"/>
          <w:i/>
          <w:sz w:val="24"/>
          <w:szCs w:val="24"/>
        </w:rPr>
        <w:t xml:space="preserve"> Author’s Computation (2026)</w:t>
      </w:r>
    </w:p>
    <w:p w14:paraId="37FCB0D6" w14:textId="77777777" w:rsidR="000B529C" w:rsidRPr="00E618F0" w:rsidRDefault="000B529C" w:rsidP="00C17286">
      <w:pPr>
        <w:spacing w:before="100" w:beforeAutospacing="1" w:after="100" w:afterAutospacing="1" w:line="240" w:lineRule="auto"/>
        <w:outlineLvl w:val="1"/>
        <w:rPr>
          <w:rFonts w:ascii="Times New Roman" w:eastAsia="Times New Roman" w:hAnsi="Times New Roman" w:cs="Times New Roman"/>
          <w:b/>
          <w:bCs/>
          <w:sz w:val="24"/>
          <w:szCs w:val="24"/>
        </w:rPr>
      </w:pPr>
    </w:p>
    <w:p w14:paraId="7418C1CE" w14:textId="77777777" w:rsidR="00C17286" w:rsidRPr="00E618F0" w:rsidRDefault="00C17286" w:rsidP="00C17286">
      <w:pPr>
        <w:spacing w:before="100" w:beforeAutospacing="1" w:after="100" w:afterAutospacing="1" w:line="240" w:lineRule="auto"/>
        <w:outlineLvl w:val="1"/>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lastRenderedPageBreak/>
        <w:t>Table 2: Correlation Matrix (Spearman)</w:t>
      </w:r>
    </w:p>
    <w:tbl>
      <w:tblPr>
        <w:tblStyle w:val="PlainTable1"/>
        <w:tblW w:w="0" w:type="auto"/>
        <w:tblLook w:val="04A0" w:firstRow="1" w:lastRow="0" w:firstColumn="1" w:lastColumn="0" w:noHBand="0" w:noVBand="1"/>
      </w:tblPr>
      <w:tblGrid>
        <w:gridCol w:w="1728"/>
      </w:tblGrid>
      <w:tr w:rsidR="008B4605" w:rsidRPr="00E618F0" w14:paraId="6602AB9F" w14:textId="77777777" w:rsidTr="00CB38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hideMark/>
          </w:tcPr>
          <w:p w14:paraId="74CFE149" w14:textId="77777777" w:rsidR="008B4605" w:rsidRPr="00E618F0" w:rsidRDefault="008B4605" w:rsidP="00FD5862">
            <w:pPr>
              <w:rPr>
                <w:rFonts w:ascii="Times New Roman" w:hAnsi="Times New Roman" w:cs="Times New Roman"/>
                <w:b w:val="0"/>
                <w:sz w:val="24"/>
                <w:szCs w:val="24"/>
              </w:rPr>
            </w:pPr>
            <w:r w:rsidRPr="00E618F0">
              <w:rPr>
                <w:rFonts w:ascii="Times New Roman" w:hAnsi="Times New Roman" w:cs="Times New Roman"/>
                <w:b w:val="0"/>
                <w:sz w:val="24"/>
                <w:szCs w:val="24"/>
              </w:rPr>
              <w:t>KEY</w:t>
            </w:r>
          </w:p>
        </w:tc>
      </w:tr>
      <w:tr w:rsidR="008B4605" w:rsidRPr="00E618F0" w14:paraId="1286D310"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hideMark/>
          </w:tcPr>
          <w:p w14:paraId="0F7EE794" w14:textId="77777777" w:rsidR="008B4605" w:rsidRPr="00E618F0" w:rsidRDefault="008B4605" w:rsidP="00FD5862">
            <w:pPr>
              <w:rPr>
                <w:rFonts w:ascii="Times New Roman" w:hAnsi="Times New Roman" w:cs="Times New Roman"/>
                <w:sz w:val="24"/>
                <w:szCs w:val="24"/>
              </w:rPr>
            </w:pPr>
            <w:r w:rsidRPr="00E618F0">
              <w:rPr>
                <w:rFonts w:ascii="Times New Roman" w:hAnsi="Times New Roman" w:cs="Times New Roman"/>
                <w:sz w:val="24"/>
                <w:szCs w:val="24"/>
              </w:rPr>
              <w:t>RHO</w:t>
            </w:r>
          </w:p>
        </w:tc>
      </w:tr>
      <w:tr w:rsidR="008B4605" w:rsidRPr="00E618F0" w14:paraId="31BE539B" w14:textId="77777777" w:rsidTr="00CB38EF">
        <w:tc>
          <w:tcPr>
            <w:cnfStyle w:val="001000000000" w:firstRow="0" w:lastRow="0" w:firstColumn="1" w:lastColumn="0" w:oddVBand="0" w:evenVBand="0" w:oddHBand="0" w:evenHBand="0" w:firstRowFirstColumn="0" w:firstRowLastColumn="0" w:lastRowFirstColumn="0" w:lastRowLastColumn="0"/>
            <w:tcW w:w="1728" w:type="dxa"/>
            <w:hideMark/>
          </w:tcPr>
          <w:p w14:paraId="595BCC6D" w14:textId="77777777" w:rsidR="008B4605" w:rsidRPr="00E618F0" w:rsidRDefault="008B4605" w:rsidP="00FD5862">
            <w:pPr>
              <w:rPr>
                <w:rFonts w:ascii="Times New Roman" w:hAnsi="Times New Roman" w:cs="Times New Roman"/>
                <w:sz w:val="24"/>
                <w:szCs w:val="24"/>
              </w:rPr>
            </w:pPr>
            <w:r w:rsidRPr="00E618F0">
              <w:rPr>
                <w:rFonts w:ascii="Times New Roman" w:hAnsi="Times New Roman" w:cs="Times New Roman"/>
                <w:sz w:val="24"/>
                <w:szCs w:val="24"/>
              </w:rPr>
              <w:t>Sig. Level</w:t>
            </w:r>
          </w:p>
        </w:tc>
      </w:tr>
    </w:tbl>
    <w:p w14:paraId="6D9A2B43" w14:textId="77777777" w:rsidR="008B4605" w:rsidRPr="00E618F0" w:rsidRDefault="008B4605" w:rsidP="008B4605">
      <w:pPr>
        <w:spacing w:after="0" w:line="240" w:lineRule="auto"/>
        <w:ind w:left="720"/>
        <w:jc w:val="both"/>
        <w:rPr>
          <w:rFonts w:ascii="Consolas" w:hAnsi="Consolas"/>
          <w:sz w:val="24"/>
          <w:szCs w:val="24"/>
        </w:rPr>
      </w:pPr>
    </w:p>
    <w:p w14:paraId="4E7A8DE5" w14:textId="77777777" w:rsidR="008B4605" w:rsidRPr="00E618F0" w:rsidRDefault="008B4605" w:rsidP="008B4605">
      <w:pPr>
        <w:spacing w:after="0" w:line="240" w:lineRule="auto"/>
        <w:jc w:val="both"/>
        <w:rPr>
          <w:rFonts w:ascii="Consolas" w:hAnsi="Consolas"/>
          <w:sz w:val="24"/>
          <w:szCs w:val="24"/>
        </w:rPr>
      </w:pPr>
    </w:p>
    <w:tbl>
      <w:tblPr>
        <w:tblStyle w:val="PlainTable5"/>
        <w:tblW w:w="9540" w:type="dxa"/>
        <w:tblLook w:val="04A0" w:firstRow="1" w:lastRow="0" w:firstColumn="1" w:lastColumn="0" w:noHBand="0" w:noVBand="1"/>
      </w:tblPr>
      <w:tblGrid>
        <w:gridCol w:w="1083"/>
        <w:gridCol w:w="1316"/>
        <w:gridCol w:w="1316"/>
        <w:gridCol w:w="1155"/>
        <w:gridCol w:w="1155"/>
        <w:gridCol w:w="1316"/>
        <w:gridCol w:w="1137"/>
        <w:gridCol w:w="1062"/>
      </w:tblGrid>
      <w:tr w:rsidR="008B4605" w:rsidRPr="00E618F0" w14:paraId="39CEC141" w14:textId="77777777" w:rsidTr="00CB38E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83" w:type="dxa"/>
          </w:tcPr>
          <w:p w14:paraId="4EA25B0A" w14:textId="77777777" w:rsidR="008B4605" w:rsidRPr="00E618F0" w:rsidRDefault="008B4605" w:rsidP="00FD5862">
            <w:pPr>
              <w:jc w:val="center"/>
              <w:rPr>
                <w:rFonts w:ascii="Times New Roman" w:hAnsi="Times New Roman" w:cs="Times New Roman"/>
                <w:b/>
                <w:sz w:val="24"/>
                <w:szCs w:val="24"/>
              </w:rPr>
            </w:pPr>
          </w:p>
        </w:tc>
        <w:tc>
          <w:tcPr>
            <w:tcW w:w="1316" w:type="dxa"/>
            <w:hideMark/>
          </w:tcPr>
          <w:p w14:paraId="458B6819" w14:textId="77777777" w:rsidR="008B4605" w:rsidRPr="00E618F0"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618F0">
              <w:rPr>
                <w:rFonts w:ascii="Times New Roman" w:hAnsi="Times New Roman" w:cs="Times New Roman"/>
                <w:b/>
                <w:sz w:val="24"/>
                <w:szCs w:val="24"/>
              </w:rPr>
              <w:t>FID</w:t>
            </w:r>
          </w:p>
        </w:tc>
        <w:tc>
          <w:tcPr>
            <w:tcW w:w="1316" w:type="dxa"/>
            <w:hideMark/>
          </w:tcPr>
          <w:p w14:paraId="10255C47" w14:textId="77777777" w:rsidR="008B4605" w:rsidRPr="00E618F0"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618F0">
              <w:rPr>
                <w:rFonts w:ascii="Times New Roman" w:hAnsi="Times New Roman" w:cs="Times New Roman"/>
                <w:b/>
                <w:sz w:val="24"/>
                <w:szCs w:val="24"/>
              </w:rPr>
              <w:t>ETR</w:t>
            </w:r>
          </w:p>
        </w:tc>
        <w:tc>
          <w:tcPr>
            <w:tcW w:w="1155" w:type="dxa"/>
            <w:hideMark/>
          </w:tcPr>
          <w:p w14:paraId="0451D76E" w14:textId="77777777" w:rsidR="008B4605" w:rsidRPr="00E618F0"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618F0">
              <w:rPr>
                <w:rFonts w:ascii="Times New Roman" w:hAnsi="Times New Roman" w:cs="Times New Roman"/>
                <w:b/>
                <w:sz w:val="24"/>
                <w:szCs w:val="24"/>
              </w:rPr>
              <w:t>TCAP</w:t>
            </w:r>
          </w:p>
        </w:tc>
        <w:tc>
          <w:tcPr>
            <w:tcW w:w="1155" w:type="dxa"/>
            <w:hideMark/>
          </w:tcPr>
          <w:p w14:paraId="52C23CF3" w14:textId="77777777" w:rsidR="008B4605" w:rsidRPr="00E618F0"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618F0">
              <w:rPr>
                <w:rFonts w:ascii="Times New Roman" w:hAnsi="Times New Roman" w:cs="Times New Roman"/>
                <w:b/>
                <w:sz w:val="24"/>
                <w:szCs w:val="24"/>
              </w:rPr>
              <w:t>TS</w:t>
            </w:r>
          </w:p>
        </w:tc>
        <w:tc>
          <w:tcPr>
            <w:tcW w:w="1316" w:type="dxa"/>
            <w:hideMark/>
          </w:tcPr>
          <w:p w14:paraId="00A913A4" w14:textId="77777777" w:rsidR="008B4605" w:rsidRPr="00E618F0"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618F0">
              <w:rPr>
                <w:rFonts w:ascii="Times New Roman" w:hAnsi="Times New Roman" w:cs="Times New Roman"/>
                <w:b/>
                <w:sz w:val="24"/>
                <w:szCs w:val="24"/>
              </w:rPr>
              <w:t>DETS</w:t>
            </w:r>
          </w:p>
        </w:tc>
        <w:tc>
          <w:tcPr>
            <w:tcW w:w="1137" w:type="dxa"/>
            <w:hideMark/>
          </w:tcPr>
          <w:p w14:paraId="71633A7D" w14:textId="77777777" w:rsidR="008B4605" w:rsidRPr="00E618F0"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618F0">
              <w:rPr>
                <w:rFonts w:ascii="Times New Roman" w:hAnsi="Times New Roman" w:cs="Times New Roman"/>
                <w:b/>
                <w:sz w:val="24"/>
                <w:szCs w:val="24"/>
              </w:rPr>
              <w:t>CAPINT</w:t>
            </w:r>
          </w:p>
        </w:tc>
        <w:tc>
          <w:tcPr>
            <w:tcW w:w="1062" w:type="dxa"/>
            <w:hideMark/>
          </w:tcPr>
          <w:p w14:paraId="06C7CB4B" w14:textId="77777777" w:rsidR="008B4605" w:rsidRPr="00E618F0" w:rsidRDefault="008B4605" w:rsidP="00FD586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E618F0">
              <w:rPr>
                <w:rFonts w:ascii="Times New Roman" w:hAnsi="Times New Roman" w:cs="Times New Roman"/>
                <w:b/>
                <w:sz w:val="24"/>
                <w:szCs w:val="24"/>
              </w:rPr>
              <w:t>FSIZE</w:t>
            </w:r>
          </w:p>
        </w:tc>
      </w:tr>
      <w:tr w:rsidR="008B4605" w:rsidRPr="00E618F0" w14:paraId="769F987E"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hideMark/>
          </w:tcPr>
          <w:p w14:paraId="4BD8BF9E" w14:textId="77777777" w:rsidR="008B4605" w:rsidRPr="00E618F0" w:rsidRDefault="008B4605" w:rsidP="00FD5862">
            <w:pPr>
              <w:rPr>
                <w:rFonts w:ascii="Times New Roman" w:hAnsi="Times New Roman" w:cs="Times New Roman"/>
                <w:sz w:val="24"/>
                <w:szCs w:val="24"/>
              </w:rPr>
            </w:pPr>
            <w:r w:rsidRPr="00E618F0">
              <w:rPr>
                <w:rFonts w:ascii="Times New Roman" w:hAnsi="Times New Roman" w:cs="Times New Roman"/>
                <w:sz w:val="24"/>
                <w:szCs w:val="24"/>
              </w:rPr>
              <w:t>FID</w:t>
            </w:r>
          </w:p>
        </w:tc>
        <w:tc>
          <w:tcPr>
            <w:tcW w:w="1316" w:type="dxa"/>
            <w:hideMark/>
          </w:tcPr>
          <w:p w14:paraId="553BE48B"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1.0000</w:t>
            </w:r>
          </w:p>
        </w:tc>
        <w:tc>
          <w:tcPr>
            <w:tcW w:w="1316" w:type="dxa"/>
          </w:tcPr>
          <w:p w14:paraId="75BB81A8"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55" w:type="dxa"/>
          </w:tcPr>
          <w:p w14:paraId="356A1014"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55" w:type="dxa"/>
          </w:tcPr>
          <w:p w14:paraId="40F7A775"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16" w:type="dxa"/>
          </w:tcPr>
          <w:p w14:paraId="77E00553"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7" w:type="dxa"/>
          </w:tcPr>
          <w:p w14:paraId="6839287A"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62" w:type="dxa"/>
          </w:tcPr>
          <w:p w14:paraId="73D2BCBD"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B4605" w:rsidRPr="00E618F0" w14:paraId="013125DC" w14:textId="77777777" w:rsidTr="00CB38EF">
        <w:tc>
          <w:tcPr>
            <w:cnfStyle w:val="001000000000" w:firstRow="0" w:lastRow="0" w:firstColumn="1" w:lastColumn="0" w:oddVBand="0" w:evenVBand="0" w:oddHBand="0" w:evenHBand="0" w:firstRowFirstColumn="0" w:firstRowLastColumn="0" w:lastRowFirstColumn="0" w:lastRowLastColumn="0"/>
            <w:tcW w:w="1083" w:type="dxa"/>
            <w:hideMark/>
          </w:tcPr>
          <w:p w14:paraId="63AA0119" w14:textId="77777777" w:rsidR="008B4605" w:rsidRPr="00E618F0" w:rsidRDefault="008B4605" w:rsidP="00FD5862">
            <w:pPr>
              <w:rPr>
                <w:rFonts w:ascii="Times New Roman" w:hAnsi="Times New Roman" w:cs="Times New Roman"/>
                <w:sz w:val="24"/>
                <w:szCs w:val="24"/>
              </w:rPr>
            </w:pPr>
            <w:r w:rsidRPr="00E618F0">
              <w:rPr>
                <w:rFonts w:ascii="Times New Roman" w:hAnsi="Times New Roman" w:cs="Times New Roman"/>
                <w:sz w:val="24"/>
                <w:szCs w:val="24"/>
              </w:rPr>
              <w:t>ETR</w:t>
            </w:r>
          </w:p>
        </w:tc>
        <w:tc>
          <w:tcPr>
            <w:tcW w:w="1316" w:type="dxa"/>
            <w:hideMark/>
          </w:tcPr>
          <w:p w14:paraId="0BF90882"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-0.3209*</w:t>
            </w:r>
          </w:p>
          <w:p w14:paraId="6BC81055"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(0.0050)</w:t>
            </w:r>
          </w:p>
        </w:tc>
        <w:tc>
          <w:tcPr>
            <w:tcW w:w="1316" w:type="dxa"/>
            <w:hideMark/>
          </w:tcPr>
          <w:p w14:paraId="7527740D"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1.0000</w:t>
            </w:r>
          </w:p>
        </w:tc>
        <w:tc>
          <w:tcPr>
            <w:tcW w:w="1155" w:type="dxa"/>
          </w:tcPr>
          <w:p w14:paraId="059C1B93"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55" w:type="dxa"/>
          </w:tcPr>
          <w:p w14:paraId="50DA8BD3"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16" w:type="dxa"/>
          </w:tcPr>
          <w:p w14:paraId="6B330B0C"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7" w:type="dxa"/>
          </w:tcPr>
          <w:p w14:paraId="203BACB2"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62" w:type="dxa"/>
          </w:tcPr>
          <w:p w14:paraId="2C5CDA58"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B4605" w:rsidRPr="00E618F0" w14:paraId="152DAA1F"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hideMark/>
          </w:tcPr>
          <w:p w14:paraId="55860BC3" w14:textId="77777777" w:rsidR="008B4605" w:rsidRPr="00E618F0" w:rsidRDefault="008B4605" w:rsidP="00FD5862">
            <w:pPr>
              <w:rPr>
                <w:rFonts w:ascii="Times New Roman" w:hAnsi="Times New Roman" w:cs="Times New Roman"/>
                <w:sz w:val="24"/>
                <w:szCs w:val="24"/>
              </w:rPr>
            </w:pPr>
            <w:r w:rsidRPr="00E618F0">
              <w:rPr>
                <w:rFonts w:ascii="Times New Roman" w:hAnsi="Times New Roman" w:cs="Times New Roman"/>
                <w:sz w:val="24"/>
                <w:szCs w:val="24"/>
              </w:rPr>
              <w:t>TCAP</w:t>
            </w:r>
          </w:p>
        </w:tc>
        <w:tc>
          <w:tcPr>
            <w:tcW w:w="1316" w:type="dxa"/>
            <w:hideMark/>
          </w:tcPr>
          <w:p w14:paraId="127E2371"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-0.0679</w:t>
            </w:r>
          </w:p>
          <w:p w14:paraId="0C225EB3"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(0.5629)</w:t>
            </w:r>
          </w:p>
        </w:tc>
        <w:tc>
          <w:tcPr>
            <w:tcW w:w="1316" w:type="dxa"/>
            <w:hideMark/>
          </w:tcPr>
          <w:p w14:paraId="1D97B8CB"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-0.2029</w:t>
            </w:r>
          </w:p>
          <w:p w14:paraId="60990D53"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(0.0808)</w:t>
            </w:r>
          </w:p>
        </w:tc>
        <w:tc>
          <w:tcPr>
            <w:tcW w:w="1155" w:type="dxa"/>
            <w:hideMark/>
          </w:tcPr>
          <w:p w14:paraId="6AA1113A"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1.0000</w:t>
            </w:r>
          </w:p>
        </w:tc>
        <w:tc>
          <w:tcPr>
            <w:tcW w:w="1155" w:type="dxa"/>
          </w:tcPr>
          <w:p w14:paraId="401EC360"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16" w:type="dxa"/>
          </w:tcPr>
          <w:p w14:paraId="773A0387"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37" w:type="dxa"/>
          </w:tcPr>
          <w:p w14:paraId="07A64117"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62" w:type="dxa"/>
          </w:tcPr>
          <w:p w14:paraId="101BCA54"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B4605" w:rsidRPr="00E618F0" w14:paraId="214F2DCD" w14:textId="77777777" w:rsidTr="00CB38EF">
        <w:tc>
          <w:tcPr>
            <w:cnfStyle w:val="001000000000" w:firstRow="0" w:lastRow="0" w:firstColumn="1" w:lastColumn="0" w:oddVBand="0" w:evenVBand="0" w:oddHBand="0" w:evenHBand="0" w:firstRowFirstColumn="0" w:firstRowLastColumn="0" w:lastRowFirstColumn="0" w:lastRowLastColumn="0"/>
            <w:tcW w:w="1083" w:type="dxa"/>
            <w:hideMark/>
          </w:tcPr>
          <w:p w14:paraId="13E4242E" w14:textId="77777777" w:rsidR="008B4605" w:rsidRPr="00E618F0" w:rsidRDefault="008B4605" w:rsidP="00FD5862">
            <w:pPr>
              <w:rPr>
                <w:rFonts w:ascii="Times New Roman" w:hAnsi="Times New Roman" w:cs="Times New Roman"/>
                <w:sz w:val="24"/>
                <w:szCs w:val="24"/>
              </w:rPr>
            </w:pPr>
            <w:r w:rsidRPr="00E618F0">
              <w:rPr>
                <w:rFonts w:ascii="Times New Roman" w:hAnsi="Times New Roman" w:cs="Times New Roman"/>
                <w:sz w:val="24"/>
                <w:szCs w:val="24"/>
              </w:rPr>
              <w:t>TS</w:t>
            </w:r>
          </w:p>
        </w:tc>
        <w:tc>
          <w:tcPr>
            <w:tcW w:w="1316" w:type="dxa"/>
            <w:hideMark/>
          </w:tcPr>
          <w:p w14:paraId="324CC60A"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0.2028  </w:t>
            </w:r>
          </w:p>
          <w:p w14:paraId="4656327E"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(0.0810)</w:t>
            </w:r>
          </w:p>
        </w:tc>
        <w:tc>
          <w:tcPr>
            <w:tcW w:w="1316" w:type="dxa"/>
            <w:hideMark/>
          </w:tcPr>
          <w:p w14:paraId="73DBE2D6"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-0.2720*</w:t>
            </w:r>
          </w:p>
          <w:p w14:paraId="559A2E7E"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(0.0182)   </w:t>
            </w:r>
          </w:p>
        </w:tc>
        <w:tc>
          <w:tcPr>
            <w:tcW w:w="1155" w:type="dxa"/>
            <w:hideMark/>
          </w:tcPr>
          <w:p w14:paraId="16F67044"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0.3114*</w:t>
            </w:r>
          </w:p>
          <w:p w14:paraId="073DA80A"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(0.0065)</w:t>
            </w:r>
          </w:p>
        </w:tc>
        <w:tc>
          <w:tcPr>
            <w:tcW w:w="1155" w:type="dxa"/>
            <w:hideMark/>
          </w:tcPr>
          <w:p w14:paraId="6364381C"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1.0000</w:t>
            </w:r>
          </w:p>
        </w:tc>
        <w:tc>
          <w:tcPr>
            <w:tcW w:w="1316" w:type="dxa"/>
          </w:tcPr>
          <w:p w14:paraId="16C97805"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37" w:type="dxa"/>
          </w:tcPr>
          <w:p w14:paraId="4A0E163B"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62" w:type="dxa"/>
          </w:tcPr>
          <w:p w14:paraId="1977BB0A"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B4605" w:rsidRPr="00E618F0" w14:paraId="16CAB2F0"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hideMark/>
          </w:tcPr>
          <w:p w14:paraId="759CC9AA" w14:textId="77777777" w:rsidR="008B4605" w:rsidRPr="00E618F0" w:rsidRDefault="008B4605" w:rsidP="00FD5862">
            <w:pPr>
              <w:rPr>
                <w:rFonts w:ascii="Times New Roman" w:hAnsi="Times New Roman" w:cs="Times New Roman"/>
                <w:sz w:val="24"/>
                <w:szCs w:val="24"/>
              </w:rPr>
            </w:pPr>
            <w:r w:rsidRPr="00E618F0">
              <w:rPr>
                <w:rFonts w:ascii="Times New Roman" w:hAnsi="Times New Roman" w:cs="Times New Roman"/>
                <w:sz w:val="24"/>
                <w:szCs w:val="24"/>
              </w:rPr>
              <w:t>DETS</w:t>
            </w:r>
          </w:p>
        </w:tc>
        <w:tc>
          <w:tcPr>
            <w:tcW w:w="1316" w:type="dxa"/>
            <w:hideMark/>
          </w:tcPr>
          <w:p w14:paraId="1AF187CE"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-0.2755*</w:t>
            </w:r>
          </w:p>
          <w:p w14:paraId="3EF3A5DB"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(0.0168)</w:t>
            </w:r>
          </w:p>
        </w:tc>
        <w:tc>
          <w:tcPr>
            <w:tcW w:w="1316" w:type="dxa"/>
            <w:hideMark/>
          </w:tcPr>
          <w:p w14:paraId="242E88FE"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0.1103 </w:t>
            </w:r>
          </w:p>
          <w:p w14:paraId="284A4839"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(0.3462)     </w:t>
            </w:r>
          </w:p>
        </w:tc>
        <w:tc>
          <w:tcPr>
            <w:tcW w:w="1155" w:type="dxa"/>
            <w:hideMark/>
          </w:tcPr>
          <w:p w14:paraId="44C18547"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0.3085*</w:t>
            </w:r>
          </w:p>
          <w:p w14:paraId="4F22D513"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(0.0071)   </w:t>
            </w:r>
          </w:p>
        </w:tc>
        <w:tc>
          <w:tcPr>
            <w:tcW w:w="1155" w:type="dxa"/>
            <w:hideMark/>
          </w:tcPr>
          <w:p w14:paraId="06552368"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0.1999</w:t>
            </w:r>
            <w:proofErr w:type="gramStart"/>
            <w:r w:rsidRPr="00E618F0">
              <w:rPr>
                <w:rFonts w:ascii="Times New Roman" w:hAnsi="Times New Roman" w:cs="Times New Roman"/>
                <w:sz w:val="24"/>
                <w:szCs w:val="24"/>
              </w:rPr>
              <w:t xml:space="preserve">   (</w:t>
            </w:r>
            <w:proofErr w:type="gramEnd"/>
            <w:r w:rsidRPr="00E618F0">
              <w:rPr>
                <w:rFonts w:ascii="Times New Roman" w:hAnsi="Times New Roman" w:cs="Times New Roman"/>
                <w:sz w:val="24"/>
                <w:szCs w:val="24"/>
              </w:rPr>
              <w:t>0.0855)</w:t>
            </w:r>
          </w:p>
        </w:tc>
        <w:tc>
          <w:tcPr>
            <w:tcW w:w="1316" w:type="dxa"/>
            <w:hideMark/>
          </w:tcPr>
          <w:p w14:paraId="0B3BF6AB"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1.0000</w:t>
            </w:r>
          </w:p>
        </w:tc>
        <w:tc>
          <w:tcPr>
            <w:tcW w:w="1137" w:type="dxa"/>
          </w:tcPr>
          <w:p w14:paraId="1672C634"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62" w:type="dxa"/>
          </w:tcPr>
          <w:p w14:paraId="4C2A88B0"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8B4605" w:rsidRPr="00E618F0" w14:paraId="0A265A15" w14:textId="77777777" w:rsidTr="00CB38EF">
        <w:tc>
          <w:tcPr>
            <w:cnfStyle w:val="001000000000" w:firstRow="0" w:lastRow="0" w:firstColumn="1" w:lastColumn="0" w:oddVBand="0" w:evenVBand="0" w:oddHBand="0" w:evenHBand="0" w:firstRowFirstColumn="0" w:firstRowLastColumn="0" w:lastRowFirstColumn="0" w:lastRowLastColumn="0"/>
            <w:tcW w:w="1083" w:type="dxa"/>
            <w:hideMark/>
          </w:tcPr>
          <w:p w14:paraId="793F6359" w14:textId="77777777" w:rsidR="008B4605" w:rsidRPr="00E618F0" w:rsidRDefault="008B4605" w:rsidP="00FD5862">
            <w:pPr>
              <w:rPr>
                <w:rFonts w:ascii="Times New Roman" w:hAnsi="Times New Roman" w:cs="Times New Roman"/>
                <w:sz w:val="24"/>
                <w:szCs w:val="24"/>
              </w:rPr>
            </w:pPr>
            <w:r w:rsidRPr="00E618F0">
              <w:rPr>
                <w:rFonts w:ascii="Times New Roman" w:hAnsi="Times New Roman" w:cs="Times New Roman"/>
                <w:sz w:val="24"/>
                <w:szCs w:val="24"/>
              </w:rPr>
              <w:t>CAPINT</w:t>
            </w:r>
          </w:p>
        </w:tc>
        <w:tc>
          <w:tcPr>
            <w:tcW w:w="1316" w:type="dxa"/>
            <w:hideMark/>
          </w:tcPr>
          <w:p w14:paraId="0FD33616"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-0.2935*  </w:t>
            </w:r>
          </w:p>
          <w:p w14:paraId="34CE9B12"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(0.0106)</w:t>
            </w:r>
          </w:p>
        </w:tc>
        <w:tc>
          <w:tcPr>
            <w:tcW w:w="1316" w:type="dxa"/>
            <w:hideMark/>
          </w:tcPr>
          <w:p w14:paraId="751FDA67"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E618F0">
              <w:rPr>
                <w:rFonts w:ascii="Times New Roman" w:hAnsi="Times New Roman" w:cs="Times New Roman"/>
                <w:sz w:val="24"/>
                <w:szCs w:val="24"/>
              </w:rPr>
              <w:t>0.0921  (</w:t>
            </w:r>
            <w:proofErr w:type="gramEnd"/>
            <w:r w:rsidRPr="00E618F0">
              <w:rPr>
                <w:rFonts w:ascii="Times New Roman" w:hAnsi="Times New Roman" w:cs="Times New Roman"/>
                <w:sz w:val="24"/>
                <w:szCs w:val="24"/>
              </w:rPr>
              <w:t>0.4319)</w:t>
            </w:r>
          </w:p>
        </w:tc>
        <w:tc>
          <w:tcPr>
            <w:tcW w:w="1155" w:type="dxa"/>
            <w:hideMark/>
          </w:tcPr>
          <w:p w14:paraId="620A8B97"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-0.2081</w:t>
            </w:r>
            <w:proofErr w:type="gramStart"/>
            <w:r w:rsidRPr="00E618F0">
              <w:rPr>
                <w:rFonts w:ascii="Times New Roman" w:hAnsi="Times New Roman" w:cs="Times New Roman"/>
                <w:sz w:val="24"/>
                <w:szCs w:val="24"/>
              </w:rPr>
              <w:t xml:space="preserve">   (</w:t>
            </w:r>
            <w:proofErr w:type="gramEnd"/>
            <w:r w:rsidRPr="00E618F0">
              <w:rPr>
                <w:rFonts w:ascii="Times New Roman" w:hAnsi="Times New Roman" w:cs="Times New Roman"/>
                <w:sz w:val="24"/>
                <w:szCs w:val="24"/>
              </w:rPr>
              <w:t>0.0732)</w:t>
            </w:r>
          </w:p>
        </w:tc>
        <w:tc>
          <w:tcPr>
            <w:tcW w:w="1155" w:type="dxa"/>
            <w:hideMark/>
          </w:tcPr>
          <w:p w14:paraId="499A0888"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0.0489</w:t>
            </w:r>
            <w:proofErr w:type="gramStart"/>
            <w:r w:rsidRPr="00E618F0">
              <w:rPr>
                <w:rFonts w:ascii="Times New Roman" w:hAnsi="Times New Roman" w:cs="Times New Roman"/>
                <w:sz w:val="24"/>
                <w:szCs w:val="24"/>
              </w:rPr>
              <w:t xml:space="preserve">   (</w:t>
            </w:r>
            <w:proofErr w:type="gramEnd"/>
            <w:r w:rsidRPr="00E618F0">
              <w:rPr>
                <w:rFonts w:ascii="Times New Roman" w:hAnsi="Times New Roman" w:cs="Times New Roman"/>
                <w:sz w:val="24"/>
                <w:szCs w:val="24"/>
              </w:rPr>
              <w:t>0.6769)</w:t>
            </w:r>
          </w:p>
        </w:tc>
        <w:tc>
          <w:tcPr>
            <w:tcW w:w="1316" w:type="dxa"/>
            <w:hideMark/>
          </w:tcPr>
          <w:p w14:paraId="354619BB"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0.0633</w:t>
            </w:r>
            <w:proofErr w:type="gramStart"/>
            <w:r w:rsidRPr="00E618F0">
              <w:rPr>
                <w:rFonts w:ascii="Times New Roman" w:hAnsi="Times New Roman" w:cs="Times New Roman"/>
                <w:sz w:val="24"/>
                <w:szCs w:val="24"/>
              </w:rPr>
              <w:t xml:space="preserve">   (</w:t>
            </w:r>
            <w:proofErr w:type="gramEnd"/>
            <w:r w:rsidRPr="00E618F0">
              <w:rPr>
                <w:rFonts w:ascii="Times New Roman" w:hAnsi="Times New Roman" w:cs="Times New Roman"/>
                <w:sz w:val="24"/>
                <w:szCs w:val="24"/>
              </w:rPr>
              <w:t>0.5895)</w:t>
            </w:r>
          </w:p>
        </w:tc>
        <w:tc>
          <w:tcPr>
            <w:tcW w:w="1137" w:type="dxa"/>
            <w:hideMark/>
          </w:tcPr>
          <w:p w14:paraId="5D55E9FB"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1.0000</w:t>
            </w:r>
          </w:p>
        </w:tc>
        <w:tc>
          <w:tcPr>
            <w:tcW w:w="1062" w:type="dxa"/>
          </w:tcPr>
          <w:p w14:paraId="43FE3439" w14:textId="77777777" w:rsidR="008B4605" w:rsidRPr="00E618F0" w:rsidRDefault="008B4605" w:rsidP="00FD586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B4605" w:rsidRPr="00E618F0" w14:paraId="51416158" w14:textId="77777777" w:rsidTr="00CB38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dxa"/>
            <w:hideMark/>
          </w:tcPr>
          <w:p w14:paraId="7C5A9644" w14:textId="77777777" w:rsidR="008B4605" w:rsidRPr="00E618F0" w:rsidRDefault="008B4605" w:rsidP="00FD5862">
            <w:pPr>
              <w:rPr>
                <w:rFonts w:ascii="Times New Roman" w:hAnsi="Times New Roman" w:cs="Times New Roman"/>
                <w:sz w:val="24"/>
                <w:szCs w:val="24"/>
              </w:rPr>
            </w:pPr>
            <w:r w:rsidRPr="00E618F0">
              <w:rPr>
                <w:rFonts w:ascii="Times New Roman" w:hAnsi="Times New Roman" w:cs="Times New Roman"/>
                <w:sz w:val="24"/>
                <w:szCs w:val="24"/>
              </w:rPr>
              <w:t>FSIZE</w:t>
            </w:r>
          </w:p>
        </w:tc>
        <w:tc>
          <w:tcPr>
            <w:tcW w:w="1316" w:type="dxa"/>
            <w:hideMark/>
          </w:tcPr>
          <w:p w14:paraId="3A43A936"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0.6390*</w:t>
            </w:r>
          </w:p>
          <w:p w14:paraId="50BF55DB"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(0.0000)   </w:t>
            </w:r>
          </w:p>
        </w:tc>
        <w:tc>
          <w:tcPr>
            <w:tcW w:w="1316" w:type="dxa"/>
            <w:hideMark/>
          </w:tcPr>
          <w:p w14:paraId="574D9936"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-0.2925*</w:t>
            </w:r>
          </w:p>
          <w:p w14:paraId="56FB809C"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(0.0109)  </w:t>
            </w:r>
          </w:p>
        </w:tc>
        <w:tc>
          <w:tcPr>
            <w:tcW w:w="1155" w:type="dxa"/>
            <w:hideMark/>
          </w:tcPr>
          <w:p w14:paraId="0981D244"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0.0230</w:t>
            </w:r>
          </w:p>
          <w:p w14:paraId="546C3C44"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(0.8448)</w:t>
            </w:r>
          </w:p>
        </w:tc>
        <w:tc>
          <w:tcPr>
            <w:tcW w:w="1155" w:type="dxa"/>
            <w:hideMark/>
          </w:tcPr>
          <w:p w14:paraId="5750D412"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0.2628*</w:t>
            </w:r>
          </w:p>
          <w:p w14:paraId="52E4886F"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(0.0227)</w:t>
            </w:r>
          </w:p>
        </w:tc>
        <w:tc>
          <w:tcPr>
            <w:tcW w:w="1316" w:type="dxa"/>
            <w:hideMark/>
          </w:tcPr>
          <w:p w14:paraId="2452F89F"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-0.3652*</w:t>
            </w:r>
          </w:p>
          <w:p w14:paraId="1E18ADA0"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(0.0013)</w:t>
            </w:r>
          </w:p>
        </w:tc>
        <w:tc>
          <w:tcPr>
            <w:tcW w:w="1137" w:type="dxa"/>
            <w:hideMark/>
          </w:tcPr>
          <w:p w14:paraId="33C9A001"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0.0327</w:t>
            </w:r>
          </w:p>
          <w:p w14:paraId="590C07C6"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(0.7809)</w:t>
            </w:r>
          </w:p>
        </w:tc>
        <w:tc>
          <w:tcPr>
            <w:tcW w:w="1062" w:type="dxa"/>
            <w:hideMark/>
          </w:tcPr>
          <w:p w14:paraId="3D9326B9" w14:textId="77777777" w:rsidR="008B4605" w:rsidRPr="00E618F0" w:rsidRDefault="008B4605" w:rsidP="00FD586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1.0000</w:t>
            </w:r>
          </w:p>
        </w:tc>
      </w:tr>
    </w:tbl>
    <w:p w14:paraId="54405A83" w14:textId="77777777" w:rsidR="008B4605" w:rsidRPr="00E618F0" w:rsidRDefault="008B4605" w:rsidP="008B4605">
      <w:pPr>
        <w:widowControl w:val="0"/>
        <w:autoSpaceDE w:val="0"/>
        <w:autoSpaceDN w:val="0"/>
        <w:adjustRightInd w:val="0"/>
        <w:spacing w:after="0" w:line="240" w:lineRule="auto"/>
        <w:ind w:firstLine="540"/>
        <w:rPr>
          <w:rFonts w:ascii="Times New Roman" w:eastAsia="Times New Roman" w:hAnsi="Times New Roman"/>
          <w:i/>
          <w:sz w:val="24"/>
          <w:szCs w:val="24"/>
        </w:rPr>
      </w:pPr>
      <w:r w:rsidRPr="00E618F0">
        <w:rPr>
          <w:rFonts w:ascii="Times New Roman" w:eastAsia="Times New Roman" w:hAnsi="Times New Roman"/>
          <w:b/>
          <w:bCs/>
          <w:i/>
          <w:sz w:val="24"/>
          <w:szCs w:val="24"/>
        </w:rPr>
        <w:t>Source:</w:t>
      </w:r>
      <w:r w:rsidRPr="00E618F0">
        <w:rPr>
          <w:rFonts w:ascii="Times New Roman" w:eastAsia="Times New Roman" w:hAnsi="Times New Roman"/>
          <w:i/>
          <w:sz w:val="24"/>
          <w:szCs w:val="24"/>
        </w:rPr>
        <w:t xml:space="preserve"> Author’s Computation (2026) (Stata Version 17)</w:t>
      </w:r>
    </w:p>
    <w:p w14:paraId="43DD42DC" w14:textId="77777777" w:rsidR="008B4605" w:rsidRPr="00E618F0" w:rsidRDefault="008B4605" w:rsidP="008B4605">
      <w:pPr>
        <w:spacing w:after="0" w:line="240" w:lineRule="auto"/>
        <w:ind w:left="1440" w:hanging="900"/>
        <w:jc w:val="both"/>
        <w:rPr>
          <w:rFonts w:ascii="Times New Roman" w:eastAsia="Calibri" w:hAnsi="Times New Roman" w:cs="Calibri"/>
          <w:b/>
          <w:bCs/>
          <w:caps/>
          <w:sz w:val="16"/>
          <w:szCs w:val="16"/>
          <w:u w:val="double"/>
        </w:rPr>
      </w:pPr>
    </w:p>
    <w:p w14:paraId="1A5AC1A6" w14:textId="77777777" w:rsidR="008B4605" w:rsidRPr="00E618F0" w:rsidRDefault="008B4605" w:rsidP="008B4605">
      <w:pPr>
        <w:spacing w:before="100" w:beforeAutospacing="1" w:after="100" w:afterAutospacing="1" w:line="240" w:lineRule="auto"/>
        <w:rPr>
          <w:rFonts w:ascii="Times New Roman" w:hAnsi="Times New Roman" w:cs="Times New Roman"/>
        </w:rPr>
      </w:pPr>
      <w:r w:rsidRPr="00E618F0">
        <w:rPr>
          <w:rFonts w:ascii="Times New Roman" w:eastAsia="Calibri" w:hAnsi="Times New Roman" w:cs="Calibri"/>
          <w:b/>
          <w:bCs/>
          <w:caps/>
          <w:sz w:val="16"/>
          <w:szCs w:val="16"/>
          <w:u w:val="double"/>
        </w:rPr>
        <w:t>Note</w:t>
      </w:r>
      <w:r w:rsidRPr="00E618F0">
        <w:rPr>
          <w:rFonts w:ascii="Times New Roman" w:eastAsia="Calibri" w:hAnsi="Times New Roman" w:cs="Calibri"/>
          <w:b/>
          <w:bCs/>
          <w:caps/>
          <w:sz w:val="16"/>
          <w:szCs w:val="16"/>
        </w:rPr>
        <w:t>:</w:t>
      </w:r>
      <w:r w:rsidRPr="00E618F0">
        <w:rPr>
          <w:rFonts w:ascii="Times New Roman" w:eastAsia="Calibri" w:hAnsi="Times New Roman" w:cs="Calibri"/>
          <w:b/>
          <w:bCs/>
          <w:caps/>
          <w:sz w:val="16"/>
          <w:szCs w:val="16"/>
        </w:rPr>
        <w:tab/>
      </w:r>
      <w:proofErr w:type="gramStart"/>
      <w:r w:rsidRPr="00E618F0">
        <w:rPr>
          <w:rFonts w:ascii="Times New Roman" w:eastAsia="Calibri" w:hAnsi="Times New Roman" w:cs="Calibri"/>
          <w:b/>
          <w:bCs/>
          <w:caps/>
          <w:sz w:val="24"/>
          <w:szCs w:val="24"/>
        </w:rPr>
        <w:t xml:space="preserve">* </w:t>
      </w:r>
      <w:r w:rsidRPr="00E618F0">
        <w:rPr>
          <w:rFonts w:ascii="Times New Roman" w:eastAsia="Calibri" w:hAnsi="Times New Roman" w:cs="Calibri"/>
          <w:b/>
          <w:bCs/>
          <w:caps/>
          <w:sz w:val="16"/>
          <w:szCs w:val="16"/>
        </w:rPr>
        <w:t xml:space="preserve"> </w:t>
      </w:r>
      <w:r w:rsidRPr="00E618F0">
        <w:rPr>
          <w:rFonts w:ascii="Times New Roman" w:hAnsi="Times New Roman" w:cs="Times New Roman"/>
        </w:rPr>
        <w:t>indicates</w:t>
      </w:r>
      <w:proofErr w:type="gramEnd"/>
      <w:r w:rsidRPr="00E618F0">
        <w:rPr>
          <w:rFonts w:ascii="Times New Roman" w:hAnsi="Times New Roman" w:cs="Times New Roman"/>
        </w:rPr>
        <w:t xml:space="preserve"> that the corresponding coefficients are statistically significant at the 5 percent level (p &lt; 0.05), implying that the observed relationships are unlikely to have occurred by chance. The numbers in parentheses </w:t>
      </w:r>
      <w:proofErr w:type="gramStart"/>
      <w:r w:rsidRPr="00E618F0">
        <w:rPr>
          <w:rFonts w:ascii="Times New Roman" w:hAnsi="Times New Roman" w:cs="Times New Roman"/>
        </w:rPr>
        <w:t>is</w:t>
      </w:r>
      <w:proofErr w:type="gramEnd"/>
      <w:r w:rsidRPr="00E618F0">
        <w:rPr>
          <w:rFonts w:ascii="Times New Roman" w:hAnsi="Times New Roman" w:cs="Times New Roman"/>
        </w:rPr>
        <w:t xml:space="preserve"> the p-values for the correlation above.</w:t>
      </w:r>
    </w:p>
    <w:p w14:paraId="26C3BAF9" w14:textId="77777777" w:rsidR="00FD5862" w:rsidRPr="00E618F0" w:rsidRDefault="00FD5862" w:rsidP="008B4605">
      <w:pPr>
        <w:spacing w:before="100" w:beforeAutospacing="1" w:after="100" w:afterAutospacing="1" w:line="240" w:lineRule="auto"/>
        <w:rPr>
          <w:rFonts w:ascii="Times New Roman" w:hAnsi="Times New Roman" w:cs="Times New Roman"/>
        </w:rPr>
      </w:pPr>
    </w:p>
    <w:p w14:paraId="3DE8A8BD" w14:textId="77777777" w:rsidR="00FD5862" w:rsidRPr="00E618F0" w:rsidRDefault="00FD5862" w:rsidP="008B4605">
      <w:pPr>
        <w:spacing w:before="100" w:beforeAutospacing="1" w:after="100" w:afterAutospacing="1" w:line="240" w:lineRule="auto"/>
        <w:rPr>
          <w:rFonts w:ascii="Times New Roman" w:hAnsi="Times New Roman" w:cs="Times New Roman"/>
        </w:rPr>
      </w:pPr>
    </w:p>
    <w:p w14:paraId="219E430A" w14:textId="77777777" w:rsidR="00FD5862" w:rsidRPr="00E618F0" w:rsidRDefault="00FD5862" w:rsidP="008B4605">
      <w:pPr>
        <w:spacing w:before="100" w:beforeAutospacing="1" w:after="100" w:afterAutospacing="1" w:line="240" w:lineRule="auto"/>
        <w:rPr>
          <w:rFonts w:ascii="Times New Roman" w:hAnsi="Times New Roman" w:cs="Times New Roman"/>
        </w:rPr>
      </w:pPr>
    </w:p>
    <w:p w14:paraId="4F7E8B15" w14:textId="77777777" w:rsidR="00FD5862" w:rsidRPr="00E618F0" w:rsidRDefault="00FD5862" w:rsidP="008B4605">
      <w:pPr>
        <w:spacing w:before="100" w:beforeAutospacing="1" w:after="100" w:afterAutospacing="1" w:line="240" w:lineRule="auto"/>
        <w:rPr>
          <w:rFonts w:ascii="Times New Roman" w:hAnsi="Times New Roman" w:cs="Times New Roman"/>
        </w:rPr>
      </w:pPr>
    </w:p>
    <w:p w14:paraId="44AA842A" w14:textId="77777777" w:rsidR="00FD5862" w:rsidRPr="00E618F0" w:rsidRDefault="00FD5862" w:rsidP="008B4605">
      <w:pPr>
        <w:spacing w:before="100" w:beforeAutospacing="1" w:after="100" w:afterAutospacing="1" w:line="240" w:lineRule="auto"/>
        <w:rPr>
          <w:rFonts w:ascii="Times New Roman" w:hAnsi="Times New Roman" w:cs="Times New Roman"/>
        </w:rPr>
      </w:pPr>
    </w:p>
    <w:p w14:paraId="5C9D096F" w14:textId="77777777" w:rsidR="00FD5862" w:rsidRPr="00E618F0" w:rsidRDefault="00FD5862" w:rsidP="008B4605">
      <w:pPr>
        <w:spacing w:before="100" w:beforeAutospacing="1" w:after="100" w:afterAutospacing="1" w:line="240" w:lineRule="auto"/>
        <w:rPr>
          <w:rFonts w:ascii="Times New Roman" w:hAnsi="Times New Roman" w:cs="Times New Roman"/>
        </w:rPr>
      </w:pPr>
    </w:p>
    <w:p w14:paraId="0F7FE0C9" w14:textId="77777777" w:rsidR="00FD5862" w:rsidRPr="00E618F0" w:rsidRDefault="00FD5862" w:rsidP="008B4605">
      <w:pPr>
        <w:spacing w:before="100" w:beforeAutospacing="1" w:after="100" w:afterAutospacing="1" w:line="240" w:lineRule="auto"/>
        <w:rPr>
          <w:rFonts w:ascii="Times New Roman" w:hAnsi="Times New Roman" w:cs="Times New Roman"/>
        </w:rPr>
      </w:pPr>
    </w:p>
    <w:p w14:paraId="37DF435B" w14:textId="77777777" w:rsidR="00FD5862" w:rsidRPr="00E618F0" w:rsidRDefault="00FD5862" w:rsidP="008B4605">
      <w:pPr>
        <w:spacing w:before="100" w:beforeAutospacing="1" w:after="100" w:afterAutospacing="1" w:line="240" w:lineRule="auto"/>
        <w:rPr>
          <w:rFonts w:ascii="Times New Roman" w:hAnsi="Times New Roman" w:cs="Times New Roman"/>
        </w:rPr>
      </w:pPr>
    </w:p>
    <w:p w14:paraId="0B27C6B7" w14:textId="77777777" w:rsidR="00FD5862" w:rsidRPr="00E618F0" w:rsidRDefault="00FD5862" w:rsidP="008B4605">
      <w:pPr>
        <w:spacing w:before="100" w:beforeAutospacing="1" w:after="100" w:afterAutospacing="1" w:line="240" w:lineRule="auto"/>
        <w:rPr>
          <w:rFonts w:ascii="Times New Roman" w:hAnsi="Times New Roman" w:cs="Times New Roman"/>
        </w:rPr>
      </w:pPr>
    </w:p>
    <w:p w14:paraId="0FFF06FE" w14:textId="77777777" w:rsidR="00FD5862" w:rsidRPr="00E618F0" w:rsidRDefault="00FD5862" w:rsidP="008D0C47">
      <w:pPr>
        <w:spacing w:before="100" w:beforeAutospacing="1" w:after="100" w:afterAutospacing="1" w:line="240" w:lineRule="auto"/>
        <w:ind w:firstLine="720"/>
        <w:rPr>
          <w:rFonts w:ascii="Times New Roman" w:eastAsia="Times New Roman" w:hAnsi="Times New Roman" w:cs="Times New Roman"/>
          <w:sz w:val="24"/>
          <w:szCs w:val="24"/>
        </w:rPr>
      </w:pPr>
    </w:p>
    <w:p w14:paraId="45BBEDB4" w14:textId="77777777" w:rsidR="009D51FD" w:rsidRPr="00E618F0" w:rsidRDefault="009D51FD" w:rsidP="00473CED">
      <w:pPr>
        <w:pStyle w:val="NoSpacing"/>
        <w:spacing w:line="360" w:lineRule="auto"/>
        <w:jc w:val="both"/>
        <w:rPr>
          <w:rFonts w:ascii="Times New Roman" w:hAnsi="Times New Roman" w:cs="Times New Roman"/>
          <w:b/>
          <w:sz w:val="24"/>
          <w:szCs w:val="24"/>
        </w:rPr>
      </w:pPr>
      <w:r w:rsidRPr="00E618F0">
        <w:rPr>
          <w:rFonts w:ascii="Times New Roman" w:hAnsi="Times New Roman" w:cs="Times New Roman"/>
          <w:b/>
          <w:sz w:val="24"/>
          <w:szCs w:val="24"/>
        </w:rPr>
        <w:lastRenderedPageBreak/>
        <w:t xml:space="preserve">Table3: </w:t>
      </w:r>
      <w:r w:rsidRPr="00E618F0">
        <w:rPr>
          <w:rFonts w:ascii="Times New Roman" w:hAnsi="Times New Roman" w:cs="Times New Roman"/>
          <w:b/>
          <w:sz w:val="24"/>
          <w:szCs w:val="24"/>
        </w:rPr>
        <w:tab/>
        <w:t>Panel Regression Results (Driscoll-Kraay SE)</w:t>
      </w:r>
    </w:p>
    <w:p w14:paraId="559AEB68" w14:textId="77777777" w:rsidR="009D51FD" w:rsidRPr="00E618F0" w:rsidRDefault="009D51FD" w:rsidP="00473CED">
      <w:pPr>
        <w:pStyle w:val="NoSpacing"/>
        <w:spacing w:line="360" w:lineRule="auto"/>
        <w:jc w:val="center"/>
        <w:rPr>
          <w:rFonts w:ascii="Times New Roman" w:hAnsi="Times New Roman" w:cs="Times New Roman"/>
          <w:b/>
          <w:sz w:val="24"/>
          <w:szCs w:val="24"/>
        </w:rPr>
      </w:pPr>
      <w:r w:rsidRPr="00E618F0">
        <w:rPr>
          <w:rFonts w:ascii="Times New Roman" w:hAnsi="Times New Roman" w:cs="Times New Roman"/>
          <w:b/>
          <w:sz w:val="24"/>
          <w:szCs w:val="24"/>
        </w:rPr>
        <w:t>Financial Distress Analysis Result</w:t>
      </w:r>
    </w:p>
    <w:tbl>
      <w:tblPr>
        <w:tblStyle w:val="PlainTable5"/>
        <w:tblW w:w="11522" w:type="dxa"/>
        <w:tblInd w:w="-180" w:type="dxa"/>
        <w:tblLook w:val="04A0" w:firstRow="1" w:lastRow="0" w:firstColumn="1" w:lastColumn="0" w:noHBand="0" w:noVBand="1"/>
      </w:tblPr>
      <w:tblGrid>
        <w:gridCol w:w="1498"/>
        <w:gridCol w:w="302"/>
        <w:gridCol w:w="1809"/>
        <w:gridCol w:w="1891"/>
        <w:gridCol w:w="80"/>
        <w:gridCol w:w="417"/>
        <w:gridCol w:w="93"/>
        <w:gridCol w:w="1543"/>
        <w:gridCol w:w="510"/>
        <w:gridCol w:w="47"/>
        <w:gridCol w:w="644"/>
        <w:gridCol w:w="1606"/>
        <w:gridCol w:w="75"/>
        <w:gridCol w:w="510"/>
        <w:gridCol w:w="497"/>
      </w:tblGrid>
      <w:tr w:rsidR="0020368B" w:rsidRPr="00E618F0" w14:paraId="35503DC1" w14:textId="77777777" w:rsidTr="00100DB9">
        <w:trPr>
          <w:gridAfter w:val="5"/>
          <w:cnfStyle w:val="100000000000" w:firstRow="1" w:lastRow="0" w:firstColumn="0" w:lastColumn="0" w:oddVBand="0" w:evenVBand="0" w:oddHBand="0" w:evenHBand="0" w:firstRowFirstColumn="0" w:firstRowLastColumn="0" w:lastRowFirstColumn="0" w:lastRowLastColumn="0"/>
          <w:wAfter w:w="3332" w:type="dxa"/>
        </w:trPr>
        <w:tc>
          <w:tcPr>
            <w:cnfStyle w:val="001000000100" w:firstRow="0" w:lastRow="0" w:firstColumn="1" w:lastColumn="0" w:oddVBand="0" w:evenVBand="0" w:oddHBand="0" w:evenHBand="0" w:firstRowFirstColumn="1" w:firstRowLastColumn="0" w:lastRowFirstColumn="0" w:lastRowLastColumn="0"/>
            <w:tcW w:w="1498" w:type="dxa"/>
          </w:tcPr>
          <w:p w14:paraId="3345C687" w14:textId="77777777" w:rsidR="0020368B" w:rsidRPr="00E618F0" w:rsidRDefault="0020368B" w:rsidP="0020368B">
            <w:pPr>
              <w:spacing w:before="100" w:beforeAutospacing="1" w:after="100" w:afterAutospacing="1"/>
              <w:outlineLvl w:val="1"/>
              <w:rPr>
                <w:rFonts w:ascii="Times New Roman" w:eastAsia="Times New Roman" w:hAnsi="Times New Roman" w:cs="Times New Roman"/>
                <w:bCs/>
                <w:sz w:val="24"/>
                <w:szCs w:val="24"/>
              </w:rPr>
            </w:pPr>
          </w:p>
        </w:tc>
        <w:tc>
          <w:tcPr>
            <w:tcW w:w="2111" w:type="dxa"/>
            <w:gridSpan w:val="2"/>
          </w:tcPr>
          <w:p w14:paraId="16DE0967" w14:textId="77777777" w:rsidR="0020368B" w:rsidRPr="00E618F0" w:rsidRDefault="0020368B" w:rsidP="0020368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FINANCIAL DISTRESS </w:t>
            </w:r>
          </w:p>
          <w:p w14:paraId="5F1B7E85" w14:textId="77777777" w:rsidR="0020368B" w:rsidRPr="00E618F0" w:rsidRDefault="0020368B" w:rsidP="0020368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(Fixed Effect)</w:t>
            </w:r>
          </w:p>
        </w:tc>
        <w:tc>
          <w:tcPr>
            <w:tcW w:w="2388" w:type="dxa"/>
            <w:gridSpan w:val="3"/>
          </w:tcPr>
          <w:p w14:paraId="3CD1A6CF" w14:textId="77777777" w:rsidR="0020368B" w:rsidRPr="00E618F0" w:rsidRDefault="0020368B" w:rsidP="0020368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FINANCIAL DISTRESS </w:t>
            </w:r>
          </w:p>
          <w:p w14:paraId="51F91BA7" w14:textId="77777777" w:rsidR="0020368B" w:rsidRPr="00E618F0" w:rsidRDefault="0020368B" w:rsidP="0020368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(Random Effect)</w:t>
            </w:r>
          </w:p>
        </w:tc>
        <w:tc>
          <w:tcPr>
            <w:tcW w:w="2193" w:type="dxa"/>
            <w:gridSpan w:val="4"/>
          </w:tcPr>
          <w:p w14:paraId="5CA6C84F" w14:textId="77777777" w:rsidR="0020368B" w:rsidRPr="00E618F0" w:rsidRDefault="0020368B" w:rsidP="0020368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FINANCIAL DISTRESS </w:t>
            </w:r>
          </w:p>
          <w:p w14:paraId="055F5518" w14:textId="77777777" w:rsidR="0020368B" w:rsidRPr="00E618F0" w:rsidRDefault="0020368B" w:rsidP="0020368B">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(Driscoll-Kraay SE)</w:t>
            </w:r>
          </w:p>
        </w:tc>
      </w:tr>
      <w:tr w:rsidR="0020368B" w:rsidRPr="00E618F0" w14:paraId="682DC230" w14:textId="77777777" w:rsidTr="00100DB9">
        <w:trPr>
          <w:gridAfter w:val="5"/>
          <w:cnfStyle w:val="000000100000" w:firstRow="0" w:lastRow="0" w:firstColumn="0" w:lastColumn="0" w:oddVBand="0" w:evenVBand="0" w:oddHBand="1" w:evenHBand="0" w:firstRowFirstColumn="0" w:firstRowLastColumn="0" w:lastRowFirstColumn="0" w:lastRowLastColumn="0"/>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625DEC41" w14:textId="77777777" w:rsidR="0020368B" w:rsidRPr="00E618F0" w:rsidRDefault="0020368B" w:rsidP="0020368B">
            <w:pPr>
              <w:spacing w:before="100" w:beforeAutospacing="1" w:after="100" w:afterAutospacing="1"/>
              <w:outlineLvl w:val="1"/>
              <w:rPr>
                <w:rFonts w:ascii="Times New Roman" w:eastAsia="Times New Roman" w:hAnsi="Times New Roman" w:cs="Times New Roman"/>
                <w:bCs/>
                <w:sz w:val="24"/>
                <w:szCs w:val="24"/>
              </w:rPr>
            </w:pPr>
            <w:r w:rsidRPr="00E618F0">
              <w:rPr>
                <w:rFonts w:ascii="Times New Roman" w:hAnsi="Times New Roman" w:cs="Times New Roman"/>
                <w:sz w:val="24"/>
                <w:szCs w:val="24"/>
              </w:rPr>
              <w:t>ETR</w:t>
            </w:r>
          </w:p>
        </w:tc>
        <w:tc>
          <w:tcPr>
            <w:tcW w:w="2111" w:type="dxa"/>
            <w:gridSpan w:val="2"/>
          </w:tcPr>
          <w:p w14:paraId="483D5CF8" w14:textId="77777777" w:rsidR="0020368B" w:rsidRPr="00E618F0" w:rsidRDefault="0020368B" w:rsidP="002036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0.0005</w:t>
            </w:r>
          </w:p>
          <w:p w14:paraId="75246A63" w14:textId="77777777" w:rsidR="0020368B" w:rsidRPr="00E618F0" w:rsidRDefault="0020368B" w:rsidP="002036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(0.701)</w:t>
            </w:r>
          </w:p>
        </w:tc>
        <w:tc>
          <w:tcPr>
            <w:tcW w:w="2388" w:type="dxa"/>
            <w:gridSpan w:val="3"/>
          </w:tcPr>
          <w:p w14:paraId="11123F12" w14:textId="77777777" w:rsidR="0020368B" w:rsidRPr="00E618F0" w:rsidRDefault="0020368B" w:rsidP="002036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0.001</w:t>
            </w:r>
          </w:p>
          <w:p w14:paraId="040A469F" w14:textId="77777777" w:rsidR="0020368B" w:rsidRPr="00E618F0" w:rsidRDefault="0020368B" w:rsidP="0020368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(0.399)</w:t>
            </w:r>
          </w:p>
        </w:tc>
        <w:tc>
          <w:tcPr>
            <w:tcW w:w="2193" w:type="dxa"/>
            <w:gridSpan w:val="4"/>
          </w:tcPr>
          <w:p w14:paraId="1943F444" w14:textId="77777777" w:rsidR="0020368B" w:rsidRPr="00E618F0" w:rsidRDefault="0020368B"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0.0005</w:t>
            </w:r>
          </w:p>
          <w:p w14:paraId="5EFE9883" w14:textId="77777777" w:rsidR="0020368B" w:rsidRPr="00E618F0" w:rsidRDefault="0020368B"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(0.740)</w:t>
            </w:r>
          </w:p>
        </w:tc>
      </w:tr>
      <w:tr w:rsidR="0020368B" w:rsidRPr="00E618F0" w14:paraId="74EE0284" w14:textId="77777777" w:rsidTr="00100DB9">
        <w:trPr>
          <w:gridAfter w:val="5"/>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3E7F9B28" w14:textId="77777777" w:rsidR="0020368B" w:rsidRPr="00E618F0" w:rsidRDefault="0020368B" w:rsidP="0020368B">
            <w:pPr>
              <w:pStyle w:val="NoSpacing"/>
              <w:rPr>
                <w:rFonts w:ascii="Times New Roman" w:eastAsia="Times New Roman" w:hAnsi="Times New Roman" w:cs="Times New Roman"/>
                <w:bCs/>
                <w:sz w:val="24"/>
                <w:szCs w:val="24"/>
              </w:rPr>
            </w:pPr>
            <w:r w:rsidRPr="00E618F0">
              <w:rPr>
                <w:rFonts w:ascii="Times New Roman" w:hAnsi="Times New Roman" w:cs="Times New Roman"/>
                <w:sz w:val="24"/>
                <w:szCs w:val="24"/>
                <w:lang w:val="en-GB"/>
              </w:rPr>
              <w:t>TCAP</w:t>
            </w:r>
          </w:p>
        </w:tc>
        <w:tc>
          <w:tcPr>
            <w:tcW w:w="2111" w:type="dxa"/>
            <w:gridSpan w:val="2"/>
          </w:tcPr>
          <w:p w14:paraId="407020B4" w14:textId="77777777" w:rsidR="0020368B" w:rsidRPr="00E618F0" w:rsidRDefault="0020368B"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-0.076</w:t>
            </w:r>
          </w:p>
          <w:p w14:paraId="28A364B2" w14:textId="77777777" w:rsidR="0020368B" w:rsidRPr="00E618F0" w:rsidRDefault="0020368B"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(0.023)</w:t>
            </w:r>
          </w:p>
        </w:tc>
        <w:tc>
          <w:tcPr>
            <w:tcW w:w="2388" w:type="dxa"/>
            <w:gridSpan w:val="3"/>
          </w:tcPr>
          <w:p w14:paraId="1F5AC932" w14:textId="77777777" w:rsidR="0020368B" w:rsidRPr="00E618F0" w:rsidRDefault="0020368B" w:rsidP="0020368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-0.048</w:t>
            </w:r>
          </w:p>
          <w:p w14:paraId="78E55668" w14:textId="77777777" w:rsidR="0020368B" w:rsidRPr="00E618F0" w:rsidRDefault="0020368B"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(0.094)</w:t>
            </w:r>
          </w:p>
        </w:tc>
        <w:tc>
          <w:tcPr>
            <w:tcW w:w="2193" w:type="dxa"/>
            <w:gridSpan w:val="4"/>
          </w:tcPr>
          <w:p w14:paraId="1130CC6B" w14:textId="77777777" w:rsidR="00FD5862" w:rsidRPr="00E618F0" w:rsidRDefault="0020368B"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-0.076</w:t>
            </w:r>
          </w:p>
          <w:p w14:paraId="181EE96F" w14:textId="77777777" w:rsidR="0020368B" w:rsidRPr="00E618F0"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**(0.021)</w:t>
            </w:r>
          </w:p>
        </w:tc>
      </w:tr>
      <w:tr w:rsidR="0020368B" w:rsidRPr="00E618F0" w14:paraId="100CACAF" w14:textId="77777777" w:rsidTr="00100DB9">
        <w:trPr>
          <w:gridAfter w:val="5"/>
          <w:cnfStyle w:val="000000100000" w:firstRow="0" w:lastRow="0" w:firstColumn="0" w:lastColumn="0" w:oddVBand="0" w:evenVBand="0" w:oddHBand="1" w:evenHBand="0" w:firstRowFirstColumn="0" w:firstRowLastColumn="0" w:lastRowFirstColumn="0" w:lastRowLastColumn="0"/>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69E36ED2" w14:textId="77777777" w:rsidR="0020368B" w:rsidRPr="00E618F0" w:rsidRDefault="00FD5862" w:rsidP="0020368B">
            <w:pPr>
              <w:pStyle w:val="NoSpacing"/>
              <w:rPr>
                <w:rFonts w:ascii="Times New Roman" w:eastAsia="Times New Roman" w:hAnsi="Times New Roman" w:cs="Times New Roman"/>
                <w:bCs/>
                <w:sz w:val="24"/>
                <w:szCs w:val="24"/>
              </w:rPr>
            </w:pPr>
            <w:r w:rsidRPr="00E618F0">
              <w:rPr>
                <w:rFonts w:ascii="Times New Roman" w:hAnsi="Times New Roman" w:cs="Times New Roman"/>
                <w:smallCaps/>
                <w:sz w:val="24"/>
                <w:szCs w:val="24"/>
                <w:lang w:val="en-GB"/>
              </w:rPr>
              <w:t>TS</w:t>
            </w:r>
          </w:p>
        </w:tc>
        <w:tc>
          <w:tcPr>
            <w:tcW w:w="2111" w:type="dxa"/>
            <w:gridSpan w:val="2"/>
          </w:tcPr>
          <w:p w14:paraId="551F6BA5" w14:textId="77777777" w:rsidR="0020368B" w:rsidRPr="00E618F0"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-0.011</w:t>
            </w:r>
          </w:p>
          <w:p w14:paraId="31716E5C" w14:textId="77777777" w:rsidR="00FD5862" w:rsidRPr="00E618F0"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(0.771)</w:t>
            </w:r>
          </w:p>
        </w:tc>
        <w:tc>
          <w:tcPr>
            <w:tcW w:w="2388" w:type="dxa"/>
            <w:gridSpan w:val="3"/>
          </w:tcPr>
          <w:p w14:paraId="67A39BF5" w14:textId="77777777" w:rsidR="0020368B" w:rsidRPr="00E618F0"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0.058</w:t>
            </w:r>
          </w:p>
          <w:p w14:paraId="0AA2EC5C" w14:textId="77777777" w:rsidR="00FD5862" w:rsidRPr="00E618F0"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(0.064)</w:t>
            </w:r>
          </w:p>
        </w:tc>
        <w:tc>
          <w:tcPr>
            <w:tcW w:w="2193" w:type="dxa"/>
            <w:gridSpan w:val="4"/>
          </w:tcPr>
          <w:p w14:paraId="27523D8C" w14:textId="77777777" w:rsidR="0020368B"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-0.011</w:t>
            </w:r>
          </w:p>
          <w:p w14:paraId="190FD936"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(0.817)</w:t>
            </w:r>
          </w:p>
        </w:tc>
      </w:tr>
      <w:tr w:rsidR="0020368B" w:rsidRPr="00E618F0" w14:paraId="16EB5556" w14:textId="77777777" w:rsidTr="00100DB9">
        <w:trPr>
          <w:gridAfter w:val="5"/>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514974AA" w14:textId="77777777" w:rsidR="0020368B" w:rsidRPr="00E618F0" w:rsidRDefault="00FD5862" w:rsidP="0020368B">
            <w:pPr>
              <w:pStyle w:val="NoSpacing"/>
              <w:rPr>
                <w:rFonts w:ascii="Times New Roman" w:eastAsia="Times New Roman" w:hAnsi="Times New Roman" w:cs="Times New Roman"/>
                <w:bCs/>
                <w:sz w:val="24"/>
                <w:szCs w:val="24"/>
              </w:rPr>
            </w:pPr>
            <w:r w:rsidRPr="00E618F0">
              <w:rPr>
                <w:rFonts w:ascii="Times New Roman" w:hAnsi="Times New Roman" w:cs="Times New Roman"/>
                <w:smallCaps/>
                <w:sz w:val="24"/>
                <w:szCs w:val="24"/>
                <w:lang w:val="en-GB"/>
              </w:rPr>
              <w:t>DETS</w:t>
            </w:r>
          </w:p>
        </w:tc>
        <w:tc>
          <w:tcPr>
            <w:tcW w:w="2111" w:type="dxa"/>
            <w:gridSpan w:val="2"/>
          </w:tcPr>
          <w:p w14:paraId="0A0D755A" w14:textId="77777777" w:rsidR="00FD5862" w:rsidRPr="00E618F0" w:rsidRDefault="00FD5862" w:rsidP="00FD586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-0.081</w:t>
            </w:r>
          </w:p>
          <w:p w14:paraId="415BBE22" w14:textId="77777777" w:rsidR="0020368B" w:rsidRPr="00E618F0"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(0.145)</w:t>
            </w:r>
          </w:p>
        </w:tc>
        <w:tc>
          <w:tcPr>
            <w:tcW w:w="2388" w:type="dxa"/>
            <w:gridSpan w:val="3"/>
          </w:tcPr>
          <w:p w14:paraId="779A0048" w14:textId="77777777" w:rsidR="00FD5862" w:rsidRPr="00E618F0" w:rsidRDefault="00FD5862" w:rsidP="00FD586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-0.109</w:t>
            </w:r>
          </w:p>
          <w:p w14:paraId="6A09B381" w14:textId="77777777" w:rsidR="0020368B" w:rsidRPr="00E618F0"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**(0.009)</w:t>
            </w:r>
          </w:p>
        </w:tc>
        <w:tc>
          <w:tcPr>
            <w:tcW w:w="2193" w:type="dxa"/>
            <w:gridSpan w:val="4"/>
          </w:tcPr>
          <w:p w14:paraId="113844B1" w14:textId="77777777" w:rsidR="00FD5862" w:rsidRPr="00E618F0" w:rsidRDefault="00FD5862" w:rsidP="00FD586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-0.081</w:t>
            </w:r>
          </w:p>
          <w:p w14:paraId="36AFF233" w14:textId="77777777" w:rsidR="0020368B" w:rsidRPr="00E618F0"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(0.252)</w:t>
            </w:r>
          </w:p>
        </w:tc>
      </w:tr>
      <w:tr w:rsidR="0020368B" w:rsidRPr="00E618F0" w14:paraId="03ED4581" w14:textId="77777777" w:rsidTr="00100DB9">
        <w:trPr>
          <w:gridAfter w:val="5"/>
          <w:cnfStyle w:val="000000100000" w:firstRow="0" w:lastRow="0" w:firstColumn="0" w:lastColumn="0" w:oddVBand="0" w:evenVBand="0" w:oddHBand="1" w:evenHBand="0" w:firstRowFirstColumn="0" w:firstRowLastColumn="0" w:lastRowFirstColumn="0" w:lastRowLastColumn="0"/>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5D3590AB" w14:textId="77777777" w:rsidR="0020368B" w:rsidRPr="00E618F0" w:rsidRDefault="00FD5862" w:rsidP="0020368B">
            <w:pPr>
              <w:pStyle w:val="NoSpacing"/>
              <w:rPr>
                <w:rFonts w:ascii="Times New Roman" w:eastAsia="Times New Roman" w:hAnsi="Times New Roman" w:cs="Times New Roman"/>
                <w:bCs/>
                <w:sz w:val="24"/>
                <w:szCs w:val="24"/>
              </w:rPr>
            </w:pPr>
            <w:r w:rsidRPr="00E618F0">
              <w:rPr>
                <w:rFonts w:ascii="Times New Roman" w:hAnsi="Times New Roman" w:cs="Times New Roman"/>
                <w:smallCaps/>
                <w:sz w:val="24"/>
                <w:szCs w:val="24"/>
                <w:lang w:val="en-GB"/>
              </w:rPr>
              <w:t>CAPINT</w:t>
            </w:r>
          </w:p>
        </w:tc>
        <w:tc>
          <w:tcPr>
            <w:tcW w:w="2111" w:type="dxa"/>
            <w:gridSpan w:val="2"/>
          </w:tcPr>
          <w:p w14:paraId="6AFBD473"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-0.139</w:t>
            </w:r>
          </w:p>
          <w:p w14:paraId="5A1221EF" w14:textId="77777777" w:rsidR="0020368B" w:rsidRPr="00E618F0"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**(0.015)</w:t>
            </w:r>
          </w:p>
        </w:tc>
        <w:tc>
          <w:tcPr>
            <w:tcW w:w="2388" w:type="dxa"/>
            <w:gridSpan w:val="3"/>
          </w:tcPr>
          <w:p w14:paraId="04ACA5DE"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-0.185</w:t>
            </w:r>
          </w:p>
          <w:p w14:paraId="6E63F988" w14:textId="77777777" w:rsidR="0020368B" w:rsidRPr="00E618F0"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***(0.000)</w:t>
            </w:r>
          </w:p>
        </w:tc>
        <w:tc>
          <w:tcPr>
            <w:tcW w:w="2193" w:type="dxa"/>
            <w:gridSpan w:val="4"/>
          </w:tcPr>
          <w:p w14:paraId="0C68C5FA"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-0.139</w:t>
            </w:r>
          </w:p>
          <w:p w14:paraId="2A7FCD21" w14:textId="77777777" w:rsidR="0020368B" w:rsidRPr="00E618F0" w:rsidRDefault="00FD5862" w:rsidP="0020368B">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**(0.021)</w:t>
            </w:r>
          </w:p>
        </w:tc>
      </w:tr>
      <w:tr w:rsidR="0020368B" w:rsidRPr="00E618F0" w14:paraId="13EED94E" w14:textId="77777777" w:rsidTr="00100DB9">
        <w:trPr>
          <w:gridAfter w:val="5"/>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40902986" w14:textId="77777777" w:rsidR="0020368B" w:rsidRPr="00E618F0" w:rsidRDefault="00FD5862" w:rsidP="0020368B">
            <w:pPr>
              <w:pStyle w:val="NoSpacing"/>
              <w:rPr>
                <w:rFonts w:ascii="Times New Roman" w:eastAsia="Times New Roman" w:hAnsi="Times New Roman" w:cs="Times New Roman"/>
                <w:bCs/>
                <w:sz w:val="24"/>
                <w:szCs w:val="24"/>
              </w:rPr>
            </w:pPr>
            <w:r w:rsidRPr="00E618F0">
              <w:rPr>
                <w:rFonts w:ascii="Times New Roman" w:hAnsi="Times New Roman" w:cs="Times New Roman"/>
                <w:smallCaps/>
                <w:sz w:val="24"/>
                <w:szCs w:val="24"/>
                <w:lang w:val="en-GB"/>
              </w:rPr>
              <w:t>FSIZE</w:t>
            </w:r>
          </w:p>
        </w:tc>
        <w:tc>
          <w:tcPr>
            <w:tcW w:w="2111" w:type="dxa"/>
            <w:gridSpan w:val="2"/>
          </w:tcPr>
          <w:p w14:paraId="7595D457" w14:textId="77777777" w:rsidR="00FD5862" w:rsidRPr="00E618F0" w:rsidRDefault="00FD5862" w:rsidP="00FD586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0.572</w:t>
            </w:r>
          </w:p>
          <w:p w14:paraId="10000592" w14:textId="77777777" w:rsidR="0020368B" w:rsidRPr="00E618F0"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***(0.000)</w:t>
            </w:r>
          </w:p>
        </w:tc>
        <w:tc>
          <w:tcPr>
            <w:tcW w:w="2388" w:type="dxa"/>
            <w:gridSpan w:val="3"/>
          </w:tcPr>
          <w:p w14:paraId="6BE25E2B" w14:textId="77777777" w:rsidR="00FD5862" w:rsidRPr="00E618F0" w:rsidRDefault="00FD5862" w:rsidP="00FD586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0.689</w:t>
            </w:r>
          </w:p>
          <w:p w14:paraId="6643974C" w14:textId="77777777" w:rsidR="0020368B" w:rsidRPr="00E618F0"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***(0.000)</w:t>
            </w:r>
          </w:p>
        </w:tc>
        <w:tc>
          <w:tcPr>
            <w:tcW w:w="2193" w:type="dxa"/>
            <w:gridSpan w:val="4"/>
          </w:tcPr>
          <w:p w14:paraId="4A102C3B" w14:textId="77777777" w:rsidR="00FD5862" w:rsidRPr="00E618F0" w:rsidRDefault="00FD5862" w:rsidP="00FD586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0.572</w:t>
            </w:r>
          </w:p>
          <w:p w14:paraId="697DA34E" w14:textId="77777777" w:rsidR="0020368B" w:rsidRPr="00E618F0" w:rsidRDefault="00FD5862" w:rsidP="0020368B">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rPr>
            </w:pPr>
            <w:r w:rsidRPr="00E618F0">
              <w:rPr>
                <w:rFonts w:ascii="Times New Roman" w:hAnsi="Times New Roman" w:cs="Times New Roman"/>
                <w:sz w:val="24"/>
                <w:szCs w:val="24"/>
              </w:rPr>
              <w:t>**(0.001)</w:t>
            </w:r>
          </w:p>
        </w:tc>
      </w:tr>
      <w:tr w:rsidR="00FD5862" w:rsidRPr="00E618F0" w14:paraId="37F2D33D" w14:textId="77777777" w:rsidTr="00100DB9">
        <w:trPr>
          <w:gridAfter w:val="5"/>
          <w:cnfStyle w:val="000000100000" w:firstRow="0" w:lastRow="0" w:firstColumn="0" w:lastColumn="0" w:oddVBand="0" w:evenVBand="0" w:oddHBand="1" w:evenHBand="0" w:firstRowFirstColumn="0" w:firstRowLastColumn="0" w:lastRowFirstColumn="0" w:lastRowLastColumn="0"/>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4D134360" w14:textId="77777777" w:rsidR="00FD5862" w:rsidRPr="00E618F0" w:rsidRDefault="00FD5862" w:rsidP="00FD5862">
            <w:pPr>
              <w:pStyle w:val="NoSpacing"/>
              <w:rPr>
                <w:rFonts w:ascii="Times New Roman" w:eastAsia="Times New Roman" w:hAnsi="Times New Roman" w:cs="Times New Roman"/>
                <w:bCs/>
                <w:sz w:val="24"/>
                <w:szCs w:val="24"/>
              </w:rPr>
            </w:pPr>
            <w:r w:rsidRPr="00E618F0">
              <w:rPr>
                <w:rFonts w:ascii="Times New Roman" w:hAnsi="Times New Roman" w:cs="Times New Roman"/>
                <w:sz w:val="24"/>
                <w:szCs w:val="24"/>
              </w:rPr>
              <w:t>F-stat/Wald Stat</w:t>
            </w:r>
          </w:p>
        </w:tc>
        <w:tc>
          <w:tcPr>
            <w:tcW w:w="2111" w:type="dxa"/>
            <w:gridSpan w:val="2"/>
          </w:tcPr>
          <w:p w14:paraId="770CA2FF"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10.27</w:t>
            </w:r>
          </w:p>
          <w:p w14:paraId="3AD60AC5"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***(0.0000) </w:t>
            </w:r>
          </w:p>
        </w:tc>
        <w:tc>
          <w:tcPr>
            <w:tcW w:w="2388" w:type="dxa"/>
            <w:gridSpan w:val="3"/>
          </w:tcPr>
          <w:p w14:paraId="40680467"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135.47</w:t>
            </w:r>
          </w:p>
          <w:p w14:paraId="717DBF47"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***(0.0000)</w:t>
            </w:r>
          </w:p>
        </w:tc>
        <w:tc>
          <w:tcPr>
            <w:tcW w:w="2193" w:type="dxa"/>
            <w:gridSpan w:val="4"/>
          </w:tcPr>
          <w:p w14:paraId="001FFB29"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17.74</w:t>
            </w:r>
          </w:p>
          <w:p w14:paraId="65F30AD1" w14:textId="77777777" w:rsidR="00FD5862" w:rsidRPr="00E618F0" w:rsidRDefault="00FD5862" w:rsidP="00FD586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 xml:space="preserve"> ***(0.0000)</w:t>
            </w:r>
          </w:p>
        </w:tc>
      </w:tr>
      <w:tr w:rsidR="00CF4CF5" w:rsidRPr="00E618F0" w14:paraId="11CFD242" w14:textId="77777777" w:rsidTr="00100DB9">
        <w:trPr>
          <w:gridAfter w:val="5"/>
          <w:wAfter w:w="3332" w:type="dxa"/>
        </w:trPr>
        <w:tc>
          <w:tcPr>
            <w:cnfStyle w:val="001000000000" w:firstRow="0" w:lastRow="0" w:firstColumn="1" w:lastColumn="0" w:oddVBand="0" w:evenVBand="0" w:oddHBand="0" w:evenHBand="0" w:firstRowFirstColumn="0" w:firstRowLastColumn="0" w:lastRowFirstColumn="0" w:lastRowLastColumn="0"/>
            <w:tcW w:w="1498" w:type="dxa"/>
          </w:tcPr>
          <w:p w14:paraId="799E8ED1" w14:textId="77777777" w:rsidR="00CF4CF5" w:rsidRPr="00E618F0" w:rsidRDefault="00CF4CF5" w:rsidP="00CF4CF5">
            <w:pPr>
              <w:spacing w:line="276" w:lineRule="auto"/>
              <w:rPr>
                <w:rFonts w:ascii="Times New Roman" w:hAnsi="Times New Roman" w:cs="Times New Roman"/>
                <w:sz w:val="24"/>
                <w:szCs w:val="24"/>
              </w:rPr>
            </w:pPr>
            <w:r w:rsidRPr="00E618F0">
              <w:rPr>
                <w:rFonts w:ascii="Times New Roman" w:hAnsi="Times New Roman" w:cs="Times New Roman"/>
                <w:sz w:val="24"/>
                <w:szCs w:val="24"/>
              </w:rPr>
              <w:t xml:space="preserve">R- Squared </w:t>
            </w:r>
          </w:p>
        </w:tc>
        <w:tc>
          <w:tcPr>
            <w:tcW w:w="2111" w:type="dxa"/>
            <w:gridSpan w:val="2"/>
          </w:tcPr>
          <w:p w14:paraId="52D9E8F4" w14:textId="77777777" w:rsidR="00CF4CF5" w:rsidRPr="00E618F0"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0.4906</w:t>
            </w:r>
          </w:p>
        </w:tc>
        <w:tc>
          <w:tcPr>
            <w:tcW w:w="2388" w:type="dxa"/>
            <w:gridSpan w:val="3"/>
          </w:tcPr>
          <w:p w14:paraId="0CCAAA64" w14:textId="77777777" w:rsidR="00CF4CF5" w:rsidRPr="00E618F0"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0.9063</w:t>
            </w:r>
          </w:p>
        </w:tc>
        <w:tc>
          <w:tcPr>
            <w:tcW w:w="2193" w:type="dxa"/>
            <w:gridSpan w:val="4"/>
          </w:tcPr>
          <w:p w14:paraId="55F77852" w14:textId="77777777" w:rsidR="00CF4CF5" w:rsidRPr="00E618F0"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sz w:val="24"/>
                <w:szCs w:val="24"/>
              </w:rPr>
              <w:t>0.4906</w:t>
            </w:r>
          </w:p>
        </w:tc>
      </w:tr>
      <w:tr w:rsidR="00CF4CF5" w:rsidRPr="00E618F0" w14:paraId="2DFB29E5" w14:textId="77777777" w:rsidTr="00100DB9">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800" w:type="dxa"/>
            <w:gridSpan w:val="2"/>
          </w:tcPr>
          <w:p w14:paraId="6CC1FA1A" w14:textId="77777777" w:rsidR="00CF4CF5" w:rsidRPr="00E618F0" w:rsidRDefault="00CF4CF5" w:rsidP="00CF4CF5">
            <w:pPr>
              <w:spacing w:line="276" w:lineRule="auto"/>
              <w:rPr>
                <w:rFonts w:ascii="Times New Roman" w:hAnsi="Times New Roman" w:cs="Times New Roman"/>
                <w:sz w:val="24"/>
                <w:szCs w:val="24"/>
              </w:rPr>
            </w:pPr>
          </w:p>
        </w:tc>
        <w:tc>
          <w:tcPr>
            <w:tcW w:w="3700" w:type="dxa"/>
            <w:gridSpan w:val="2"/>
          </w:tcPr>
          <w:p w14:paraId="68A4A643" w14:textId="77777777" w:rsidR="00CF4CF5" w:rsidRPr="00E618F0" w:rsidRDefault="00CF4CF5" w:rsidP="00CF4CF5">
            <w:pPr>
              <w:spacing w:line="276" w:lineRule="auto"/>
              <w:ind w:left="-5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Mean VIF = 2.13</w:t>
            </w:r>
          </w:p>
          <w:p w14:paraId="0F8B4B0F" w14:textId="77777777" w:rsidR="00CF4CF5" w:rsidRPr="00E618F0" w:rsidRDefault="00CF4CF5" w:rsidP="00CF4CF5">
            <w:pPr>
              <w:spacing w:line="276" w:lineRule="auto"/>
              <w:ind w:left="-5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334" w:type="dxa"/>
            <w:gridSpan w:val="7"/>
          </w:tcPr>
          <w:p w14:paraId="6DCB3572" w14:textId="77777777" w:rsidR="00CF4CF5" w:rsidRPr="00E618F0" w:rsidRDefault="00CF4CF5"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688" w:type="dxa"/>
            <w:gridSpan w:val="4"/>
          </w:tcPr>
          <w:p w14:paraId="27CE3CB1" w14:textId="77777777" w:rsidR="00CF4CF5" w:rsidRPr="00E618F0" w:rsidRDefault="00CF4CF5"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F4CF5" w:rsidRPr="00E618F0" w14:paraId="1FE0F948" w14:textId="77777777" w:rsidTr="00100DB9">
        <w:tc>
          <w:tcPr>
            <w:cnfStyle w:val="001000000000" w:firstRow="0" w:lastRow="0" w:firstColumn="1" w:lastColumn="0" w:oddVBand="0" w:evenVBand="0" w:oddHBand="0" w:evenHBand="0" w:firstRowFirstColumn="0" w:firstRowLastColumn="0" w:lastRowFirstColumn="0" w:lastRowLastColumn="0"/>
            <w:tcW w:w="1800" w:type="dxa"/>
            <w:gridSpan w:val="2"/>
          </w:tcPr>
          <w:p w14:paraId="1782F6A2" w14:textId="77777777" w:rsidR="00CF4CF5" w:rsidRPr="00E618F0" w:rsidRDefault="00CF4CF5" w:rsidP="00CF4CF5">
            <w:pPr>
              <w:spacing w:line="276" w:lineRule="auto"/>
              <w:rPr>
                <w:rFonts w:ascii="Times New Roman" w:hAnsi="Times New Roman" w:cs="Times New Roman"/>
                <w:sz w:val="24"/>
                <w:szCs w:val="24"/>
              </w:rPr>
            </w:pPr>
          </w:p>
        </w:tc>
        <w:tc>
          <w:tcPr>
            <w:tcW w:w="3700" w:type="dxa"/>
            <w:gridSpan w:val="2"/>
          </w:tcPr>
          <w:p w14:paraId="163C606C" w14:textId="77777777" w:rsidR="00CF4CF5" w:rsidRPr="00E618F0" w:rsidRDefault="00CF4CF5" w:rsidP="00CF4CF5">
            <w:pPr>
              <w:spacing w:line="276" w:lineRule="auto"/>
              <w:ind w:left="-5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Hausman Test</w:t>
            </w:r>
          </w:p>
          <w:p w14:paraId="254BD239" w14:textId="77777777" w:rsidR="00CF4CF5" w:rsidRPr="00E618F0" w:rsidRDefault="00CF4CF5" w:rsidP="00CF4CF5">
            <w:pPr>
              <w:spacing w:line="276" w:lineRule="auto"/>
              <w:ind w:left="-5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Chi</w:t>
            </w:r>
            <w:r w:rsidRPr="00E618F0">
              <w:rPr>
                <w:rFonts w:ascii="Times New Roman" w:hAnsi="Times New Roman" w:cs="Times New Roman"/>
                <w:vertAlign w:val="superscript"/>
              </w:rPr>
              <w:t>2</w:t>
            </w:r>
            <w:r w:rsidRPr="00E618F0">
              <w:rPr>
                <w:rFonts w:ascii="Times New Roman" w:hAnsi="Times New Roman" w:cs="Times New Roman"/>
              </w:rPr>
              <w:t xml:space="preserve"> = 16.22, Probability = (0.0027) **</w:t>
            </w:r>
          </w:p>
          <w:p w14:paraId="68CC9704" w14:textId="77777777" w:rsidR="00CF4CF5" w:rsidRPr="00E618F0" w:rsidRDefault="00CF4CF5" w:rsidP="00CF4CF5">
            <w:pPr>
              <w:spacing w:line="276" w:lineRule="auto"/>
              <w:ind w:left="-5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022" w:type="dxa"/>
            <w:gridSpan w:val="11"/>
          </w:tcPr>
          <w:p w14:paraId="0BCA6B25" w14:textId="77777777" w:rsidR="00CF4CF5" w:rsidRPr="00E618F0"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Modified Wald Test for Groupwise Heteroskedasticity</w:t>
            </w:r>
          </w:p>
          <w:p w14:paraId="6F7D1320" w14:textId="77777777" w:rsidR="00CF4CF5" w:rsidRPr="00E618F0"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Chi</w:t>
            </w:r>
            <w:r w:rsidRPr="00E618F0">
              <w:rPr>
                <w:rFonts w:ascii="Times New Roman" w:hAnsi="Times New Roman" w:cs="Times New Roman"/>
                <w:vertAlign w:val="superscript"/>
              </w:rPr>
              <w:t>2</w:t>
            </w:r>
            <w:r w:rsidRPr="00E618F0">
              <w:rPr>
                <w:rFonts w:ascii="Times New Roman" w:hAnsi="Times New Roman" w:cs="Times New Roman"/>
              </w:rPr>
              <w:t xml:space="preserve"> = 101.34, Probability = (0.0000) *** </w:t>
            </w:r>
          </w:p>
          <w:p w14:paraId="2C53A4AB" w14:textId="77777777" w:rsidR="00CF4CF5" w:rsidRPr="00E618F0"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F4CF5" w:rsidRPr="00E618F0" w14:paraId="3EBA5BEF" w14:textId="77777777" w:rsidTr="00100DB9">
        <w:trPr>
          <w:gridAfter w:val="3"/>
          <w:cnfStyle w:val="000000100000" w:firstRow="0" w:lastRow="0" w:firstColumn="0" w:lastColumn="0" w:oddVBand="0" w:evenVBand="0" w:oddHBand="1" w:evenHBand="0" w:firstRowFirstColumn="0" w:firstRowLastColumn="0" w:lastRowFirstColumn="0" w:lastRowLastColumn="0"/>
          <w:wAfter w:w="1082" w:type="dxa"/>
        </w:trPr>
        <w:tc>
          <w:tcPr>
            <w:cnfStyle w:val="001000000000" w:firstRow="0" w:lastRow="0" w:firstColumn="1" w:lastColumn="0" w:oddVBand="0" w:evenVBand="0" w:oddHBand="0" w:evenHBand="0" w:firstRowFirstColumn="0" w:firstRowLastColumn="0" w:lastRowFirstColumn="0" w:lastRowLastColumn="0"/>
            <w:tcW w:w="1800" w:type="dxa"/>
            <w:gridSpan w:val="2"/>
          </w:tcPr>
          <w:p w14:paraId="14C80BBC" w14:textId="77777777" w:rsidR="00CF4CF5" w:rsidRPr="00E618F0" w:rsidRDefault="00CF4CF5" w:rsidP="00CF4CF5">
            <w:pPr>
              <w:spacing w:line="276" w:lineRule="auto"/>
              <w:rPr>
                <w:rFonts w:ascii="Times New Roman" w:hAnsi="Times New Roman" w:cs="Times New Roman"/>
                <w:sz w:val="24"/>
                <w:szCs w:val="24"/>
              </w:rPr>
            </w:pPr>
          </w:p>
        </w:tc>
        <w:tc>
          <w:tcPr>
            <w:tcW w:w="3700" w:type="dxa"/>
            <w:gridSpan w:val="2"/>
          </w:tcPr>
          <w:p w14:paraId="5976F733" w14:textId="77777777" w:rsidR="00CF4CF5" w:rsidRPr="00E618F0" w:rsidRDefault="00CF4CF5" w:rsidP="00CF4CF5">
            <w:pPr>
              <w:spacing w:line="276" w:lineRule="auto"/>
              <w:ind w:left="-5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 xml:space="preserve">Wooldridge Test </w:t>
            </w:r>
          </w:p>
          <w:p w14:paraId="43F63971" w14:textId="77777777" w:rsidR="00CF4CF5" w:rsidRPr="00E618F0" w:rsidRDefault="00CF4CF5" w:rsidP="00CF4CF5">
            <w:pPr>
              <w:spacing w:line="276" w:lineRule="auto"/>
              <w:ind w:left="-5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Prob &gt; F =      0.0946</w:t>
            </w:r>
          </w:p>
          <w:p w14:paraId="58067CB1" w14:textId="77777777" w:rsidR="00CF4CF5" w:rsidRPr="00E618F0" w:rsidRDefault="00CF4CF5" w:rsidP="00CF4CF5">
            <w:pPr>
              <w:spacing w:line="276" w:lineRule="auto"/>
              <w:ind w:left="-5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940" w:type="dxa"/>
            <w:gridSpan w:val="8"/>
          </w:tcPr>
          <w:p w14:paraId="0BEA6793" w14:textId="77777777" w:rsidR="00CF4CF5" w:rsidRPr="00E618F0" w:rsidRDefault="00CF4CF5" w:rsidP="00100DB9">
            <w:pPr>
              <w:spacing w:line="276" w:lineRule="auto"/>
              <w:ind w:right="-9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 xml:space="preserve">Breusch and Pagan </w:t>
            </w:r>
            <w:proofErr w:type="spellStart"/>
            <w:r w:rsidRPr="00E618F0">
              <w:rPr>
                <w:rFonts w:ascii="Times New Roman" w:hAnsi="Times New Roman" w:cs="Times New Roman"/>
              </w:rPr>
              <w:t>Lagrangian</w:t>
            </w:r>
            <w:proofErr w:type="spellEnd"/>
            <w:r w:rsidRPr="00E618F0">
              <w:rPr>
                <w:rFonts w:ascii="Times New Roman" w:hAnsi="Times New Roman" w:cs="Times New Roman"/>
              </w:rPr>
              <w:t xml:space="preserve"> multiplier test for RE</w:t>
            </w:r>
          </w:p>
          <w:p w14:paraId="3A941AA4" w14:textId="77777777" w:rsidR="00CF4CF5" w:rsidRPr="00E618F0" w:rsidRDefault="00CF4CF5"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618F0">
              <w:rPr>
                <w:rFonts w:ascii="Times New Roman" w:hAnsi="Times New Roman" w:cs="Times New Roman"/>
              </w:rPr>
              <w:t>Chi</w:t>
            </w:r>
            <w:r w:rsidRPr="00E618F0">
              <w:rPr>
                <w:rFonts w:ascii="Times New Roman" w:hAnsi="Times New Roman" w:cs="Times New Roman"/>
                <w:vertAlign w:val="superscript"/>
              </w:rPr>
              <w:t>2</w:t>
            </w:r>
            <w:r w:rsidRPr="00E618F0">
              <w:rPr>
                <w:rFonts w:ascii="Times New Roman" w:hAnsi="Times New Roman" w:cs="Times New Roman"/>
              </w:rPr>
              <w:t xml:space="preserve"> = 0.00, Probability = (1.0000) </w:t>
            </w:r>
          </w:p>
          <w:p w14:paraId="5ECECDCF" w14:textId="77777777" w:rsidR="00CF4CF5" w:rsidRPr="00E618F0" w:rsidRDefault="00CF4CF5"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00DB9" w:rsidRPr="00E618F0" w14:paraId="5E186565" w14:textId="77777777" w:rsidTr="00100DB9">
        <w:trPr>
          <w:gridAfter w:val="2"/>
          <w:wAfter w:w="1007" w:type="dxa"/>
        </w:trPr>
        <w:tc>
          <w:tcPr>
            <w:cnfStyle w:val="001000000000" w:firstRow="0" w:lastRow="0" w:firstColumn="1" w:lastColumn="0" w:oddVBand="0" w:evenVBand="0" w:oddHBand="0" w:evenHBand="0" w:firstRowFirstColumn="0" w:firstRowLastColumn="0" w:lastRowFirstColumn="0" w:lastRowLastColumn="0"/>
            <w:tcW w:w="1800" w:type="dxa"/>
            <w:gridSpan w:val="2"/>
          </w:tcPr>
          <w:p w14:paraId="0E65C295" w14:textId="77777777" w:rsidR="00100DB9" w:rsidRPr="00E618F0" w:rsidRDefault="00100DB9" w:rsidP="00CF4CF5">
            <w:pPr>
              <w:spacing w:line="276" w:lineRule="auto"/>
              <w:rPr>
                <w:rFonts w:ascii="Times New Roman" w:hAnsi="Times New Roman" w:cs="Times New Roman"/>
                <w:sz w:val="24"/>
                <w:szCs w:val="24"/>
              </w:rPr>
            </w:pPr>
          </w:p>
        </w:tc>
        <w:tc>
          <w:tcPr>
            <w:tcW w:w="3780" w:type="dxa"/>
            <w:gridSpan w:val="3"/>
          </w:tcPr>
          <w:p w14:paraId="70E6910A" w14:textId="77777777" w:rsidR="00100DB9" w:rsidRPr="00E618F0" w:rsidRDefault="00100DB9"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E618F0">
              <w:rPr>
                <w:rFonts w:ascii="Times New Roman" w:hAnsi="Times New Roman" w:cs="Times New Roman"/>
              </w:rPr>
              <w:t>Pesaran's</w:t>
            </w:r>
            <w:proofErr w:type="spellEnd"/>
            <w:r w:rsidRPr="00E618F0">
              <w:rPr>
                <w:rFonts w:ascii="Times New Roman" w:hAnsi="Times New Roman" w:cs="Times New Roman"/>
              </w:rPr>
              <w:t xml:space="preserve"> Test of Cross-Sectional Independence     </w:t>
            </w:r>
            <w:proofErr w:type="spellStart"/>
            <w:r w:rsidRPr="00E618F0">
              <w:rPr>
                <w:rFonts w:ascii="Times New Roman" w:hAnsi="Times New Roman" w:cs="Times New Roman"/>
              </w:rPr>
              <w:t>Pr</w:t>
            </w:r>
            <w:proofErr w:type="spellEnd"/>
            <w:r w:rsidRPr="00E618F0">
              <w:rPr>
                <w:rFonts w:ascii="Times New Roman" w:hAnsi="Times New Roman" w:cs="Times New Roman"/>
              </w:rPr>
              <w:t xml:space="preserve">   =   0.1925</w:t>
            </w:r>
          </w:p>
          <w:p w14:paraId="58570E57" w14:textId="77777777" w:rsidR="00100DB9" w:rsidRPr="00E618F0" w:rsidRDefault="00100DB9"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935" w:type="dxa"/>
            <w:gridSpan w:val="8"/>
          </w:tcPr>
          <w:p w14:paraId="1ECDF40D" w14:textId="77777777" w:rsidR="00100DB9" w:rsidRPr="00E618F0" w:rsidRDefault="00100DB9" w:rsidP="00100DB9">
            <w:pPr>
              <w:spacing w:line="276" w:lineRule="auto"/>
              <w:ind w:left="-105" w:righ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rPr>
              <w:t xml:space="preserve">Breusch-Pagan LM test of Independence </w:t>
            </w:r>
            <w:proofErr w:type="spellStart"/>
            <w:r w:rsidRPr="00E618F0">
              <w:rPr>
                <w:rFonts w:ascii="Times New Roman" w:hAnsi="Times New Roman" w:cs="Times New Roman"/>
              </w:rPr>
              <w:t>Pr</w:t>
            </w:r>
            <w:proofErr w:type="spellEnd"/>
            <w:r w:rsidRPr="00E618F0">
              <w:rPr>
                <w:rFonts w:ascii="Times New Roman" w:hAnsi="Times New Roman" w:cs="Times New Roman"/>
              </w:rPr>
              <w:t xml:space="preserve"> = 0.0371**</w:t>
            </w:r>
          </w:p>
        </w:tc>
      </w:tr>
      <w:tr w:rsidR="00CF4CF5" w:rsidRPr="00E618F0" w14:paraId="5B00F942" w14:textId="77777777" w:rsidTr="00100DB9">
        <w:trPr>
          <w:gridAfter w:val="2"/>
          <w:cnfStyle w:val="000000100000" w:firstRow="0" w:lastRow="0" w:firstColumn="0" w:lastColumn="0" w:oddVBand="0" w:evenVBand="0" w:oddHBand="1" w:evenHBand="0" w:firstRowFirstColumn="0" w:firstRowLastColumn="0" w:lastRowFirstColumn="0" w:lastRowLastColumn="0"/>
          <w:wAfter w:w="1007" w:type="dxa"/>
        </w:trPr>
        <w:tc>
          <w:tcPr>
            <w:cnfStyle w:val="001000000000" w:firstRow="0" w:lastRow="0" w:firstColumn="1" w:lastColumn="0" w:oddVBand="0" w:evenVBand="0" w:oddHBand="0" w:evenHBand="0" w:firstRowFirstColumn="0" w:firstRowLastColumn="0" w:lastRowFirstColumn="0" w:lastRowLastColumn="0"/>
            <w:tcW w:w="1800" w:type="dxa"/>
            <w:gridSpan w:val="2"/>
          </w:tcPr>
          <w:p w14:paraId="68F6C940" w14:textId="77777777" w:rsidR="00CF4CF5" w:rsidRPr="00E618F0" w:rsidRDefault="00CF4CF5" w:rsidP="00CF4CF5">
            <w:pPr>
              <w:spacing w:line="276" w:lineRule="auto"/>
              <w:rPr>
                <w:rFonts w:ascii="Times New Roman" w:hAnsi="Times New Roman" w:cs="Times New Roman"/>
                <w:sz w:val="24"/>
                <w:szCs w:val="24"/>
              </w:rPr>
            </w:pPr>
          </w:p>
        </w:tc>
        <w:tc>
          <w:tcPr>
            <w:tcW w:w="3780" w:type="dxa"/>
            <w:gridSpan w:val="3"/>
          </w:tcPr>
          <w:p w14:paraId="5E939C3A" w14:textId="77777777" w:rsidR="00CF4CF5" w:rsidRPr="00E618F0" w:rsidRDefault="00100DB9"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rPr>
              <w:t>Test for Year Effect Bias =              Prob. &gt; F = 0.6082</w:t>
            </w:r>
          </w:p>
        </w:tc>
        <w:tc>
          <w:tcPr>
            <w:tcW w:w="2053" w:type="dxa"/>
            <w:gridSpan w:val="3"/>
          </w:tcPr>
          <w:p w14:paraId="5FDD4033" w14:textId="77777777" w:rsidR="00CF4CF5" w:rsidRPr="00E618F0" w:rsidRDefault="00CF4CF5"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882" w:type="dxa"/>
            <w:gridSpan w:val="5"/>
          </w:tcPr>
          <w:p w14:paraId="45F4CA48" w14:textId="77777777" w:rsidR="00CF4CF5" w:rsidRPr="00E618F0" w:rsidRDefault="00CF4CF5"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F4CF5" w:rsidRPr="00E618F0" w14:paraId="1C1F57FD" w14:textId="77777777" w:rsidTr="00100DB9">
        <w:trPr>
          <w:gridAfter w:val="1"/>
          <w:wAfter w:w="497" w:type="dxa"/>
        </w:trPr>
        <w:tc>
          <w:tcPr>
            <w:cnfStyle w:val="001000000000" w:firstRow="0" w:lastRow="0" w:firstColumn="1" w:lastColumn="0" w:oddVBand="0" w:evenVBand="0" w:oddHBand="0" w:evenHBand="0" w:firstRowFirstColumn="0" w:firstRowLastColumn="0" w:lastRowFirstColumn="0" w:lastRowLastColumn="0"/>
            <w:tcW w:w="1800" w:type="dxa"/>
            <w:gridSpan w:val="2"/>
          </w:tcPr>
          <w:p w14:paraId="4F672F4B" w14:textId="77777777" w:rsidR="00CF4CF5" w:rsidRPr="00E618F0" w:rsidRDefault="00CF4CF5" w:rsidP="00CF4CF5">
            <w:pPr>
              <w:spacing w:line="276" w:lineRule="auto"/>
              <w:rPr>
                <w:rFonts w:ascii="Times New Roman" w:hAnsi="Times New Roman" w:cs="Times New Roman"/>
                <w:sz w:val="24"/>
                <w:szCs w:val="24"/>
              </w:rPr>
            </w:pPr>
          </w:p>
        </w:tc>
        <w:tc>
          <w:tcPr>
            <w:tcW w:w="4290" w:type="dxa"/>
            <w:gridSpan w:val="5"/>
          </w:tcPr>
          <w:p w14:paraId="448E33AD" w14:textId="77777777" w:rsidR="00CF4CF5" w:rsidRPr="00E618F0"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53" w:type="dxa"/>
            <w:gridSpan w:val="2"/>
          </w:tcPr>
          <w:p w14:paraId="1E614F1D" w14:textId="77777777" w:rsidR="00CF4CF5" w:rsidRPr="00E618F0"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82" w:type="dxa"/>
            <w:gridSpan w:val="5"/>
          </w:tcPr>
          <w:p w14:paraId="1624C828" w14:textId="77777777" w:rsidR="00CF4CF5" w:rsidRPr="00E618F0" w:rsidRDefault="00CF4CF5" w:rsidP="00CF4CF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00DB9" w:rsidRPr="00E618F0" w14:paraId="4FB51850" w14:textId="77777777" w:rsidTr="00100DB9">
        <w:trPr>
          <w:gridAfter w:val="1"/>
          <w:cnfStyle w:val="000000100000" w:firstRow="0" w:lastRow="0" w:firstColumn="0" w:lastColumn="0" w:oddVBand="0" w:evenVBand="0" w:oddHBand="1" w:evenHBand="0" w:firstRowFirstColumn="0" w:firstRowLastColumn="0" w:lastRowFirstColumn="0" w:lastRowLastColumn="0"/>
          <w:wAfter w:w="497" w:type="dxa"/>
        </w:trPr>
        <w:tc>
          <w:tcPr>
            <w:cnfStyle w:val="001000000000" w:firstRow="0" w:lastRow="0" w:firstColumn="1" w:lastColumn="0" w:oddVBand="0" w:evenVBand="0" w:oddHBand="0" w:evenHBand="0" w:firstRowFirstColumn="0" w:firstRowLastColumn="0" w:lastRowFirstColumn="0" w:lastRowLastColumn="0"/>
            <w:tcW w:w="1800" w:type="dxa"/>
            <w:gridSpan w:val="2"/>
          </w:tcPr>
          <w:p w14:paraId="797F33E3" w14:textId="77777777" w:rsidR="00100DB9" w:rsidRPr="00E618F0" w:rsidRDefault="00100DB9" w:rsidP="00CF4CF5">
            <w:pPr>
              <w:spacing w:line="276" w:lineRule="auto"/>
              <w:rPr>
                <w:rFonts w:ascii="Times New Roman" w:hAnsi="Times New Roman" w:cs="Times New Roman"/>
                <w:sz w:val="24"/>
                <w:szCs w:val="24"/>
              </w:rPr>
            </w:pPr>
          </w:p>
        </w:tc>
        <w:tc>
          <w:tcPr>
            <w:tcW w:w="9225" w:type="dxa"/>
            <w:gridSpan w:val="12"/>
          </w:tcPr>
          <w:p w14:paraId="1FF68766" w14:textId="77777777" w:rsidR="00100DB9" w:rsidRPr="00E618F0" w:rsidRDefault="00100DB9" w:rsidP="00CF4CF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618F0">
              <w:rPr>
                <w:rFonts w:ascii="Times New Roman" w:hAnsi="Times New Roman" w:cs="Times New Roman"/>
              </w:rPr>
              <w:t>Note:</w:t>
            </w:r>
            <w:r w:rsidRPr="00E618F0">
              <w:rPr>
                <w:rFonts w:ascii="Times New Roman" w:hAnsi="Times New Roman" w:cs="Times New Roman"/>
              </w:rPr>
              <w:tab/>
              <w:t>(1) bracket () are p-values; (2) **, ***, implies statistical significance at 5% and 1% levels respectively</w:t>
            </w:r>
          </w:p>
        </w:tc>
      </w:tr>
    </w:tbl>
    <w:p w14:paraId="7172A11B" w14:textId="77777777" w:rsidR="009D51FD" w:rsidRPr="00E618F0" w:rsidRDefault="00473CED" w:rsidP="008B4605">
      <w:pPr>
        <w:spacing w:before="100" w:beforeAutospacing="1" w:after="100" w:afterAutospacing="1" w:line="240" w:lineRule="auto"/>
        <w:outlineLvl w:val="1"/>
        <w:rPr>
          <w:rFonts w:ascii="Times New Roman" w:eastAsia="Times New Roman" w:hAnsi="Times New Roman" w:cs="Times New Roman"/>
          <w:bCs/>
          <w:sz w:val="24"/>
          <w:szCs w:val="24"/>
        </w:rPr>
        <w:sectPr w:rsidR="009D51FD" w:rsidRPr="00E618F0" w:rsidSect="00F75D83">
          <w:headerReference w:type="even" r:id="rId8"/>
          <w:headerReference w:type="default" r:id="rId9"/>
          <w:footerReference w:type="even" r:id="rId10"/>
          <w:footerReference w:type="default" r:id="rId11"/>
          <w:headerReference w:type="first" r:id="rId12"/>
          <w:footerReference w:type="first" r:id="rId13"/>
          <w:pgSz w:w="12240" w:h="15840"/>
          <w:pgMar w:top="1350" w:right="1440" w:bottom="1440" w:left="1440" w:header="720" w:footer="720" w:gutter="0"/>
          <w:cols w:space="720"/>
        </w:sectPr>
      </w:pPr>
      <w:r w:rsidRPr="00E618F0">
        <w:rPr>
          <w:noProof/>
        </w:rPr>
        <mc:AlternateContent>
          <mc:Choice Requires="wps">
            <w:drawing>
              <wp:anchor distT="0" distB="0" distL="114300" distR="114300" simplePos="0" relativeHeight="251674624" behindDoc="0" locked="0" layoutInCell="1" allowOverlap="1" wp14:anchorId="0B2CEF96" wp14:editId="55F00337">
                <wp:simplePos x="0" y="0"/>
                <wp:positionH relativeFrom="column">
                  <wp:posOffset>447675</wp:posOffset>
                </wp:positionH>
                <wp:positionV relativeFrom="paragraph">
                  <wp:posOffset>123825</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9BB57E" w14:textId="77777777" w:rsidR="00473CED" w:rsidRPr="00473CED" w:rsidRDefault="00473CED" w:rsidP="00473CED">
                            <w:pPr>
                              <w:spacing w:before="100" w:beforeAutospacing="1" w:after="100" w:afterAutospacing="1" w:line="240" w:lineRule="auto"/>
                              <w:jc w:val="center"/>
                              <w:outlineLvl w:val="1"/>
                              <w:rPr>
                                <w:rFonts w:ascii="Times New Roman" w:eastAsia="Times New Roman" w:hAnsi="Times New Roman" w:cs="Times New Roman"/>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b/>
                                <w:bCs/>
                                <w:sz w:val="24"/>
                                <w:szCs w:val="24"/>
                              </w:rPr>
                              <w:t>Source:</w:t>
                            </w:r>
                            <w:r>
                              <w:rPr>
                                <w:rFonts w:ascii="Times New Roman" w:eastAsia="Times New Roman" w:hAnsi="Times New Roman"/>
                                <w:sz w:val="24"/>
                                <w:szCs w:val="24"/>
                              </w:rPr>
                              <w:t xml:space="preserve"> Author’s Computation (2026) (Stata Version 17)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B2CEF96" id="Text Box 1" o:spid="_x0000_s1053" type="#_x0000_t202" style="position:absolute;margin-left:35.25pt;margin-top:9.75pt;width:2in;height:2in;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1jODQIAACo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" filled="f" stroked="f">
                <v:textbox style="mso-fit-shape-to-text:t">
                  <w:txbxContent>
                    <w:p w14:paraId="4E9BB57E" w14:textId="77777777" w:rsidR="00473CED" w:rsidRPr="00473CED" w:rsidRDefault="00473CED" w:rsidP="00473CED">
                      <w:pPr>
                        <w:spacing w:before="100" w:beforeAutospacing="1" w:after="100" w:afterAutospacing="1" w:line="240" w:lineRule="auto"/>
                        <w:jc w:val="center"/>
                        <w:outlineLvl w:val="1"/>
                        <w:rPr>
                          <w:rFonts w:ascii="Times New Roman" w:eastAsia="Times New Roman" w:hAnsi="Times New Roman" w:cs="Times New Roman"/>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Times New Roman" w:hAnsi="Times New Roman"/>
                          <w:b/>
                          <w:bCs/>
                          <w:sz w:val="24"/>
                          <w:szCs w:val="24"/>
                        </w:rPr>
                        <w:t>Source:</w:t>
                      </w:r>
                      <w:r>
                        <w:rPr>
                          <w:rFonts w:ascii="Times New Roman" w:eastAsia="Times New Roman" w:hAnsi="Times New Roman"/>
                          <w:sz w:val="24"/>
                          <w:szCs w:val="24"/>
                        </w:rPr>
                        <w:t xml:space="preserve"> Author’s Computation (2026) (Stata Version 17)</w:t>
                      </w:r>
                    </w:p>
                  </w:txbxContent>
                </v:textbox>
              </v:shape>
            </w:pict>
          </mc:Fallback>
        </mc:AlternateContent>
      </w:r>
    </w:p>
    <w:p w14:paraId="559B862A" w14:textId="77777777" w:rsidR="00100DB9" w:rsidRPr="00E618F0" w:rsidRDefault="00100DB9" w:rsidP="00473CED">
      <w:pPr>
        <w:spacing w:before="100" w:beforeAutospacing="1" w:after="100" w:afterAutospacing="1" w:line="240" w:lineRule="auto"/>
        <w:ind w:left="1440" w:hanging="360"/>
        <w:outlineLvl w:val="2"/>
        <w:rPr>
          <w:rFonts w:ascii="Times New Roman" w:eastAsia="Times New Roman" w:hAnsi="Times New Roman" w:cs="Times New Roman"/>
          <w:b/>
          <w:bCs/>
          <w:sz w:val="27"/>
          <w:szCs w:val="27"/>
        </w:rPr>
      </w:pPr>
      <w:r w:rsidRPr="00E618F0">
        <w:rPr>
          <w:rFonts w:ascii="Times New Roman" w:eastAsia="Times New Roman" w:hAnsi="Times New Roman" w:cs="Times New Roman"/>
          <w:b/>
          <w:bCs/>
          <w:sz w:val="24"/>
          <w:szCs w:val="24"/>
        </w:rPr>
        <w:lastRenderedPageBreak/>
        <w:t>Model diagnostics:</w:t>
      </w:r>
      <w:r w:rsidRPr="00E618F0">
        <w:rPr>
          <w:rFonts w:ascii="Times New Roman" w:eastAsia="Times New Roman" w:hAnsi="Times New Roman" w:cs="Times New Roman"/>
          <w:sz w:val="24"/>
          <w:szCs w:val="24"/>
        </w:rPr>
        <w:br/>
        <w:t>R² = 0.4906</w:t>
      </w:r>
      <w:r w:rsidRPr="00E618F0">
        <w:rPr>
          <w:rFonts w:ascii="Times New Roman" w:eastAsia="Times New Roman" w:hAnsi="Times New Roman" w:cs="Times New Roman"/>
          <w:sz w:val="24"/>
          <w:szCs w:val="24"/>
        </w:rPr>
        <w:br/>
        <w:t>F-stat = 10.27 (p &lt; 0.01)</w:t>
      </w:r>
      <w:r w:rsidRPr="00E618F0">
        <w:rPr>
          <w:rFonts w:ascii="Times New Roman" w:eastAsia="Times New Roman" w:hAnsi="Times New Roman" w:cs="Times New Roman"/>
          <w:sz w:val="24"/>
          <w:szCs w:val="24"/>
        </w:rPr>
        <w:br/>
        <w:t>Hausman test = 16.22 (p = 0.0027)</w:t>
      </w:r>
    </w:p>
    <w:p w14:paraId="4A76CEC0" w14:textId="77777777" w:rsidR="000A5D48" w:rsidRPr="00E618F0" w:rsidRDefault="007A1F5F" w:rsidP="000A5D48">
      <w:pPr>
        <w:spacing w:before="100" w:beforeAutospacing="1" w:after="100" w:afterAutospacing="1" w:line="240" w:lineRule="auto"/>
        <w:ind w:left="360" w:hanging="360"/>
        <w:outlineLvl w:val="2"/>
        <w:rPr>
          <w:rFonts w:ascii="Times New Roman" w:eastAsia="Times New Roman" w:hAnsi="Times New Roman" w:cs="Times New Roman"/>
          <w:b/>
          <w:bCs/>
          <w:sz w:val="27"/>
          <w:szCs w:val="27"/>
        </w:rPr>
      </w:pPr>
      <w:r w:rsidRPr="00E618F0">
        <w:rPr>
          <w:rFonts w:ascii="Times New Roman" w:eastAsia="Times New Roman" w:hAnsi="Times New Roman" w:cs="Times New Roman"/>
          <w:b/>
          <w:bCs/>
          <w:sz w:val="27"/>
          <w:szCs w:val="27"/>
        </w:rPr>
        <w:t>4.0</w:t>
      </w:r>
      <w:r w:rsidRPr="00E618F0">
        <w:rPr>
          <w:rFonts w:ascii="Times New Roman" w:eastAsia="Times New Roman" w:hAnsi="Times New Roman" w:cs="Times New Roman"/>
          <w:b/>
          <w:bCs/>
          <w:sz w:val="27"/>
          <w:szCs w:val="27"/>
        </w:rPr>
        <w:tab/>
      </w:r>
      <w:r w:rsidRPr="00E618F0">
        <w:rPr>
          <w:rFonts w:ascii="Times New Roman" w:eastAsia="Times New Roman" w:hAnsi="Times New Roman" w:cs="Times New Roman"/>
          <w:b/>
          <w:bCs/>
          <w:sz w:val="27"/>
          <w:szCs w:val="27"/>
        </w:rPr>
        <w:tab/>
      </w:r>
      <w:r w:rsidR="000A5D48" w:rsidRPr="00E618F0">
        <w:rPr>
          <w:rFonts w:ascii="Times New Roman" w:eastAsia="Times New Roman" w:hAnsi="Times New Roman" w:cs="Times New Roman"/>
          <w:b/>
          <w:bCs/>
          <w:sz w:val="27"/>
          <w:szCs w:val="27"/>
        </w:rPr>
        <w:t>DISCUSSION OF RESULTS</w:t>
      </w:r>
    </w:p>
    <w:p w14:paraId="4AE67F41" w14:textId="77777777" w:rsidR="00CB52FF" w:rsidRPr="00E618F0" w:rsidRDefault="00CB52FF" w:rsidP="000A5D48">
      <w:pPr>
        <w:spacing w:before="100" w:beforeAutospacing="1" w:after="100" w:afterAutospacing="1" w:line="240" w:lineRule="auto"/>
        <w:ind w:left="72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The finding that ETR does not significantly influence financial distress aligns with Altman (1968) and Campbell et al. (2008), who argue that distress prediction is driven more by internal financial fundamentals than tax variables. This suggests that tax burden alone does not materially alter firms’ insolvency risk.</w:t>
      </w:r>
    </w:p>
    <w:p w14:paraId="07ACC2D9" w14:textId="77777777" w:rsidR="008935DB" w:rsidRPr="00E618F0" w:rsidRDefault="00000000">
      <w:r w:rsidRPr="00E618F0">
        <w:rPr>
          <w:sz w:val="24"/>
        </w:rPr>
        <w:t>The insignificant coefficient should therefore be interpreted cautiously because annual effective tax rate measures may not fully capture long-run tax planning behavior or the cash-tax dimension of avoidance. Prior studies show that one-year tax-rate measures can be volatile and that tax avoidance outcomes are better evaluated over longer horizons, while tax reporting choices may also interact with financial reporting aggressiveness and governance quality (Dyreng et al., 2008; Frank et al., 2009; Desai &amp; Dharmapala, 2009).</w:t>
      </w:r>
    </w:p>
    <w:p w14:paraId="09BBB755" w14:textId="77777777" w:rsidR="00CB52FF" w:rsidRPr="00E618F0" w:rsidRDefault="00CB52FF" w:rsidP="000A5D48">
      <w:pPr>
        <w:spacing w:before="100" w:beforeAutospacing="1" w:after="100" w:afterAutospacing="1" w:line="240" w:lineRule="auto"/>
        <w:ind w:left="72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Thin capitalization significantly increases financial distress, supporting Trade-Off Theory (Kraus &amp; Litzenberger, 1973; Myers, 1984). While debt financing provides tax advantages, excessive leverage increases fixed obligations and reduces financial flexibility, thereby heightening bankruptcy risk (Leland, 1994).</w:t>
      </w:r>
      <w:r w:rsidR="007A1F5F" w:rsidRPr="00E618F0">
        <w:rPr>
          <w:rFonts w:ascii="Times New Roman" w:eastAsia="Times New Roman" w:hAnsi="Times New Roman" w:cs="Times New Roman"/>
          <w:sz w:val="24"/>
          <w:szCs w:val="24"/>
        </w:rPr>
        <w:t xml:space="preserve"> </w:t>
      </w:r>
      <w:r w:rsidRPr="00E618F0">
        <w:rPr>
          <w:rFonts w:ascii="Times New Roman" w:eastAsia="Times New Roman" w:hAnsi="Times New Roman" w:cs="Times New Roman"/>
          <w:sz w:val="24"/>
          <w:szCs w:val="24"/>
        </w:rPr>
        <w:t>This finding is particularly relevant in the Nigerian healthcare sector, where firms rely heavily on debt to finance capital-intensive operations such as medical infrastructure and equipment acquisition, exposing them to interest rate and liquidity risks.</w:t>
      </w:r>
    </w:p>
    <w:p w14:paraId="0174E9B6" w14:textId="77777777" w:rsidR="008935DB" w:rsidRPr="00E618F0" w:rsidRDefault="00000000">
      <w:r w:rsidRPr="00E618F0">
        <w:rPr>
          <w:sz w:val="24"/>
        </w:rPr>
        <w:t xml:space="preserve">This evidence supports the view that the interest tax shield from debt is not costless. In line with trade-off reasoning, firms may benefit from debt deductibility up to the point at which expected distress costs, covenant pressure, refinancing constraints, and bankruptcy risk begin to offset the tax advantage of leverage (Kraus &amp; Litzenberger, 1973; DeAngelo &amp; </w:t>
      </w:r>
      <w:proofErr w:type="spellStart"/>
      <w:r w:rsidRPr="00E618F0">
        <w:rPr>
          <w:sz w:val="24"/>
        </w:rPr>
        <w:t>Masulis</w:t>
      </w:r>
      <w:proofErr w:type="spellEnd"/>
      <w:r w:rsidRPr="00E618F0">
        <w:rPr>
          <w:sz w:val="24"/>
        </w:rPr>
        <w:t>, 1980; Leland, 1994).</w:t>
      </w:r>
    </w:p>
    <w:p w14:paraId="7D369692" w14:textId="77777777" w:rsidR="00CB52FF" w:rsidRPr="00E618F0" w:rsidRDefault="00CB52FF" w:rsidP="000A5D48">
      <w:pPr>
        <w:spacing w:before="100" w:beforeAutospacing="1" w:after="100" w:afterAutospacing="1" w:line="240" w:lineRule="auto"/>
        <w:ind w:left="720"/>
        <w:jc w:val="both"/>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Both TS and DETS are statistically insignificant, indicating limited explanatory power in financial distress prediction. This is consistent with Grice and Ingram (2001), who find that tax-related accounting adjustments have weak predictive ability compared to liquidity and profitability measures.</w:t>
      </w:r>
    </w:p>
    <w:p w14:paraId="323B6CBB" w14:textId="77777777" w:rsidR="008935DB" w:rsidRPr="00E618F0" w:rsidRDefault="00000000">
      <w:r w:rsidRPr="00E618F0">
        <w:rPr>
          <w:sz w:val="24"/>
        </w:rPr>
        <w:t>The weak effect of TS and DETS suggests that accounting-based tax shields may not operate as strong distress buffers unless they are supported by operating cash flow, profitability, and liquidity capacity. This interpretation is consistent with evidence that bankruptcy prediction models are driven principally by financial ratios reflecting liquidity, leverage, profitability, and asset efficiency rather than isolated tax accounting adjustments (Ohlson, 1980; Grice &amp; Ingram, 2001; Begley et al., 1996).</w:t>
      </w:r>
    </w:p>
    <w:p w14:paraId="2CC71388" w14:textId="77777777" w:rsidR="00CB52FF" w:rsidRPr="00E618F0" w:rsidRDefault="00CB52FF" w:rsidP="000A5D48">
      <w:pPr>
        <w:spacing w:before="100" w:beforeAutospacing="1" w:after="100" w:afterAutospacing="1" w:line="240" w:lineRule="auto"/>
        <w:ind w:left="720"/>
        <w:jc w:val="both"/>
        <w:rPr>
          <w:rFonts w:ascii="Times New Roman" w:eastAsia="Times New Roman" w:hAnsi="Times New Roman" w:cs="Times New Roman"/>
          <w:sz w:val="24"/>
          <w:szCs w:val="24"/>
        </w:rPr>
      </w:pPr>
      <w:r w:rsidRPr="00E618F0">
        <w:rPr>
          <w:sz w:val="24"/>
        </w:rPr>
        <w:lastRenderedPageBreak/>
        <w:t>Capital intensity significantly worsens financial distress, consistent with Altman’s (1968) model, which emphasizes asset turnover as a key determinant of financial health. Inefficient asset utilization reduces revenue generation capacity, increasing vulnerability to financial distress (Begley et al., 1996). In healthcare firms, high capital investment in diagnostic and medical equipment without proportional revenue generation exacerbates financial strain, particularly in environments with low insurance penetration and weak reimbursement systems.</w:t>
      </w:r>
    </w:p>
    <w:p w14:paraId="6C451AD3" w14:textId="77777777" w:rsidR="008935DB" w:rsidRPr="00E618F0" w:rsidRDefault="00000000">
      <w:r w:rsidRPr="00E618F0">
        <w:rPr>
          <w:sz w:val="24"/>
        </w:rPr>
        <w:t>The result further indicates that asset-heavy tax positioning can become financially restrictive when investment in property, plant, equipment, and medical infrastructure is not matched by adequate turnover and cash generation. Since the Altman framework gives analytical importance to sales-to-assets and other efficiency-related ratios, high capital intensity can depress solvency indicators when fixed assets remain underutilized or when demand conditions weaken (Altman, 1968; Begley et al., 1996; Grice &amp; Ingram, 2001).</w:t>
      </w:r>
    </w:p>
    <w:p w14:paraId="3223095D" w14:textId="77777777" w:rsidR="00036EFA" w:rsidRPr="00E618F0" w:rsidRDefault="0053302D" w:rsidP="00036EFA">
      <w:pPr>
        <w:spacing w:before="100" w:beforeAutospacing="1" w:after="100" w:afterAutospacing="1" w:line="240" w:lineRule="auto"/>
        <w:outlineLvl w:val="1"/>
        <w:rPr>
          <w:rFonts w:ascii="Times New Roman" w:eastAsia="Times New Roman" w:hAnsi="Times New Roman" w:cs="Times New Roman"/>
          <w:b/>
          <w:bCs/>
          <w:sz w:val="36"/>
          <w:szCs w:val="36"/>
        </w:rPr>
      </w:pPr>
      <w:r w:rsidRPr="00E618F0">
        <w:rPr>
          <w:rFonts w:ascii="Times New Roman" w:eastAsia="Times New Roman" w:hAnsi="Times New Roman" w:cs="Times New Roman"/>
          <w:b/>
          <w:bCs/>
          <w:sz w:val="24"/>
          <w:szCs w:val="24"/>
        </w:rPr>
        <w:t>5</w:t>
      </w:r>
      <w:r w:rsidR="00C17286" w:rsidRPr="00E618F0">
        <w:rPr>
          <w:rFonts w:ascii="Times New Roman" w:eastAsia="Times New Roman" w:hAnsi="Times New Roman" w:cs="Times New Roman"/>
          <w:b/>
          <w:bCs/>
          <w:sz w:val="24"/>
          <w:szCs w:val="24"/>
        </w:rPr>
        <w:t>.</w:t>
      </w:r>
      <w:r w:rsidRPr="00E618F0">
        <w:rPr>
          <w:rFonts w:ascii="Times New Roman" w:eastAsia="Times New Roman" w:hAnsi="Times New Roman" w:cs="Times New Roman"/>
          <w:b/>
          <w:bCs/>
          <w:sz w:val="24"/>
          <w:szCs w:val="24"/>
        </w:rPr>
        <w:t>1</w:t>
      </w:r>
      <w:r w:rsidRPr="00E618F0">
        <w:rPr>
          <w:rFonts w:ascii="Times New Roman" w:eastAsia="Times New Roman" w:hAnsi="Times New Roman" w:cs="Times New Roman"/>
          <w:b/>
          <w:bCs/>
          <w:sz w:val="24"/>
          <w:szCs w:val="24"/>
        </w:rPr>
        <w:tab/>
      </w:r>
      <w:r w:rsidR="00036EFA" w:rsidRPr="00E618F0">
        <w:rPr>
          <w:rFonts w:ascii="Times New Roman" w:eastAsia="Times New Roman" w:hAnsi="Times New Roman" w:cs="Times New Roman"/>
          <w:b/>
          <w:bCs/>
          <w:sz w:val="36"/>
          <w:szCs w:val="36"/>
        </w:rPr>
        <w:t>Conclusions</w:t>
      </w:r>
    </w:p>
    <w:p w14:paraId="052B003E" w14:textId="77777777" w:rsidR="00036EFA" w:rsidRPr="00E618F0" w:rsidRDefault="00036EFA" w:rsidP="00036EFA">
      <w:pPr>
        <w:spacing w:before="100" w:beforeAutospacing="1" w:after="100" w:afterAutospacing="1" w:line="240" w:lineRule="auto"/>
        <w:rPr>
          <w:rFonts w:ascii="Times New Roman" w:eastAsia="Times New Roman" w:hAnsi="Times New Roman" w:cs="Times New Roman"/>
          <w:sz w:val="24"/>
          <w:szCs w:val="24"/>
        </w:rPr>
      </w:pPr>
      <w:r w:rsidRPr="00E618F0">
        <w:rPr>
          <w:rFonts w:ascii="Times New Roman" w:eastAsia="Times New Roman" w:hAnsi="Times New Roman" w:cs="Times New Roman"/>
          <w:sz w:val="24"/>
          <w:szCs w:val="24"/>
        </w:rPr>
        <w:t>The study found that corporate tax optimization strategies do not have uniform relationships with financial distress among listed healthcare firms in Nigeria. Effective tax rate, tax shield, and depreciation tax shield did not show statistically significant effects in the estimated model. In contrast, thin capitalization and capital intensity were statistically significant, indicating that financing and asset-structure decisions are more closely associated with financial distress outcomes than tax adjustments alone. The results suggest that healthcare firms should balance the tax benefits of debt and capital allowances against the possible risks associated with excessive leverage and inefficient asset utilization. The findings support the need for sustainable capital structures and careful investment planning in capital-intensive healthcare firms. Managers should therefore approach tax optimization as part of broader financial strategy rather than as an isolated tool for improving firm stability. Investors and regulators may also benefit from monitoring leverage and asset efficiency indicators when assessing financial risk in the sector.</w:t>
      </w:r>
    </w:p>
    <w:p w14:paraId="72AB0BBA" w14:textId="77777777" w:rsidR="00036EFA" w:rsidRPr="00E618F0" w:rsidRDefault="00036EFA" w:rsidP="00036EFA">
      <w:pPr>
        <w:spacing w:before="100" w:beforeAutospacing="1" w:after="100" w:afterAutospacing="1" w:line="240" w:lineRule="auto"/>
        <w:outlineLvl w:val="1"/>
        <w:rPr>
          <w:rFonts w:ascii="Times New Roman" w:eastAsia="Times New Roman" w:hAnsi="Times New Roman" w:cs="Times New Roman"/>
          <w:b/>
          <w:bCs/>
          <w:sz w:val="24"/>
          <w:szCs w:val="24"/>
        </w:rPr>
      </w:pPr>
    </w:p>
    <w:p w14:paraId="26EDCC31" w14:textId="77777777" w:rsidR="00C17286" w:rsidRPr="00E618F0" w:rsidRDefault="0053302D" w:rsidP="00036EFA">
      <w:pPr>
        <w:spacing w:before="100" w:beforeAutospacing="1" w:after="100" w:afterAutospacing="1" w:line="240" w:lineRule="auto"/>
        <w:outlineLvl w:val="1"/>
        <w:rPr>
          <w:rFonts w:ascii="Times New Roman" w:eastAsia="Times New Roman" w:hAnsi="Times New Roman" w:cs="Times New Roman"/>
          <w:b/>
          <w:bCs/>
          <w:sz w:val="24"/>
          <w:szCs w:val="24"/>
        </w:rPr>
      </w:pPr>
      <w:r w:rsidRPr="00E618F0">
        <w:rPr>
          <w:rFonts w:ascii="Times New Roman" w:eastAsia="Times New Roman" w:hAnsi="Times New Roman" w:cs="Times New Roman"/>
          <w:b/>
          <w:bCs/>
          <w:sz w:val="24"/>
          <w:szCs w:val="24"/>
        </w:rPr>
        <w:t>5.2</w:t>
      </w:r>
      <w:r w:rsidRPr="00E618F0">
        <w:rPr>
          <w:rFonts w:ascii="Times New Roman" w:eastAsia="Times New Roman" w:hAnsi="Times New Roman" w:cs="Times New Roman"/>
          <w:b/>
          <w:bCs/>
          <w:sz w:val="24"/>
          <w:szCs w:val="24"/>
        </w:rPr>
        <w:tab/>
      </w:r>
      <w:r w:rsidR="00C17286" w:rsidRPr="00E618F0">
        <w:rPr>
          <w:rFonts w:ascii="Times New Roman" w:eastAsia="Times New Roman" w:hAnsi="Times New Roman" w:cs="Times New Roman"/>
          <w:b/>
          <w:bCs/>
          <w:sz w:val="24"/>
          <w:szCs w:val="24"/>
        </w:rPr>
        <w:t xml:space="preserve"> RECOMMENDATIONS</w:t>
      </w:r>
    </w:p>
    <w:p w14:paraId="0BBF43C1" w14:textId="77777777" w:rsidR="005A1B67" w:rsidRPr="00E618F0" w:rsidRDefault="005A1B67" w:rsidP="0053302D">
      <w:pPr>
        <w:pStyle w:val="NoSpacing"/>
        <w:ind w:left="1080" w:hanging="360"/>
        <w:rPr>
          <w:rFonts w:ascii="Times New Roman" w:hAnsi="Times New Roman" w:cs="Times New Roman"/>
          <w:bCs/>
          <w:sz w:val="24"/>
          <w:szCs w:val="24"/>
        </w:rPr>
      </w:pPr>
      <w:proofErr w:type="spellStart"/>
      <w:r w:rsidRPr="00E618F0">
        <w:rPr>
          <w:rFonts w:ascii="Times New Roman" w:hAnsi="Times New Roman" w:cs="Times New Roman"/>
          <w:bCs/>
          <w:sz w:val="24"/>
          <w:szCs w:val="24"/>
        </w:rPr>
        <w:t>i</w:t>
      </w:r>
      <w:proofErr w:type="spellEnd"/>
      <w:r w:rsidRPr="00E618F0">
        <w:rPr>
          <w:rFonts w:ascii="Times New Roman" w:hAnsi="Times New Roman" w:cs="Times New Roman"/>
          <w:bCs/>
          <w:sz w:val="24"/>
          <w:szCs w:val="24"/>
        </w:rPr>
        <w:t>.</w:t>
      </w:r>
      <w:r w:rsidRPr="00E618F0">
        <w:rPr>
          <w:rFonts w:ascii="Times New Roman" w:hAnsi="Times New Roman" w:cs="Times New Roman"/>
          <w:bCs/>
          <w:sz w:val="24"/>
          <w:szCs w:val="24"/>
        </w:rPr>
        <w:tab/>
        <w:t>Capital Structure Management:</w:t>
      </w:r>
    </w:p>
    <w:p w14:paraId="4396EF52" w14:textId="77777777" w:rsidR="005A1B67" w:rsidRPr="00E618F0" w:rsidRDefault="005A1B67" w:rsidP="00057707">
      <w:pPr>
        <w:pStyle w:val="NoSpacing"/>
        <w:ind w:left="1080"/>
        <w:jc w:val="both"/>
        <w:rPr>
          <w:rFonts w:ascii="Times New Roman" w:hAnsi="Times New Roman" w:cs="Times New Roman"/>
          <w:sz w:val="24"/>
          <w:szCs w:val="24"/>
        </w:rPr>
      </w:pPr>
      <w:r w:rsidRPr="00E618F0">
        <w:rPr>
          <w:rFonts w:ascii="Times New Roman" w:hAnsi="Times New Roman" w:cs="Times New Roman"/>
          <w:sz w:val="24"/>
          <w:szCs w:val="24"/>
        </w:rPr>
        <w:t xml:space="preserve">Firms should avoid excessive reliance on debt financing as a tax optimization tool, as high leverage significantly increases financial distress risk (Myers, 1984; Leland, 1994). </w:t>
      </w:r>
    </w:p>
    <w:p w14:paraId="1067FD13" w14:textId="77777777" w:rsidR="005A1B67" w:rsidRPr="00E618F0" w:rsidRDefault="005A1B67" w:rsidP="0053302D">
      <w:pPr>
        <w:pStyle w:val="NoSpacing"/>
        <w:ind w:left="1080" w:hanging="360"/>
        <w:rPr>
          <w:rFonts w:ascii="Times New Roman" w:hAnsi="Times New Roman" w:cs="Times New Roman"/>
          <w:bCs/>
          <w:sz w:val="24"/>
          <w:szCs w:val="24"/>
        </w:rPr>
      </w:pPr>
      <w:r w:rsidRPr="00E618F0">
        <w:rPr>
          <w:rFonts w:ascii="Times New Roman" w:hAnsi="Times New Roman" w:cs="Times New Roman"/>
          <w:bCs/>
          <w:sz w:val="24"/>
          <w:szCs w:val="24"/>
        </w:rPr>
        <w:t>ii.</w:t>
      </w:r>
      <w:r w:rsidRPr="00E618F0">
        <w:rPr>
          <w:rFonts w:ascii="Times New Roman" w:hAnsi="Times New Roman" w:cs="Times New Roman"/>
          <w:bCs/>
          <w:sz w:val="24"/>
          <w:szCs w:val="24"/>
        </w:rPr>
        <w:tab/>
        <w:t>Asset Utilization Efficiency:</w:t>
      </w:r>
    </w:p>
    <w:p w14:paraId="0064850B" w14:textId="77777777" w:rsidR="005A1B67" w:rsidRPr="00E618F0" w:rsidRDefault="005A1B67" w:rsidP="00057707">
      <w:pPr>
        <w:pStyle w:val="NoSpacing"/>
        <w:ind w:left="1080"/>
        <w:jc w:val="both"/>
        <w:rPr>
          <w:rFonts w:ascii="Times New Roman" w:hAnsi="Times New Roman" w:cs="Times New Roman"/>
          <w:sz w:val="24"/>
          <w:szCs w:val="24"/>
        </w:rPr>
      </w:pPr>
      <w:r w:rsidRPr="00E618F0">
        <w:rPr>
          <w:sz w:val="24"/>
        </w:rPr>
        <w:t xml:space="preserve">Healthcare firms should align capital investments with revenue-generating capacity to avoid inefficient asset accumulation that weakens financial performance (Altman, 1968; Damodaran, 2014). </w:t>
      </w:r>
    </w:p>
    <w:p w14:paraId="2B50A0E2" w14:textId="77777777" w:rsidR="005A1B67" w:rsidRPr="00E618F0" w:rsidRDefault="005A1B67" w:rsidP="0053302D">
      <w:pPr>
        <w:pStyle w:val="NoSpacing"/>
        <w:numPr>
          <w:ilvl w:val="1"/>
          <w:numId w:val="2"/>
        </w:numPr>
        <w:ind w:left="1080" w:hanging="360"/>
        <w:rPr>
          <w:rFonts w:ascii="Times New Roman" w:hAnsi="Times New Roman" w:cs="Times New Roman"/>
          <w:sz w:val="24"/>
          <w:szCs w:val="24"/>
        </w:rPr>
      </w:pPr>
      <w:r w:rsidRPr="00E618F0">
        <w:rPr>
          <w:rFonts w:ascii="Times New Roman" w:hAnsi="Times New Roman" w:cs="Times New Roman"/>
          <w:bCs/>
          <w:sz w:val="24"/>
          <w:szCs w:val="24"/>
        </w:rPr>
        <w:t>Tax Strategy Reorientation:</w:t>
      </w:r>
    </w:p>
    <w:p w14:paraId="4F38C62F" w14:textId="77777777" w:rsidR="005A1B67" w:rsidRPr="00E618F0" w:rsidRDefault="005A1B67" w:rsidP="00057707">
      <w:pPr>
        <w:pStyle w:val="NoSpacing"/>
        <w:ind w:left="1080"/>
        <w:jc w:val="both"/>
        <w:rPr>
          <w:rFonts w:ascii="Times New Roman" w:hAnsi="Times New Roman" w:cs="Times New Roman"/>
          <w:sz w:val="24"/>
          <w:szCs w:val="24"/>
        </w:rPr>
      </w:pPr>
      <w:r w:rsidRPr="00E618F0">
        <w:rPr>
          <w:rFonts w:ascii="Times New Roman" w:hAnsi="Times New Roman" w:cs="Times New Roman"/>
          <w:sz w:val="24"/>
          <w:szCs w:val="24"/>
        </w:rPr>
        <w:lastRenderedPageBreak/>
        <w:t xml:space="preserve">Managers should not rely on tax shields or depreciation allowances as primary tools for financial stability, as these do not significantly influence distress outcomes. </w:t>
      </w:r>
    </w:p>
    <w:p w14:paraId="5017D742" w14:textId="77777777" w:rsidR="005A1B67" w:rsidRPr="00E618F0" w:rsidRDefault="005A1B67" w:rsidP="0053302D">
      <w:pPr>
        <w:pStyle w:val="NoSpacing"/>
        <w:numPr>
          <w:ilvl w:val="1"/>
          <w:numId w:val="2"/>
        </w:numPr>
        <w:ind w:left="1080" w:hanging="360"/>
        <w:rPr>
          <w:rFonts w:ascii="Times New Roman" w:hAnsi="Times New Roman" w:cs="Times New Roman"/>
          <w:bCs/>
          <w:sz w:val="24"/>
          <w:szCs w:val="24"/>
        </w:rPr>
      </w:pPr>
      <w:r w:rsidRPr="00E618F0">
        <w:rPr>
          <w:rFonts w:ascii="Times New Roman" w:hAnsi="Times New Roman" w:cs="Times New Roman"/>
          <w:bCs/>
          <w:sz w:val="24"/>
          <w:szCs w:val="24"/>
        </w:rPr>
        <w:t>Regulatory Oversight:</w:t>
      </w:r>
    </w:p>
    <w:p w14:paraId="3DA9E52E" w14:textId="77777777" w:rsidR="005A1B67" w:rsidRPr="00E618F0" w:rsidRDefault="005A1B67" w:rsidP="00057707">
      <w:pPr>
        <w:pStyle w:val="NoSpacing"/>
        <w:ind w:left="1080"/>
        <w:jc w:val="both"/>
        <w:rPr>
          <w:rFonts w:ascii="Times New Roman" w:hAnsi="Times New Roman" w:cs="Times New Roman"/>
          <w:sz w:val="24"/>
          <w:szCs w:val="24"/>
        </w:rPr>
      </w:pPr>
      <w:r w:rsidRPr="00E618F0">
        <w:rPr>
          <w:rFonts w:ascii="Times New Roman" w:hAnsi="Times New Roman" w:cs="Times New Roman"/>
          <w:sz w:val="24"/>
          <w:szCs w:val="24"/>
        </w:rPr>
        <w:t xml:space="preserve">Regulators such as the Securities and Exchange Commission (SEC) and Federal Inland Revenue Service (FIRS) should strengthen monitoring of leverage levels to prevent hidden financial risk accumulation through tax-motivated debt structuring. </w:t>
      </w:r>
    </w:p>
    <w:p w14:paraId="39C9E642" w14:textId="77777777" w:rsidR="005A1B67" w:rsidRPr="00E618F0" w:rsidRDefault="005A1B67" w:rsidP="0053302D">
      <w:pPr>
        <w:pStyle w:val="NoSpacing"/>
        <w:numPr>
          <w:ilvl w:val="1"/>
          <w:numId w:val="2"/>
        </w:numPr>
        <w:ind w:left="1080" w:hanging="360"/>
        <w:rPr>
          <w:rFonts w:ascii="Times New Roman" w:hAnsi="Times New Roman" w:cs="Times New Roman"/>
          <w:bCs/>
          <w:sz w:val="24"/>
          <w:szCs w:val="24"/>
        </w:rPr>
      </w:pPr>
      <w:r w:rsidRPr="00E618F0">
        <w:rPr>
          <w:rFonts w:ascii="Times New Roman" w:hAnsi="Times New Roman" w:cs="Times New Roman"/>
          <w:bCs/>
          <w:sz w:val="24"/>
          <w:szCs w:val="24"/>
        </w:rPr>
        <w:t>Investment Monitoring:</w:t>
      </w:r>
    </w:p>
    <w:p w14:paraId="119355EF" w14:textId="77777777" w:rsidR="005A1B67" w:rsidRPr="00E618F0" w:rsidRDefault="005A1B67" w:rsidP="00057707">
      <w:pPr>
        <w:pStyle w:val="NoSpacing"/>
        <w:ind w:left="1080"/>
        <w:jc w:val="both"/>
        <w:rPr>
          <w:rFonts w:ascii="Times New Roman" w:hAnsi="Times New Roman" w:cs="Times New Roman"/>
          <w:sz w:val="24"/>
          <w:szCs w:val="24"/>
        </w:rPr>
      </w:pPr>
      <w:r w:rsidRPr="00E618F0">
        <w:rPr>
          <w:rFonts w:ascii="Times New Roman" w:hAnsi="Times New Roman" w:cs="Times New Roman"/>
          <w:sz w:val="24"/>
          <w:szCs w:val="24"/>
        </w:rPr>
        <w:t xml:space="preserve">Investors should prioritize firms with efficient asset turnover and sustainable leverage structures rather than those pursuing aggressive tax minimization strategies. </w:t>
      </w:r>
    </w:p>
    <w:p w14:paraId="5C547123" w14:textId="77777777" w:rsidR="0053302D" w:rsidRPr="00E618F0" w:rsidRDefault="0053302D" w:rsidP="0053302D">
      <w:pPr>
        <w:pStyle w:val="NoSpacing"/>
        <w:ind w:left="720"/>
        <w:jc w:val="both"/>
        <w:rPr>
          <w:rFonts w:ascii="Times New Roman" w:hAnsi="Times New Roman" w:cs="Times New Roman"/>
          <w:sz w:val="24"/>
          <w:szCs w:val="24"/>
        </w:rPr>
      </w:pPr>
    </w:p>
    <w:p w14:paraId="2E853836" w14:textId="77777777" w:rsidR="00C17286" w:rsidRPr="00E618F0" w:rsidRDefault="0053302D" w:rsidP="00C17286">
      <w:pPr>
        <w:spacing w:after="0" w:line="240" w:lineRule="auto"/>
        <w:rPr>
          <w:rFonts w:ascii="Times New Roman" w:eastAsia="Times New Roman" w:hAnsi="Times New Roman" w:cs="Times New Roman"/>
          <w:b/>
          <w:sz w:val="24"/>
          <w:szCs w:val="24"/>
        </w:rPr>
      </w:pPr>
      <w:r w:rsidRPr="00E618F0">
        <w:rPr>
          <w:rFonts w:ascii="Times New Roman" w:eastAsia="Times New Roman" w:hAnsi="Times New Roman" w:cs="Times New Roman"/>
          <w:b/>
          <w:sz w:val="24"/>
          <w:szCs w:val="24"/>
        </w:rPr>
        <w:t>5.3</w:t>
      </w:r>
      <w:r w:rsidRPr="00E618F0">
        <w:rPr>
          <w:rFonts w:ascii="Times New Roman" w:eastAsia="Times New Roman" w:hAnsi="Times New Roman" w:cs="Times New Roman"/>
          <w:b/>
          <w:sz w:val="24"/>
          <w:szCs w:val="24"/>
        </w:rPr>
        <w:tab/>
        <w:t>CONTRIBUTION TO KNOWLEDGE</w:t>
      </w:r>
    </w:p>
    <w:p w14:paraId="47CA4A0E" w14:textId="77777777" w:rsidR="00057707" w:rsidRPr="00E618F0" w:rsidRDefault="00057707" w:rsidP="00057707">
      <w:pPr>
        <w:pStyle w:val="NoSpacing"/>
        <w:ind w:left="720"/>
        <w:jc w:val="both"/>
        <w:rPr>
          <w:rFonts w:ascii="Times New Roman" w:hAnsi="Times New Roman" w:cs="Times New Roman"/>
          <w:b/>
          <w:bCs/>
          <w:sz w:val="24"/>
          <w:szCs w:val="24"/>
        </w:rPr>
      </w:pPr>
      <w:r w:rsidRPr="00E618F0">
        <w:t xml:space="preserve">This </w:t>
      </w:r>
      <w:r w:rsidRPr="00E618F0">
        <w:rPr>
          <w:rFonts w:ascii="Times New Roman" w:hAnsi="Times New Roman" w:cs="Times New Roman"/>
          <w:sz w:val="24"/>
          <w:szCs w:val="24"/>
        </w:rPr>
        <w:t>study made the following key contributions to knowledge:</w:t>
      </w:r>
    </w:p>
    <w:p w14:paraId="3687DE24" w14:textId="77777777" w:rsidR="00057707" w:rsidRPr="00E618F0" w:rsidRDefault="00057707" w:rsidP="00057707">
      <w:pPr>
        <w:pStyle w:val="NoSpacing"/>
        <w:numPr>
          <w:ilvl w:val="0"/>
          <w:numId w:val="10"/>
        </w:numPr>
        <w:ind w:left="1080" w:hanging="360"/>
        <w:jc w:val="both"/>
        <w:rPr>
          <w:rFonts w:ascii="Times New Roman" w:eastAsia="Times New Roman" w:hAnsi="Times New Roman" w:cs="Times New Roman"/>
          <w:sz w:val="24"/>
          <w:szCs w:val="24"/>
        </w:rPr>
      </w:pPr>
      <w:r w:rsidRPr="00E618F0">
        <w:rPr>
          <w:rFonts w:ascii="Times New Roman" w:eastAsia="Times New Roman" w:hAnsi="Times New Roman" w:cs="Times New Roman"/>
          <w:bCs/>
          <w:sz w:val="24"/>
          <w:szCs w:val="24"/>
        </w:rPr>
        <w:t xml:space="preserve">Extension of Tax Optimization to Financial Stability Analysis. </w:t>
      </w:r>
      <w:r w:rsidRPr="00E618F0">
        <w:rPr>
          <w:rFonts w:ascii="Times New Roman" w:eastAsia="Times New Roman" w:hAnsi="Times New Roman" w:cs="Times New Roman"/>
          <w:sz w:val="24"/>
          <w:szCs w:val="24"/>
        </w:rPr>
        <w:t xml:space="preserve">The study broadens existing literature by linking corporate tax optimization to firm financial stability using the Altman (1968) Z-score framework, rather than limiting analysis to financial reporting outcomes. </w:t>
      </w:r>
    </w:p>
    <w:p w14:paraId="1561E9DE" w14:textId="77777777" w:rsidR="00057707" w:rsidRPr="00E618F0" w:rsidRDefault="00057707" w:rsidP="00057707">
      <w:pPr>
        <w:pStyle w:val="NoSpacing"/>
        <w:numPr>
          <w:ilvl w:val="0"/>
          <w:numId w:val="10"/>
        </w:numPr>
        <w:ind w:left="1080" w:hanging="360"/>
        <w:jc w:val="both"/>
        <w:rPr>
          <w:rFonts w:ascii="Times New Roman" w:eastAsia="Times New Roman" w:hAnsi="Times New Roman" w:cs="Times New Roman"/>
          <w:sz w:val="24"/>
          <w:szCs w:val="24"/>
        </w:rPr>
      </w:pPr>
      <w:r w:rsidRPr="00E618F0">
        <w:rPr>
          <w:rFonts w:ascii="Times New Roman" w:eastAsia="Times New Roman" w:hAnsi="Times New Roman" w:cs="Times New Roman"/>
          <w:bCs/>
          <w:sz w:val="24"/>
          <w:szCs w:val="24"/>
        </w:rPr>
        <w:t xml:space="preserve">Introduction of Asset-Based Tax Positioning.  </w:t>
      </w:r>
      <w:r w:rsidRPr="00E618F0">
        <w:rPr>
          <w:rFonts w:ascii="Times New Roman" w:eastAsia="Times New Roman" w:hAnsi="Times New Roman" w:cs="Times New Roman"/>
          <w:sz w:val="24"/>
          <w:szCs w:val="24"/>
        </w:rPr>
        <w:t xml:space="preserve">It makes a novel contribution by incorporating capital intensity as a proxy for asset-based tax positioning, thereby expanding the dimensions of tax optimization beyond traditional measures such as effective tax rates and leverage. </w:t>
      </w:r>
    </w:p>
    <w:p w14:paraId="68559481" w14:textId="77777777" w:rsidR="00057707" w:rsidRPr="00E618F0" w:rsidRDefault="00057707" w:rsidP="00057707">
      <w:pPr>
        <w:pStyle w:val="NoSpacing"/>
        <w:numPr>
          <w:ilvl w:val="0"/>
          <w:numId w:val="10"/>
        </w:numPr>
        <w:ind w:left="1080" w:hanging="360"/>
        <w:jc w:val="both"/>
        <w:rPr>
          <w:rFonts w:ascii="Times New Roman" w:eastAsia="Times New Roman" w:hAnsi="Times New Roman" w:cs="Times New Roman"/>
          <w:sz w:val="24"/>
          <w:szCs w:val="24"/>
        </w:rPr>
      </w:pPr>
      <w:r w:rsidRPr="00E618F0">
        <w:rPr>
          <w:rFonts w:ascii="Times New Roman" w:eastAsia="Times New Roman" w:hAnsi="Times New Roman" w:cs="Times New Roman"/>
          <w:bCs/>
          <w:sz w:val="24"/>
          <w:szCs w:val="24"/>
        </w:rPr>
        <w:t xml:space="preserve">Evidence from the Nigerian Healthcare Sector.  </w:t>
      </w:r>
      <w:r w:rsidRPr="00E618F0">
        <w:rPr>
          <w:rFonts w:ascii="Times New Roman" w:eastAsia="Times New Roman" w:hAnsi="Times New Roman" w:cs="Times New Roman"/>
          <w:sz w:val="24"/>
          <w:szCs w:val="24"/>
        </w:rPr>
        <w:t xml:space="preserve">The study provides context-specific empirical insights from the Nigerian healthcare industry, addressing a gap in emerging market and sectoral literature. </w:t>
      </w:r>
    </w:p>
    <w:p w14:paraId="362F152C" w14:textId="77777777" w:rsidR="00057707" w:rsidRPr="00E618F0" w:rsidRDefault="00057707" w:rsidP="00057707">
      <w:pPr>
        <w:pStyle w:val="NoSpacing"/>
        <w:numPr>
          <w:ilvl w:val="0"/>
          <w:numId w:val="10"/>
        </w:numPr>
        <w:ind w:left="1080" w:hanging="360"/>
        <w:jc w:val="both"/>
        <w:rPr>
          <w:rFonts w:eastAsia="Times New Roman"/>
        </w:rPr>
      </w:pPr>
      <w:r w:rsidRPr="00E618F0">
        <w:rPr>
          <w:rFonts w:ascii="Times New Roman" w:eastAsia="Times New Roman" w:hAnsi="Times New Roman" w:cs="Times New Roman"/>
          <w:bCs/>
          <w:sz w:val="24"/>
          <w:szCs w:val="24"/>
        </w:rPr>
        <w:t xml:space="preserve">Demonstration of Heterogeneous Effects of Tax Strategies. </w:t>
      </w:r>
      <w:r w:rsidRPr="00E618F0">
        <w:rPr>
          <w:rFonts w:ascii="Times New Roman" w:eastAsia="Times New Roman" w:hAnsi="Times New Roman" w:cs="Times New Roman"/>
          <w:sz w:val="24"/>
          <w:szCs w:val="24"/>
        </w:rPr>
        <w:t>It establishes that tax optimization strategies exert differential effects on financial distress, with some strategies having insignificant impact while others, particularly those tied to financing and asset structure, significantly influence firm stability.</w:t>
      </w:r>
    </w:p>
    <w:p w14:paraId="474BF993" w14:textId="77777777" w:rsidR="0053302D" w:rsidRPr="00E618F0" w:rsidRDefault="00057707" w:rsidP="00057707">
      <w:pPr>
        <w:pStyle w:val="NoSpacing"/>
        <w:numPr>
          <w:ilvl w:val="0"/>
          <w:numId w:val="10"/>
        </w:numPr>
        <w:ind w:left="1170" w:hanging="360"/>
        <w:jc w:val="both"/>
        <w:rPr>
          <w:rFonts w:eastAsia="Times New Roman"/>
        </w:rPr>
      </w:pPr>
      <w:r w:rsidRPr="00E618F0">
        <w:rPr>
          <w:rFonts w:ascii="Times New Roman" w:eastAsia="Times New Roman" w:hAnsi="Times New Roman" w:cs="Times New Roman"/>
          <w:bCs/>
          <w:sz w:val="24"/>
          <w:szCs w:val="24"/>
        </w:rPr>
        <w:t>Development of an Integrated Analytical Framework</w:t>
      </w:r>
      <w:r w:rsidRPr="00E618F0">
        <w:rPr>
          <w:rFonts w:ascii="Times New Roman" w:eastAsia="Times New Roman" w:hAnsi="Times New Roman" w:cs="Times New Roman"/>
          <w:sz w:val="24"/>
          <w:szCs w:val="24"/>
        </w:rPr>
        <w:t>. The research integrates tax behavior, capital structure, and asset utilization into</w:t>
      </w:r>
      <w:r w:rsidRPr="00E618F0">
        <w:rPr>
          <w:rFonts w:eastAsia="Times New Roman"/>
        </w:rPr>
        <w:t xml:space="preserve"> a unified framework, highlighting the trade-offs between tax efficiency and financial health and offering deeper theoretical and policy-relevant insights.</w:t>
      </w:r>
    </w:p>
    <w:p w14:paraId="7C7EBEA1" w14:textId="77777777" w:rsidR="00DF6286" w:rsidRPr="00DF6286" w:rsidRDefault="00DF6286" w:rsidP="00DF6286">
      <w:pPr>
        <w:pStyle w:val="ListParagraph"/>
        <w:spacing w:before="100" w:beforeAutospacing="1" w:after="100" w:afterAutospacing="1" w:line="240" w:lineRule="auto"/>
        <w:ind w:left="1440"/>
        <w:outlineLvl w:val="1"/>
        <w:rPr>
          <w:rFonts w:ascii="Times New Roman" w:eastAsia="Times New Roman" w:hAnsi="Times New Roman" w:cs="Times New Roman"/>
          <w:b/>
          <w:bCs/>
          <w:sz w:val="36"/>
          <w:szCs w:val="36"/>
        </w:rPr>
      </w:pPr>
      <w:r w:rsidRPr="00DF6286">
        <w:rPr>
          <w:rFonts w:ascii="Times New Roman" w:eastAsia="Times New Roman" w:hAnsi="Times New Roman" w:cs="Times New Roman"/>
          <w:b/>
          <w:bCs/>
          <w:sz w:val="36"/>
          <w:szCs w:val="36"/>
        </w:rPr>
        <w:t>Limitations</w:t>
      </w:r>
    </w:p>
    <w:p w14:paraId="256418E8" w14:textId="77777777" w:rsidR="00DF6286" w:rsidRPr="00DF6286" w:rsidRDefault="00DF6286" w:rsidP="00DF6286">
      <w:pPr>
        <w:pStyle w:val="ListParagraph"/>
        <w:spacing w:before="100" w:beforeAutospacing="1" w:after="100" w:afterAutospacing="1" w:line="240" w:lineRule="auto"/>
        <w:ind w:left="1440"/>
        <w:rPr>
          <w:rFonts w:ascii="Times New Roman" w:eastAsia="Times New Roman" w:hAnsi="Times New Roman" w:cs="Times New Roman"/>
          <w:sz w:val="24"/>
          <w:szCs w:val="24"/>
        </w:rPr>
      </w:pPr>
      <w:r w:rsidRPr="00DF6286">
        <w:rPr>
          <w:rFonts w:ascii="Times New Roman" w:eastAsia="Times New Roman" w:hAnsi="Times New Roman" w:cs="Times New Roman"/>
          <w:sz w:val="24"/>
          <w:szCs w:val="24"/>
        </w:rPr>
        <w:t>This study is limited by the small number of listed healthcare firms included in the panel, which restricts generalization to the entire Nigerian healthcare sector. The analysis covers 2010–2024 and therefore cannot directly assess the effects of reforms introduced after the study period. The use of Altman Z-score provides a useful distress proxy but may not fully capture sector-specific financial risk. Some variables, particularly effective tax rate, show extreme values that require careful treatment. The study relies on published financial statements, which may reflect accounting-policy differences across firms. Future studies should use larger samples, alternative distress measures, and sensitivity tests.</w:t>
      </w:r>
    </w:p>
    <w:p w14:paraId="0C1C3DD9" w14:textId="77777777" w:rsidR="00DF6286" w:rsidRPr="00DF6286" w:rsidRDefault="00DF6286" w:rsidP="00DF6286">
      <w:pPr>
        <w:pStyle w:val="ListParagraph"/>
        <w:spacing w:after="200" w:line="276" w:lineRule="auto"/>
        <w:ind w:left="1440"/>
        <w:rPr>
          <w:rFonts w:ascii="Calibri" w:eastAsia="Calibri" w:hAnsi="Calibri" w:cs="Times New Roman"/>
          <w:lang w:val="en-GB"/>
          <w14:ligatures w14:val="standardContextual"/>
        </w:rPr>
      </w:pPr>
    </w:p>
    <w:p w14:paraId="327D5ED6" w14:textId="77777777" w:rsidR="00DF6286" w:rsidRPr="00DF6286" w:rsidRDefault="00DF6286" w:rsidP="00DF6286">
      <w:pPr>
        <w:pStyle w:val="ListParagraph"/>
        <w:spacing w:after="0" w:line="240" w:lineRule="auto"/>
        <w:ind w:left="1440"/>
        <w:rPr>
          <w:rFonts w:ascii="Times New Roman" w:hAnsi="Times New Roman" w:cs="Times New Roman"/>
          <w:b/>
        </w:rPr>
      </w:pPr>
      <w:r w:rsidRPr="00DF6286">
        <w:rPr>
          <w:rFonts w:ascii="Times New Roman" w:hAnsi="Times New Roman" w:cs="Times New Roman"/>
          <w:b/>
        </w:rPr>
        <w:t>Declaration of AI Use</w:t>
      </w:r>
    </w:p>
    <w:p w14:paraId="0EAC09A4" w14:textId="77777777" w:rsidR="00DF6286" w:rsidRPr="00DF6286" w:rsidRDefault="00DF6286" w:rsidP="00DF6286">
      <w:pPr>
        <w:pStyle w:val="ListParagraph"/>
        <w:spacing w:after="0" w:line="240" w:lineRule="auto"/>
        <w:ind w:left="1440"/>
        <w:rPr>
          <w:rFonts w:ascii="Times New Roman" w:hAnsi="Times New Roman" w:cs="Times New Roman"/>
        </w:rPr>
      </w:pPr>
    </w:p>
    <w:p w14:paraId="78FAA082" w14:textId="77777777" w:rsidR="00DF6286" w:rsidRPr="00DF6286" w:rsidRDefault="00DF6286" w:rsidP="00DF6286">
      <w:pPr>
        <w:pStyle w:val="ListParagraph"/>
        <w:spacing w:after="0" w:line="240" w:lineRule="auto"/>
        <w:ind w:left="1440"/>
        <w:jc w:val="both"/>
        <w:rPr>
          <w:rFonts w:ascii="Times New Roman" w:hAnsi="Times New Roman" w:cs="Times New Roman"/>
        </w:rPr>
      </w:pPr>
      <w:r w:rsidRPr="00DF6286">
        <w:rPr>
          <w:rFonts w:ascii="Times New Roman" w:hAnsi="Times New Roman" w:cs="Times New Roman"/>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8B245E8" w14:textId="77777777" w:rsidR="00E71A40" w:rsidRDefault="00E71A40" w:rsidP="001D0DDC">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p>
    <w:p w14:paraId="06EA6588" w14:textId="77777777" w:rsidR="00DF6286" w:rsidRPr="003A29C6" w:rsidRDefault="00DF6286" w:rsidP="00DF6286">
      <w:pPr>
        <w:jc w:val="both"/>
        <w:outlineLvl w:val="0"/>
        <w:rPr>
          <w:rFonts w:ascii="Arial" w:hAnsi="Arial" w:cs="Arial"/>
        </w:rPr>
      </w:pPr>
      <w:r w:rsidRPr="003A29C6">
        <w:rPr>
          <w:rFonts w:ascii="Arial" w:hAnsi="Arial" w:cs="Arial"/>
          <w:b/>
          <w:bCs/>
        </w:rPr>
        <w:t>COMPETING INTERESTS DISCLAIMER:</w:t>
      </w:r>
    </w:p>
    <w:p w14:paraId="6945D431" w14:textId="77777777" w:rsidR="00DF6286" w:rsidRDefault="00DF6286" w:rsidP="00DF6286">
      <w:r w:rsidRPr="00A10EDE">
        <w:t>Authors have declared that they have no known competing financial interests OR non-financial interests OR personal relationships that could have appeared to influence the work reported in this paper.</w:t>
      </w:r>
    </w:p>
    <w:p w14:paraId="36EA4813" w14:textId="77777777" w:rsidR="00DF6286" w:rsidRDefault="00DF6286" w:rsidP="00DF6286"/>
    <w:p w14:paraId="54DBC66F" w14:textId="77777777" w:rsidR="00DF6286" w:rsidRDefault="00DF6286" w:rsidP="00DF6286"/>
    <w:p w14:paraId="0773F77F" w14:textId="77777777" w:rsidR="00DF6286" w:rsidRPr="00E618F0" w:rsidRDefault="00DF6286" w:rsidP="001D0DDC">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p>
    <w:p w14:paraId="7A30B663" w14:textId="77777777" w:rsidR="00C17286" w:rsidRPr="00E618F0" w:rsidRDefault="00C17286" w:rsidP="001D0DDC">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E618F0">
        <w:rPr>
          <w:b/>
          <w:sz w:val="24"/>
        </w:rPr>
        <w:t>REFERENCES</w:t>
      </w:r>
    </w:p>
    <w:p w14:paraId="39D1DD64" w14:textId="77777777" w:rsidR="008935DB" w:rsidRPr="00E618F0" w:rsidRDefault="00000000">
      <w:pPr>
        <w:spacing w:after="120"/>
        <w:ind w:left="360" w:hanging="360"/>
      </w:pPr>
      <w:r w:rsidRPr="00E618F0">
        <w:rPr>
          <w:sz w:val="24"/>
        </w:rPr>
        <w:t>Altman, E. I. (1968). Financial ratios, discriminant analysis and the prediction of corporate bankruptcy. The Journal of Finance, 23(4), 589-609. https://doi.org/10.1111/j.1540-6261.1968.tb00843.x</w:t>
      </w:r>
    </w:p>
    <w:p w14:paraId="43270EAF" w14:textId="77777777" w:rsidR="008935DB" w:rsidRPr="00E618F0" w:rsidRDefault="00000000">
      <w:pPr>
        <w:spacing w:after="120"/>
        <w:ind w:left="360" w:hanging="360"/>
      </w:pPr>
      <w:r w:rsidRPr="00E618F0">
        <w:rPr>
          <w:sz w:val="24"/>
        </w:rPr>
        <w:t xml:space="preserve">Altman, E. I. (2013). Predicting financial distress of companies: Revisiting the Z-score and ZETA® models. In A. R. Bell, C. Brooks, &amp; M. </w:t>
      </w:r>
      <w:proofErr w:type="spellStart"/>
      <w:r w:rsidRPr="00E618F0">
        <w:rPr>
          <w:sz w:val="24"/>
        </w:rPr>
        <w:t>Prokopczuk</w:t>
      </w:r>
      <w:proofErr w:type="spellEnd"/>
      <w:r w:rsidRPr="00E618F0">
        <w:rPr>
          <w:sz w:val="24"/>
        </w:rPr>
        <w:t xml:space="preserve"> (Eds.), Handbook of research methods and applications in empirical finance (pp. 428-456). Edward Elgar Publishing. https://doi.org/10.4337/9780857936097.00027</w:t>
      </w:r>
    </w:p>
    <w:p w14:paraId="4C6B22BF" w14:textId="77777777" w:rsidR="008935DB" w:rsidRPr="00E618F0" w:rsidRDefault="00000000">
      <w:pPr>
        <w:spacing w:after="120"/>
        <w:ind w:left="360" w:hanging="360"/>
      </w:pPr>
      <w:r w:rsidRPr="00E618F0">
        <w:rPr>
          <w:sz w:val="24"/>
        </w:rPr>
        <w:t>Begley, J., Ming, J., &amp; Watts, S. (1996). Bankruptcy classification errors in the 1980s: An empirical analysis of Altman's and Ohlson's models. Review of Accounting Studies, 1(4), 267-284. https://doi.org/10.1007/BF00570833</w:t>
      </w:r>
    </w:p>
    <w:p w14:paraId="4520C4B1" w14:textId="77777777" w:rsidR="008935DB" w:rsidRPr="00E618F0" w:rsidRDefault="00000000">
      <w:pPr>
        <w:spacing w:after="120"/>
        <w:ind w:left="360" w:hanging="360"/>
      </w:pPr>
      <w:r w:rsidRPr="00E618F0">
        <w:rPr>
          <w:sz w:val="24"/>
        </w:rPr>
        <w:t>Blouin, J. (2014). Defining and measuring tax planning aggressiveness. National Tax Journal, 67(4), 875-900. https://doi.org/10.17310/ntj.2014.4.06</w:t>
      </w:r>
    </w:p>
    <w:p w14:paraId="152682D6" w14:textId="77777777" w:rsidR="008935DB" w:rsidRPr="00E618F0" w:rsidRDefault="00000000">
      <w:pPr>
        <w:spacing w:after="120"/>
        <w:ind w:left="360" w:hanging="360"/>
      </w:pPr>
      <w:r w:rsidRPr="00E618F0">
        <w:rPr>
          <w:sz w:val="24"/>
        </w:rPr>
        <w:t>Campbell, J. Y., Hilscher, J., &amp; Szilagyi, J. (2008). In search of distress risk. The Journal of Finance, 63(6), 2899-2939. https://doi.org/10.1111/j.1540-6261.2008.01406.x</w:t>
      </w:r>
    </w:p>
    <w:p w14:paraId="0175F8A1" w14:textId="77777777" w:rsidR="008935DB" w:rsidRPr="00E618F0" w:rsidRDefault="00000000">
      <w:pPr>
        <w:spacing w:after="120"/>
        <w:ind w:left="360" w:hanging="360"/>
      </w:pPr>
      <w:r w:rsidRPr="00E618F0">
        <w:rPr>
          <w:sz w:val="24"/>
        </w:rPr>
        <w:t>Cook, T. D., &amp; Campbell, D. T. (1979). Quasi-experimentation: Design and analysis issues for field settings. Houghton Mifflin. https://lccn.loc.gov/78023697</w:t>
      </w:r>
    </w:p>
    <w:p w14:paraId="25CFE466" w14:textId="77777777" w:rsidR="008935DB" w:rsidRPr="00E618F0" w:rsidRDefault="00000000">
      <w:pPr>
        <w:spacing w:after="120"/>
        <w:ind w:left="360" w:hanging="360"/>
      </w:pPr>
      <w:r w:rsidRPr="00E618F0">
        <w:rPr>
          <w:sz w:val="24"/>
        </w:rPr>
        <w:t>Damodaran, A. (2014). Applied corporate finance (4th ed.). Wiley. https://www.wiley.com/en-us/Applied+Corporate+Finance%2C+4th+Edition-p-9781118808931</w:t>
      </w:r>
    </w:p>
    <w:p w14:paraId="3379E177" w14:textId="77777777" w:rsidR="008935DB" w:rsidRPr="00E618F0" w:rsidRDefault="00000000">
      <w:pPr>
        <w:spacing w:after="120"/>
        <w:ind w:left="360" w:hanging="360"/>
      </w:pPr>
      <w:r w:rsidRPr="00E618F0">
        <w:rPr>
          <w:sz w:val="24"/>
        </w:rPr>
        <w:lastRenderedPageBreak/>
        <w:t xml:space="preserve">DeAngelo, H., &amp; </w:t>
      </w:r>
      <w:proofErr w:type="spellStart"/>
      <w:r w:rsidRPr="00E618F0">
        <w:rPr>
          <w:sz w:val="24"/>
        </w:rPr>
        <w:t>Masulis</w:t>
      </w:r>
      <w:proofErr w:type="spellEnd"/>
      <w:r w:rsidRPr="00E618F0">
        <w:rPr>
          <w:sz w:val="24"/>
        </w:rPr>
        <w:t>, R. W. (1980). Optimal capital structure under corporate and personal taxation. Journal of Financial Economics, 8(1), 3-29. https://doi.org/10.1016/0304-405X(80)90019-7</w:t>
      </w:r>
    </w:p>
    <w:p w14:paraId="65CB715A" w14:textId="77777777" w:rsidR="008935DB" w:rsidRPr="00E618F0" w:rsidRDefault="00000000">
      <w:pPr>
        <w:spacing w:after="120"/>
        <w:ind w:left="360" w:hanging="360"/>
      </w:pPr>
      <w:r w:rsidRPr="00E618F0">
        <w:rPr>
          <w:sz w:val="24"/>
        </w:rPr>
        <w:t>Desai, M. A., &amp; Dharmapala, D. (2006). Corporate tax avoidance and high-powered incentives. Journal of Financial Economics, 79(1), 145-179. https://doi.org/10.1016/j.jfineco.2005.02.002</w:t>
      </w:r>
    </w:p>
    <w:p w14:paraId="48C86718" w14:textId="77777777" w:rsidR="008935DB" w:rsidRPr="00E618F0" w:rsidRDefault="00000000">
      <w:pPr>
        <w:spacing w:after="120"/>
        <w:ind w:left="360" w:hanging="360"/>
      </w:pPr>
      <w:r w:rsidRPr="00E618F0">
        <w:rPr>
          <w:sz w:val="24"/>
        </w:rPr>
        <w:t>Desai, M. A., &amp; Dharmapala, D. (2009). Corporate tax avoidance and firm value. The Review of Economics and Statistics, 91(3), 537-546. https://doi.org/10.1162/rest.91.3.537</w:t>
      </w:r>
    </w:p>
    <w:p w14:paraId="4B27DA56" w14:textId="77777777" w:rsidR="008935DB" w:rsidRPr="00E618F0" w:rsidRDefault="00000000">
      <w:pPr>
        <w:spacing w:after="120"/>
        <w:ind w:left="360" w:hanging="360"/>
      </w:pPr>
      <w:r w:rsidRPr="00E618F0">
        <w:rPr>
          <w:sz w:val="24"/>
        </w:rPr>
        <w:t>Driscoll, J. C., &amp; Kraay, A. C. (1998). Consistent covariance matrix estimation with spatially dependent panel data. The Review of Economics and Statistics, 80(4), 549-560. https://doi.org/10.1162/003465398557825</w:t>
      </w:r>
    </w:p>
    <w:p w14:paraId="52EFEE2E" w14:textId="77777777" w:rsidR="008935DB" w:rsidRPr="00E618F0" w:rsidRDefault="00000000">
      <w:pPr>
        <w:spacing w:after="120"/>
        <w:ind w:left="360" w:hanging="360"/>
      </w:pPr>
      <w:r w:rsidRPr="00E618F0">
        <w:rPr>
          <w:sz w:val="24"/>
        </w:rPr>
        <w:t>Dyreng, S. D., Hanlon, M., &amp; Maydew, E. L. (2008). Long-run corporate tax avoidance. The Accounting Review, 83(1), 61-82. https://doi.org/10.2308/accr.2008.83.1.61</w:t>
      </w:r>
    </w:p>
    <w:p w14:paraId="59914BDA" w14:textId="77777777" w:rsidR="008935DB" w:rsidRPr="00E618F0" w:rsidRDefault="00000000">
      <w:pPr>
        <w:spacing w:after="120"/>
        <w:ind w:left="360" w:hanging="360"/>
      </w:pPr>
      <w:r w:rsidRPr="00E618F0">
        <w:rPr>
          <w:sz w:val="24"/>
        </w:rPr>
        <w:t>Frank, M. M., Lynch, L. J., &amp; Rego, S. O. (2009). Tax reporting aggressiveness and its relation to aggressive financial reporting. The Accounting Review, 84(2), 467-496. https://doi.org/10.2308/accr.2009.84.2.467</w:t>
      </w:r>
    </w:p>
    <w:p w14:paraId="3617CEAD" w14:textId="77777777" w:rsidR="008935DB" w:rsidRPr="00E618F0" w:rsidRDefault="00000000">
      <w:pPr>
        <w:spacing w:after="120"/>
        <w:ind w:left="360" w:hanging="360"/>
      </w:pPr>
      <w:r w:rsidRPr="00E618F0">
        <w:rPr>
          <w:sz w:val="24"/>
        </w:rPr>
        <w:t>Grice, J. S., &amp; Ingram, R. W. (2001). Tests of the generalizability of Altman's bankruptcy prediction model. Journal of Business Research, 54(1), 53-61. https://doi.org/10.1016/S0148-2963(00)00126-0</w:t>
      </w:r>
    </w:p>
    <w:p w14:paraId="4A608C94" w14:textId="77777777" w:rsidR="008935DB" w:rsidRPr="00E618F0" w:rsidRDefault="00000000">
      <w:pPr>
        <w:spacing w:after="120"/>
        <w:ind w:left="360" w:hanging="360"/>
      </w:pPr>
      <w:proofErr w:type="spellStart"/>
      <w:r w:rsidRPr="00E618F0">
        <w:rPr>
          <w:sz w:val="24"/>
        </w:rPr>
        <w:t>Hoechle</w:t>
      </w:r>
      <w:proofErr w:type="spellEnd"/>
      <w:r w:rsidRPr="00E618F0">
        <w:rPr>
          <w:sz w:val="24"/>
        </w:rPr>
        <w:t>, D. (2007). Robust standard errors for panel regressions with cross-sectional dependence. The Stata Journal, 7(3), 281-312. https://doi.org/10.1177/1536867X0700700301</w:t>
      </w:r>
    </w:p>
    <w:p w14:paraId="74FDD969" w14:textId="77777777" w:rsidR="008935DB" w:rsidRPr="00E618F0" w:rsidRDefault="00000000">
      <w:pPr>
        <w:spacing w:after="120"/>
        <w:ind w:left="360" w:hanging="360"/>
      </w:pPr>
      <w:r w:rsidRPr="00E618F0">
        <w:rPr>
          <w:sz w:val="24"/>
        </w:rPr>
        <w:t>Jensen, M. C., &amp; Meckling, W. H. (1976). Theory of the firm: Managerial behavior, agency costs and ownership structure. Journal of Financial Economics, 3(4), 305-360. https://doi.org/10.1016/0304-405X(76)90026-X</w:t>
      </w:r>
    </w:p>
    <w:p w14:paraId="498A9492" w14:textId="77777777" w:rsidR="008935DB" w:rsidRPr="00E618F0" w:rsidRDefault="00000000">
      <w:pPr>
        <w:spacing w:after="120"/>
        <w:ind w:left="360" w:hanging="360"/>
      </w:pPr>
      <w:r w:rsidRPr="00E618F0">
        <w:rPr>
          <w:sz w:val="24"/>
        </w:rPr>
        <w:t>Kraus, A., &amp; Litzenberger, R. H. (1973). A state-preference model of optimal financial leverage. The Journal of Finance, 28(4), 911-922. https://doi.org/10.1111/j.1540-6261.1973.tb01415.x</w:t>
      </w:r>
    </w:p>
    <w:p w14:paraId="64726F97" w14:textId="77777777" w:rsidR="008935DB" w:rsidRPr="00E618F0" w:rsidRDefault="00000000">
      <w:pPr>
        <w:spacing w:after="120"/>
        <w:ind w:left="360" w:hanging="360"/>
      </w:pPr>
      <w:r w:rsidRPr="00E618F0">
        <w:rPr>
          <w:sz w:val="24"/>
        </w:rPr>
        <w:t>Leland, H. E. (1994). Corporate debt value, bond covenants, and optimal capital structure. The Journal of Finance, 49(4), 1213-1252. https://doi.org/10.1111/j.1540-6261.1994.tb02452.x</w:t>
      </w:r>
    </w:p>
    <w:p w14:paraId="152FE9CC" w14:textId="77777777" w:rsidR="008935DB" w:rsidRPr="00E618F0" w:rsidRDefault="00000000">
      <w:pPr>
        <w:spacing w:after="120"/>
        <w:ind w:left="360" w:hanging="360"/>
      </w:pPr>
      <w:r w:rsidRPr="00E618F0">
        <w:rPr>
          <w:sz w:val="24"/>
        </w:rPr>
        <w:t>Myers, S. C. (1984). The capital structure puzzle. The Journal of Finance, 39(3), 574-592. https://doi.org/10.1111/j.1540-6261.1984.tb03646.x</w:t>
      </w:r>
    </w:p>
    <w:p w14:paraId="6A28E6D6" w14:textId="77777777" w:rsidR="008935DB" w:rsidRPr="00E618F0" w:rsidRDefault="00000000">
      <w:pPr>
        <w:spacing w:after="120"/>
        <w:ind w:left="360" w:hanging="360"/>
      </w:pPr>
      <w:r w:rsidRPr="00E618F0">
        <w:rPr>
          <w:sz w:val="24"/>
        </w:rPr>
        <w:t>Ogboi, E., &amp; Okolie, A. O. (2024). The effect of ownership structure on audit fee of firms listed on Nigeria Exchange Limited. Journal of Accounting, Business and Social Sciences, 8(1), 1-14. https://jabss.org/upload/7632_File_THE%20EFFECT%20OF%20OWNERSHIP%20STRUCTURE</w:t>
      </w:r>
      <w:r w:rsidRPr="00E618F0">
        <w:rPr>
          <w:sz w:val="24"/>
        </w:rPr>
        <w:lastRenderedPageBreak/>
        <w:t>%20ON%20AUDIT%20FEE%20OF%20FIRMS%20LISTED%20ON%20NIGERIA%20EXCHANGE%20LIMITED.pdf</w:t>
      </w:r>
    </w:p>
    <w:p w14:paraId="3E2C94A1" w14:textId="77777777" w:rsidR="008935DB" w:rsidRPr="00E618F0" w:rsidRDefault="00000000">
      <w:pPr>
        <w:spacing w:after="120"/>
        <w:ind w:left="360" w:hanging="360"/>
      </w:pPr>
      <w:r w:rsidRPr="00E618F0">
        <w:rPr>
          <w:sz w:val="24"/>
        </w:rPr>
        <w:t>Ohlson, J. A. (1980). Financial ratios and the probabilistic prediction of bankruptcy. Journal of Accounting Research, 18(1), 109-131. https://doi.org/10.2307/2490395</w:t>
      </w:r>
    </w:p>
    <w:p w14:paraId="4F4ECC1D" w14:textId="77777777" w:rsidR="008935DB" w:rsidRPr="00E618F0" w:rsidRDefault="00000000">
      <w:pPr>
        <w:spacing w:after="120"/>
        <w:ind w:left="360" w:hanging="360"/>
      </w:pPr>
      <w:r w:rsidRPr="00E618F0">
        <w:rPr>
          <w:sz w:val="24"/>
        </w:rPr>
        <w:t>Shackelford, D. A., &amp; Shevlin, T. (2001). Empirical tax research in accounting. Journal of Accounting and Economics, 31(1-3), 321-387. https://doi.org/10.1016/S0165-4101(01)00022-2</w:t>
      </w:r>
    </w:p>
    <w:p w14:paraId="1CF95665" w14:textId="77777777" w:rsidR="008935DB" w:rsidRDefault="00000000">
      <w:pPr>
        <w:spacing w:after="120"/>
        <w:ind w:left="360" w:hanging="360"/>
      </w:pPr>
      <w:proofErr w:type="spellStart"/>
      <w:r w:rsidRPr="00E618F0">
        <w:rPr>
          <w:sz w:val="24"/>
        </w:rPr>
        <w:t>Slemrod</w:t>
      </w:r>
      <w:proofErr w:type="spellEnd"/>
      <w:r w:rsidRPr="00E618F0">
        <w:rPr>
          <w:sz w:val="24"/>
        </w:rPr>
        <w:t>, J. (2004). The economics of corporate tax selfishness. National Tax Journal, 57(4), 877-899. https://doi.org/10.17310/ntj.2004.4.06</w:t>
      </w:r>
    </w:p>
    <w:sectPr w:rsidR="008935DB" w:rsidSect="008B46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68747" w14:textId="77777777" w:rsidR="00FD1179" w:rsidRDefault="00FD1179" w:rsidP="008F3C03">
      <w:pPr>
        <w:spacing w:after="0" w:line="240" w:lineRule="auto"/>
      </w:pPr>
      <w:r>
        <w:separator/>
      </w:r>
    </w:p>
  </w:endnote>
  <w:endnote w:type="continuationSeparator" w:id="0">
    <w:p w14:paraId="3DBD5861" w14:textId="77777777" w:rsidR="00FD1179" w:rsidRDefault="00FD1179" w:rsidP="008F3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haris SIL">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B1282" w14:textId="77777777" w:rsidR="0084034F" w:rsidRDefault="008403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963525"/>
      <w:docPartObj>
        <w:docPartGallery w:val="Page Numbers (Bottom of Page)"/>
        <w:docPartUnique/>
      </w:docPartObj>
    </w:sdtPr>
    <w:sdtEndPr>
      <w:rPr>
        <w:noProof/>
      </w:rPr>
    </w:sdtEndPr>
    <w:sdtContent>
      <w:p w14:paraId="6FBFC3DE" w14:textId="77777777" w:rsidR="00FD5862" w:rsidRDefault="00FD5862">
        <w:pPr>
          <w:pStyle w:val="Footer"/>
          <w:jc w:val="center"/>
        </w:pPr>
        <w:r>
          <w:fldChar w:fldCharType="begin"/>
        </w:r>
        <w:r>
          <w:instrText xml:space="preserve"> PAGE   \* MERGEFORMAT </w:instrText>
        </w:r>
        <w:r>
          <w:fldChar w:fldCharType="separate"/>
        </w:r>
        <w:r w:rsidR="006D5B3D">
          <w:rPr>
            <w:noProof/>
          </w:rPr>
          <w:t>12</w:t>
        </w:r>
        <w:r>
          <w:rPr>
            <w:noProof/>
          </w:rPr>
          <w:fldChar w:fldCharType="end"/>
        </w:r>
      </w:p>
    </w:sdtContent>
  </w:sdt>
  <w:p w14:paraId="2ACA042D" w14:textId="77777777" w:rsidR="00FD5862" w:rsidRDefault="00FD58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8AD84" w14:textId="77777777" w:rsidR="0084034F" w:rsidRDefault="00840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87A50" w14:textId="77777777" w:rsidR="00FD1179" w:rsidRDefault="00FD1179" w:rsidP="008F3C03">
      <w:pPr>
        <w:spacing w:after="0" w:line="240" w:lineRule="auto"/>
      </w:pPr>
      <w:r>
        <w:separator/>
      </w:r>
    </w:p>
  </w:footnote>
  <w:footnote w:type="continuationSeparator" w:id="0">
    <w:p w14:paraId="4704DA74" w14:textId="77777777" w:rsidR="00FD1179" w:rsidRDefault="00FD1179" w:rsidP="008F3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720D9" w14:textId="638024F2" w:rsidR="0084034F" w:rsidRDefault="0084034F">
    <w:pPr>
      <w:pStyle w:val="Header"/>
    </w:pPr>
    <w:r>
      <w:rPr>
        <w:noProof/>
      </w:rPr>
      <w:pict w14:anchorId="6528A6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598792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849EE" w14:textId="12A158AA" w:rsidR="0084034F" w:rsidRDefault="0084034F">
    <w:pPr>
      <w:pStyle w:val="Header"/>
    </w:pPr>
    <w:r>
      <w:rPr>
        <w:noProof/>
      </w:rPr>
      <w:pict w14:anchorId="1CA21F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598792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341C2" w14:textId="5BD70856" w:rsidR="0084034F" w:rsidRDefault="0084034F">
    <w:pPr>
      <w:pStyle w:val="Header"/>
    </w:pPr>
    <w:r>
      <w:rPr>
        <w:noProof/>
      </w:rPr>
      <w:pict w14:anchorId="2969D3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598792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6A4D"/>
    <w:multiLevelType w:val="multilevel"/>
    <w:tmpl w:val="C504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F37727"/>
    <w:multiLevelType w:val="multilevel"/>
    <w:tmpl w:val="EFD41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B85F1F"/>
    <w:multiLevelType w:val="hybridMultilevel"/>
    <w:tmpl w:val="7F7E6916"/>
    <w:lvl w:ilvl="0" w:tplc="D11A50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C508E6"/>
    <w:multiLevelType w:val="multilevel"/>
    <w:tmpl w:val="25F0C01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F3D6063"/>
    <w:multiLevelType w:val="hybridMultilevel"/>
    <w:tmpl w:val="29368A4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2B1B49"/>
    <w:multiLevelType w:val="multilevel"/>
    <w:tmpl w:val="DD62764C"/>
    <w:lvl w:ilvl="0">
      <w:start w:val="1"/>
      <w:numFmt w:val="low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E487F29"/>
    <w:multiLevelType w:val="multilevel"/>
    <w:tmpl w:val="2C96BF2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6EBB51F4"/>
    <w:multiLevelType w:val="multilevel"/>
    <w:tmpl w:val="8BFCD1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FD2088A"/>
    <w:multiLevelType w:val="multilevel"/>
    <w:tmpl w:val="404E843A"/>
    <w:lvl w:ilvl="0">
      <w:start w:val="1"/>
      <w:numFmt w:val="decimal"/>
      <w:lvlText w:val="%1."/>
      <w:lvlJc w:val="left"/>
      <w:pPr>
        <w:tabs>
          <w:tab w:val="num" w:pos="720"/>
        </w:tabs>
        <w:ind w:left="720" w:hanging="360"/>
      </w:pPr>
    </w:lvl>
    <w:lvl w:ilvl="1">
      <w:start w:val="3"/>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FE2567"/>
    <w:multiLevelType w:val="hybridMultilevel"/>
    <w:tmpl w:val="D10A2C82"/>
    <w:lvl w:ilvl="0" w:tplc="CE402018">
      <w:start w:val="1"/>
      <w:numFmt w:val="decimal"/>
      <w:lvlText w:val="%1."/>
      <w:lvlJc w:val="left"/>
      <w:pPr>
        <w:ind w:left="360" w:hanging="360"/>
      </w:pPr>
      <w:rPr>
        <w:rFonts w:hint="default"/>
        <w:b w:val="0"/>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86421873">
    <w:abstractNumId w:val="1"/>
  </w:num>
  <w:num w:numId="2" w16cid:durableId="2096706972">
    <w:abstractNumId w:val="8"/>
  </w:num>
  <w:num w:numId="3" w16cid:durableId="595792843">
    <w:abstractNumId w:val="6"/>
  </w:num>
  <w:num w:numId="4" w16cid:durableId="1623028934">
    <w:abstractNumId w:val="0"/>
  </w:num>
  <w:num w:numId="5" w16cid:durableId="1353455400">
    <w:abstractNumId w:val="4"/>
  </w:num>
  <w:num w:numId="6" w16cid:durableId="1091463743">
    <w:abstractNumId w:val="9"/>
  </w:num>
  <w:num w:numId="7" w16cid:durableId="779447919">
    <w:abstractNumId w:val="3"/>
  </w:num>
  <w:num w:numId="8" w16cid:durableId="1014765622">
    <w:abstractNumId w:val="7"/>
  </w:num>
  <w:num w:numId="9" w16cid:durableId="15359975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9446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c0NzQ0sjQysDCztLRQ0lEKTi0uzszPAykwrAUA+Pb7JSwAAAA="/>
  </w:docVars>
  <w:rsids>
    <w:rsidRoot w:val="00C17286"/>
    <w:rsid w:val="00036EFA"/>
    <w:rsid w:val="00052A67"/>
    <w:rsid w:val="00057707"/>
    <w:rsid w:val="000A5D48"/>
    <w:rsid w:val="000B0FA1"/>
    <w:rsid w:val="000B529C"/>
    <w:rsid w:val="000C60E5"/>
    <w:rsid w:val="000F1BD9"/>
    <w:rsid w:val="000F3E03"/>
    <w:rsid w:val="00100DB9"/>
    <w:rsid w:val="0012276E"/>
    <w:rsid w:val="001C5155"/>
    <w:rsid w:val="001D0DDC"/>
    <w:rsid w:val="001D3A58"/>
    <w:rsid w:val="0020368B"/>
    <w:rsid w:val="00215250"/>
    <w:rsid w:val="002C27E5"/>
    <w:rsid w:val="002D3613"/>
    <w:rsid w:val="00392FD4"/>
    <w:rsid w:val="003C2768"/>
    <w:rsid w:val="003E044B"/>
    <w:rsid w:val="0041295A"/>
    <w:rsid w:val="00412D1E"/>
    <w:rsid w:val="00423219"/>
    <w:rsid w:val="00453096"/>
    <w:rsid w:val="00473CED"/>
    <w:rsid w:val="00485699"/>
    <w:rsid w:val="00496D64"/>
    <w:rsid w:val="004A3E51"/>
    <w:rsid w:val="004A3F9C"/>
    <w:rsid w:val="004A4DE7"/>
    <w:rsid w:val="004B4346"/>
    <w:rsid w:val="004F3EF8"/>
    <w:rsid w:val="005021B5"/>
    <w:rsid w:val="0053302D"/>
    <w:rsid w:val="0054427A"/>
    <w:rsid w:val="00566B28"/>
    <w:rsid w:val="005A1B67"/>
    <w:rsid w:val="005B5100"/>
    <w:rsid w:val="005E4846"/>
    <w:rsid w:val="00630B57"/>
    <w:rsid w:val="00632C60"/>
    <w:rsid w:val="00634CAC"/>
    <w:rsid w:val="0064287D"/>
    <w:rsid w:val="0065246A"/>
    <w:rsid w:val="006820C1"/>
    <w:rsid w:val="00691F8B"/>
    <w:rsid w:val="006B6733"/>
    <w:rsid w:val="006D5B3D"/>
    <w:rsid w:val="00713A12"/>
    <w:rsid w:val="00770A4A"/>
    <w:rsid w:val="00770C8C"/>
    <w:rsid w:val="0077689C"/>
    <w:rsid w:val="007A1F5F"/>
    <w:rsid w:val="007E49F7"/>
    <w:rsid w:val="0082752F"/>
    <w:rsid w:val="0084034F"/>
    <w:rsid w:val="008935DB"/>
    <w:rsid w:val="008B4605"/>
    <w:rsid w:val="008D0C47"/>
    <w:rsid w:val="008E0405"/>
    <w:rsid w:val="008E5C2F"/>
    <w:rsid w:val="008F3C03"/>
    <w:rsid w:val="009D51FD"/>
    <w:rsid w:val="009F0CDF"/>
    <w:rsid w:val="00A10E4F"/>
    <w:rsid w:val="00A23DF0"/>
    <w:rsid w:val="00A25643"/>
    <w:rsid w:val="00A92111"/>
    <w:rsid w:val="00B51AE9"/>
    <w:rsid w:val="00B70460"/>
    <w:rsid w:val="00B906C1"/>
    <w:rsid w:val="00C17286"/>
    <w:rsid w:val="00C338FB"/>
    <w:rsid w:val="00C366DF"/>
    <w:rsid w:val="00CA0FAF"/>
    <w:rsid w:val="00CB38EF"/>
    <w:rsid w:val="00CB52FF"/>
    <w:rsid w:val="00CD417D"/>
    <w:rsid w:val="00CF4CF5"/>
    <w:rsid w:val="00D024B3"/>
    <w:rsid w:val="00D16360"/>
    <w:rsid w:val="00D92B8F"/>
    <w:rsid w:val="00D9754F"/>
    <w:rsid w:val="00DB115C"/>
    <w:rsid w:val="00DB6723"/>
    <w:rsid w:val="00DD65E4"/>
    <w:rsid w:val="00DF6286"/>
    <w:rsid w:val="00E13709"/>
    <w:rsid w:val="00E53FF4"/>
    <w:rsid w:val="00E576B0"/>
    <w:rsid w:val="00E618F0"/>
    <w:rsid w:val="00E71A40"/>
    <w:rsid w:val="00EB2ADD"/>
    <w:rsid w:val="00ED6D51"/>
    <w:rsid w:val="00F360A5"/>
    <w:rsid w:val="00F5491C"/>
    <w:rsid w:val="00F65B54"/>
    <w:rsid w:val="00F66503"/>
    <w:rsid w:val="00F75D83"/>
    <w:rsid w:val="00F97FFC"/>
    <w:rsid w:val="00FD1179"/>
    <w:rsid w:val="00FD5862"/>
    <w:rsid w:val="00FF5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5A20B"/>
  <w15:chartTrackingRefBased/>
  <w15:docId w15:val="{BEF46296-B4A7-4965-AF8D-9A22F8042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C1728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1728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F3C03"/>
    <w:pPr>
      <w:spacing w:after="0" w:line="240" w:lineRule="auto"/>
    </w:pPr>
  </w:style>
  <w:style w:type="paragraph" w:styleId="Header">
    <w:name w:val="header"/>
    <w:basedOn w:val="Normal"/>
    <w:link w:val="HeaderChar"/>
    <w:uiPriority w:val="99"/>
    <w:unhideWhenUsed/>
    <w:rsid w:val="008F3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C03"/>
  </w:style>
  <w:style w:type="paragraph" w:styleId="Footer">
    <w:name w:val="footer"/>
    <w:basedOn w:val="Normal"/>
    <w:link w:val="FooterChar"/>
    <w:uiPriority w:val="99"/>
    <w:unhideWhenUsed/>
    <w:rsid w:val="008F3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C03"/>
  </w:style>
  <w:style w:type="paragraph" w:styleId="ListParagraph">
    <w:name w:val="List Paragraph"/>
    <w:basedOn w:val="Normal"/>
    <w:uiPriority w:val="34"/>
    <w:qFormat/>
    <w:rsid w:val="001D0DDC"/>
    <w:pPr>
      <w:ind w:left="720"/>
      <w:contextualSpacing/>
    </w:pPr>
  </w:style>
  <w:style w:type="table" w:styleId="TableGrid">
    <w:name w:val="Table Grid"/>
    <w:basedOn w:val="TableNormal"/>
    <w:uiPriority w:val="59"/>
    <w:rsid w:val="00DD65E4"/>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5A1B67"/>
    <w:rPr>
      <w:b/>
      <w:bCs/>
    </w:rPr>
  </w:style>
  <w:style w:type="paragraph" w:customStyle="1" w:styleId="Default">
    <w:name w:val="Default"/>
    <w:rsid w:val="00052A67"/>
    <w:pPr>
      <w:autoSpaceDE w:val="0"/>
      <w:autoSpaceDN w:val="0"/>
      <w:adjustRightInd w:val="0"/>
      <w:spacing w:after="0" w:line="240" w:lineRule="auto"/>
    </w:pPr>
    <w:rPr>
      <w:rFonts w:ascii="Charis SIL" w:hAnsi="Charis SIL" w:cs="Charis SIL"/>
      <w:color w:val="000000"/>
      <w:sz w:val="24"/>
      <w:szCs w:val="24"/>
    </w:rPr>
  </w:style>
  <w:style w:type="character" w:styleId="Hyperlink">
    <w:name w:val="Hyperlink"/>
    <w:basedOn w:val="DefaultParagraphFont"/>
    <w:uiPriority w:val="99"/>
    <w:unhideWhenUsed/>
    <w:rsid w:val="00C366DF"/>
    <w:rPr>
      <w:color w:val="0563C1" w:themeColor="hyperlink"/>
      <w:u w:val="single"/>
    </w:rPr>
  </w:style>
  <w:style w:type="paragraph" w:styleId="BalloonText">
    <w:name w:val="Balloon Text"/>
    <w:basedOn w:val="Normal"/>
    <w:link w:val="BalloonTextChar"/>
    <w:uiPriority w:val="99"/>
    <w:semiHidden/>
    <w:unhideWhenUsed/>
    <w:rsid w:val="00F97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FFC"/>
    <w:rPr>
      <w:rFonts w:ascii="Segoe UI" w:hAnsi="Segoe UI" w:cs="Segoe UI"/>
      <w:sz w:val="18"/>
      <w:szCs w:val="18"/>
    </w:rPr>
  </w:style>
  <w:style w:type="table" w:styleId="PlainTable5">
    <w:name w:val="Plain Table 5"/>
    <w:basedOn w:val="TableNormal"/>
    <w:uiPriority w:val="45"/>
    <w:rsid w:val="00D1636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CB38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9666">
      <w:bodyDiv w:val="1"/>
      <w:marLeft w:val="0"/>
      <w:marRight w:val="0"/>
      <w:marTop w:val="0"/>
      <w:marBottom w:val="0"/>
      <w:divBdr>
        <w:top w:val="none" w:sz="0" w:space="0" w:color="auto"/>
        <w:left w:val="none" w:sz="0" w:space="0" w:color="auto"/>
        <w:bottom w:val="none" w:sz="0" w:space="0" w:color="auto"/>
        <w:right w:val="none" w:sz="0" w:space="0" w:color="auto"/>
      </w:divBdr>
    </w:div>
    <w:div w:id="53701917">
      <w:bodyDiv w:val="1"/>
      <w:marLeft w:val="0"/>
      <w:marRight w:val="0"/>
      <w:marTop w:val="0"/>
      <w:marBottom w:val="0"/>
      <w:divBdr>
        <w:top w:val="none" w:sz="0" w:space="0" w:color="auto"/>
        <w:left w:val="none" w:sz="0" w:space="0" w:color="auto"/>
        <w:bottom w:val="none" w:sz="0" w:space="0" w:color="auto"/>
        <w:right w:val="none" w:sz="0" w:space="0" w:color="auto"/>
      </w:divBdr>
    </w:div>
    <w:div w:id="81529371">
      <w:bodyDiv w:val="1"/>
      <w:marLeft w:val="0"/>
      <w:marRight w:val="0"/>
      <w:marTop w:val="0"/>
      <w:marBottom w:val="0"/>
      <w:divBdr>
        <w:top w:val="none" w:sz="0" w:space="0" w:color="auto"/>
        <w:left w:val="none" w:sz="0" w:space="0" w:color="auto"/>
        <w:bottom w:val="none" w:sz="0" w:space="0" w:color="auto"/>
        <w:right w:val="none" w:sz="0" w:space="0" w:color="auto"/>
      </w:divBdr>
      <w:divsChild>
        <w:div w:id="305084891">
          <w:marLeft w:val="0"/>
          <w:marRight w:val="0"/>
          <w:marTop w:val="0"/>
          <w:marBottom w:val="0"/>
          <w:divBdr>
            <w:top w:val="none" w:sz="0" w:space="0" w:color="auto"/>
            <w:left w:val="none" w:sz="0" w:space="0" w:color="auto"/>
            <w:bottom w:val="none" w:sz="0" w:space="0" w:color="auto"/>
            <w:right w:val="none" w:sz="0" w:space="0" w:color="auto"/>
          </w:divBdr>
          <w:divsChild>
            <w:div w:id="1826971161">
              <w:marLeft w:val="0"/>
              <w:marRight w:val="0"/>
              <w:marTop w:val="0"/>
              <w:marBottom w:val="0"/>
              <w:divBdr>
                <w:top w:val="none" w:sz="0" w:space="0" w:color="auto"/>
                <w:left w:val="none" w:sz="0" w:space="0" w:color="auto"/>
                <w:bottom w:val="none" w:sz="0" w:space="0" w:color="auto"/>
                <w:right w:val="none" w:sz="0" w:space="0" w:color="auto"/>
              </w:divBdr>
            </w:div>
          </w:divsChild>
        </w:div>
        <w:div w:id="870726915">
          <w:marLeft w:val="0"/>
          <w:marRight w:val="0"/>
          <w:marTop w:val="0"/>
          <w:marBottom w:val="0"/>
          <w:divBdr>
            <w:top w:val="none" w:sz="0" w:space="0" w:color="auto"/>
            <w:left w:val="none" w:sz="0" w:space="0" w:color="auto"/>
            <w:bottom w:val="none" w:sz="0" w:space="0" w:color="auto"/>
            <w:right w:val="none" w:sz="0" w:space="0" w:color="auto"/>
          </w:divBdr>
          <w:divsChild>
            <w:div w:id="2050955981">
              <w:marLeft w:val="0"/>
              <w:marRight w:val="0"/>
              <w:marTop w:val="0"/>
              <w:marBottom w:val="0"/>
              <w:divBdr>
                <w:top w:val="none" w:sz="0" w:space="0" w:color="auto"/>
                <w:left w:val="none" w:sz="0" w:space="0" w:color="auto"/>
                <w:bottom w:val="none" w:sz="0" w:space="0" w:color="auto"/>
                <w:right w:val="none" w:sz="0" w:space="0" w:color="auto"/>
              </w:divBdr>
            </w:div>
          </w:divsChild>
        </w:div>
        <w:div w:id="1028750845">
          <w:marLeft w:val="0"/>
          <w:marRight w:val="0"/>
          <w:marTop w:val="0"/>
          <w:marBottom w:val="0"/>
          <w:divBdr>
            <w:top w:val="none" w:sz="0" w:space="0" w:color="auto"/>
            <w:left w:val="none" w:sz="0" w:space="0" w:color="auto"/>
            <w:bottom w:val="none" w:sz="0" w:space="0" w:color="auto"/>
            <w:right w:val="none" w:sz="0" w:space="0" w:color="auto"/>
          </w:divBdr>
          <w:divsChild>
            <w:div w:id="122699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36443">
      <w:bodyDiv w:val="1"/>
      <w:marLeft w:val="0"/>
      <w:marRight w:val="0"/>
      <w:marTop w:val="0"/>
      <w:marBottom w:val="0"/>
      <w:divBdr>
        <w:top w:val="none" w:sz="0" w:space="0" w:color="auto"/>
        <w:left w:val="none" w:sz="0" w:space="0" w:color="auto"/>
        <w:bottom w:val="none" w:sz="0" w:space="0" w:color="auto"/>
        <w:right w:val="none" w:sz="0" w:space="0" w:color="auto"/>
      </w:divBdr>
    </w:div>
    <w:div w:id="890264448">
      <w:bodyDiv w:val="1"/>
      <w:marLeft w:val="0"/>
      <w:marRight w:val="0"/>
      <w:marTop w:val="0"/>
      <w:marBottom w:val="0"/>
      <w:divBdr>
        <w:top w:val="none" w:sz="0" w:space="0" w:color="auto"/>
        <w:left w:val="none" w:sz="0" w:space="0" w:color="auto"/>
        <w:bottom w:val="none" w:sz="0" w:space="0" w:color="auto"/>
        <w:right w:val="none" w:sz="0" w:space="0" w:color="auto"/>
      </w:divBdr>
    </w:div>
    <w:div w:id="965238613">
      <w:bodyDiv w:val="1"/>
      <w:marLeft w:val="0"/>
      <w:marRight w:val="0"/>
      <w:marTop w:val="0"/>
      <w:marBottom w:val="0"/>
      <w:divBdr>
        <w:top w:val="none" w:sz="0" w:space="0" w:color="auto"/>
        <w:left w:val="none" w:sz="0" w:space="0" w:color="auto"/>
        <w:bottom w:val="none" w:sz="0" w:space="0" w:color="auto"/>
        <w:right w:val="none" w:sz="0" w:space="0" w:color="auto"/>
      </w:divBdr>
    </w:div>
    <w:div w:id="1035541324">
      <w:bodyDiv w:val="1"/>
      <w:marLeft w:val="0"/>
      <w:marRight w:val="0"/>
      <w:marTop w:val="0"/>
      <w:marBottom w:val="0"/>
      <w:divBdr>
        <w:top w:val="none" w:sz="0" w:space="0" w:color="auto"/>
        <w:left w:val="none" w:sz="0" w:space="0" w:color="auto"/>
        <w:bottom w:val="none" w:sz="0" w:space="0" w:color="auto"/>
        <w:right w:val="none" w:sz="0" w:space="0" w:color="auto"/>
      </w:divBdr>
    </w:div>
    <w:div w:id="1134325433">
      <w:bodyDiv w:val="1"/>
      <w:marLeft w:val="0"/>
      <w:marRight w:val="0"/>
      <w:marTop w:val="0"/>
      <w:marBottom w:val="0"/>
      <w:divBdr>
        <w:top w:val="none" w:sz="0" w:space="0" w:color="auto"/>
        <w:left w:val="none" w:sz="0" w:space="0" w:color="auto"/>
        <w:bottom w:val="none" w:sz="0" w:space="0" w:color="auto"/>
        <w:right w:val="none" w:sz="0" w:space="0" w:color="auto"/>
      </w:divBdr>
    </w:div>
    <w:div w:id="1716811524">
      <w:bodyDiv w:val="1"/>
      <w:marLeft w:val="0"/>
      <w:marRight w:val="0"/>
      <w:marTop w:val="0"/>
      <w:marBottom w:val="0"/>
      <w:divBdr>
        <w:top w:val="none" w:sz="0" w:space="0" w:color="auto"/>
        <w:left w:val="none" w:sz="0" w:space="0" w:color="auto"/>
        <w:bottom w:val="none" w:sz="0" w:space="0" w:color="auto"/>
        <w:right w:val="none" w:sz="0" w:space="0" w:color="auto"/>
      </w:divBdr>
    </w:div>
    <w:div w:id="177073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4E2C9-A64D-4E61-943B-F28B8E8BA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14</Pages>
  <Words>4579</Words>
  <Characters>26101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SDI 1084</cp:lastModifiedBy>
  <cp:revision>18</cp:revision>
  <cp:lastPrinted>2026-06-25T22:07:00Z</cp:lastPrinted>
  <dcterms:created xsi:type="dcterms:W3CDTF">2026-06-24T21:49:00Z</dcterms:created>
  <dcterms:modified xsi:type="dcterms:W3CDTF">2026-07-08T13:52:00Z</dcterms:modified>
</cp:coreProperties>
</file>