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1AB39" w14:textId="7D064A58" w:rsidR="00D05C52" w:rsidRDefault="00D05C52" w:rsidP="00FC470F">
      <w:pPr>
        <w:pStyle w:val="Heading1"/>
        <w:jc w:val="left"/>
      </w:pPr>
      <w:bookmarkStart w:id="0" w:name="OLE_LINK53"/>
      <w:bookmarkStart w:id="1" w:name="OLE_LINK54"/>
      <w:bookmarkStart w:id="2" w:name="OLE_LINK58"/>
      <w:bookmarkStart w:id="3" w:name="OLE_LINK66"/>
      <w:bookmarkStart w:id="4" w:name="OLE_LINK32"/>
      <w:bookmarkStart w:id="5" w:name="OLE_LINK163"/>
      <w:bookmarkStart w:id="6" w:name="OLE_LINK4"/>
      <w:bookmarkStart w:id="7" w:name="OLE_LINK149"/>
      <w:bookmarkStart w:id="8" w:name="OLE_LINK150"/>
      <w:bookmarkStart w:id="9" w:name="OLE_LINK28"/>
      <w:bookmarkStart w:id="10" w:name="OLE_LINK29"/>
      <w:bookmarkStart w:id="11" w:name="OLE_LINK147"/>
      <w:r w:rsidRPr="00DD6474">
        <w:t xml:space="preserve">Assessment of </w:t>
      </w:r>
      <w:r w:rsidR="00DF7906">
        <w:t xml:space="preserve">Toxic Hydrogen Sulfide </w:t>
      </w:r>
      <w:r>
        <w:t xml:space="preserve">Malodor </w:t>
      </w:r>
      <w:r w:rsidRPr="00DD6474">
        <w:t xml:space="preserve">Emissions from Decaying Organic Waste </w:t>
      </w:r>
    </w:p>
    <w:bookmarkEnd w:id="0"/>
    <w:bookmarkEnd w:id="1"/>
    <w:bookmarkEnd w:id="2"/>
    <w:bookmarkEnd w:id="3"/>
    <w:p w14:paraId="1E9274A3" w14:textId="77777777" w:rsidR="00FC470F" w:rsidRPr="00FC470F" w:rsidRDefault="00FC470F" w:rsidP="00FC470F"/>
    <w:bookmarkEnd w:id="4"/>
    <w:bookmarkEnd w:id="5"/>
    <w:bookmarkEnd w:id="6"/>
    <w:bookmarkEnd w:id="7"/>
    <w:bookmarkEnd w:id="8"/>
    <w:p w14:paraId="53A4FF99" w14:textId="77777777" w:rsidR="00307DF2" w:rsidRDefault="00307DF2" w:rsidP="000B76C0">
      <w:pPr>
        <w:pStyle w:val="Heading1"/>
        <w:rPr>
          <w:rFonts w:eastAsia="Times New Roman"/>
        </w:rPr>
      </w:pPr>
      <w:r w:rsidRPr="00307DF2">
        <w:rPr>
          <w:rFonts w:eastAsia="Times New Roman"/>
        </w:rPr>
        <w:t>Abstract</w:t>
      </w:r>
    </w:p>
    <w:p w14:paraId="7BEE7FB3" w14:textId="4AE295FE" w:rsidR="00365243" w:rsidRPr="00365243" w:rsidRDefault="00C21885" w:rsidP="00365243">
      <w:pPr>
        <w:spacing w:line="480" w:lineRule="auto"/>
      </w:pPr>
      <w:bookmarkStart w:id="12" w:name="OLE_LINK137"/>
      <w:bookmarkStart w:id="13" w:name="OLE_LINK138"/>
      <w:r w:rsidRPr="00365243">
        <w:t>Malodor</w:t>
      </w:r>
      <w:r w:rsidR="00365243" w:rsidRPr="00365243">
        <w:t xml:space="preserve"> generation from decomposing organic wastes contributes a significant environmental and public health challenge in urban settings. This study investigated hydrogen sulfide (H₂S) emissions, sensory </w:t>
      </w:r>
      <w:proofErr w:type="spellStart"/>
      <w:r w:rsidR="00365243" w:rsidRPr="00365243">
        <w:t>odour</w:t>
      </w:r>
      <w:proofErr w:type="spellEnd"/>
      <w:r w:rsidR="00365243" w:rsidRPr="00365243">
        <w:t xml:space="preserve"> perception, and physicochemical changes in six common waste types, including fish, broken eggs, meat, tomato, onion, and cabbage, under unsealed and sealed container conditions over 15 days in </w:t>
      </w:r>
      <w:proofErr w:type="spellStart"/>
      <w:r w:rsidR="00365243" w:rsidRPr="00365243">
        <w:t>Awka</w:t>
      </w:r>
      <w:proofErr w:type="spellEnd"/>
      <w:r w:rsidR="00365243" w:rsidRPr="00365243">
        <w:t xml:space="preserve">, Nigeria. Protein-rich wastes consistently produced the highest H₂S concentrations, with peaks of 2,499 ppm for eggs and 1,772 ppm for fish in unsealed bins, whereas plant-based wastes emitted negligible </w:t>
      </w:r>
      <w:proofErr w:type="spellStart"/>
      <w:r w:rsidR="00365243" w:rsidRPr="00365243">
        <w:t>sulphurous</w:t>
      </w:r>
      <w:proofErr w:type="spellEnd"/>
      <w:r w:rsidR="00365243" w:rsidRPr="00365243">
        <w:t xml:space="preserve"> gases under open conditions. Sealed containers delayed peak emissions but occasionally elevated cumulative H₂S levels, particularly in plant-based wastes. Sensory evaluation revealed strong alignment between H₂S levels and human-perceived </w:t>
      </w:r>
      <w:proofErr w:type="spellStart"/>
      <w:r w:rsidR="00365243" w:rsidRPr="00365243">
        <w:t>odour</w:t>
      </w:r>
      <w:proofErr w:type="spellEnd"/>
      <w:r w:rsidR="00365243" w:rsidRPr="00365243">
        <w:t xml:space="preserve"> intensity and offensiveness, with protein-rich wastes rated highest (r = 0.91, p &lt; 0.001). Physicochemical analyses showed progressive </w:t>
      </w:r>
      <w:proofErr w:type="spellStart"/>
      <w:r w:rsidR="00365243" w:rsidRPr="00365243">
        <w:t>alkalinisation</w:t>
      </w:r>
      <w:proofErr w:type="spellEnd"/>
      <w:r w:rsidR="00365243" w:rsidRPr="00365243">
        <w:t xml:space="preserve"> and increased total dissolved solids (TDS) in protein-rich wastes, correlating with H₂S production, while plant-based wastes initially acidified before gradual recovery. Temporal patterns highlighted rapid </w:t>
      </w:r>
      <w:proofErr w:type="spellStart"/>
      <w:r w:rsidR="00365243" w:rsidRPr="00365243">
        <w:t>odour</w:t>
      </w:r>
      <w:proofErr w:type="spellEnd"/>
      <w:r w:rsidR="00365243" w:rsidRPr="00365243">
        <w:t xml:space="preserve"> peaks in protein-rich wastes and delayed, gradual emissions in plant-based wastes, illustrating the influence of substrate composition and container condition. These findings </w:t>
      </w:r>
      <w:proofErr w:type="spellStart"/>
      <w:r w:rsidR="00365243" w:rsidRPr="00365243">
        <w:t>emphasise</w:t>
      </w:r>
      <w:proofErr w:type="spellEnd"/>
      <w:r w:rsidR="00365243" w:rsidRPr="00365243">
        <w:t xml:space="preserve"> the critical role of waste type, environmental exposure, and physicochemical processes in </w:t>
      </w:r>
      <w:proofErr w:type="spellStart"/>
      <w:r w:rsidR="00365243" w:rsidRPr="00365243">
        <w:t>malodour</w:t>
      </w:r>
      <w:proofErr w:type="spellEnd"/>
      <w:r w:rsidR="00365243" w:rsidRPr="00365243">
        <w:t xml:space="preserve"> dynamics and provide practical guidance for municipal waste management strategies, including source segregation, rapid removal of high-protein waste, and container management. Integrating chemical and sensory monitoring offers a predictive framework for mitigating </w:t>
      </w:r>
      <w:proofErr w:type="spellStart"/>
      <w:r w:rsidR="00365243" w:rsidRPr="00365243">
        <w:t>odour</w:t>
      </w:r>
      <w:proofErr w:type="spellEnd"/>
      <w:r w:rsidR="00365243" w:rsidRPr="00365243">
        <w:t xml:space="preserve"> nuisance in urban settings.</w:t>
      </w:r>
    </w:p>
    <w:p w14:paraId="07A5DE2E" w14:textId="77777777" w:rsidR="001770D0" w:rsidRPr="001770D0" w:rsidRDefault="001770D0" w:rsidP="00E208E5">
      <w:pPr>
        <w:spacing w:before="100" w:beforeAutospacing="1" w:after="100" w:afterAutospacing="1" w:line="480" w:lineRule="auto"/>
        <w:jc w:val="left"/>
        <w:rPr>
          <w:rFonts w:eastAsia="Times New Roman" w:cs="Times New Roman"/>
          <w:szCs w:val="24"/>
        </w:rPr>
      </w:pPr>
      <w:bookmarkStart w:id="14" w:name="OLE_LINK68"/>
      <w:bookmarkStart w:id="15" w:name="OLE_LINK69"/>
      <w:bookmarkEnd w:id="12"/>
      <w:bookmarkEnd w:id="13"/>
      <w:r w:rsidRPr="001770D0">
        <w:rPr>
          <w:rFonts w:eastAsia="Times New Roman" w:hAnsi="Symbol" w:cs="Times New Roman"/>
          <w:b/>
          <w:szCs w:val="24"/>
        </w:rPr>
        <w:lastRenderedPageBreak/>
        <w:t>Keywords:</w:t>
      </w:r>
      <w:r>
        <w:rPr>
          <w:rFonts w:eastAsia="Times New Roman" w:hAnsi="Symbol" w:cs="Times New Roman"/>
          <w:szCs w:val="24"/>
        </w:rPr>
        <w:t xml:space="preserve"> </w:t>
      </w:r>
      <w:bookmarkStart w:id="16" w:name="OLE_LINK139"/>
      <w:bookmarkStart w:id="17" w:name="OLE_LINK140"/>
      <w:r w:rsidR="009170F2" w:rsidRPr="009170F2">
        <w:rPr>
          <w:rFonts w:eastAsia="Times New Roman" w:cs="Times New Roman"/>
          <w:szCs w:val="24"/>
        </w:rPr>
        <w:t xml:space="preserve">Hydrogen </w:t>
      </w:r>
      <w:proofErr w:type="spellStart"/>
      <w:r w:rsidR="009170F2" w:rsidRPr="009170F2">
        <w:rPr>
          <w:rFonts w:eastAsia="Times New Roman" w:cs="Times New Roman"/>
          <w:szCs w:val="24"/>
        </w:rPr>
        <w:t>sulphide</w:t>
      </w:r>
      <w:proofErr w:type="spellEnd"/>
      <w:r w:rsidR="009170F2" w:rsidRPr="009170F2">
        <w:rPr>
          <w:rFonts w:eastAsia="Times New Roman" w:cs="Times New Roman"/>
          <w:szCs w:val="24"/>
        </w:rPr>
        <w:t xml:space="preserve"> (H₂S)</w:t>
      </w:r>
      <w:bookmarkEnd w:id="16"/>
      <w:bookmarkEnd w:id="17"/>
      <w:r w:rsidR="009170F2" w:rsidRPr="009170F2">
        <w:rPr>
          <w:rFonts w:eastAsia="Times New Roman" w:cs="Times New Roman"/>
          <w:szCs w:val="24"/>
        </w:rPr>
        <w:t xml:space="preserve">, </w:t>
      </w:r>
      <w:bookmarkStart w:id="18" w:name="OLE_LINK141"/>
      <w:bookmarkStart w:id="19" w:name="OLE_LINK142"/>
      <w:r w:rsidR="009170F2" w:rsidRPr="009170F2">
        <w:rPr>
          <w:rFonts w:eastAsia="Times New Roman" w:cs="Times New Roman"/>
          <w:szCs w:val="24"/>
        </w:rPr>
        <w:t>Organic waste decomposition</w:t>
      </w:r>
      <w:bookmarkEnd w:id="18"/>
      <w:bookmarkEnd w:id="19"/>
      <w:r w:rsidR="009170F2" w:rsidRPr="009170F2">
        <w:rPr>
          <w:rFonts w:eastAsia="Times New Roman" w:cs="Times New Roman"/>
          <w:szCs w:val="24"/>
        </w:rPr>
        <w:t xml:space="preserve">, </w:t>
      </w:r>
      <w:bookmarkStart w:id="20" w:name="OLE_LINK143"/>
      <w:bookmarkStart w:id="21" w:name="OLE_LINK144"/>
      <w:r w:rsidR="009170F2" w:rsidRPr="009170F2">
        <w:rPr>
          <w:rFonts w:eastAsia="Times New Roman" w:cs="Times New Roman"/>
          <w:szCs w:val="24"/>
        </w:rPr>
        <w:t>Protein-rich waste</w:t>
      </w:r>
      <w:bookmarkEnd w:id="20"/>
      <w:bookmarkEnd w:id="21"/>
      <w:r w:rsidR="009170F2" w:rsidRPr="009170F2">
        <w:rPr>
          <w:rFonts w:eastAsia="Times New Roman" w:cs="Times New Roman"/>
          <w:szCs w:val="24"/>
        </w:rPr>
        <w:t xml:space="preserve">, </w:t>
      </w:r>
      <w:bookmarkStart w:id="22" w:name="OLE_LINK145"/>
      <w:bookmarkStart w:id="23" w:name="OLE_LINK146"/>
      <w:r w:rsidR="009170F2" w:rsidRPr="009170F2">
        <w:rPr>
          <w:rFonts w:eastAsia="Times New Roman" w:cs="Times New Roman"/>
          <w:szCs w:val="24"/>
        </w:rPr>
        <w:t>Sensory evaluation</w:t>
      </w:r>
      <w:bookmarkEnd w:id="22"/>
      <w:bookmarkEnd w:id="23"/>
      <w:r w:rsidR="009170F2" w:rsidRPr="009170F2">
        <w:rPr>
          <w:rFonts w:eastAsia="Times New Roman" w:cs="Times New Roman"/>
          <w:szCs w:val="24"/>
        </w:rPr>
        <w:t>, Waste management</w:t>
      </w:r>
    </w:p>
    <w:bookmarkEnd w:id="14"/>
    <w:bookmarkEnd w:id="15"/>
    <w:p w14:paraId="014950C6" w14:textId="18528CE0" w:rsidR="00927BBE" w:rsidRDefault="00927BBE" w:rsidP="00C42377">
      <w:pPr>
        <w:pStyle w:val="Heading1"/>
        <w:numPr>
          <w:ilvl w:val="0"/>
          <w:numId w:val="3"/>
        </w:numPr>
        <w:ind w:left="360"/>
      </w:pPr>
      <w:r>
        <w:t xml:space="preserve">Introduction </w:t>
      </w:r>
    </w:p>
    <w:p w14:paraId="2516D5AC" w14:textId="77777777" w:rsidR="00271F23" w:rsidRDefault="00990FDB" w:rsidP="00271F23">
      <w:pPr>
        <w:spacing w:after="0" w:line="360" w:lineRule="auto"/>
        <w:ind w:firstLine="360"/>
      </w:pPr>
      <w:r>
        <w:t xml:space="preserve">Urbanization and population growth have substantially increased the quantity of municipal solid waste generated worldwide, creating significant environmental and public health challenges, particularly in rapidly developing cities. Organic waste constitutes a major fraction of municipal solid waste and undergoes complex biological and chemical transformations that generate malodorous and potentially hazardous gaseous emissions. Understanding the formation, transport, and quantification of these emissions is an important area of environmental chemistry because they influence air quality, ecosystem sustainability, human health, and the development of effective waste management strategies. In many developing countries, inadequate waste collection, inefficient disposal systems, </w:t>
      </w:r>
      <w:r w:rsidRPr="00271F23">
        <w:t xml:space="preserve">and uncontrolled decomposition of organic refuse continue to exacerbate environmental pollution and reduce urban quality of life (ATSDR, 2016; WHO, 2003; United States EPA, 2024; </w:t>
      </w:r>
      <w:proofErr w:type="spellStart"/>
      <w:r w:rsidRPr="00271F23">
        <w:t>Xuejuan</w:t>
      </w:r>
      <w:proofErr w:type="spellEnd"/>
      <w:r w:rsidRPr="00271F23">
        <w:t xml:space="preserve"> et al</w:t>
      </w:r>
      <w:r>
        <w:t>., 2023).</w:t>
      </w:r>
    </w:p>
    <w:p w14:paraId="26E0550D" w14:textId="77777777" w:rsidR="00B942C8" w:rsidRDefault="00990FDB" w:rsidP="00B942C8">
      <w:pPr>
        <w:spacing w:after="0" w:line="360" w:lineRule="auto"/>
        <w:ind w:firstLine="360"/>
      </w:pPr>
      <w:proofErr w:type="spellStart"/>
      <w:r>
        <w:t>Awka</w:t>
      </w:r>
      <w:proofErr w:type="spellEnd"/>
      <w:r>
        <w:t xml:space="preserve">, the capital city of Anambra State, Nigeria, has experienced rapid urban expansion accompanied by increasing municipal solid waste generation. The city's population, estimated at approximately 301,657 in 2006, is projected to exceed 500,000 by 2025, placing considerable pressure on existing waste management infrastructure (Federal Republic of Nigeria, 2007). As in many Nigerian cities, municipal waste collection systems are frequently overwhelmed by increasing waste volumes, resulting in prolonged storage of refuse at communal collection points and occasional indiscriminate disposal along roadsides and open spaces. Residents in densely populated </w:t>
      </w:r>
      <w:proofErr w:type="spellStart"/>
      <w:r>
        <w:t>neighbourhoods</w:t>
      </w:r>
      <w:proofErr w:type="spellEnd"/>
      <w:r>
        <w:t xml:space="preserve"> such as </w:t>
      </w:r>
      <w:proofErr w:type="spellStart"/>
      <w:r>
        <w:t>Okpuno</w:t>
      </w:r>
      <w:proofErr w:type="spellEnd"/>
      <w:r>
        <w:t xml:space="preserve"> Avenue and Y-Junction have reported increasing </w:t>
      </w:r>
      <w:proofErr w:type="spellStart"/>
      <w:r>
        <w:t>odour</w:t>
      </w:r>
      <w:proofErr w:type="spellEnd"/>
      <w:r>
        <w:t xml:space="preserve"> nuisance following the consolidation of waste into fewer collection sites. These conditions provide </w:t>
      </w:r>
      <w:proofErr w:type="spellStart"/>
      <w:r>
        <w:t>favourable</w:t>
      </w:r>
      <w:proofErr w:type="spellEnd"/>
      <w:r>
        <w:t xml:space="preserve"> environments for microbial decomposition of organic waste, leading to the continuous release of odorous and chemically reactive gases into the surrounding atmosphere (News Agency of Nigeria, 2025; Onwuka et al., 2025).</w:t>
      </w:r>
    </w:p>
    <w:p w14:paraId="51E29D27" w14:textId="77777777" w:rsidR="00B76928" w:rsidRDefault="00990FDB" w:rsidP="00B76928">
      <w:pPr>
        <w:spacing w:after="0" w:line="360" w:lineRule="auto"/>
        <w:ind w:firstLine="360"/>
      </w:pPr>
      <w:r>
        <w:t xml:space="preserve">The decomposition of organic waste is governed by a series of biochemical reactions involving diverse microbial communities operating under aerobic and anaerobic conditions. During these processes, carbohydrates, proteins, lipids, and other biodegradable constituents are progressively mineralized, producing carbon dioxide, methane, ammonia, hydrogen </w:t>
      </w:r>
      <w:proofErr w:type="spellStart"/>
      <w:r>
        <w:t>sulphide</w:t>
      </w:r>
      <w:proofErr w:type="spellEnd"/>
      <w:r>
        <w:t xml:space="preserve">, volatile fatty </w:t>
      </w:r>
      <w:r>
        <w:lastRenderedPageBreak/>
        <w:t xml:space="preserve">acids, and numerous volatile organic compounds (VOCs) (Han et al., 2019; Zhang et al., 2012; United States EPA, 2024). Among these emissions, hydrogen </w:t>
      </w:r>
      <w:proofErr w:type="spellStart"/>
      <w:r>
        <w:t>sulphide</w:t>
      </w:r>
      <w:proofErr w:type="spellEnd"/>
      <w:r>
        <w:t xml:space="preserve"> (H₂S) is one of the most important reduced </w:t>
      </w:r>
      <w:proofErr w:type="spellStart"/>
      <w:r>
        <w:t>sulphur</w:t>
      </w:r>
      <w:proofErr w:type="spellEnd"/>
      <w:r>
        <w:t xml:space="preserve"> compounds because of its extremely low </w:t>
      </w:r>
      <w:proofErr w:type="spellStart"/>
      <w:r>
        <w:t>odour</w:t>
      </w:r>
      <w:proofErr w:type="spellEnd"/>
      <w:r>
        <w:t xml:space="preserve"> threshold, high toxicity, and significant contribution to offensive </w:t>
      </w:r>
      <w:proofErr w:type="spellStart"/>
      <w:r>
        <w:t>odours</w:t>
      </w:r>
      <w:proofErr w:type="spellEnd"/>
      <w:r>
        <w:t xml:space="preserve"> associated with municipal waste facilities. The formation of H₂S primarily results from microbial reduction of sulphate and the degradation of </w:t>
      </w:r>
      <w:proofErr w:type="spellStart"/>
      <w:r>
        <w:t>sulphur</w:t>
      </w:r>
      <w:proofErr w:type="spellEnd"/>
      <w:r>
        <w:t>-containing amino acids such as cysteine and methionine present in protein-rich organic materials (Guidotti, 2010; Zhang et al., 2013; Han et al., 2019). Environmental factors including temperature, moisture content, pH, oxygen availability, microbial activity, and waste composition strongly influence the rate and magnitude of H₂S generation during decomposition (Han et al., 2019; Zhang et al., 2013).</w:t>
      </w:r>
    </w:p>
    <w:p w14:paraId="79FBBF9E" w14:textId="77777777" w:rsidR="00B76928" w:rsidRDefault="00990FDB" w:rsidP="00B76928">
      <w:pPr>
        <w:spacing w:after="0" w:line="360" w:lineRule="auto"/>
        <w:ind w:firstLine="360"/>
      </w:pPr>
      <w:r>
        <w:t xml:space="preserve">The chemical composition of organic waste plays a critical role in determining emission characteristics. Protein-rich wastes such as fish residues, meat, and eggs generally produce considerably higher concentrations of H₂S than plant-derived materials because of their elevated </w:t>
      </w:r>
      <w:proofErr w:type="spellStart"/>
      <w:r>
        <w:t>sulphur</w:t>
      </w:r>
      <w:proofErr w:type="spellEnd"/>
      <w:r>
        <w:t xml:space="preserve"> content and rapid microbial degradation (Zhang et al., 2013; Zhang et al., 2012). Conversely, vegetable wastes including tomato, cabbage, and onion typically emit lower concentrations of reduced </w:t>
      </w:r>
      <w:proofErr w:type="spellStart"/>
      <w:r>
        <w:t>sulphur</w:t>
      </w:r>
      <w:proofErr w:type="spellEnd"/>
      <w:r>
        <w:t xml:space="preserve"> compounds, although prolonged anaerobic decomposition can still generate substantial </w:t>
      </w:r>
      <w:proofErr w:type="spellStart"/>
      <w:r>
        <w:t>odour</w:t>
      </w:r>
      <w:proofErr w:type="spellEnd"/>
      <w:r>
        <w:t xml:space="preserve"> emissions (United States EPA, 2024; Han et al., 2019). Oxygen availability further modifies decomposition pathways; aerobic conditions </w:t>
      </w:r>
      <w:proofErr w:type="spellStart"/>
      <w:r>
        <w:t>favour</w:t>
      </w:r>
      <w:proofErr w:type="spellEnd"/>
      <w:r>
        <w:t xml:space="preserve"> oxidation reactions and relatively lower H₂S production, whereas oxygen-limited environments stimulate anaerobic metabolism and sulphate-reducing bacteria capable of producing large quantities of hydrogen </w:t>
      </w:r>
      <w:proofErr w:type="spellStart"/>
      <w:r>
        <w:t>sulphide</w:t>
      </w:r>
      <w:proofErr w:type="spellEnd"/>
      <w:r>
        <w:t xml:space="preserve"> (Han et al., 2019). Consequently, storage conditions, container design, and waste handling practices are important determinants of </w:t>
      </w:r>
      <w:proofErr w:type="spellStart"/>
      <w:r>
        <w:t>odour</w:t>
      </w:r>
      <w:proofErr w:type="spellEnd"/>
      <w:r>
        <w:t xml:space="preserve"> generation in municipal waste management systems.</w:t>
      </w:r>
    </w:p>
    <w:p w14:paraId="303E4B0D" w14:textId="77777777" w:rsidR="00B76928" w:rsidRDefault="00990FDB" w:rsidP="00B76928">
      <w:pPr>
        <w:spacing w:after="0" w:line="360" w:lineRule="auto"/>
        <w:ind w:firstLine="360"/>
      </w:pPr>
      <w:r>
        <w:t xml:space="preserve">The environmental and health implications of H₂S and related gaseous emissions have attracted increasing scientific attention. Exposure to H₂S has been associated with headaches, nausea, dizziness, eye irritation, respiratory discomfort, and neurological effects, while exposure to high concentrations may result in unconsciousness or fatality (Guidotti, 2010; ATSDR, 2016; WHO, 2003). Ammonia contributes to respiratory irritation and reduces ambient air quality, whereas methane is an important greenhouse gas and presents explosion hazards in confined environments (WHO, 2003; United States EPA, 2024). Beyond direct health effects, persistent </w:t>
      </w:r>
      <w:proofErr w:type="spellStart"/>
      <w:r>
        <w:t>malodour</w:t>
      </w:r>
      <w:proofErr w:type="spellEnd"/>
      <w:r>
        <w:t xml:space="preserve"> negatively affects community well-being, reduces property values, and frequently generates public </w:t>
      </w:r>
      <w:r>
        <w:lastRenderedPageBreak/>
        <w:t>complaints around waste treatment facilities and landfill sites (Laura et al., 2011). Consequently, minimizing odorous emissions has become an important objective of sustainable municipal waste management.</w:t>
      </w:r>
    </w:p>
    <w:p w14:paraId="68B63BD5" w14:textId="77777777" w:rsidR="00B76928" w:rsidRDefault="00990FDB" w:rsidP="00B76928">
      <w:pPr>
        <w:spacing w:after="0" w:line="360" w:lineRule="auto"/>
        <w:ind w:firstLine="360"/>
      </w:pPr>
      <w:r>
        <w:t xml:space="preserve">Recent advances in environmental analytical chemistry have substantially improved the detection, quantification, and interpretation of odorous emissions from decomposing waste. Conventional laboratory techniques such as gas chromatography–mass spectrometry (GC–MS) remain the reference method for identifying VOCs and </w:t>
      </w:r>
      <w:proofErr w:type="spellStart"/>
      <w:r>
        <w:t>sulphur</w:t>
      </w:r>
      <w:proofErr w:type="spellEnd"/>
      <w:r>
        <w:t xml:space="preserve">-containing compounds, while standardized procedures including the USEPA TO-15 method provide reliable protocols for monitoring gaseous pollutants (Yan-li et al., 2016; </w:t>
      </w:r>
      <w:proofErr w:type="spellStart"/>
      <w:r>
        <w:t>Lucernoni</w:t>
      </w:r>
      <w:proofErr w:type="spellEnd"/>
      <w:r>
        <w:t xml:space="preserve"> et al., 2016). Dynamic olfactometry has become widely accepted for quantifying </w:t>
      </w:r>
      <w:proofErr w:type="spellStart"/>
      <w:r>
        <w:t>odour</w:t>
      </w:r>
      <w:proofErr w:type="spellEnd"/>
      <w:r>
        <w:t xml:space="preserve"> concentration through controlled sensory evaluation, allowing direct comparison between instrumental measurements and human </w:t>
      </w:r>
      <w:proofErr w:type="spellStart"/>
      <w:r>
        <w:t>odour</w:t>
      </w:r>
      <w:proofErr w:type="spellEnd"/>
      <w:r>
        <w:t xml:space="preserve"> perception (Laura et al., 2011). In addition, electrochemical sensors have emerged as practical alternatives for continuous field monitoring because they provide rapid, sensitive, and cost-effective measurement of H₂S concentrations under real-time conditions (</w:t>
      </w:r>
      <w:proofErr w:type="spellStart"/>
      <w:r>
        <w:t>Zhangliang</w:t>
      </w:r>
      <w:proofErr w:type="spellEnd"/>
      <w:r>
        <w:t xml:space="preserve"> et al., 2018). Advances in electronic noses, chemometric analysis, fuzzy synthetic evaluation, and predictive emission models such as the USEPA Landfill Gas Emissions Model (</w:t>
      </w:r>
      <w:proofErr w:type="spellStart"/>
      <w:r>
        <w:t>LandGEM</w:t>
      </w:r>
      <w:proofErr w:type="spellEnd"/>
      <w:r>
        <w:t xml:space="preserve">) have further enhanced the capability to characterize complex </w:t>
      </w:r>
      <w:proofErr w:type="spellStart"/>
      <w:r>
        <w:t>odour</w:t>
      </w:r>
      <w:proofErr w:type="spellEnd"/>
      <w:r>
        <w:t xml:space="preserve"> mixtures and evaluate their environmental impacts (</w:t>
      </w:r>
      <w:proofErr w:type="spellStart"/>
      <w:r>
        <w:t>Lucernoni</w:t>
      </w:r>
      <w:proofErr w:type="spellEnd"/>
      <w:r>
        <w:t xml:space="preserve"> et al., 2016; </w:t>
      </w:r>
      <w:proofErr w:type="spellStart"/>
      <w:r>
        <w:t>Zhaowen</w:t>
      </w:r>
      <w:proofErr w:type="spellEnd"/>
      <w:r>
        <w:t xml:space="preserve"> et al., 2019).</w:t>
      </w:r>
    </w:p>
    <w:p w14:paraId="341FF681" w14:textId="77777777" w:rsidR="00B76928" w:rsidRDefault="00990FDB" w:rsidP="00B76928">
      <w:pPr>
        <w:spacing w:after="0" w:line="360" w:lineRule="auto"/>
        <w:ind w:firstLine="360"/>
      </w:pPr>
      <w:r>
        <w:t xml:space="preserve">Recent studies have significantly advanced the understanding of </w:t>
      </w:r>
      <w:proofErr w:type="spellStart"/>
      <w:r>
        <w:t>odour</w:t>
      </w:r>
      <w:proofErr w:type="spellEnd"/>
      <w:r>
        <w:t xml:space="preserve"> generation from municipal organic waste. Experimental investigations have demonstrated that waste composition and oxygen availability are primary factors controlling H₂S production during decomposition (Han et al., 2019; Zhang et al., 2013). Other researchers have reported that electrochemical sensors and integrated monitoring systems provide reliable alternatives to conventional laboratory analysis for tracking temporal variations in </w:t>
      </w:r>
      <w:proofErr w:type="spellStart"/>
      <w:r>
        <w:t>sulphur</w:t>
      </w:r>
      <w:proofErr w:type="spellEnd"/>
      <w:r>
        <w:t xml:space="preserve"> emissions (</w:t>
      </w:r>
      <w:proofErr w:type="spellStart"/>
      <w:r>
        <w:t>Zhangliang</w:t>
      </w:r>
      <w:proofErr w:type="spellEnd"/>
      <w:r>
        <w:t xml:space="preserve"> et al., 2018). Advances have also been made in converting hydrogen </w:t>
      </w:r>
      <w:proofErr w:type="spellStart"/>
      <w:r>
        <w:t>sulphide</w:t>
      </w:r>
      <w:proofErr w:type="spellEnd"/>
      <w:r>
        <w:t xml:space="preserve"> into value-added products, including photoelectrochemical conversion to hydrogen fuel and elemental </w:t>
      </w:r>
      <w:proofErr w:type="spellStart"/>
      <w:r>
        <w:t>sulphur</w:t>
      </w:r>
      <w:proofErr w:type="spellEnd"/>
      <w:r>
        <w:t>, highlighting opportunities for resource recovery within circular economy frameworks (</w:t>
      </w:r>
      <w:proofErr w:type="spellStart"/>
      <w:r>
        <w:t>Chuntan</w:t>
      </w:r>
      <w:proofErr w:type="spellEnd"/>
      <w:r>
        <w:t xml:space="preserve"> et al., 2025). Nevertheless, most published investigations have been conducted under temperate climatic conditions, within engineered landfill systems, composting facilities, or laboratory-scale reactors that differ substantially from waste management practices commonly encountered in tropical developing countries (Han et al., 2019; Zhang et al., 2013; </w:t>
      </w:r>
      <w:proofErr w:type="spellStart"/>
      <w:r>
        <w:t>Chuntan</w:t>
      </w:r>
      <w:proofErr w:type="spellEnd"/>
      <w:r>
        <w:t xml:space="preserve"> et al., 2025). Furthermore, </w:t>
      </w:r>
      <w:r>
        <w:lastRenderedPageBreak/>
        <w:t>many previous studies have focused primarily on either chemical measurements or sensory evaluation without integrating both approaches alongside physicochemical characterization of the decomposing materials.</w:t>
      </w:r>
    </w:p>
    <w:p w14:paraId="6AA2F445" w14:textId="77777777" w:rsidR="00B76928" w:rsidRDefault="00990FDB" w:rsidP="00B76928">
      <w:pPr>
        <w:spacing w:after="0" w:line="360" w:lineRule="auto"/>
        <w:ind w:firstLine="360"/>
      </w:pPr>
      <w:r>
        <w:t xml:space="preserve">Despite considerable progress in understanding odorous emissions from municipal waste, several important knowledge gaps remain. Quantitative information on hydrogen </w:t>
      </w:r>
      <w:proofErr w:type="spellStart"/>
      <w:r>
        <w:t>sulphide</w:t>
      </w:r>
      <w:proofErr w:type="spellEnd"/>
      <w:r>
        <w:t xml:space="preserve"> emission dynamics from common household organic wastes under tropical environmental conditions is still limited, particularly in sub-Saharan Africa. The influence of local climatic conditions on </w:t>
      </w:r>
      <w:proofErr w:type="spellStart"/>
      <w:r>
        <w:t>sulphur</w:t>
      </w:r>
      <w:proofErr w:type="spellEnd"/>
      <w:r>
        <w:t xml:space="preserve"> emission profiles, the relationships between physicochemical changes and gaseous emissions during decomposition, and the correspondence between instrumental measurements and perceived </w:t>
      </w:r>
      <w:proofErr w:type="spellStart"/>
      <w:r>
        <w:t>odour</w:t>
      </w:r>
      <w:proofErr w:type="spellEnd"/>
      <w:r>
        <w:t xml:space="preserve"> intensity remain insufficiently understood. Moreover, few studies have simultaneously evaluated hydrogen </w:t>
      </w:r>
      <w:proofErr w:type="spellStart"/>
      <w:r>
        <w:t>sulphide</w:t>
      </w:r>
      <w:proofErr w:type="spellEnd"/>
      <w:r>
        <w:t xml:space="preserve"> emissions, physicochemical characteristics, </w:t>
      </w:r>
      <w:proofErr w:type="spellStart"/>
      <w:r>
        <w:t>sulphur</w:t>
      </w:r>
      <w:proofErr w:type="spellEnd"/>
      <w:r>
        <w:t xml:space="preserve"> mass loss, and sensory perception throughout the entire decomposition process using representative household organic wastes relevant to rapidly urbanizing Nigerian cities. These limitations hinder the development of evidence-based strategies for </w:t>
      </w:r>
      <w:proofErr w:type="spellStart"/>
      <w:r>
        <w:t>odour</w:t>
      </w:r>
      <w:proofErr w:type="spellEnd"/>
      <w:r>
        <w:t xml:space="preserve"> control and sustainable municipal waste management.</w:t>
      </w:r>
    </w:p>
    <w:p w14:paraId="31F33D06" w14:textId="49C02046" w:rsidR="00990FDB" w:rsidRDefault="00990FDB" w:rsidP="00B76928">
      <w:pPr>
        <w:spacing w:after="0" w:line="360" w:lineRule="auto"/>
        <w:ind w:firstLine="360"/>
      </w:pPr>
      <w:r>
        <w:t xml:space="preserve">Therefore, the aim of this study was to investigate hydrogen </w:t>
      </w:r>
      <w:proofErr w:type="spellStart"/>
      <w:r>
        <w:t>sulphide</w:t>
      </w:r>
      <w:proofErr w:type="spellEnd"/>
      <w:r>
        <w:t xml:space="preserve"> emissions from representative household organic wastes during controlled decomposition under conditions relevant to municipal solid waste management in </w:t>
      </w:r>
      <w:proofErr w:type="spellStart"/>
      <w:r>
        <w:t>Awka</w:t>
      </w:r>
      <w:proofErr w:type="spellEnd"/>
      <w:r>
        <w:t>, Nigeria. Specifically, the study sought to (</w:t>
      </w:r>
      <w:proofErr w:type="spellStart"/>
      <w:r>
        <w:t>i</w:t>
      </w:r>
      <w:proofErr w:type="spellEnd"/>
      <w:r>
        <w:t xml:space="preserve">) characterize hydrogen </w:t>
      </w:r>
      <w:proofErr w:type="spellStart"/>
      <w:r>
        <w:t>sulphide</w:t>
      </w:r>
      <w:proofErr w:type="spellEnd"/>
      <w:r>
        <w:t xml:space="preserve"> emission profiles by determining peak concentrations and cumulative emissions from different organic waste types; (ii) evaluate the influence of physicochemical parameters, including temperature, pH, moisture content, and organic matter degradation, on emission dynamics; (iii) examine the relationship between instrumental measurements of hydrogen </w:t>
      </w:r>
      <w:proofErr w:type="spellStart"/>
      <w:r>
        <w:t>sulphide</w:t>
      </w:r>
      <w:proofErr w:type="spellEnd"/>
      <w:r>
        <w:t xml:space="preserve"> and sensory assessment of </w:t>
      </w:r>
      <w:proofErr w:type="spellStart"/>
      <w:r>
        <w:t>odour</w:t>
      </w:r>
      <w:proofErr w:type="spellEnd"/>
      <w:r>
        <w:t xml:space="preserve"> intensity and offensiveness; and (iv) assess </w:t>
      </w:r>
      <w:proofErr w:type="spellStart"/>
      <w:r>
        <w:t>sulphur</w:t>
      </w:r>
      <w:proofErr w:type="spellEnd"/>
      <w:r>
        <w:t xml:space="preserve"> loss from decomposing organic materials. To achieve these objectives, representative protein-rich and plant-derived household wastes were subjected to controlled decomposition while hydrogen </w:t>
      </w:r>
      <w:proofErr w:type="spellStart"/>
      <w:r>
        <w:t>sulphide</w:t>
      </w:r>
      <w:proofErr w:type="spellEnd"/>
      <w:r>
        <w:t xml:space="preserve"> concentrations, physicochemical characteristics, and sensory responses were monitored throughout the experimental period. The findings are expected to contribute to a better understanding of </w:t>
      </w:r>
      <w:proofErr w:type="spellStart"/>
      <w:r>
        <w:t>odour</w:t>
      </w:r>
      <w:proofErr w:type="spellEnd"/>
      <w:r>
        <w:t xml:space="preserve"> generation mechanisms in tropical urban environments and provide scientific evidence for improving municipal organic waste management and </w:t>
      </w:r>
      <w:proofErr w:type="spellStart"/>
      <w:r>
        <w:t>odour</w:t>
      </w:r>
      <w:proofErr w:type="spellEnd"/>
      <w:r>
        <w:t xml:space="preserve"> mitigation strategies.</w:t>
      </w:r>
    </w:p>
    <w:p w14:paraId="11B7E257" w14:textId="77777777" w:rsidR="00373C2D" w:rsidRDefault="00B763A9" w:rsidP="00C42377">
      <w:pPr>
        <w:pStyle w:val="Heading1"/>
        <w:numPr>
          <w:ilvl w:val="0"/>
          <w:numId w:val="3"/>
        </w:numPr>
        <w:tabs>
          <w:tab w:val="left" w:pos="630"/>
        </w:tabs>
        <w:ind w:left="360"/>
      </w:pPr>
      <w:bookmarkStart w:id="24" w:name="OLE_LINK6"/>
      <w:bookmarkStart w:id="25" w:name="OLE_LINK7"/>
      <w:r>
        <w:lastRenderedPageBreak/>
        <w:t xml:space="preserve">Materials and </w:t>
      </w:r>
      <w:r w:rsidR="009D161A">
        <w:t>m</w:t>
      </w:r>
      <w:r w:rsidR="00632AAD">
        <w:t>ethods</w:t>
      </w:r>
    </w:p>
    <w:p w14:paraId="5672EADC" w14:textId="77777777" w:rsidR="0006384C" w:rsidRDefault="00DB2AE2" w:rsidP="0006384C">
      <w:pPr>
        <w:pStyle w:val="Heading2"/>
      </w:pPr>
      <w:bookmarkStart w:id="26" w:name="OLE_LINK159"/>
      <w:bookmarkStart w:id="27" w:name="OLE_LINK160"/>
      <w:r>
        <w:t>2.1</w:t>
      </w:r>
      <w:r>
        <w:tab/>
      </w:r>
      <w:r w:rsidR="00952157">
        <w:t>Experimental Site</w:t>
      </w:r>
      <w:r w:rsidR="0006384C" w:rsidRPr="00F34EA5">
        <w:t xml:space="preserve"> </w:t>
      </w:r>
      <w:bookmarkStart w:id="28" w:name="OLE_LINK158"/>
    </w:p>
    <w:p w14:paraId="11A8F029" w14:textId="77777777" w:rsidR="00DC3FE9" w:rsidRDefault="00DC3FE9" w:rsidP="00DC3FE9">
      <w:pPr>
        <w:pStyle w:val="NoSpacing"/>
        <w:spacing w:line="480" w:lineRule="auto"/>
      </w:pPr>
      <w:bookmarkStart w:id="29" w:name="OLE_LINK71"/>
      <w:bookmarkStart w:id="30" w:name="OLE_LINK72"/>
      <w:bookmarkStart w:id="31" w:name="OLE_LINK30"/>
      <w:bookmarkStart w:id="32" w:name="OLE_LINK31"/>
      <w:r>
        <w:t xml:space="preserve">The study was conducted in </w:t>
      </w:r>
      <w:proofErr w:type="spellStart"/>
      <w:r>
        <w:t>Awka</w:t>
      </w:r>
      <w:proofErr w:type="spellEnd"/>
      <w:r>
        <w:t xml:space="preserve">, the capital city of Anambra State in southeastern Nigeria. The city is located within the humid tropical rainforest zone and experiences two distinct seasons: a wet season (April–October) and a dry season (November–March). Average annual temperatures range between 26 °C and 32 °C, while relative humidity frequently exceeds 70 %. These climatic conditions </w:t>
      </w:r>
      <w:proofErr w:type="spellStart"/>
      <w:r>
        <w:t>favour</w:t>
      </w:r>
      <w:proofErr w:type="spellEnd"/>
      <w:r>
        <w:t xml:space="preserve"> rapid microbial activity, which accelerates the decomposition of organic waste and promotes the release of odorous gases.</w:t>
      </w:r>
    </w:p>
    <w:p w14:paraId="19122080" w14:textId="77777777" w:rsidR="00DC3FE9" w:rsidRDefault="00DC3FE9" w:rsidP="00DC3FE9">
      <w:pPr>
        <w:pStyle w:val="NoSpacing"/>
        <w:spacing w:line="480" w:lineRule="auto"/>
      </w:pPr>
      <w:r>
        <w:t xml:space="preserve">Organic waste materials for this study were collected from selected municipal dumping sites across the </w:t>
      </w:r>
      <w:proofErr w:type="spellStart"/>
      <w:r>
        <w:t>Awka</w:t>
      </w:r>
      <w:proofErr w:type="spellEnd"/>
      <w:r>
        <w:t xml:space="preserve"> metropolis, which largely operate through open dumping with minimal waste segregation. These practices have led to the accumulation of biodegradable materials, including food remnants, vegetable residues, and other putrescible matter. To simulate local waste management conditions while allowing controlled observation, the pilot-scale experiment was conducted on the premises of Nnamdi Azikiwe University, </w:t>
      </w:r>
      <w:proofErr w:type="spellStart"/>
      <w:r>
        <w:t>Awka</w:t>
      </w:r>
      <w:proofErr w:type="spellEnd"/>
      <w:r>
        <w:t xml:space="preserve">, under open-air conditions. This setup enabled the monitoring of decomposition and </w:t>
      </w:r>
      <w:proofErr w:type="spellStart"/>
      <w:r>
        <w:t>malodour</w:t>
      </w:r>
      <w:proofErr w:type="spellEnd"/>
      <w:r>
        <w:t xml:space="preserve"> emission in a realistic yet manageable environment.</w:t>
      </w:r>
    </w:p>
    <w:p w14:paraId="67758C8A" w14:textId="77777777" w:rsidR="00D25954" w:rsidRDefault="00DC3FE9" w:rsidP="00DC3FE9">
      <w:pPr>
        <w:pStyle w:val="NoSpacing"/>
        <w:spacing w:line="480" w:lineRule="auto"/>
      </w:pPr>
      <w:r>
        <w:t xml:space="preserve">Six commonly discarded organic waste types, including fish, broken eggs, meat, tomato, onion, and cabbage, were selected for the study, representing both protein-rich and plant-based wastes. Each waste type was loaded into two types of 0.5 L plastic containers: unsealed containers exposed to ambient air and sealed containers that limited air exchange. Figure 1 presents representative photographs of all six waste types under both conditions. In unsealed containers (Figures 1a and 1b), protein-rich wastes such as meat, fish, and eggs exhibited rapid visual signs of decomposition, while plant-based wastes showed slower changes. In sealed containers (Figures 1c and 1d), the onset of visible decay was delayed, but some plant-based wastes accumulated moisture and </w:t>
      </w:r>
      <w:proofErr w:type="spellStart"/>
      <w:r>
        <w:t>odour</w:t>
      </w:r>
      <w:proofErr w:type="spellEnd"/>
      <w:r>
        <w:t xml:space="preserve"> </w:t>
      </w:r>
      <w:r>
        <w:lastRenderedPageBreak/>
        <w:t>compounds over time. These images provide a visual reference for the experimental setup and illustrate the contrasting decomposition patterns between waste types and container conditions, complementing the chemical and sensory analyses presented in subsequent sections.</w:t>
      </w:r>
    </w:p>
    <w:bookmarkEnd w:id="29"/>
    <w:bookmarkEnd w:id="30"/>
    <w:p w14:paraId="239D7342" w14:textId="77777777" w:rsidR="00095859" w:rsidRDefault="005F3BE0" w:rsidP="005F3BE0">
      <w:pPr>
        <w:pStyle w:val="NoSpacing"/>
        <w:spacing w:line="360" w:lineRule="auto"/>
        <w:jc w:val="center"/>
      </w:pPr>
      <w:r>
        <w:rPr>
          <w:noProof/>
        </w:rPr>
        <w:drawing>
          <wp:inline distT="0" distB="0" distL="0" distR="0" wp14:anchorId="0ABEC55F" wp14:editId="53A68675">
            <wp:extent cx="5057408" cy="2813392"/>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05224.tmp"/>
                    <pic:cNvPicPr/>
                  </pic:nvPicPr>
                  <pic:blipFill>
                    <a:blip r:embed="rId8">
                      <a:extLst>
                        <a:ext uri="{28A0092B-C50C-407E-A947-70E740481C1C}">
                          <a14:useLocalDpi xmlns:a14="http://schemas.microsoft.com/office/drawing/2010/main" val="0"/>
                        </a:ext>
                      </a:extLst>
                    </a:blip>
                    <a:stretch>
                      <a:fillRect/>
                    </a:stretch>
                  </pic:blipFill>
                  <pic:spPr>
                    <a:xfrm>
                      <a:off x="0" y="0"/>
                      <a:ext cx="5054913" cy="2812004"/>
                    </a:xfrm>
                    <a:prstGeom prst="rect">
                      <a:avLst/>
                    </a:prstGeom>
                  </pic:spPr>
                </pic:pic>
              </a:graphicData>
            </a:graphic>
          </wp:inline>
        </w:drawing>
      </w:r>
    </w:p>
    <w:p w14:paraId="6A5B7EBE" w14:textId="77777777" w:rsidR="00095859" w:rsidRPr="00562F51" w:rsidRDefault="00095859" w:rsidP="00562F51">
      <w:pPr>
        <w:pStyle w:val="NoSpacing"/>
      </w:pPr>
      <w:r w:rsidRPr="00562F51">
        <w:rPr>
          <w:b/>
        </w:rPr>
        <w:t>Fig. 1.</w:t>
      </w:r>
      <w:r w:rsidR="001818DF">
        <w:rPr>
          <w:b/>
        </w:rPr>
        <w:t xml:space="preserve"> </w:t>
      </w:r>
      <w:r w:rsidR="001818DF">
        <w:t xml:space="preserve">Representative photographs of all six waste types under unsealed and sealed conditions: (a) unsealed bins of meat, fish, and eggs showing rapid decomposition, (b) unsealed bins of tomato, cabbage, and onion showing </w:t>
      </w:r>
      <w:r w:rsidR="0095014F">
        <w:t xml:space="preserve">rapid </w:t>
      </w:r>
      <w:r w:rsidR="001818DF">
        <w:t xml:space="preserve">decomposition, (c) sealed bins of meat, fish, and eggs with delayed onset of visible decay, and (d) sealed bins of tomato, cabbage, and onion with delayed onset of visible decay. </w:t>
      </w:r>
      <w:r w:rsidR="009936D1" w:rsidRPr="00562F51">
        <w:t xml:space="preserve"> </w:t>
      </w:r>
      <w:r w:rsidR="005C1032" w:rsidRPr="00562F51">
        <w:t xml:space="preserve">  </w:t>
      </w:r>
      <w:r w:rsidRPr="00562F51">
        <w:t xml:space="preserve"> </w:t>
      </w:r>
    </w:p>
    <w:bookmarkEnd w:id="31"/>
    <w:bookmarkEnd w:id="32"/>
    <w:p w14:paraId="531A4212" w14:textId="77777777" w:rsidR="00C77BB8" w:rsidRDefault="00C77BB8" w:rsidP="00C77BB8">
      <w:pPr>
        <w:pStyle w:val="Heading2"/>
      </w:pPr>
      <w:r>
        <w:t>2.2</w:t>
      </w:r>
      <w:r>
        <w:tab/>
        <w:t>Waste Materials and Sample Preparation</w:t>
      </w:r>
    </w:p>
    <w:p w14:paraId="3165A0D4" w14:textId="77777777" w:rsidR="007B09C6" w:rsidRDefault="007B09C6" w:rsidP="007B09C6">
      <w:pPr>
        <w:spacing w:after="0" w:line="480" w:lineRule="auto"/>
      </w:pPr>
      <w:bookmarkStart w:id="33" w:name="OLE_LINK73"/>
      <w:bookmarkStart w:id="34" w:name="OLE_LINK74"/>
      <w:r>
        <w:t xml:space="preserve">The organic wastes used in this study consisted of commonly discarded food materials: tomato, cabbage, fish, meat, broken eggs, and onion. These materials were selected because they are typical components of household and market waste streams in </w:t>
      </w:r>
      <w:proofErr w:type="spellStart"/>
      <w:r>
        <w:t>Awka</w:t>
      </w:r>
      <w:proofErr w:type="spellEnd"/>
      <w:r>
        <w:t xml:space="preserve"> and are known to decompose rapidly, often generating strong </w:t>
      </w:r>
      <w:proofErr w:type="spellStart"/>
      <w:r>
        <w:t>malodours</w:t>
      </w:r>
      <w:proofErr w:type="spellEnd"/>
      <w:r>
        <w:t xml:space="preserve">, particularly </w:t>
      </w:r>
      <w:proofErr w:type="spellStart"/>
      <w:r>
        <w:t>sulphur</w:t>
      </w:r>
      <w:proofErr w:type="spellEnd"/>
      <w:r>
        <w:t xml:space="preserve">-containing compounds. The combination of plant-based (tomato, cabbage, onion) and protein-rich animal-based wastes (fish, meat, broken eggs) was intended to reflect the heterogeneous nature of municipal organic waste and to capture variations in </w:t>
      </w:r>
      <w:proofErr w:type="spellStart"/>
      <w:r>
        <w:t>odour</w:t>
      </w:r>
      <w:proofErr w:type="spellEnd"/>
      <w:r>
        <w:t xml:space="preserve"> emission during decomposition.</w:t>
      </w:r>
    </w:p>
    <w:p w14:paraId="22D7BB43" w14:textId="77777777" w:rsidR="007B09C6" w:rsidRDefault="007B09C6" w:rsidP="007B09C6">
      <w:pPr>
        <w:spacing w:after="0" w:line="480" w:lineRule="auto"/>
      </w:pPr>
      <w:r>
        <w:t xml:space="preserve">The waste materials were collected fresh from local markets and food vendors to ensure active biodegradability at the start of the experiment. Non-organic contaminants such as plastics, paper, </w:t>
      </w:r>
      <w:r>
        <w:lastRenderedPageBreak/>
        <w:t>and packaging materials were manually removed. The collected wastes were then sorted and combined in predetermined proportions to form a composite sample. Larger items were cut into smaller pieces to enhance uniformity and promote consistent microbial activity across the experimental units. No chemical additives or preservatives were introduced, as the study aimed to simulate natural decomposition conditions.</w:t>
      </w:r>
    </w:p>
    <w:p w14:paraId="4937AF70" w14:textId="77777777" w:rsidR="00C77BB8" w:rsidRDefault="007B09C6" w:rsidP="007B09C6">
      <w:pPr>
        <w:spacing w:after="0" w:line="480" w:lineRule="auto"/>
      </w:pPr>
      <w:r>
        <w:t xml:space="preserve">Prior to loading into the pilot-scale setup located within the premises of Nnamdi Azikiwe University, the prepared waste mixture was thoroughly </w:t>
      </w:r>
      <w:proofErr w:type="spellStart"/>
      <w:r>
        <w:t>homogenised</w:t>
      </w:r>
      <w:proofErr w:type="spellEnd"/>
      <w:r>
        <w:t xml:space="preserve"> and weighed. Equal quantities were introduced into each experimental unit to maintain consistency and allow reliable comparison of emission patterns. The samples were then subjected to uncontrolled degradation under ambient environmental conditions representative of typical open dumping practices in the study area.</w:t>
      </w:r>
    </w:p>
    <w:bookmarkEnd w:id="33"/>
    <w:bookmarkEnd w:id="34"/>
    <w:p w14:paraId="78523B11" w14:textId="77777777" w:rsidR="00E365B6" w:rsidRDefault="00E2268A" w:rsidP="00E365B6">
      <w:pPr>
        <w:pStyle w:val="Heading2"/>
      </w:pPr>
      <w:r>
        <w:t>2.3</w:t>
      </w:r>
      <w:r w:rsidR="00B62251">
        <w:tab/>
        <w:t>Experimental Design</w:t>
      </w:r>
    </w:p>
    <w:p w14:paraId="05B10426" w14:textId="77777777" w:rsidR="007B09C6" w:rsidRDefault="007B09C6" w:rsidP="007B09C6">
      <w:pPr>
        <w:pStyle w:val="NoSpacing"/>
        <w:spacing w:line="480" w:lineRule="auto"/>
      </w:pPr>
      <w:bookmarkStart w:id="35" w:name="OLE_LINK75"/>
      <w:bookmarkStart w:id="36" w:name="OLE_LINK76"/>
      <w:r>
        <w:t xml:space="preserve">A pilot-scale experimental study was conducted to assess </w:t>
      </w:r>
      <w:proofErr w:type="spellStart"/>
      <w:r>
        <w:t>malodour</w:t>
      </w:r>
      <w:proofErr w:type="spellEnd"/>
      <w:r>
        <w:t xml:space="preserve"> emissions from selected organic wastes over a 20-day decomposition period. The wastes, including tomato, cabbage, onion, fish, meat, and broken eggs, were selected to represent typical household and market discards in </w:t>
      </w:r>
      <w:proofErr w:type="spellStart"/>
      <w:r>
        <w:t>Awka</w:t>
      </w:r>
      <w:proofErr w:type="spellEnd"/>
      <w:r>
        <w:t>. Each waste type was loaded separately into 0.5 L plastic containers under two conditions: sealed bins completely closed to limit air exchange, and unsealed bins exposed to ambient air. Each treatment was replicated three times, resulting in six experimental units per waste type.</w:t>
      </w:r>
    </w:p>
    <w:p w14:paraId="72F8DAC7" w14:textId="77777777" w:rsidR="007B09C6" w:rsidRDefault="007B09C6" w:rsidP="007B09C6">
      <w:pPr>
        <w:pStyle w:val="NoSpacing"/>
        <w:spacing w:line="480" w:lineRule="auto"/>
      </w:pPr>
      <w:r>
        <w:t xml:space="preserve">For the sealed containers, precise masses of each waste were used: meat (15.789 g), fish (47.801 g), tomato (16.848 g), onion (37.065 g), cabbage (7.943 g), and broken egg (52.237 g). Prior to loading, the wastes were </w:t>
      </w:r>
      <w:proofErr w:type="spellStart"/>
      <w:r>
        <w:t>homogenised</w:t>
      </w:r>
      <w:proofErr w:type="spellEnd"/>
      <w:r>
        <w:t xml:space="preserve"> to ensure consistency. All containers were positioned outdoors within the premises of Nnamdi Azikiwe University and exposed directly to sunlight throughout the 20-day period. This arrangement allowed natural environmental factors such as </w:t>
      </w:r>
      <w:r>
        <w:lastRenderedPageBreak/>
        <w:t>temperature fluctuations, solar radiation, and ambient airflow to influence decomposition, simulating realistic conditions typical of open dumping sites.</w:t>
      </w:r>
    </w:p>
    <w:p w14:paraId="4FEDEE3E" w14:textId="77777777" w:rsidR="007F0997" w:rsidRPr="007F0997" w:rsidRDefault="007B09C6" w:rsidP="007B09C6">
      <w:pPr>
        <w:pStyle w:val="NoSpacing"/>
        <w:spacing w:line="480" w:lineRule="auto"/>
      </w:pPr>
      <w:proofErr w:type="spellStart"/>
      <w:r>
        <w:t>Malodour</w:t>
      </w:r>
      <w:proofErr w:type="spellEnd"/>
      <w:r>
        <w:t xml:space="preserve"> perception from each waste type was evaluated using a structured sensory approach based on human olfactory response. Three trained panelists independently assessed </w:t>
      </w:r>
      <w:proofErr w:type="spellStart"/>
      <w:r>
        <w:t>odour</w:t>
      </w:r>
      <w:proofErr w:type="spellEnd"/>
      <w:r>
        <w:t xml:space="preserve"> intensity and offensiveness at regular intervals throughout the 20-day period. By keeping each waste type in separate containers, the study was able to capture individual emission patterns and decomposition dynamics while comparing the effects of fully sealed versus unsealed conditions on </w:t>
      </w:r>
      <w:proofErr w:type="spellStart"/>
      <w:r>
        <w:t>odour</w:t>
      </w:r>
      <w:proofErr w:type="spellEnd"/>
      <w:r>
        <w:t xml:space="preserve"> generation.</w:t>
      </w:r>
    </w:p>
    <w:bookmarkEnd w:id="35"/>
    <w:bookmarkEnd w:id="36"/>
    <w:p w14:paraId="75D9945E" w14:textId="77777777" w:rsidR="00103ACF" w:rsidRDefault="009844C8" w:rsidP="00103ACF">
      <w:pPr>
        <w:pStyle w:val="Heading2"/>
      </w:pPr>
      <w:r>
        <w:t>2.4</w:t>
      </w:r>
      <w:r>
        <w:tab/>
      </w:r>
      <w:r w:rsidR="00103ACF">
        <w:t>A</w:t>
      </w:r>
      <w:r w:rsidR="007B09C6">
        <w:t xml:space="preserve">nalytical Methods </w:t>
      </w:r>
    </w:p>
    <w:p w14:paraId="371DBDCE" w14:textId="77777777" w:rsidR="007B09C6" w:rsidRDefault="007B09C6" w:rsidP="007B09C6">
      <w:pPr>
        <w:spacing w:after="0" w:line="480" w:lineRule="auto"/>
      </w:pPr>
      <w:bookmarkStart w:id="37" w:name="OLE_LINK77"/>
      <w:proofErr w:type="spellStart"/>
      <w:r>
        <w:t>Malodour</w:t>
      </w:r>
      <w:proofErr w:type="spellEnd"/>
      <w:r>
        <w:t xml:space="preserve"> emissions from the decomposing organic wastes were assessed using a combination of instrumental, physicochemical, and sensory approaches. Hydrogen </w:t>
      </w:r>
      <w:proofErr w:type="spellStart"/>
      <w:r>
        <w:t>sulphide</w:t>
      </w:r>
      <w:proofErr w:type="spellEnd"/>
      <w:r>
        <w:t xml:space="preserve"> (H₂S), a primary </w:t>
      </w:r>
      <w:proofErr w:type="spellStart"/>
      <w:r>
        <w:t>odourant</w:t>
      </w:r>
      <w:proofErr w:type="spellEnd"/>
      <w:r>
        <w:t xml:space="preserve"> associated with </w:t>
      </w:r>
      <w:proofErr w:type="spellStart"/>
      <w:r>
        <w:t>sulphur</w:t>
      </w:r>
      <w:proofErr w:type="spellEnd"/>
      <w:r>
        <w:t xml:space="preserve">-containing organic wastes, was measured at 24-hour intervals using a portable gas </w:t>
      </w:r>
      <w:proofErr w:type="spellStart"/>
      <w:r>
        <w:t>analyser</w:t>
      </w:r>
      <w:proofErr w:type="spellEnd"/>
      <w:r>
        <w:t xml:space="preserve"> (Dräger X-am 5000) positioned approximately 10 cm above the waste surface. The </w:t>
      </w:r>
      <w:proofErr w:type="spellStart"/>
      <w:r>
        <w:t>analyser</w:t>
      </w:r>
      <w:proofErr w:type="spellEnd"/>
      <w:r>
        <w:t xml:space="preserve"> was calibrated before each measurement following the manufacturer’s instructions to ensure accuracy and reliability.</w:t>
      </w:r>
    </w:p>
    <w:p w14:paraId="0B0751CB" w14:textId="77777777" w:rsidR="007B09C6" w:rsidRDefault="007B09C6" w:rsidP="007B09C6">
      <w:pPr>
        <w:spacing w:after="0" w:line="480" w:lineRule="auto"/>
      </w:pPr>
      <w:r>
        <w:t>Physicochemical properties of the waste were monitored daily to track changes in decomposition conditions. The pH of the waste was measured using a calibrated digital pH meter, while total dissolved solids (TDS) were determined using a portable conductivity/TDS meter. Organic content was quantified by oven-drying representative samples in a thermostatic oven at 70 °C until constant mass was achieved, and the dry mass was recorded using a digital balance. This allowed calculation of moisture content and the percentage of organic matter in each sample.</w:t>
      </w:r>
    </w:p>
    <w:p w14:paraId="32D996F0" w14:textId="77777777" w:rsidR="00E2268A" w:rsidRDefault="007B09C6" w:rsidP="007B09C6">
      <w:pPr>
        <w:spacing w:after="0" w:line="480" w:lineRule="auto"/>
      </w:pPr>
      <w:r>
        <w:t xml:space="preserve">To complement instrumental analyses, a structured sensory panel assessed </w:t>
      </w:r>
      <w:proofErr w:type="spellStart"/>
      <w:r>
        <w:t>odour</w:t>
      </w:r>
      <w:proofErr w:type="spellEnd"/>
      <w:r>
        <w:t xml:space="preserve"> intensity and offensiveness at each 24-hour interval. Panelists used a standard scoring scale to evaluate the </w:t>
      </w:r>
      <w:proofErr w:type="spellStart"/>
      <w:r>
        <w:t>malodour</w:t>
      </w:r>
      <w:proofErr w:type="spellEnd"/>
      <w:r>
        <w:t xml:space="preserve">, enabling correlations between human perception, H₂S concentrations, and changes in </w:t>
      </w:r>
      <w:r>
        <w:lastRenderedPageBreak/>
        <w:t xml:space="preserve">physicochemical parameters. The combination of gas measurements, chemical analysis, and sensory evaluation provided a comprehensive understanding of </w:t>
      </w:r>
      <w:proofErr w:type="spellStart"/>
      <w:r>
        <w:t>odour</w:t>
      </w:r>
      <w:proofErr w:type="spellEnd"/>
      <w:r>
        <w:t xml:space="preserve"> generation dynamics, peak emission periods, and the influence of container type and sunlight exposure on decomposition processes.</w:t>
      </w:r>
    </w:p>
    <w:bookmarkEnd w:id="37"/>
    <w:p w14:paraId="608045E2" w14:textId="77777777" w:rsidR="00D25954" w:rsidRDefault="00A50BC3" w:rsidP="00200EAD">
      <w:pPr>
        <w:pStyle w:val="Heading2"/>
      </w:pPr>
      <w:r>
        <w:t>2.5</w:t>
      </w:r>
      <w:r>
        <w:tab/>
      </w:r>
      <w:r w:rsidR="009E6F71">
        <w:t>Data Analysis</w:t>
      </w:r>
    </w:p>
    <w:p w14:paraId="3405E0FE" w14:textId="77777777" w:rsidR="00E16BC7" w:rsidRDefault="00E16BC7" w:rsidP="00E16BC7">
      <w:pPr>
        <w:spacing w:line="480" w:lineRule="auto"/>
      </w:pPr>
      <w:bookmarkStart w:id="38" w:name="OLE_LINK78"/>
      <w:bookmarkStart w:id="39" w:name="OLE_LINK79"/>
      <w:r>
        <w:t xml:space="preserve">All data collected from the experimental units were </w:t>
      </w:r>
      <w:proofErr w:type="spellStart"/>
      <w:r>
        <w:t>organised</w:t>
      </w:r>
      <w:proofErr w:type="spellEnd"/>
      <w:r>
        <w:t xml:space="preserve"> and </w:t>
      </w:r>
      <w:proofErr w:type="spellStart"/>
      <w:r>
        <w:t>analysed</w:t>
      </w:r>
      <w:proofErr w:type="spellEnd"/>
      <w:r>
        <w:t xml:space="preserve"> using R (version 4.3.2) and Microsoft Excel 2021. Descriptive statistics, including mean, standard deviation, and range, were calculated for hydrogen </w:t>
      </w:r>
      <w:proofErr w:type="spellStart"/>
      <w:r>
        <w:t>sulphide</w:t>
      </w:r>
      <w:proofErr w:type="spellEnd"/>
      <w:r>
        <w:t xml:space="preserve"> (H₂S) concentrations, pH, total dissolved solids (TDS), and organic content for each waste type and treatment condition. These summaries provided an initial overview of temporal trends and variation in </w:t>
      </w:r>
      <w:proofErr w:type="spellStart"/>
      <w:r>
        <w:t>malodour</w:t>
      </w:r>
      <w:proofErr w:type="spellEnd"/>
      <w:r>
        <w:t xml:space="preserve"> emissions across the 20-day decomposition period.</w:t>
      </w:r>
    </w:p>
    <w:p w14:paraId="60954DB5" w14:textId="77777777" w:rsidR="00E16BC7" w:rsidRDefault="00E16BC7" w:rsidP="00E16BC7">
      <w:pPr>
        <w:spacing w:line="480" w:lineRule="auto"/>
      </w:pPr>
      <w:r>
        <w:t>To examine differences between treatments (sealed vs. unsealed bins) and among waste types, a two-way analysis of variance (ANOVA) was performed. Where significant differences were detected (p &lt; 0.05), post hoc comparisons were conducted using the Tukey Honest Significant Difference (HSD) test to identify specific pairwise differences between treatments and waste categories. Temporal trends in H₂S concentrations and physicochemical parameters were further evaluated using repeated measures ANOVA, allowing assessment of changes over time while accounting for correlations between daily measurements.</w:t>
      </w:r>
    </w:p>
    <w:p w14:paraId="5AD305FF" w14:textId="77777777" w:rsidR="00D76213" w:rsidRPr="00D76213" w:rsidRDefault="00E16BC7" w:rsidP="00E16BC7">
      <w:pPr>
        <w:spacing w:line="480" w:lineRule="auto"/>
      </w:pPr>
      <w:r>
        <w:t xml:space="preserve">Correlation analyses were conducted to evaluate the relationships between H₂S emissions, pH, TDS, and organic content. Scatterplots and trendlines were used to </w:t>
      </w:r>
      <w:proofErr w:type="spellStart"/>
      <w:r>
        <w:t>visualise</w:t>
      </w:r>
      <w:proofErr w:type="spellEnd"/>
      <w:r>
        <w:t xml:space="preserve"> these relationships, while Pearson’s correlation coefficient was calculated to quantify the strength and direction of associations. All results were presented with appropriate tables and graphs, with statistical significance set at p &lt; 0.05. This combination of descriptive and inferential statistical methods </w:t>
      </w:r>
      <w:r>
        <w:lastRenderedPageBreak/>
        <w:t xml:space="preserve">provided a robust framework for interpreting </w:t>
      </w:r>
      <w:proofErr w:type="spellStart"/>
      <w:r>
        <w:t>malodour</w:t>
      </w:r>
      <w:proofErr w:type="spellEnd"/>
      <w:r>
        <w:t xml:space="preserve"> generation patterns and the effects of waste type and container condition on decomposition dynamics.</w:t>
      </w:r>
    </w:p>
    <w:p w14:paraId="6C9A0165" w14:textId="77777777" w:rsidR="00D05C52" w:rsidRDefault="009716FF" w:rsidP="009716FF">
      <w:pPr>
        <w:pStyle w:val="Heading1"/>
        <w:numPr>
          <w:ilvl w:val="0"/>
          <w:numId w:val="3"/>
        </w:numPr>
        <w:ind w:left="360"/>
      </w:pPr>
      <w:bookmarkStart w:id="40" w:name="OLE_LINK26"/>
      <w:bookmarkStart w:id="41" w:name="OLE_LINK27"/>
      <w:bookmarkEnd w:id="24"/>
      <w:bookmarkEnd w:id="25"/>
      <w:bookmarkEnd w:id="26"/>
      <w:bookmarkEnd w:id="27"/>
      <w:bookmarkEnd w:id="28"/>
      <w:bookmarkEnd w:id="38"/>
      <w:bookmarkEnd w:id="39"/>
      <w:r w:rsidRPr="009716FF">
        <w:t>Results</w:t>
      </w:r>
    </w:p>
    <w:p w14:paraId="6B345FE6" w14:textId="77777777" w:rsidR="008A68C1" w:rsidRDefault="003A5F02" w:rsidP="00E33FE5">
      <w:pPr>
        <w:pStyle w:val="Heading3"/>
        <w:numPr>
          <w:ilvl w:val="1"/>
          <w:numId w:val="3"/>
        </w:numPr>
        <w:ind w:left="360"/>
      </w:pPr>
      <w:bookmarkStart w:id="42" w:name="OLE_LINK131"/>
      <w:bookmarkStart w:id="43" w:name="OLE_LINK132"/>
      <w:bookmarkStart w:id="44" w:name="OLE_LINK18"/>
      <w:bookmarkStart w:id="45" w:name="OLE_LINK21"/>
      <w:bookmarkStart w:id="46" w:name="OLE_LINK24"/>
      <w:r>
        <w:t xml:space="preserve">Hydrogen </w:t>
      </w:r>
      <w:proofErr w:type="spellStart"/>
      <w:r>
        <w:t>Sulphide</w:t>
      </w:r>
      <w:proofErr w:type="spellEnd"/>
      <w:r>
        <w:t xml:space="preserve"> (H₂S) Emissions</w:t>
      </w:r>
    </w:p>
    <w:p w14:paraId="534FDD16" w14:textId="77777777" w:rsidR="00C9050B" w:rsidRDefault="00C9050B" w:rsidP="00C9050B">
      <w:pPr>
        <w:pStyle w:val="NoSpacing"/>
        <w:spacing w:line="480" w:lineRule="auto"/>
      </w:pPr>
      <w:bookmarkStart w:id="47" w:name="OLE_LINK8"/>
      <w:bookmarkEnd w:id="42"/>
      <w:bookmarkEnd w:id="43"/>
      <w:r>
        <w:t xml:space="preserve">Hydrogen </w:t>
      </w:r>
      <w:proofErr w:type="spellStart"/>
      <w:r>
        <w:t>sulphide</w:t>
      </w:r>
      <w:proofErr w:type="spellEnd"/>
      <w:r>
        <w:t xml:space="preserve"> (H₂S) concentrations varied markedly across waste types, container conditions, and decomposition days (Figure 2). Clear differences were observed in both the magnitude and timing of peak emissions. In unsealed containers, protein-rich wastes generated the highest H₂S concentrations. Fish exhibited a progressive increase with multiple emission spikes, reaching its maximum concentration of 1,772 ppm on day 11, following earlier peaks on days 4 (887 ppm) and 6 (1,450 ppm). Broken eggs recorded the overall highest unsealed-bin concentration, peaking at 2,499 ppm on day 13, with substantial elevations also observed on days 8 (1,611 ppm), 9 (1,772 ppm), 11 (1,429 ppm), and 12 (1,896 ppm). Meat showed comparatively moderate emissions, with a maximum value of 65 ppm on day 3, followed by a rapid decline to near-zero concentrations after day 11.</w:t>
      </w:r>
    </w:p>
    <w:p w14:paraId="39E16970" w14:textId="77777777" w:rsidR="00C9050B" w:rsidRDefault="00C9050B" w:rsidP="00C9050B">
      <w:pPr>
        <w:pStyle w:val="NoSpacing"/>
        <w:spacing w:line="480" w:lineRule="auto"/>
      </w:pPr>
      <w:r>
        <w:t xml:space="preserve">Plant-based wastes in unsealed bins produced minimal H₂S throughout the 20-day period. Tomato reached a modest peak of 15 ppm (day 8), onion peaked at 8 ppm (day 15), while cabbage recorded 0 ppm across all sampling days, indicating negligible </w:t>
      </w:r>
      <w:proofErr w:type="spellStart"/>
      <w:r>
        <w:t>sulphurous</w:t>
      </w:r>
      <w:proofErr w:type="spellEnd"/>
      <w:r>
        <w:t xml:space="preserve"> gas generation under open conditions.</w:t>
      </w:r>
    </w:p>
    <w:p w14:paraId="1796BC5D" w14:textId="77777777" w:rsidR="00C9050B" w:rsidRDefault="00C9050B" w:rsidP="00C9050B">
      <w:pPr>
        <w:pStyle w:val="NoSpacing"/>
        <w:spacing w:line="480" w:lineRule="auto"/>
      </w:pPr>
      <w:r>
        <w:t>In sealed containers, emission patterns differed substantially, with several wastes showing delayed but intensified peaks. Fish reached its highest sealed-</w:t>
      </w:r>
      <w:proofErr w:type="spellStart"/>
      <w:r>
        <w:t>bin</w:t>
      </w:r>
      <w:proofErr w:type="spellEnd"/>
      <w:r>
        <w:t xml:space="preserve"> concentration of 1,878 ppm on day 5, after which levels declined sharply to 204 ppm (day 10), 45 ppm (day 15), and 6 ppm (day 20). Eggs displayed a delayed but pronounced peak, reaching 1,914 ppm on day 15, following 1,752 ppm on day 10 and declining thereafter to 318 ppm on day 20.</w:t>
      </w:r>
    </w:p>
    <w:p w14:paraId="0CC50AFD" w14:textId="77777777" w:rsidR="00E33FE5" w:rsidRDefault="00C9050B" w:rsidP="00C9050B">
      <w:pPr>
        <w:pStyle w:val="NoSpacing"/>
        <w:spacing w:line="480" w:lineRule="auto"/>
      </w:pPr>
      <w:r>
        <w:lastRenderedPageBreak/>
        <w:t>Notably, some plant-based wastes exhibited substantial H₂S accumulation under sealed conditions. Tomato, which showed very low emissions in unsealed bins, increased sharply to 510 ppm on day 15 before declining to 81 ppm on day 20. Onion demonstrated a dramatic rise under sealed conditions, reaching 963 ppm (day 15) and remaining high at 934 ppm on day 20. Similarly, cabbage, which produced no detectable H₂S in unsealed bins, recorded significant concentrations in sealed bins, peaking at 1,112 ppm on day 15. Meat also showed elevated sealed-</w:t>
      </w:r>
      <w:proofErr w:type="spellStart"/>
      <w:r>
        <w:t>bin</w:t>
      </w:r>
      <w:proofErr w:type="spellEnd"/>
      <w:r>
        <w:t xml:space="preserve"> emissions, with a sharp spike of 970 ppm on day 5 before declining to lower concentrations.</w:t>
      </w:r>
    </w:p>
    <w:bookmarkEnd w:id="47"/>
    <w:p w14:paraId="7E433F28" w14:textId="77777777" w:rsidR="002A2039" w:rsidRDefault="005E1F68" w:rsidP="00E33FE5">
      <w:pPr>
        <w:pStyle w:val="NoSpacing"/>
      </w:pPr>
      <w:r>
        <w:rPr>
          <w:noProof/>
        </w:rPr>
        <w:drawing>
          <wp:inline distT="0" distB="0" distL="0" distR="0" wp14:anchorId="36811224" wp14:editId="10A1CE8A">
            <wp:extent cx="5687219" cy="4296375"/>
            <wp:effectExtent l="0" t="0" r="889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0BDC.tmp"/>
                    <pic:cNvPicPr/>
                  </pic:nvPicPr>
                  <pic:blipFill>
                    <a:blip r:embed="rId9">
                      <a:extLst>
                        <a:ext uri="{28A0092B-C50C-407E-A947-70E740481C1C}">
                          <a14:useLocalDpi xmlns:a14="http://schemas.microsoft.com/office/drawing/2010/main" val="0"/>
                        </a:ext>
                      </a:extLst>
                    </a:blip>
                    <a:stretch>
                      <a:fillRect/>
                    </a:stretch>
                  </pic:blipFill>
                  <pic:spPr>
                    <a:xfrm>
                      <a:off x="0" y="0"/>
                      <a:ext cx="5687219" cy="4296375"/>
                    </a:xfrm>
                    <a:prstGeom prst="rect">
                      <a:avLst/>
                    </a:prstGeom>
                  </pic:spPr>
                </pic:pic>
              </a:graphicData>
            </a:graphic>
          </wp:inline>
        </w:drawing>
      </w:r>
    </w:p>
    <w:p w14:paraId="74DAEB06" w14:textId="77777777" w:rsidR="00550622" w:rsidRDefault="004F21CE" w:rsidP="00E33FE5">
      <w:pPr>
        <w:pStyle w:val="NoSpacing"/>
      </w:pPr>
      <w:r>
        <w:rPr>
          <w:noProof/>
        </w:rPr>
        <w:t xml:space="preserve">  </w:t>
      </w:r>
      <w:r>
        <w:t xml:space="preserve">  </w:t>
      </w:r>
    </w:p>
    <w:p w14:paraId="0D772B03" w14:textId="77777777" w:rsidR="00440A71" w:rsidRPr="004C21CD" w:rsidRDefault="00440A71" w:rsidP="00E33FE5">
      <w:pPr>
        <w:pStyle w:val="NoSpacing"/>
        <w:rPr>
          <w:b/>
        </w:rPr>
      </w:pPr>
      <w:bookmarkStart w:id="48" w:name="OLE_LINK83"/>
      <w:bookmarkStart w:id="49" w:name="OLE_LINK84"/>
      <w:r w:rsidRPr="004C21CD">
        <w:rPr>
          <w:b/>
        </w:rPr>
        <w:t>Fig</w:t>
      </w:r>
      <w:r w:rsidR="004C21CD" w:rsidRPr="004C21CD">
        <w:rPr>
          <w:b/>
        </w:rPr>
        <w:t>.</w:t>
      </w:r>
      <w:r w:rsidR="00562F51">
        <w:rPr>
          <w:b/>
        </w:rPr>
        <w:t xml:space="preserve"> 2</w:t>
      </w:r>
      <w:r w:rsidRPr="004C21CD">
        <w:rPr>
          <w:b/>
        </w:rPr>
        <w:t>.</w:t>
      </w:r>
      <w:bookmarkEnd w:id="48"/>
      <w:bookmarkEnd w:id="49"/>
      <w:r w:rsidR="00C9050B">
        <w:rPr>
          <w:b/>
        </w:rPr>
        <w:t xml:space="preserve"> </w:t>
      </w:r>
      <w:r w:rsidR="00C9050B">
        <w:t xml:space="preserve">Hydrogen </w:t>
      </w:r>
      <w:proofErr w:type="spellStart"/>
      <w:r w:rsidR="00C9050B">
        <w:t>sulphide</w:t>
      </w:r>
      <w:proofErr w:type="spellEnd"/>
      <w:r w:rsidR="00C9050B">
        <w:t xml:space="preserve"> (H₂S) concentrations in (a) unsealed and (b) sealed waste bins of protein-rich fish, eggs, and meat, and (c) unsealed and (d) sealed waste bins of tomato, onion, and cabbage. </w:t>
      </w:r>
      <w:r w:rsidR="00B50183">
        <w:t xml:space="preserve">    </w:t>
      </w:r>
      <w:r w:rsidR="004C21CD">
        <w:rPr>
          <w:b/>
        </w:rPr>
        <w:t xml:space="preserve"> </w:t>
      </w:r>
      <w:r w:rsidRPr="004C21CD">
        <w:rPr>
          <w:b/>
        </w:rPr>
        <w:t xml:space="preserve"> </w:t>
      </w:r>
    </w:p>
    <w:p w14:paraId="2FB9BFDF" w14:textId="77777777" w:rsidR="008A68C1" w:rsidRDefault="00384B5B" w:rsidP="00384B5B">
      <w:pPr>
        <w:pStyle w:val="Heading3"/>
      </w:pPr>
      <w:r>
        <w:lastRenderedPageBreak/>
        <w:t>3.2</w:t>
      </w:r>
      <w:r>
        <w:tab/>
      </w:r>
      <w:r w:rsidR="0017014F">
        <w:t xml:space="preserve">Sensory Evaluation of </w:t>
      </w:r>
      <w:proofErr w:type="spellStart"/>
      <w:r w:rsidR="0017014F">
        <w:t>Malodour</w:t>
      </w:r>
      <w:proofErr w:type="spellEnd"/>
    </w:p>
    <w:p w14:paraId="0402A72E" w14:textId="77777777" w:rsidR="00384B5B" w:rsidRDefault="001818DF" w:rsidP="001818DF">
      <w:pPr>
        <w:pStyle w:val="NoSpacing"/>
        <w:spacing w:line="480" w:lineRule="auto"/>
        <w:rPr>
          <w:rFonts w:eastAsia="Times New Roman" w:cs="Times New Roman"/>
          <w:szCs w:val="24"/>
        </w:rPr>
      </w:pPr>
      <w:r w:rsidRPr="001818DF">
        <w:rPr>
          <w:rFonts w:eastAsia="Times New Roman" w:cs="Times New Roman"/>
          <w:szCs w:val="24"/>
        </w:rPr>
        <w:t xml:space="preserve">Sensory evaluation of decomposing organic waste was conducted over a 15-day period using a 0–5 scale for </w:t>
      </w:r>
      <w:proofErr w:type="spellStart"/>
      <w:r w:rsidRPr="001818DF">
        <w:rPr>
          <w:rFonts w:eastAsia="Times New Roman" w:cs="Times New Roman"/>
          <w:szCs w:val="24"/>
        </w:rPr>
        <w:t>odour</w:t>
      </w:r>
      <w:proofErr w:type="spellEnd"/>
      <w:r w:rsidRPr="001818DF">
        <w:rPr>
          <w:rFonts w:eastAsia="Times New Roman" w:cs="Times New Roman"/>
          <w:szCs w:val="24"/>
        </w:rPr>
        <w:t xml:space="preserve"> intensity and </w:t>
      </w:r>
      <w:proofErr w:type="spellStart"/>
      <w:r w:rsidRPr="001818DF">
        <w:rPr>
          <w:rFonts w:eastAsia="Times New Roman" w:cs="Times New Roman"/>
          <w:szCs w:val="24"/>
        </w:rPr>
        <w:t>odour</w:t>
      </w:r>
      <w:proofErr w:type="spellEnd"/>
      <w:r w:rsidRPr="001818DF">
        <w:rPr>
          <w:rFonts w:eastAsia="Times New Roman" w:cs="Times New Roman"/>
          <w:szCs w:val="24"/>
        </w:rPr>
        <w:t xml:space="preserve"> offensiveness, while hedonic tone was classified as either pleasant or unpleasant. Three panelists independently assessed six waste types (meat, fish, tomato, onion, cabbage, and eggs) daily.</w:t>
      </w:r>
    </w:p>
    <w:p w14:paraId="74D44907" w14:textId="77777777" w:rsidR="00384B5B" w:rsidRPr="00384B5B" w:rsidRDefault="00384B5B" w:rsidP="00384B5B">
      <w:pPr>
        <w:pStyle w:val="NoSpacing"/>
        <w:rPr>
          <w:b/>
        </w:rPr>
      </w:pPr>
      <w:r w:rsidRPr="00384B5B">
        <w:rPr>
          <w:b/>
        </w:rPr>
        <w:t>Day 1–3: Initial Stage of Decomposition</w:t>
      </w:r>
    </w:p>
    <w:p w14:paraId="0F029006" w14:textId="77777777" w:rsidR="00384B5B" w:rsidRDefault="001818DF" w:rsidP="001818DF">
      <w:pPr>
        <w:pStyle w:val="NoSpacing"/>
        <w:spacing w:line="480" w:lineRule="auto"/>
      </w:pPr>
      <w:r w:rsidRPr="001818DF">
        <w:t xml:space="preserve">During the early stage (Days 1–3), </w:t>
      </w:r>
      <w:proofErr w:type="spellStart"/>
      <w:r w:rsidRPr="001818DF">
        <w:t>odour</w:t>
      </w:r>
      <w:proofErr w:type="spellEnd"/>
      <w:r w:rsidRPr="001818DF">
        <w:t xml:space="preserve"> intensity and offensiveness scores were generally low across all waste types. Mean intensity scores ranged from 0–1 for cabbage and eggs, 1–2 for tomato and onion, 1–2 for meat, and 1–3 for fish. Fish consistently recorded the highest offensiveness ratings (mean ≈1–2), and was predominantly classified as unpleasant by all observers. Meat and onion were mostly perceived as pleasant during Days 1–2 but began showing increasing offensiveness by Day 3. Cabbage remained largely neutral to mildly perceptible (mean ≈0), while eggs began to show slight increases in intensity and offensiveness by Day 3. Overall, sensory responses indicated minimal </w:t>
      </w:r>
      <w:proofErr w:type="spellStart"/>
      <w:r w:rsidRPr="001818DF">
        <w:t>malodour</w:t>
      </w:r>
      <w:proofErr w:type="spellEnd"/>
      <w:r w:rsidRPr="001818DF">
        <w:t xml:space="preserve"> development during the first three days.</w:t>
      </w:r>
    </w:p>
    <w:p w14:paraId="705C0108" w14:textId="77777777" w:rsidR="00384B5B" w:rsidRPr="007031A3" w:rsidRDefault="00384B5B" w:rsidP="00384B5B">
      <w:pPr>
        <w:pStyle w:val="NoSpacing"/>
        <w:rPr>
          <w:b/>
        </w:rPr>
      </w:pPr>
      <w:r w:rsidRPr="007031A3">
        <w:rPr>
          <w:b/>
        </w:rPr>
        <w:t xml:space="preserve">Day 4–7: </w:t>
      </w:r>
      <w:bookmarkStart w:id="50" w:name="OLE_LINK135"/>
      <w:bookmarkStart w:id="51" w:name="OLE_LINK136"/>
      <w:r w:rsidR="007031A3" w:rsidRPr="007031A3">
        <w:rPr>
          <w:b/>
        </w:rPr>
        <w:t xml:space="preserve">Progressive Increase in </w:t>
      </w:r>
      <w:proofErr w:type="spellStart"/>
      <w:r w:rsidR="007031A3" w:rsidRPr="007031A3">
        <w:rPr>
          <w:b/>
        </w:rPr>
        <w:t>Odour</w:t>
      </w:r>
      <w:proofErr w:type="spellEnd"/>
      <w:r w:rsidR="007031A3" w:rsidRPr="007031A3">
        <w:rPr>
          <w:b/>
        </w:rPr>
        <w:t xml:space="preserve"> Perception</w:t>
      </w:r>
    </w:p>
    <w:bookmarkEnd w:id="50"/>
    <w:bookmarkEnd w:id="51"/>
    <w:p w14:paraId="14A07B5B" w14:textId="77777777" w:rsidR="00384B5B" w:rsidRDefault="001818DF" w:rsidP="001818DF">
      <w:pPr>
        <w:pStyle w:val="NoSpacing"/>
        <w:spacing w:line="480" w:lineRule="auto"/>
      </w:pPr>
      <w:r w:rsidRPr="001818DF">
        <w:t xml:space="preserve">From Day 4 onward, a clear upward trend in </w:t>
      </w:r>
      <w:proofErr w:type="spellStart"/>
      <w:r w:rsidRPr="001818DF">
        <w:t>odour</w:t>
      </w:r>
      <w:proofErr w:type="spellEnd"/>
      <w:r w:rsidRPr="001818DF">
        <w:t xml:space="preserve"> intensity and offensiveness was observed, particularly for fish, meat, and eggs. Fish demonstrated consistently high intensity scores (mean ≈3–4) and increasing offensiveness (mean ≈2–4). All panelists classified fish as unpleasant from Day 4 onward. Meat showed moderate intensity (mean ≈2) and rising offensiveness (mean ≈2–3), with hedonic tone shifting predominantly to unpleasant. Eggs exhibited gradual increases, reaching moderate intensity (mean ≈1–3) and offensiveness (mean ≈1–3) by Day 7. Tomato and onion remained at low-to-moderate intensity levels (mean ≈1), although offensiveness scores gradually increased. Cabbage maintained the lowest intensity values (mean ≈0–1) but began to be perceived as unpleasant more frequently from Day 5 onward. This phase reflects the active decomposition stage, with fish showing the most rapid and pronounced </w:t>
      </w:r>
      <w:proofErr w:type="spellStart"/>
      <w:r w:rsidRPr="001818DF">
        <w:t>malodour</w:t>
      </w:r>
      <w:proofErr w:type="spellEnd"/>
      <w:r w:rsidRPr="001818DF">
        <w:t xml:space="preserve"> development.</w:t>
      </w:r>
      <w:r w:rsidR="00384B5B">
        <w:t xml:space="preserve"> </w:t>
      </w:r>
    </w:p>
    <w:p w14:paraId="6BA917D1" w14:textId="77777777" w:rsidR="00BF3945" w:rsidRPr="00F832EA" w:rsidRDefault="00BF3945" w:rsidP="00384B5B">
      <w:pPr>
        <w:pStyle w:val="NoSpacing"/>
      </w:pPr>
    </w:p>
    <w:p w14:paraId="51038AE3" w14:textId="77777777" w:rsidR="00384B5B" w:rsidRPr="00BF3945" w:rsidRDefault="00384B5B" w:rsidP="00BF3945">
      <w:pPr>
        <w:pStyle w:val="NoSpacing"/>
        <w:rPr>
          <w:b/>
        </w:rPr>
      </w:pPr>
      <w:r w:rsidRPr="00BF3945">
        <w:rPr>
          <w:b/>
        </w:rPr>
        <w:t xml:space="preserve">Day 8–12: Peak </w:t>
      </w:r>
      <w:proofErr w:type="spellStart"/>
      <w:r w:rsidRPr="00BF3945">
        <w:rPr>
          <w:b/>
        </w:rPr>
        <w:t>Malodo</w:t>
      </w:r>
      <w:r w:rsidR="007031A3">
        <w:rPr>
          <w:b/>
        </w:rPr>
        <w:t>u</w:t>
      </w:r>
      <w:r w:rsidRPr="00BF3945">
        <w:rPr>
          <w:b/>
        </w:rPr>
        <w:t>r</w:t>
      </w:r>
      <w:proofErr w:type="spellEnd"/>
      <w:r w:rsidRPr="00BF3945">
        <w:rPr>
          <w:b/>
        </w:rPr>
        <w:t xml:space="preserve"> Development</w:t>
      </w:r>
    </w:p>
    <w:p w14:paraId="0FF3F7EA" w14:textId="77777777" w:rsidR="00384B5B" w:rsidRDefault="001818DF" w:rsidP="001818DF">
      <w:pPr>
        <w:pStyle w:val="NoSpacing"/>
        <w:spacing w:line="480" w:lineRule="auto"/>
      </w:pPr>
      <w:bookmarkStart w:id="52" w:name="OLE_LINK92"/>
      <w:bookmarkStart w:id="53" w:name="OLE_LINK93"/>
      <w:r w:rsidRPr="001818DF">
        <w:t xml:space="preserve">Between Days 8 and 12, </w:t>
      </w:r>
      <w:proofErr w:type="spellStart"/>
      <w:r w:rsidRPr="001818DF">
        <w:t>odour</w:t>
      </w:r>
      <w:proofErr w:type="spellEnd"/>
      <w:r w:rsidRPr="001818DF">
        <w:t xml:space="preserve"> perception reached peak levels for several waste types. Eggs recorded the highest intensity and offensiveness scores during this period, reaching maximum values of 5 on both scales (Days 11–12), with unanimous unpleasant classification. Fish maintained high intensity (mean ≈3–4) and recorded very high offensiveness scores, reaching up to 5 by Days 11–12. Meat exhibited moderate but sustained intensity (mean ≈2) and offensiveness (mean ≈2–3). Tomato and onion showed gradual increases in offensiveness (mean ≈2–3), though intensity remained comparatively low (mean ≈1–2). Cabbage remained the least intense overall (mean ≈0–1), although hedonic tone was predominantly unpleasant during this period. All waste categories were classified as unpleasant by nearly all observers from Day 9 onward, indicating widespread </w:t>
      </w:r>
      <w:proofErr w:type="spellStart"/>
      <w:r w:rsidRPr="001818DF">
        <w:t>malodour</w:t>
      </w:r>
      <w:proofErr w:type="spellEnd"/>
      <w:r w:rsidRPr="001818DF">
        <w:t xml:space="preserve"> perception at advanced decomposition stages.</w:t>
      </w:r>
    </w:p>
    <w:bookmarkEnd w:id="52"/>
    <w:bookmarkEnd w:id="53"/>
    <w:p w14:paraId="1D7A907F" w14:textId="77777777" w:rsidR="00BF3945" w:rsidRPr="00F832EA" w:rsidRDefault="00BF3945" w:rsidP="00BF3945">
      <w:pPr>
        <w:pStyle w:val="NoSpacing"/>
      </w:pPr>
    </w:p>
    <w:p w14:paraId="02060C5E" w14:textId="77777777" w:rsidR="00384B5B" w:rsidRPr="00BF3945" w:rsidRDefault="00384B5B" w:rsidP="00BF3945">
      <w:pPr>
        <w:pStyle w:val="NoSpacing"/>
        <w:rPr>
          <w:b/>
        </w:rPr>
      </w:pPr>
      <w:r w:rsidRPr="00BF3945">
        <w:rPr>
          <w:b/>
        </w:rPr>
        <w:t>Day 13–15: Late Decomposition Stage</w:t>
      </w:r>
    </w:p>
    <w:p w14:paraId="3D15166A" w14:textId="77777777" w:rsidR="001818DF" w:rsidRDefault="001818DF" w:rsidP="001818DF">
      <w:pPr>
        <w:pStyle w:val="NoSpacing"/>
        <w:spacing w:line="480" w:lineRule="auto"/>
      </w:pPr>
      <w:r>
        <w:t>During the final stage (Days 13–15), high offensiveness ratings persisted for fish and eggs, though slight reductions in intensity were observed for meat and fish by Day 15. Eggs sustained very high offensiveness (mean ≈4–5) and intensity (mean ≈3–5). Fish maintained high offensiveness (mean ≈4–5) with moderate-to-high intensity (mean ≈2–3). Meat showed a slight decline in intensity (mean ≈1–2) but remained unpleasant. Tomato, onion, and cabbage remained low-to-moderate in intensity (mean ≈1–2) yet were consistently classified as unpleasant.</w:t>
      </w:r>
    </w:p>
    <w:p w14:paraId="6D09B70D" w14:textId="77777777" w:rsidR="00384B5B" w:rsidRPr="00F832EA" w:rsidRDefault="001818DF" w:rsidP="001818DF">
      <w:pPr>
        <w:pStyle w:val="NoSpacing"/>
        <w:spacing w:line="480" w:lineRule="auto"/>
      </w:pPr>
      <w:r>
        <w:t xml:space="preserve">Across the 15-day evaluation period, fish and eggs demonstrated the highest </w:t>
      </w:r>
      <w:proofErr w:type="spellStart"/>
      <w:r>
        <w:t>odour</w:t>
      </w:r>
      <w:proofErr w:type="spellEnd"/>
      <w:r>
        <w:t xml:space="preserve"> intensity and offensiveness scores, particularly during the peak decomposition window (Days 8–12). Meat exhibited moderate and sustained </w:t>
      </w:r>
      <w:proofErr w:type="spellStart"/>
      <w:r>
        <w:t>malodour</w:t>
      </w:r>
      <w:proofErr w:type="spellEnd"/>
      <w:r>
        <w:t xml:space="preserve"> development, while tomato, onion, and cabbage remained comparatively lower in intensity but were increasingly perceived as unpleasant over time.</w:t>
      </w:r>
    </w:p>
    <w:p w14:paraId="28C056B3" w14:textId="77777777" w:rsidR="008A68C1" w:rsidRDefault="008A68C1" w:rsidP="00701BB8">
      <w:pPr>
        <w:pStyle w:val="Heading3"/>
        <w:numPr>
          <w:ilvl w:val="1"/>
          <w:numId w:val="28"/>
        </w:numPr>
        <w:ind w:left="540" w:hanging="540"/>
      </w:pPr>
      <w:r>
        <w:lastRenderedPageBreak/>
        <w:t>Physicochemical Changes</w:t>
      </w:r>
    </w:p>
    <w:p w14:paraId="75CAD6EF" w14:textId="77777777" w:rsidR="00701BB8" w:rsidRPr="00701BB8" w:rsidRDefault="00701BB8" w:rsidP="00701BB8">
      <w:pPr>
        <w:pStyle w:val="NoSpacing"/>
        <w:rPr>
          <w:b/>
        </w:rPr>
      </w:pPr>
      <w:r w:rsidRPr="00701BB8">
        <w:rPr>
          <w:b/>
        </w:rPr>
        <w:t>pH Variation</w:t>
      </w:r>
    </w:p>
    <w:p w14:paraId="01A47ABA" w14:textId="77777777" w:rsidR="001818DF" w:rsidRDefault="001818DF" w:rsidP="001818DF">
      <w:pPr>
        <w:pStyle w:val="NoSpacing"/>
        <w:spacing w:line="480" w:lineRule="auto"/>
      </w:pPr>
      <w:bookmarkStart w:id="54" w:name="OLE_LINK96"/>
      <w:bookmarkStart w:id="55" w:name="OLE_LINK97"/>
      <w:r>
        <w:t>The temporal variation in pH of the decomposing organic waste samples over a 15-day period is presented in Table 1. The initial pH of the extraction water was 7.10 (100 mL), serving as the control baseline. Marked changes in pH were observed across all waste categories, reflecting biochemical transformations associated with microbial degradation.</w:t>
      </w:r>
    </w:p>
    <w:p w14:paraId="1E04D444" w14:textId="77777777" w:rsidR="001818DF" w:rsidRDefault="001818DF" w:rsidP="001818DF">
      <w:pPr>
        <w:pStyle w:val="NoSpacing"/>
        <w:spacing w:line="480" w:lineRule="auto"/>
      </w:pPr>
      <w:r>
        <w:t xml:space="preserve">Protein-rich wastes (meat, fish, and eggs) exhibited a progressive increase in pH throughout the decomposition period. Meat increased from 6.68 on Day 1 to 8.28 on Day 15, while fish rose from 6.97 to 8.30 within the same period. Similarly, egg samples increased from 7.34 to a peak of 8.00 on Day 12 before slightly declining to 7.07 by Day 15. The overall </w:t>
      </w:r>
      <w:proofErr w:type="spellStart"/>
      <w:r>
        <w:t>alkalinisation</w:t>
      </w:r>
      <w:proofErr w:type="spellEnd"/>
      <w:r>
        <w:t xml:space="preserve"> observed in these samples is attributable to proteolytic activity and the subsequent release of nitrogenous bases such as ammonia and amines during putrefaction.</w:t>
      </w:r>
    </w:p>
    <w:p w14:paraId="3A4FEC01" w14:textId="77777777" w:rsidR="00701BB8" w:rsidRDefault="001818DF" w:rsidP="001818DF">
      <w:pPr>
        <w:pStyle w:val="NoSpacing"/>
        <w:spacing w:line="480" w:lineRule="auto"/>
      </w:pPr>
      <w:r>
        <w:t xml:space="preserve">In contrast, plant-based wastes demonstrated an initial acidification phase followed by gradual </w:t>
      </w:r>
      <w:proofErr w:type="spellStart"/>
      <w:r>
        <w:t>alkalinisation</w:t>
      </w:r>
      <w:proofErr w:type="spellEnd"/>
      <w:r>
        <w:t>. Tomato decreased sharply from 6.29 (Day 1) to 5.19 (Day 2), indicating early fermentation and organic acid production, before steadily increasing to 8.09 by Day 15. Onion exhibited the most pronounced early acidification, declining from 7.24 to 4.36 between Days 1 and 2, followed by a gradual rise to 7.50 at the end of the study. Cabbage remained relatively stable, fluctuating near neutral pH throughout the experiment, with values ranging from 7.00 to 7.43, although a temporary decrease was observed around Days 8–9 (6.63–6.40).</w:t>
      </w:r>
    </w:p>
    <w:p w14:paraId="36CC7E32" w14:textId="77777777" w:rsidR="008960AB" w:rsidRDefault="008960AB" w:rsidP="00354BDA">
      <w:pPr>
        <w:pStyle w:val="NoSpacing"/>
        <w:rPr>
          <w:b/>
        </w:rPr>
      </w:pPr>
      <w:bookmarkStart w:id="56" w:name="OLE_LINK98"/>
      <w:bookmarkStart w:id="57" w:name="OLE_LINK99"/>
      <w:bookmarkEnd w:id="54"/>
      <w:bookmarkEnd w:id="55"/>
    </w:p>
    <w:p w14:paraId="122B9225" w14:textId="1CF32483" w:rsidR="00701BB8" w:rsidRDefault="00696E56" w:rsidP="00354BDA">
      <w:pPr>
        <w:pStyle w:val="NoSpacing"/>
        <w:rPr>
          <w:szCs w:val="24"/>
        </w:rPr>
      </w:pPr>
      <w:r w:rsidRPr="00354BDA">
        <w:rPr>
          <w:b/>
        </w:rPr>
        <w:t>Table 1.</w:t>
      </w:r>
      <w:r w:rsidR="00313BE8">
        <w:rPr>
          <w:b/>
        </w:rPr>
        <w:t xml:space="preserve"> </w:t>
      </w:r>
      <w:r w:rsidR="00313BE8">
        <w:t xml:space="preserve">Temporal variation in pH of the decomposing organic waste samples over a 15-day period. </w:t>
      </w:r>
      <w:r w:rsidR="00441BA0">
        <w:rPr>
          <w:szCs w:val="24"/>
        </w:rPr>
        <w:t xml:space="preserve"> </w:t>
      </w:r>
    </w:p>
    <w:tbl>
      <w:tblPr>
        <w:tblStyle w:val="TableGrid"/>
        <w:tblW w:w="7740" w:type="dxa"/>
        <w:jc w:val="center"/>
        <w:tblLook w:val="04A0" w:firstRow="1" w:lastRow="0" w:firstColumn="1" w:lastColumn="0" w:noHBand="0" w:noVBand="1"/>
      </w:tblPr>
      <w:tblGrid>
        <w:gridCol w:w="870"/>
        <w:gridCol w:w="1044"/>
        <w:gridCol w:w="790"/>
        <w:gridCol w:w="1310"/>
        <w:gridCol w:w="1403"/>
        <w:gridCol w:w="1211"/>
        <w:gridCol w:w="1112"/>
      </w:tblGrid>
      <w:tr w:rsidR="00296569" w:rsidRPr="00296569" w14:paraId="49F61174" w14:textId="77777777" w:rsidTr="00296569">
        <w:trPr>
          <w:jc w:val="center"/>
        </w:trPr>
        <w:tc>
          <w:tcPr>
            <w:tcW w:w="870" w:type="dxa"/>
          </w:tcPr>
          <w:bookmarkEnd w:id="56"/>
          <w:bookmarkEnd w:id="57"/>
          <w:p w14:paraId="2C924F10" w14:textId="77777777" w:rsidR="00296569" w:rsidRPr="00296569" w:rsidRDefault="00296569" w:rsidP="00296569">
            <w:pPr>
              <w:pStyle w:val="NoSpacing"/>
              <w:jc w:val="center"/>
              <w:rPr>
                <w:b/>
                <w:szCs w:val="24"/>
              </w:rPr>
            </w:pPr>
            <w:r w:rsidRPr="00296569">
              <w:rPr>
                <w:b/>
              </w:rPr>
              <w:t>DAYS</w:t>
            </w:r>
          </w:p>
        </w:tc>
        <w:tc>
          <w:tcPr>
            <w:tcW w:w="1062" w:type="dxa"/>
          </w:tcPr>
          <w:p w14:paraId="03EFE671" w14:textId="77777777" w:rsidR="00296569" w:rsidRPr="00296569" w:rsidRDefault="00296569" w:rsidP="00296569">
            <w:pPr>
              <w:jc w:val="center"/>
              <w:rPr>
                <w:b/>
              </w:rPr>
            </w:pPr>
            <w:r w:rsidRPr="00296569">
              <w:rPr>
                <w:b/>
              </w:rPr>
              <w:t>MEAT</w:t>
            </w:r>
          </w:p>
        </w:tc>
        <w:tc>
          <w:tcPr>
            <w:tcW w:w="792" w:type="dxa"/>
          </w:tcPr>
          <w:p w14:paraId="2568376C" w14:textId="77777777" w:rsidR="00296569" w:rsidRPr="00296569" w:rsidRDefault="00296569" w:rsidP="00296569">
            <w:pPr>
              <w:jc w:val="center"/>
              <w:rPr>
                <w:b/>
              </w:rPr>
            </w:pPr>
            <w:r w:rsidRPr="00296569">
              <w:rPr>
                <w:b/>
              </w:rPr>
              <w:t>FISH</w:t>
            </w:r>
          </w:p>
        </w:tc>
        <w:tc>
          <w:tcPr>
            <w:tcW w:w="1243" w:type="dxa"/>
          </w:tcPr>
          <w:p w14:paraId="2A22F0D2" w14:textId="77777777" w:rsidR="00296569" w:rsidRPr="00296569" w:rsidRDefault="00296569" w:rsidP="00296569">
            <w:pPr>
              <w:jc w:val="center"/>
              <w:rPr>
                <w:b/>
              </w:rPr>
            </w:pPr>
            <w:r w:rsidRPr="00296569">
              <w:rPr>
                <w:b/>
              </w:rPr>
              <w:t>TOMATO</w:t>
            </w:r>
          </w:p>
        </w:tc>
        <w:tc>
          <w:tcPr>
            <w:tcW w:w="1363" w:type="dxa"/>
          </w:tcPr>
          <w:p w14:paraId="197D5FD0" w14:textId="77777777" w:rsidR="00296569" w:rsidRPr="00296569" w:rsidRDefault="00296569" w:rsidP="00296569">
            <w:pPr>
              <w:jc w:val="center"/>
              <w:rPr>
                <w:b/>
              </w:rPr>
            </w:pPr>
            <w:r w:rsidRPr="00296569">
              <w:rPr>
                <w:b/>
              </w:rPr>
              <w:t>CABBAGE</w:t>
            </w:r>
          </w:p>
        </w:tc>
        <w:tc>
          <w:tcPr>
            <w:tcW w:w="1240" w:type="dxa"/>
          </w:tcPr>
          <w:p w14:paraId="79D178E3" w14:textId="77777777" w:rsidR="00296569" w:rsidRPr="00296569" w:rsidRDefault="00296569" w:rsidP="00296569">
            <w:pPr>
              <w:jc w:val="center"/>
              <w:rPr>
                <w:b/>
              </w:rPr>
            </w:pPr>
            <w:r w:rsidRPr="00296569">
              <w:rPr>
                <w:b/>
              </w:rPr>
              <w:t>ONION</w:t>
            </w:r>
          </w:p>
        </w:tc>
        <w:tc>
          <w:tcPr>
            <w:tcW w:w="1170" w:type="dxa"/>
          </w:tcPr>
          <w:p w14:paraId="7417A3DB" w14:textId="77777777" w:rsidR="00296569" w:rsidRPr="00296569" w:rsidRDefault="00296569" w:rsidP="00296569">
            <w:pPr>
              <w:jc w:val="center"/>
              <w:rPr>
                <w:b/>
              </w:rPr>
            </w:pPr>
            <w:r w:rsidRPr="00296569">
              <w:rPr>
                <w:b/>
              </w:rPr>
              <w:t>EGG</w:t>
            </w:r>
          </w:p>
        </w:tc>
      </w:tr>
      <w:tr w:rsidR="00296569" w14:paraId="3D76B9B1" w14:textId="77777777" w:rsidTr="00296569">
        <w:trPr>
          <w:jc w:val="center"/>
        </w:trPr>
        <w:tc>
          <w:tcPr>
            <w:tcW w:w="870" w:type="dxa"/>
          </w:tcPr>
          <w:p w14:paraId="00086397" w14:textId="77777777" w:rsidR="00296569" w:rsidRDefault="00296569" w:rsidP="00296569">
            <w:pPr>
              <w:jc w:val="center"/>
            </w:pPr>
            <w:r>
              <w:t>1</w:t>
            </w:r>
          </w:p>
        </w:tc>
        <w:tc>
          <w:tcPr>
            <w:tcW w:w="1062" w:type="dxa"/>
          </w:tcPr>
          <w:p w14:paraId="5CE1402A" w14:textId="77777777" w:rsidR="00296569" w:rsidRDefault="00296569" w:rsidP="00296569">
            <w:pPr>
              <w:jc w:val="center"/>
            </w:pPr>
            <w:r>
              <w:t>6.68</w:t>
            </w:r>
          </w:p>
        </w:tc>
        <w:tc>
          <w:tcPr>
            <w:tcW w:w="792" w:type="dxa"/>
          </w:tcPr>
          <w:p w14:paraId="486780D2" w14:textId="77777777" w:rsidR="00296569" w:rsidRDefault="00296569" w:rsidP="00296569">
            <w:pPr>
              <w:jc w:val="center"/>
            </w:pPr>
            <w:r>
              <w:t>6.97</w:t>
            </w:r>
          </w:p>
        </w:tc>
        <w:tc>
          <w:tcPr>
            <w:tcW w:w="1243" w:type="dxa"/>
          </w:tcPr>
          <w:p w14:paraId="45C5DF8A" w14:textId="77777777" w:rsidR="00296569" w:rsidRDefault="00296569" w:rsidP="00296569">
            <w:pPr>
              <w:jc w:val="center"/>
            </w:pPr>
            <w:r>
              <w:t>6.29</w:t>
            </w:r>
          </w:p>
        </w:tc>
        <w:tc>
          <w:tcPr>
            <w:tcW w:w="1363" w:type="dxa"/>
          </w:tcPr>
          <w:p w14:paraId="531D9683" w14:textId="77777777" w:rsidR="00296569" w:rsidRDefault="00296569" w:rsidP="00296569">
            <w:pPr>
              <w:jc w:val="center"/>
            </w:pPr>
            <w:r>
              <w:t>7.00</w:t>
            </w:r>
          </w:p>
        </w:tc>
        <w:tc>
          <w:tcPr>
            <w:tcW w:w="1240" w:type="dxa"/>
          </w:tcPr>
          <w:p w14:paraId="3123F037" w14:textId="77777777" w:rsidR="00296569" w:rsidRDefault="00296569" w:rsidP="00296569">
            <w:pPr>
              <w:jc w:val="center"/>
            </w:pPr>
            <w:r>
              <w:t>7.24</w:t>
            </w:r>
          </w:p>
        </w:tc>
        <w:tc>
          <w:tcPr>
            <w:tcW w:w="1170" w:type="dxa"/>
          </w:tcPr>
          <w:p w14:paraId="4AC3328A" w14:textId="77777777" w:rsidR="00296569" w:rsidRDefault="00296569" w:rsidP="00296569">
            <w:pPr>
              <w:jc w:val="center"/>
            </w:pPr>
            <w:r>
              <w:t>7.34</w:t>
            </w:r>
          </w:p>
        </w:tc>
      </w:tr>
      <w:tr w:rsidR="00296569" w14:paraId="1664DF9B" w14:textId="77777777" w:rsidTr="00296569">
        <w:trPr>
          <w:jc w:val="center"/>
        </w:trPr>
        <w:tc>
          <w:tcPr>
            <w:tcW w:w="870" w:type="dxa"/>
          </w:tcPr>
          <w:p w14:paraId="0EBE81D0" w14:textId="77777777" w:rsidR="00296569" w:rsidRDefault="00296569" w:rsidP="00296569">
            <w:pPr>
              <w:jc w:val="center"/>
            </w:pPr>
            <w:r>
              <w:t xml:space="preserve"> 2</w:t>
            </w:r>
          </w:p>
        </w:tc>
        <w:tc>
          <w:tcPr>
            <w:tcW w:w="1062" w:type="dxa"/>
          </w:tcPr>
          <w:p w14:paraId="3D86B91E" w14:textId="77777777" w:rsidR="00296569" w:rsidRDefault="00296569" w:rsidP="00296569">
            <w:pPr>
              <w:jc w:val="center"/>
            </w:pPr>
            <w:r>
              <w:t>6.92</w:t>
            </w:r>
          </w:p>
        </w:tc>
        <w:tc>
          <w:tcPr>
            <w:tcW w:w="792" w:type="dxa"/>
          </w:tcPr>
          <w:p w14:paraId="74788258" w14:textId="77777777" w:rsidR="00296569" w:rsidRDefault="00296569" w:rsidP="00296569">
            <w:pPr>
              <w:jc w:val="center"/>
            </w:pPr>
            <w:r>
              <w:t>6.90</w:t>
            </w:r>
          </w:p>
        </w:tc>
        <w:tc>
          <w:tcPr>
            <w:tcW w:w="1243" w:type="dxa"/>
          </w:tcPr>
          <w:p w14:paraId="4E2D70FD" w14:textId="77777777" w:rsidR="00296569" w:rsidRDefault="00296569" w:rsidP="00296569">
            <w:pPr>
              <w:jc w:val="center"/>
            </w:pPr>
            <w:r>
              <w:t>5.19</w:t>
            </w:r>
          </w:p>
        </w:tc>
        <w:tc>
          <w:tcPr>
            <w:tcW w:w="1363" w:type="dxa"/>
          </w:tcPr>
          <w:p w14:paraId="4054800A" w14:textId="77777777" w:rsidR="00296569" w:rsidRDefault="00296569" w:rsidP="00296569">
            <w:pPr>
              <w:jc w:val="center"/>
            </w:pPr>
            <w:r>
              <w:t>7.16</w:t>
            </w:r>
          </w:p>
        </w:tc>
        <w:tc>
          <w:tcPr>
            <w:tcW w:w="1240" w:type="dxa"/>
          </w:tcPr>
          <w:p w14:paraId="04C0C937" w14:textId="77777777" w:rsidR="00296569" w:rsidRDefault="00296569" w:rsidP="00296569">
            <w:pPr>
              <w:jc w:val="center"/>
            </w:pPr>
            <w:r>
              <w:t>4.36</w:t>
            </w:r>
          </w:p>
        </w:tc>
        <w:tc>
          <w:tcPr>
            <w:tcW w:w="1170" w:type="dxa"/>
          </w:tcPr>
          <w:p w14:paraId="72F404B1" w14:textId="77777777" w:rsidR="00296569" w:rsidRDefault="00296569" w:rsidP="00296569">
            <w:pPr>
              <w:jc w:val="center"/>
            </w:pPr>
            <w:r>
              <w:t>6.58</w:t>
            </w:r>
          </w:p>
        </w:tc>
      </w:tr>
      <w:tr w:rsidR="00296569" w14:paraId="427BE622" w14:textId="77777777" w:rsidTr="00296569">
        <w:trPr>
          <w:jc w:val="center"/>
        </w:trPr>
        <w:tc>
          <w:tcPr>
            <w:tcW w:w="870" w:type="dxa"/>
          </w:tcPr>
          <w:p w14:paraId="36E306F7" w14:textId="77777777" w:rsidR="00296569" w:rsidRDefault="00296569" w:rsidP="00296569">
            <w:pPr>
              <w:jc w:val="center"/>
            </w:pPr>
            <w:r>
              <w:t xml:space="preserve"> 3</w:t>
            </w:r>
          </w:p>
        </w:tc>
        <w:tc>
          <w:tcPr>
            <w:tcW w:w="1062" w:type="dxa"/>
          </w:tcPr>
          <w:p w14:paraId="3E8EFA69" w14:textId="77777777" w:rsidR="00296569" w:rsidRDefault="00296569" w:rsidP="00296569">
            <w:pPr>
              <w:jc w:val="center"/>
            </w:pPr>
            <w:r>
              <w:t>7.13</w:t>
            </w:r>
          </w:p>
        </w:tc>
        <w:tc>
          <w:tcPr>
            <w:tcW w:w="792" w:type="dxa"/>
          </w:tcPr>
          <w:p w14:paraId="0E296F54" w14:textId="77777777" w:rsidR="00296569" w:rsidRDefault="00296569" w:rsidP="00296569">
            <w:pPr>
              <w:jc w:val="center"/>
            </w:pPr>
            <w:r>
              <w:t>7.19</w:t>
            </w:r>
          </w:p>
        </w:tc>
        <w:tc>
          <w:tcPr>
            <w:tcW w:w="1243" w:type="dxa"/>
          </w:tcPr>
          <w:p w14:paraId="66A0B38B" w14:textId="77777777" w:rsidR="00296569" w:rsidRDefault="00296569" w:rsidP="00296569">
            <w:pPr>
              <w:jc w:val="center"/>
            </w:pPr>
            <w:r>
              <w:t>6.13</w:t>
            </w:r>
          </w:p>
        </w:tc>
        <w:tc>
          <w:tcPr>
            <w:tcW w:w="1363" w:type="dxa"/>
          </w:tcPr>
          <w:p w14:paraId="3E14C705" w14:textId="77777777" w:rsidR="00296569" w:rsidRDefault="00296569" w:rsidP="00296569">
            <w:pPr>
              <w:jc w:val="center"/>
            </w:pPr>
            <w:r>
              <w:t>7.23</w:t>
            </w:r>
          </w:p>
        </w:tc>
        <w:tc>
          <w:tcPr>
            <w:tcW w:w="1240" w:type="dxa"/>
          </w:tcPr>
          <w:p w14:paraId="3E23D765" w14:textId="77777777" w:rsidR="00296569" w:rsidRDefault="00296569" w:rsidP="00296569">
            <w:pPr>
              <w:jc w:val="center"/>
            </w:pPr>
            <w:r>
              <w:t>4.81</w:t>
            </w:r>
          </w:p>
        </w:tc>
        <w:tc>
          <w:tcPr>
            <w:tcW w:w="1170" w:type="dxa"/>
          </w:tcPr>
          <w:p w14:paraId="000B0999" w14:textId="77777777" w:rsidR="00296569" w:rsidRDefault="00296569" w:rsidP="00296569">
            <w:pPr>
              <w:jc w:val="center"/>
            </w:pPr>
            <w:r>
              <w:t>6.78</w:t>
            </w:r>
          </w:p>
        </w:tc>
      </w:tr>
      <w:tr w:rsidR="00296569" w14:paraId="2D679DC5" w14:textId="77777777" w:rsidTr="00296569">
        <w:trPr>
          <w:jc w:val="center"/>
        </w:trPr>
        <w:tc>
          <w:tcPr>
            <w:tcW w:w="870" w:type="dxa"/>
          </w:tcPr>
          <w:p w14:paraId="26387EFF" w14:textId="77777777" w:rsidR="00296569" w:rsidRDefault="00296569" w:rsidP="00296569">
            <w:pPr>
              <w:jc w:val="center"/>
            </w:pPr>
            <w:r>
              <w:t>4</w:t>
            </w:r>
          </w:p>
        </w:tc>
        <w:tc>
          <w:tcPr>
            <w:tcW w:w="1062" w:type="dxa"/>
          </w:tcPr>
          <w:p w14:paraId="606CB92D" w14:textId="77777777" w:rsidR="00296569" w:rsidRDefault="00296569" w:rsidP="00296569">
            <w:pPr>
              <w:jc w:val="center"/>
            </w:pPr>
            <w:r>
              <w:t>7.63</w:t>
            </w:r>
          </w:p>
        </w:tc>
        <w:tc>
          <w:tcPr>
            <w:tcW w:w="792" w:type="dxa"/>
          </w:tcPr>
          <w:p w14:paraId="4608EA8F" w14:textId="77777777" w:rsidR="00296569" w:rsidRDefault="00296569" w:rsidP="00296569">
            <w:pPr>
              <w:jc w:val="center"/>
            </w:pPr>
            <w:r>
              <w:t>7.61</w:t>
            </w:r>
          </w:p>
        </w:tc>
        <w:tc>
          <w:tcPr>
            <w:tcW w:w="1243" w:type="dxa"/>
          </w:tcPr>
          <w:p w14:paraId="5F1B4969" w14:textId="77777777" w:rsidR="00296569" w:rsidRDefault="00296569" w:rsidP="00296569">
            <w:pPr>
              <w:jc w:val="center"/>
            </w:pPr>
            <w:r>
              <w:t>7.40</w:t>
            </w:r>
          </w:p>
        </w:tc>
        <w:tc>
          <w:tcPr>
            <w:tcW w:w="1363" w:type="dxa"/>
          </w:tcPr>
          <w:p w14:paraId="34DC3CB4" w14:textId="77777777" w:rsidR="00296569" w:rsidRDefault="00296569" w:rsidP="00296569">
            <w:pPr>
              <w:jc w:val="center"/>
            </w:pPr>
            <w:r>
              <w:t>7.57</w:t>
            </w:r>
          </w:p>
        </w:tc>
        <w:tc>
          <w:tcPr>
            <w:tcW w:w="1240" w:type="dxa"/>
          </w:tcPr>
          <w:p w14:paraId="00118D07" w14:textId="77777777" w:rsidR="00296569" w:rsidRDefault="00296569" w:rsidP="00296569">
            <w:pPr>
              <w:jc w:val="center"/>
            </w:pPr>
            <w:r>
              <w:t>5.51</w:t>
            </w:r>
          </w:p>
        </w:tc>
        <w:tc>
          <w:tcPr>
            <w:tcW w:w="1170" w:type="dxa"/>
          </w:tcPr>
          <w:p w14:paraId="3C5BEB88" w14:textId="77777777" w:rsidR="00296569" w:rsidRDefault="00296569" w:rsidP="00296569">
            <w:pPr>
              <w:jc w:val="center"/>
            </w:pPr>
            <w:r>
              <w:t>7.01</w:t>
            </w:r>
          </w:p>
        </w:tc>
      </w:tr>
      <w:tr w:rsidR="00296569" w14:paraId="0E3E945D" w14:textId="77777777" w:rsidTr="00296569">
        <w:trPr>
          <w:jc w:val="center"/>
        </w:trPr>
        <w:tc>
          <w:tcPr>
            <w:tcW w:w="870" w:type="dxa"/>
          </w:tcPr>
          <w:p w14:paraId="7B1C5C1D" w14:textId="77777777" w:rsidR="00296569" w:rsidRDefault="00296569" w:rsidP="00296569">
            <w:pPr>
              <w:jc w:val="center"/>
            </w:pPr>
            <w:r>
              <w:t>5</w:t>
            </w:r>
          </w:p>
        </w:tc>
        <w:tc>
          <w:tcPr>
            <w:tcW w:w="1062" w:type="dxa"/>
          </w:tcPr>
          <w:p w14:paraId="0A06C4AB" w14:textId="77777777" w:rsidR="00296569" w:rsidRDefault="00296569" w:rsidP="00296569">
            <w:pPr>
              <w:jc w:val="center"/>
            </w:pPr>
            <w:r>
              <w:t>7.66</w:t>
            </w:r>
          </w:p>
        </w:tc>
        <w:tc>
          <w:tcPr>
            <w:tcW w:w="792" w:type="dxa"/>
          </w:tcPr>
          <w:p w14:paraId="40B3789D" w14:textId="77777777" w:rsidR="00296569" w:rsidRDefault="00296569" w:rsidP="00296569">
            <w:pPr>
              <w:jc w:val="center"/>
            </w:pPr>
            <w:r>
              <w:t>7.53</w:t>
            </w:r>
          </w:p>
        </w:tc>
        <w:tc>
          <w:tcPr>
            <w:tcW w:w="1243" w:type="dxa"/>
          </w:tcPr>
          <w:p w14:paraId="4026E41F" w14:textId="77777777" w:rsidR="00296569" w:rsidRDefault="00296569" w:rsidP="00296569">
            <w:pPr>
              <w:jc w:val="center"/>
            </w:pPr>
            <w:r>
              <w:t>7.43</w:t>
            </w:r>
          </w:p>
        </w:tc>
        <w:tc>
          <w:tcPr>
            <w:tcW w:w="1363" w:type="dxa"/>
          </w:tcPr>
          <w:p w14:paraId="2F0A3EDF" w14:textId="77777777" w:rsidR="00296569" w:rsidRDefault="00296569" w:rsidP="00296569">
            <w:pPr>
              <w:jc w:val="center"/>
            </w:pPr>
            <w:r>
              <w:t>7.46</w:t>
            </w:r>
          </w:p>
        </w:tc>
        <w:tc>
          <w:tcPr>
            <w:tcW w:w="1240" w:type="dxa"/>
          </w:tcPr>
          <w:p w14:paraId="371AC109" w14:textId="77777777" w:rsidR="00296569" w:rsidRDefault="00296569" w:rsidP="00296569">
            <w:pPr>
              <w:jc w:val="center"/>
            </w:pPr>
            <w:r>
              <w:t>5.53</w:t>
            </w:r>
          </w:p>
        </w:tc>
        <w:tc>
          <w:tcPr>
            <w:tcW w:w="1170" w:type="dxa"/>
          </w:tcPr>
          <w:p w14:paraId="186C4FD0" w14:textId="77777777" w:rsidR="00296569" w:rsidRDefault="00296569" w:rsidP="00296569">
            <w:pPr>
              <w:jc w:val="center"/>
            </w:pPr>
            <w:r>
              <w:t>7.09</w:t>
            </w:r>
          </w:p>
        </w:tc>
      </w:tr>
      <w:tr w:rsidR="00296569" w14:paraId="0B9D4A57" w14:textId="77777777" w:rsidTr="00296569">
        <w:trPr>
          <w:jc w:val="center"/>
        </w:trPr>
        <w:tc>
          <w:tcPr>
            <w:tcW w:w="870" w:type="dxa"/>
          </w:tcPr>
          <w:p w14:paraId="11CE774C" w14:textId="77777777" w:rsidR="00296569" w:rsidRDefault="00296569" w:rsidP="00296569">
            <w:pPr>
              <w:jc w:val="center"/>
            </w:pPr>
            <w:r>
              <w:t xml:space="preserve"> 6</w:t>
            </w:r>
          </w:p>
        </w:tc>
        <w:tc>
          <w:tcPr>
            <w:tcW w:w="1062" w:type="dxa"/>
          </w:tcPr>
          <w:p w14:paraId="38C36B56" w14:textId="77777777" w:rsidR="00296569" w:rsidRDefault="00296569" w:rsidP="00296569">
            <w:pPr>
              <w:jc w:val="center"/>
            </w:pPr>
            <w:r>
              <w:t>7.68</w:t>
            </w:r>
          </w:p>
        </w:tc>
        <w:tc>
          <w:tcPr>
            <w:tcW w:w="792" w:type="dxa"/>
          </w:tcPr>
          <w:p w14:paraId="3BF99C15" w14:textId="77777777" w:rsidR="00296569" w:rsidRDefault="00296569" w:rsidP="00296569">
            <w:pPr>
              <w:jc w:val="center"/>
            </w:pPr>
            <w:r>
              <w:t>7.45</w:t>
            </w:r>
          </w:p>
        </w:tc>
        <w:tc>
          <w:tcPr>
            <w:tcW w:w="1243" w:type="dxa"/>
          </w:tcPr>
          <w:p w14:paraId="71E5A34C" w14:textId="77777777" w:rsidR="00296569" w:rsidRDefault="00296569" w:rsidP="00296569">
            <w:pPr>
              <w:jc w:val="center"/>
            </w:pPr>
            <w:r>
              <w:t>7.46</w:t>
            </w:r>
          </w:p>
        </w:tc>
        <w:tc>
          <w:tcPr>
            <w:tcW w:w="1363" w:type="dxa"/>
          </w:tcPr>
          <w:p w14:paraId="11B69A5E" w14:textId="77777777" w:rsidR="00296569" w:rsidRDefault="00296569" w:rsidP="00296569">
            <w:pPr>
              <w:jc w:val="center"/>
            </w:pPr>
            <w:r>
              <w:t>7.40</w:t>
            </w:r>
          </w:p>
        </w:tc>
        <w:tc>
          <w:tcPr>
            <w:tcW w:w="1240" w:type="dxa"/>
          </w:tcPr>
          <w:p w14:paraId="254CB016" w14:textId="77777777" w:rsidR="00296569" w:rsidRDefault="00296569" w:rsidP="00296569">
            <w:pPr>
              <w:jc w:val="center"/>
            </w:pPr>
            <w:r>
              <w:t>5.46</w:t>
            </w:r>
          </w:p>
        </w:tc>
        <w:tc>
          <w:tcPr>
            <w:tcW w:w="1170" w:type="dxa"/>
          </w:tcPr>
          <w:p w14:paraId="0A0C0EB7" w14:textId="77777777" w:rsidR="00296569" w:rsidRDefault="00296569" w:rsidP="00296569">
            <w:pPr>
              <w:jc w:val="center"/>
            </w:pPr>
            <w:r>
              <w:t>7.15</w:t>
            </w:r>
          </w:p>
        </w:tc>
      </w:tr>
      <w:tr w:rsidR="00296569" w14:paraId="31519484" w14:textId="77777777" w:rsidTr="00296569">
        <w:trPr>
          <w:jc w:val="center"/>
        </w:trPr>
        <w:tc>
          <w:tcPr>
            <w:tcW w:w="870" w:type="dxa"/>
          </w:tcPr>
          <w:p w14:paraId="2C39A680" w14:textId="77777777" w:rsidR="00296569" w:rsidRDefault="00296569" w:rsidP="00296569">
            <w:pPr>
              <w:jc w:val="center"/>
            </w:pPr>
            <w:r>
              <w:lastRenderedPageBreak/>
              <w:t xml:space="preserve"> 7</w:t>
            </w:r>
          </w:p>
        </w:tc>
        <w:tc>
          <w:tcPr>
            <w:tcW w:w="1062" w:type="dxa"/>
          </w:tcPr>
          <w:p w14:paraId="3AB54D80" w14:textId="77777777" w:rsidR="00296569" w:rsidRDefault="00296569" w:rsidP="00296569">
            <w:pPr>
              <w:jc w:val="center"/>
            </w:pPr>
            <w:r>
              <w:t>7.63</w:t>
            </w:r>
          </w:p>
        </w:tc>
        <w:tc>
          <w:tcPr>
            <w:tcW w:w="792" w:type="dxa"/>
          </w:tcPr>
          <w:p w14:paraId="586AE889" w14:textId="77777777" w:rsidR="00296569" w:rsidRDefault="00296569" w:rsidP="00296569">
            <w:pPr>
              <w:jc w:val="center"/>
            </w:pPr>
            <w:r>
              <w:t>7.60</w:t>
            </w:r>
          </w:p>
        </w:tc>
        <w:tc>
          <w:tcPr>
            <w:tcW w:w="1243" w:type="dxa"/>
          </w:tcPr>
          <w:p w14:paraId="1867C316" w14:textId="77777777" w:rsidR="00296569" w:rsidRDefault="00296569" w:rsidP="00296569">
            <w:pPr>
              <w:jc w:val="center"/>
            </w:pPr>
            <w:r>
              <w:t>7.50</w:t>
            </w:r>
          </w:p>
        </w:tc>
        <w:tc>
          <w:tcPr>
            <w:tcW w:w="1363" w:type="dxa"/>
          </w:tcPr>
          <w:p w14:paraId="5FB3EB5F" w14:textId="77777777" w:rsidR="00296569" w:rsidRDefault="00296569" w:rsidP="00296569">
            <w:pPr>
              <w:jc w:val="center"/>
            </w:pPr>
            <w:r>
              <w:t>7.31</w:t>
            </w:r>
          </w:p>
        </w:tc>
        <w:tc>
          <w:tcPr>
            <w:tcW w:w="1240" w:type="dxa"/>
          </w:tcPr>
          <w:p w14:paraId="14598730" w14:textId="77777777" w:rsidR="00296569" w:rsidRDefault="00296569" w:rsidP="00296569">
            <w:pPr>
              <w:jc w:val="center"/>
            </w:pPr>
            <w:r>
              <w:t>5.87</w:t>
            </w:r>
          </w:p>
        </w:tc>
        <w:tc>
          <w:tcPr>
            <w:tcW w:w="1170" w:type="dxa"/>
          </w:tcPr>
          <w:p w14:paraId="49A3F096" w14:textId="77777777" w:rsidR="00296569" w:rsidRDefault="00296569" w:rsidP="00296569">
            <w:pPr>
              <w:jc w:val="center"/>
            </w:pPr>
            <w:r>
              <w:t>7.42</w:t>
            </w:r>
          </w:p>
        </w:tc>
      </w:tr>
      <w:tr w:rsidR="00296569" w14:paraId="71727BA6" w14:textId="77777777" w:rsidTr="00296569">
        <w:trPr>
          <w:jc w:val="center"/>
        </w:trPr>
        <w:tc>
          <w:tcPr>
            <w:tcW w:w="870" w:type="dxa"/>
          </w:tcPr>
          <w:p w14:paraId="21BB669E" w14:textId="77777777" w:rsidR="00296569" w:rsidRDefault="00296569" w:rsidP="00296569">
            <w:pPr>
              <w:jc w:val="center"/>
            </w:pPr>
            <w:r>
              <w:t xml:space="preserve"> 8</w:t>
            </w:r>
          </w:p>
        </w:tc>
        <w:tc>
          <w:tcPr>
            <w:tcW w:w="1062" w:type="dxa"/>
          </w:tcPr>
          <w:p w14:paraId="2D5C8CFF" w14:textId="77777777" w:rsidR="00296569" w:rsidRDefault="00296569" w:rsidP="00296569">
            <w:pPr>
              <w:jc w:val="center"/>
            </w:pPr>
            <w:r>
              <w:t>7.81</w:t>
            </w:r>
          </w:p>
        </w:tc>
        <w:tc>
          <w:tcPr>
            <w:tcW w:w="792" w:type="dxa"/>
          </w:tcPr>
          <w:p w14:paraId="5299E50F" w14:textId="77777777" w:rsidR="00296569" w:rsidRDefault="00296569" w:rsidP="00296569">
            <w:pPr>
              <w:jc w:val="center"/>
            </w:pPr>
            <w:r>
              <w:t>7.69</w:t>
            </w:r>
          </w:p>
        </w:tc>
        <w:tc>
          <w:tcPr>
            <w:tcW w:w="1243" w:type="dxa"/>
          </w:tcPr>
          <w:p w14:paraId="74F542CB" w14:textId="77777777" w:rsidR="00296569" w:rsidRDefault="00296569" w:rsidP="00296569">
            <w:pPr>
              <w:jc w:val="center"/>
            </w:pPr>
            <w:r>
              <w:t>7.61</w:t>
            </w:r>
          </w:p>
        </w:tc>
        <w:tc>
          <w:tcPr>
            <w:tcW w:w="1363" w:type="dxa"/>
          </w:tcPr>
          <w:p w14:paraId="0010577E" w14:textId="77777777" w:rsidR="00296569" w:rsidRDefault="00296569" w:rsidP="00296569">
            <w:pPr>
              <w:jc w:val="center"/>
            </w:pPr>
            <w:r>
              <w:t>6.63</w:t>
            </w:r>
          </w:p>
        </w:tc>
        <w:tc>
          <w:tcPr>
            <w:tcW w:w="1240" w:type="dxa"/>
          </w:tcPr>
          <w:p w14:paraId="0DF92610" w14:textId="77777777" w:rsidR="00296569" w:rsidRDefault="00296569" w:rsidP="00296569">
            <w:pPr>
              <w:jc w:val="center"/>
            </w:pPr>
            <w:r>
              <w:t>6.20</w:t>
            </w:r>
          </w:p>
        </w:tc>
        <w:tc>
          <w:tcPr>
            <w:tcW w:w="1170" w:type="dxa"/>
          </w:tcPr>
          <w:p w14:paraId="2A35EA83" w14:textId="77777777" w:rsidR="00296569" w:rsidRDefault="00296569" w:rsidP="00296569">
            <w:pPr>
              <w:jc w:val="center"/>
            </w:pPr>
            <w:r>
              <w:t>7.47</w:t>
            </w:r>
          </w:p>
        </w:tc>
      </w:tr>
      <w:tr w:rsidR="00296569" w14:paraId="3060AD7C" w14:textId="77777777" w:rsidTr="00296569">
        <w:trPr>
          <w:jc w:val="center"/>
        </w:trPr>
        <w:tc>
          <w:tcPr>
            <w:tcW w:w="870" w:type="dxa"/>
          </w:tcPr>
          <w:p w14:paraId="4FFE71AF" w14:textId="77777777" w:rsidR="00296569" w:rsidRDefault="00296569" w:rsidP="00296569">
            <w:pPr>
              <w:jc w:val="center"/>
            </w:pPr>
            <w:r>
              <w:t>9</w:t>
            </w:r>
          </w:p>
        </w:tc>
        <w:tc>
          <w:tcPr>
            <w:tcW w:w="1062" w:type="dxa"/>
          </w:tcPr>
          <w:p w14:paraId="6F5C3371" w14:textId="77777777" w:rsidR="00296569" w:rsidRDefault="00296569" w:rsidP="00296569">
            <w:pPr>
              <w:jc w:val="center"/>
            </w:pPr>
            <w:r>
              <w:t>7.99</w:t>
            </w:r>
          </w:p>
        </w:tc>
        <w:tc>
          <w:tcPr>
            <w:tcW w:w="792" w:type="dxa"/>
          </w:tcPr>
          <w:p w14:paraId="3F2E7355" w14:textId="77777777" w:rsidR="00296569" w:rsidRDefault="00296569" w:rsidP="00296569">
            <w:pPr>
              <w:jc w:val="center"/>
            </w:pPr>
            <w:r>
              <w:t>7.78</w:t>
            </w:r>
          </w:p>
        </w:tc>
        <w:tc>
          <w:tcPr>
            <w:tcW w:w="1243" w:type="dxa"/>
          </w:tcPr>
          <w:p w14:paraId="740B5253" w14:textId="77777777" w:rsidR="00296569" w:rsidRDefault="00296569" w:rsidP="00296569">
            <w:pPr>
              <w:jc w:val="center"/>
            </w:pPr>
            <w:r>
              <w:t>7.76</w:t>
            </w:r>
          </w:p>
        </w:tc>
        <w:tc>
          <w:tcPr>
            <w:tcW w:w="1363" w:type="dxa"/>
          </w:tcPr>
          <w:p w14:paraId="7162412C" w14:textId="77777777" w:rsidR="00296569" w:rsidRDefault="00296569" w:rsidP="00296569">
            <w:pPr>
              <w:jc w:val="center"/>
            </w:pPr>
            <w:r>
              <w:t>6.40</w:t>
            </w:r>
          </w:p>
        </w:tc>
        <w:tc>
          <w:tcPr>
            <w:tcW w:w="1240" w:type="dxa"/>
          </w:tcPr>
          <w:p w14:paraId="616B1B1C" w14:textId="77777777" w:rsidR="00296569" w:rsidRDefault="00296569" w:rsidP="00296569">
            <w:pPr>
              <w:jc w:val="center"/>
            </w:pPr>
            <w:r>
              <w:t>6.56</w:t>
            </w:r>
          </w:p>
        </w:tc>
        <w:tc>
          <w:tcPr>
            <w:tcW w:w="1170" w:type="dxa"/>
          </w:tcPr>
          <w:p w14:paraId="64FBF130" w14:textId="77777777" w:rsidR="00296569" w:rsidRDefault="00296569" w:rsidP="00296569">
            <w:pPr>
              <w:jc w:val="center"/>
            </w:pPr>
            <w:r>
              <w:t>7.55</w:t>
            </w:r>
          </w:p>
        </w:tc>
      </w:tr>
      <w:tr w:rsidR="00296569" w14:paraId="53A779DC" w14:textId="77777777" w:rsidTr="00296569">
        <w:trPr>
          <w:jc w:val="center"/>
        </w:trPr>
        <w:tc>
          <w:tcPr>
            <w:tcW w:w="870" w:type="dxa"/>
          </w:tcPr>
          <w:p w14:paraId="07EC28DF" w14:textId="77777777" w:rsidR="00296569" w:rsidRDefault="00296569" w:rsidP="00296569">
            <w:pPr>
              <w:jc w:val="center"/>
            </w:pPr>
            <w:r>
              <w:t>10</w:t>
            </w:r>
          </w:p>
        </w:tc>
        <w:tc>
          <w:tcPr>
            <w:tcW w:w="1062" w:type="dxa"/>
          </w:tcPr>
          <w:p w14:paraId="09E896AE" w14:textId="77777777" w:rsidR="00296569" w:rsidRDefault="00296569" w:rsidP="00296569">
            <w:pPr>
              <w:jc w:val="center"/>
            </w:pPr>
            <w:r>
              <w:t>8.08</w:t>
            </w:r>
          </w:p>
        </w:tc>
        <w:tc>
          <w:tcPr>
            <w:tcW w:w="792" w:type="dxa"/>
          </w:tcPr>
          <w:p w14:paraId="3AE9565F" w14:textId="77777777" w:rsidR="00296569" w:rsidRDefault="00296569" w:rsidP="00296569">
            <w:pPr>
              <w:jc w:val="center"/>
            </w:pPr>
            <w:r>
              <w:t>7.79</w:t>
            </w:r>
          </w:p>
        </w:tc>
        <w:tc>
          <w:tcPr>
            <w:tcW w:w="1243" w:type="dxa"/>
          </w:tcPr>
          <w:p w14:paraId="24A34717" w14:textId="77777777" w:rsidR="00296569" w:rsidRDefault="00296569" w:rsidP="00296569">
            <w:pPr>
              <w:jc w:val="center"/>
            </w:pPr>
            <w:r>
              <w:t>7.74</w:t>
            </w:r>
          </w:p>
        </w:tc>
        <w:tc>
          <w:tcPr>
            <w:tcW w:w="1363" w:type="dxa"/>
          </w:tcPr>
          <w:p w14:paraId="26EB0942" w14:textId="77777777" w:rsidR="00296569" w:rsidRDefault="00296569" w:rsidP="00296569">
            <w:pPr>
              <w:jc w:val="center"/>
            </w:pPr>
            <w:r>
              <w:t>6.92</w:t>
            </w:r>
          </w:p>
        </w:tc>
        <w:tc>
          <w:tcPr>
            <w:tcW w:w="1240" w:type="dxa"/>
          </w:tcPr>
          <w:p w14:paraId="21CF02E5" w14:textId="77777777" w:rsidR="00296569" w:rsidRDefault="00296569" w:rsidP="00296569">
            <w:pPr>
              <w:jc w:val="center"/>
            </w:pPr>
            <w:r>
              <w:t>7.02</w:t>
            </w:r>
          </w:p>
        </w:tc>
        <w:tc>
          <w:tcPr>
            <w:tcW w:w="1170" w:type="dxa"/>
          </w:tcPr>
          <w:p w14:paraId="1DAEBD79" w14:textId="77777777" w:rsidR="00296569" w:rsidRDefault="00296569" w:rsidP="00296569">
            <w:pPr>
              <w:jc w:val="center"/>
            </w:pPr>
            <w:r>
              <w:t>7.64</w:t>
            </w:r>
          </w:p>
        </w:tc>
      </w:tr>
      <w:tr w:rsidR="00296569" w14:paraId="7B1BCEF8" w14:textId="77777777" w:rsidTr="00296569">
        <w:trPr>
          <w:jc w:val="center"/>
        </w:trPr>
        <w:tc>
          <w:tcPr>
            <w:tcW w:w="870" w:type="dxa"/>
          </w:tcPr>
          <w:p w14:paraId="5AFAE1E2" w14:textId="77777777" w:rsidR="00296569" w:rsidRDefault="00296569" w:rsidP="00296569">
            <w:pPr>
              <w:jc w:val="center"/>
            </w:pPr>
            <w:r>
              <w:t>11</w:t>
            </w:r>
          </w:p>
        </w:tc>
        <w:tc>
          <w:tcPr>
            <w:tcW w:w="1062" w:type="dxa"/>
          </w:tcPr>
          <w:p w14:paraId="65B889B2" w14:textId="77777777" w:rsidR="00296569" w:rsidRDefault="00296569" w:rsidP="00296569">
            <w:pPr>
              <w:jc w:val="center"/>
            </w:pPr>
            <w:r>
              <w:t>8.20</w:t>
            </w:r>
          </w:p>
        </w:tc>
        <w:tc>
          <w:tcPr>
            <w:tcW w:w="792" w:type="dxa"/>
          </w:tcPr>
          <w:p w14:paraId="73874F66" w14:textId="77777777" w:rsidR="00296569" w:rsidRDefault="00296569" w:rsidP="00296569">
            <w:pPr>
              <w:jc w:val="center"/>
            </w:pPr>
            <w:r>
              <w:t>7.88</w:t>
            </w:r>
          </w:p>
        </w:tc>
        <w:tc>
          <w:tcPr>
            <w:tcW w:w="1243" w:type="dxa"/>
          </w:tcPr>
          <w:p w14:paraId="28FDDED0" w14:textId="77777777" w:rsidR="00296569" w:rsidRDefault="00296569" w:rsidP="00296569">
            <w:pPr>
              <w:jc w:val="center"/>
            </w:pPr>
            <w:r>
              <w:t>7.87</w:t>
            </w:r>
          </w:p>
        </w:tc>
        <w:tc>
          <w:tcPr>
            <w:tcW w:w="1363" w:type="dxa"/>
          </w:tcPr>
          <w:p w14:paraId="2E5994A0" w14:textId="77777777" w:rsidR="00296569" w:rsidRDefault="00296569" w:rsidP="00296569">
            <w:pPr>
              <w:jc w:val="center"/>
            </w:pPr>
            <w:r>
              <w:t>7.18</w:t>
            </w:r>
          </w:p>
        </w:tc>
        <w:tc>
          <w:tcPr>
            <w:tcW w:w="1240" w:type="dxa"/>
          </w:tcPr>
          <w:p w14:paraId="3DA78768" w14:textId="77777777" w:rsidR="00296569" w:rsidRDefault="00296569" w:rsidP="00296569">
            <w:pPr>
              <w:jc w:val="center"/>
            </w:pPr>
            <w:r>
              <w:t>7.21</w:t>
            </w:r>
          </w:p>
        </w:tc>
        <w:tc>
          <w:tcPr>
            <w:tcW w:w="1170" w:type="dxa"/>
          </w:tcPr>
          <w:p w14:paraId="5F026CFB" w14:textId="77777777" w:rsidR="00296569" w:rsidRDefault="00296569" w:rsidP="00296569">
            <w:pPr>
              <w:jc w:val="center"/>
            </w:pPr>
            <w:r>
              <w:t>7.76</w:t>
            </w:r>
          </w:p>
        </w:tc>
      </w:tr>
      <w:tr w:rsidR="00296569" w14:paraId="736F40D9" w14:textId="77777777" w:rsidTr="00296569">
        <w:trPr>
          <w:jc w:val="center"/>
        </w:trPr>
        <w:tc>
          <w:tcPr>
            <w:tcW w:w="870" w:type="dxa"/>
          </w:tcPr>
          <w:p w14:paraId="74DFEE9C" w14:textId="77777777" w:rsidR="00296569" w:rsidRDefault="00296569" w:rsidP="00296569">
            <w:pPr>
              <w:jc w:val="center"/>
            </w:pPr>
            <w:r>
              <w:t xml:space="preserve"> 12</w:t>
            </w:r>
          </w:p>
        </w:tc>
        <w:tc>
          <w:tcPr>
            <w:tcW w:w="1062" w:type="dxa"/>
          </w:tcPr>
          <w:p w14:paraId="4DD1D3E0" w14:textId="77777777" w:rsidR="00296569" w:rsidRDefault="00296569" w:rsidP="00296569">
            <w:pPr>
              <w:jc w:val="center"/>
            </w:pPr>
            <w:r>
              <w:t>8.30</w:t>
            </w:r>
          </w:p>
        </w:tc>
        <w:tc>
          <w:tcPr>
            <w:tcW w:w="792" w:type="dxa"/>
          </w:tcPr>
          <w:p w14:paraId="05BA264C" w14:textId="77777777" w:rsidR="00296569" w:rsidRDefault="00296569" w:rsidP="00296569">
            <w:pPr>
              <w:jc w:val="center"/>
            </w:pPr>
            <w:r>
              <w:t>7.97</w:t>
            </w:r>
          </w:p>
        </w:tc>
        <w:tc>
          <w:tcPr>
            <w:tcW w:w="1243" w:type="dxa"/>
          </w:tcPr>
          <w:p w14:paraId="515BF6FE" w14:textId="77777777" w:rsidR="00296569" w:rsidRDefault="00296569" w:rsidP="00296569">
            <w:pPr>
              <w:jc w:val="center"/>
            </w:pPr>
            <w:r>
              <w:t>7.86</w:t>
            </w:r>
          </w:p>
        </w:tc>
        <w:tc>
          <w:tcPr>
            <w:tcW w:w="1363" w:type="dxa"/>
          </w:tcPr>
          <w:p w14:paraId="501F4FC1" w14:textId="77777777" w:rsidR="00296569" w:rsidRDefault="00296569" w:rsidP="00296569">
            <w:pPr>
              <w:jc w:val="center"/>
            </w:pPr>
            <w:r>
              <w:t>7.16</w:t>
            </w:r>
          </w:p>
        </w:tc>
        <w:tc>
          <w:tcPr>
            <w:tcW w:w="1240" w:type="dxa"/>
          </w:tcPr>
          <w:p w14:paraId="5C438504" w14:textId="77777777" w:rsidR="00296569" w:rsidRDefault="00296569" w:rsidP="00296569">
            <w:pPr>
              <w:jc w:val="center"/>
            </w:pPr>
            <w:r>
              <w:t>7.26</w:t>
            </w:r>
          </w:p>
        </w:tc>
        <w:tc>
          <w:tcPr>
            <w:tcW w:w="1170" w:type="dxa"/>
          </w:tcPr>
          <w:p w14:paraId="2552C57E" w14:textId="77777777" w:rsidR="00296569" w:rsidRDefault="00296569" w:rsidP="00296569">
            <w:pPr>
              <w:jc w:val="center"/>
            </w:pPr>
            <w:r>
              <w:t>8.00</w:t>
            </w:r>
          </w:p>
        </w:tc>
      </w:tr>
      <w:tr w:rsidR="00296569" w14:paraId="1F5F3D0F" w14:textId="77777777" w:rsidTr="00296569">
        <w:trPr>
          <w:jc w:val="center"/>
        </w:trPr>
        <w:tc>
          <w:tcPr>
            <w:tcW w:w="870" w:type="dxa"/>
          </w:tcPr>
          <w:p w14:paraId="0E17A904" w14:textId="77777777" w:rsidR="00296569" w:rsidRDefault="00296569" w:rsidP="00296569">
            <w:pPr>
              <w:jc w:val="center"/>
            </w:pPr>
            <w:r>
              <w:t>13</w:t>
            </w:r>
          </w:p>
        </w:tc>
        <w:tc>
          <w:tcPr>
            <w:tcW w:w="1062" w:type="dxa"/>
          </w:tcPr>
          <w:p w14:paraId="3CBBAC62" w14:textId="77777777" w:rsidR="00296569" w:rsidRDefault="00296569" w:rsidP="00296569">
            <w:pPr>
              <w:jc w:val="center"/>
            </w:pPr>
            <w:r>
              <w:t>8.23</w:t>
            </w:r>
          </w:p>
        </w:tc>
        <w:tc>
          <w:tcPr>
            <w:tcW w:w="792" w:type="dxa"/>
          </w:tcPr>
          <w:p w14:paraId="06D112B5" w14:textId="77777777" w:rsidR="00296569" w:rsidRDefault="00296569" w:rsidP="00296569">
            <w:pPr>
              <w:jc w:val="center"/>
            </w:pPr>
            <w:r>
              <w:t>8.12</w:t>
            </w:r>
          </w:p>
        </w:tc>
        <w:tc>
          <w:tcPr>
            <w:tcW w:w="1243" w:type="dxa"/>
          </w:tcPr>
          <w:p w14:paraId="1DC75AD6" w14:textId="77777777" w:rsidR="00296569" w:rsidRDefault="00296569" w:rsidP="00296569">
            <w:pPr>
              <w:jc w:val="center"/>
            </w:pPr>
            <w:r>
              <w:t>7.99</w:t>
            </w:r>
          </w:p>
        </w:tc>
        <w:tc>
          <w:tcPr>
            <w:tcW w:w="1363" w:type="dxa"/>
          </w:tcPr>
          <w:p w14:paraId="03F4763F" w14:textId="77777777" w:rsidR="00296569" w:rsidRDefault="00296569" w:rsidP="00296569">
            <w:pPr>
              <w:jc w:val="center"/>
            </w:pPr>
            <w:r>
              <w:t>7.31</w:t>
            </w:r>
          </w:p>
        </w:tc>
        <w:tc>
          <w:tcPr>
            <w:tcW w:w="1240" w:type="dxa"/>
          </w:tcPr>
          <w:p w14:paraId="546912B2" w14:textId="77777777" w:rsidR="00296569" w:rsidRDefault="00296569" w:rsidP="00296569">
            <w:pPr>
              <w:jc w:val="center"/>
            </w:pPr>
            <w:r>
              <w:t>7.38</w:t>
            </w:r>
          </w:p>
        </w:tc>
        <w:tc>
          <w:tcPr>
            <w:tcW w:w="1170" w:type="dxa"/>
          </w:tcPr>
          <w:p w14:paraId="5DFF1F43" w14:textId="77777777" w:rsidR="00296569" w:rsidRDefault="00296569" w:rsidP="00296569">
            <w:pPr>
              <w:jc w:val="center"/>
            </w:pPr>
            <w:r>
              <w:t>7.09</w:t>
            </w:r>
          </w:p>
        </w:tc>
      </w:tr>
      <w:tr w:rsidR="00296569" w14:paraId="7031A598" w14:textId="77777777" w:rsidTr="00296569">
        <w:trPr>
          <w:jc w:val="center"/>
        </w:trPr>
        <w:tc>
          <w:tcPr>
            <w:tcW w:w="870" w:type="dxa"/>
          </w:tcPr>
          <w:p w14:paraId="23B63B9F" w14:textId="77777777" w:rsidR="00296569" w:rsidRDefault="00296569" w:rsidP="00296569">
            <w:pPr>
              <w:jc w:val="center"/>
            </w:pPr>
            <w:r>
              <w:t>14</w:t>
            </w:r>
          </w:p>
        </w:tc>
        <w:tc>
          <w:tcPr>
            <w:tcW w:w="1062" w:type="dxa"/>
          </w:tcPr>
          <w:p w14:paraId="211A0E11" w14:textId="77777777" w:rsidR="00296569" w:rsidRDefault="00296569" w:rsidP="00296569">
            <w:pPr>
              <w:jc w:val="center"/>
            </w:pPr>
            <w:r>
              <w:t>8.25</w:t>
            </w:r>
          </w:p>
        </w:tc>
        <w:tc>
          <w:tcPr>
            <w:tcW w:w="792" w:type="dxa"/>
          </w:tcPr>
          <w:p w14:paraId="7F9A6AB4" w14:textId="77777777" w:rsidR="00296569" w:rsidRDefault="00296569" w:rsidP="00296569">
            <w:pPr>
              <w:jc w:val="center"/>
            </w:pPr>
            <w:r>
              <w:t>8.21</w:t>
            </w:r>
          </w:p>
        </w:tc>
        <w:tc>
          <w:tcPr>
            <w:tcW w:w="1243" w:type="dxa"/>
          </w:tcPr>
          <w:p w14:paraId="61FC74FF" w14:textId="77777777" w:rsidR="00296569" w:rsidRDefault="00296569" w:rsidP="00296569">
            <w:pPr>
              <w:jc w:val="center"/>
            </w:pPr>
            <w:r>
              <w:t>8.05</w:t>
            </w:r>
          </w:p>
        </w:tc>
        <w:tc>
          <w:tcPr>
            <w:tcW w:w="1363" w:type="dxa"/>
          </w:tcPr>
          <w:p w14:paraId="2D215359" w14:textId="77777777" w:rsidR="00296569" w:rsidRDefault="00296569" w:rsidP="00296569">
            <w:pPr>
              <w:jc w:val="center"/>
            </w:pPr>
            <w:r>
              <w:t>7.35</w:t>
            </w:r>
          </w:p>
        </w:tc>
        <w:tc>
          <w:tcPr>
            <w:tcW w:w="1240" w:type="dxa"/>
          </w:tcPr>
          <w:p w14:paraId="728748B5" w14:textId="77777777" w:rsidR="00296569" w:rsidRDefault="00296569" w:rsidP="00296569">
            <w:pPr>
              <w:jc w:val="center"/>
            </w:pPr>
            <w:r>
              <w:t>7.43</w:t>
            </w:r>
          </w:p>
        </w:tc>
        <w:tc>
          <w:tcPr>
            <w:tcW w:w="1170" w:type="dxa"/>
          </w:tcPr>
          <w:p w14:paraId="4AFD3D9E" w14:textId="77777777" w:rsidR="00296569" w:rsidRDefault="00296569" w:rsidP="00296569">
            <w:pPr>
              <w:jc w:val="center"/>
            </w:pPr>
            <w:r>
              <w:t>7.11</w:t>
            </w:r>
          </w:p>
        </w:tc>
      </w:tr>
      <w:tr w:rsidR="00296569" w14:paraId="0EAB9B80" w14:textId="77777777" w:rsidTr="00296569">
        <w:trPr>
          <w:jc w:val="center"/>
        </w:trPr>
        <w:tc>
          <w:tcPr>
            <w:tcW w:w="870" w:type="dxa"/>
          </w:tcPr>
          <w:p w14:paraId="3BAAB832" w14:textId="77777777" w:rsidR="00296569" w:rsidRDefault="00296569" w:rsidP="00296569">
            <w:pPr>
              <w:jc w:val="center"/>
            </w:pPr>
            <w:r>
              <w:t>15</w:t>
            </w:r>
          </w:p>
        </w:tc>
        <w:tc>
          <w:tcPr>
            <w:tcW w:w="1062" w:type="dxa"/>
          </w:tcPr>
          <w:p w14:paraId="1F69394C" w14:textId="77777777" w:rsidR="00296569" w:rsidRDefault="00296569" w:rsidP="00296569">
            <w:pPr>
              <w:jc w:val="center"/>
            </w:pPr>
            <w:r>
              <w:t>8.28</w:t>
            </w:r>
          </w:p>
        </w:tc>
        <w:tc>
          <w:tcPr>
            <w:tcW w:w="792" w:type="dxa"/>
          </w:tcPr>
          <w:p w14:paraId="22C7D800" w14:textId="77777777" w:rsidR="00296569" w:rsidRDefault="00296569" w:rsidP="00296569">
            <w:pPr>
              <w:jc w:val="center"/>
            </w:pPr>
            <w:r>
              <w:t>8.30</w:t>
            </w:r>
          </w:p>
        </w:tc>
        <w:tc>
          <w:tcPr>
            <w:tcW w:w="1243" w:type="dxa"/>
          </w:tcPr>
          <w:p w14:paraId="67B64519" w14:textId="77777777" w:rsidR="00296569" w:rsidRDefault="00296569" w:rsidP="00296569">
            <w:pPr>
              <w:jc w:val="center"/>
            </w:pPr>
            <w:r>
              <w:t>8.09</w:t>
            </w:r>
          </w:p>
        </w:tc>
        <w:tc>
          <w:tcPr>
            <w:tcW w:w="1363" w:type="dxa"/>
          </w:tcPr>
          <w:p w14:paraId="5685CCC3" w14:textId="77777777" w:rsidR="00296569" w:rsidRDefault="00296569" w:rsidP="00296569">
            <w:pPr>
              <w:jc w:val="center"/>
            </w:pPr>
            <w:r>
              <w:t>7.43</w:t>
            </w:r>
          </w:p>
        </w:tc>
        <w:tc>
          <w:tcPr>
            <w:tcW w:w="1240" w:type="dxa"/>
          </w:tcPr>
          <w:p w14:paraId="660D3845" w14:textId="77777777" w:rsidR="00296569" w:rsidRDefault="00296569" w:rsidP="00296569">
            <w:pPr>
              <w:jc w:val="center"/>
            </w:pPr>
            <w:r>
              <w:t>7.50</w:t>
            </w:r>
          </w:p>
        </w:tc>
        <w:tc>
          <w:tcPr>
            <w:tcW w:w="1170" w:type="dxa"/>
          </w:tcPr>
          <w:p w14:paraId="24348A55" w14:textId="77777777" w:rsidR="00296569" w:rsidRDefault="00296569" w:rsidP="00296569">
            <w:pPr>
              <w:jc w:val="center"/>
            </w:pPr>
            <w:r>
              <w:t>7.07</w:t>
            </w:r>
          </w:p>
        </w:tc>
      </w:tr>
    </w:tbl>
    <w:p w14:paraId="68792EF3" w14:textId="77777777" w:rsidR="00354BDA" w:rsidRDefault="00354BDA" w:rsidP="00354BDA">
      <w:pPr>
        <w:pStyle w:val="NoSpacing"/>
        <w:rPr>
          <w:szCs w:val="24"/>
        </w:rPr>
      </w:pPr>
    </w:p>
    <w:p w14:paraId="0C0B1BFD" w14:textId="77777777" w:rsidR="00701BB8" w:rsidRPr="00701BB8" w:rsidRDefault="00701BB8" w:rsidP="00701BB8">
      <w:pPr>
        <w:pStyle w:val="NoSpacing"/>
        <w:rPr>
          <w:b/>
        </w:rPr>
      </w:pPr>
      <w:r w:rsidRPr="00701BB8">
        <w:rPr>
          <w:b/>
        </w:rPr>
        <w:t>Total Dissolved Solids (TDS) Variation</w:t>
      </w:r>
    </w:p>
    <w:p w14:paraId="213D681E" w14:textId="77777777" w:rsidR="00313BE8" w:rsidRDefault="00313BE8" w:rsidP="00313BE8">
      <w:pPr>
        <w:pStyle w:val="NoSpacing"/>
        <w:spacing w:line="480" w:lineRule="auto"/>
      </w:pPr>
      <w:r>
        <w:t xml:space="preserve">Total dissolved solids (TDS) values increased substantially in all samples over the 15-day period. The initial TDS of the extraction water was 8 ppm (100 mL). Progressive increases in TDS reflect the </w:t>
      </w:r>
      <w:proofErr w:type="spellStart"/>
      <w:r>
        <w:t>solubilisation</w:t>
      </w:r>
      <w:proofErr w:type="spellEnd"/>
      <w:r>
        <w:t xml:space="preserve"> of organic compounds and mineral constituents resulting from microbial breakdown.</w:t>
      </w:r>
    </w:p>
    <w:p w14:paraId="4BD00B02" w14:textId="77777777" w:rsidR="00313BE8" w:rsidRDefault="00313BE8" w:rsidP="00313BE8">
      <w:pPr>
        <w:pStyle w:val="NoSpacing"/>
        <w:spacing w:line="480" w:lineRule="auto"/>
      </w:pPr>
      <w:r>
        <w:t>Animal-based wastes recorded markedly higher TDS values compared to plant-based wastes. Fish showed the highest increase, rising from 91 ppm on Day 1 to 2,071 ppm by Day 15. Meat exhibited a similar trend, increasing from 45 ppm to 1,749 ppm within the same period. Egg samples also demonstrated substantial increases, from 165 ppm to 2,001 ppm, with pronounced increments observed between Days 2 and 7. These trends indicate extensive protein degradation and release of soluble nitrogenous compounds into the aqueous medium.</w:t>
      </w:r>
    </w:p>
    <w:p w14:paraId="074329D7" w14:textId="77777777" w:rsidR="00701BB8" w:rsidRPr="00701BB8" w:rsidRDefault="00313BE8" w:rsidP="00313BE8">
      <w:pPr>
        <w:pStyle w:val="NoSpacing"/>
        <w:spacing w:line="480" w:lineRule="auto"/>
      </w:pPr>
      <w:r>
        <w:t>Conversely, plant-derived wastes showed more gradual increases in TDS. Tomato increased from 17 ppm to 186 ppm, cabbage from 27 ppm to 185 ppm, and onion from 27 ppm to 115 ppm over the 15-day period. The comparatively lower TDS values in plant wastes reflect their reduced protein content and slower release of soluble metabolites.</w:t>
      </w:r>
    </w:p>
    <w:p w14:paraId="36A8D5FA" w14:textId="77777777" w:rsidR="008A68C1" w:rsidRDefault="00B678C5" w:rsidP="008A68C1">
      <w:pPr>
        <w:pStyle w:val="Heading3"/>
      </w:pPr>
      <w:bookmarkStart w:id="58" w:name="OLE_LINK16"/>
      <w:bookmarkStart w:id="59" w:name="OLE_LINK17"/>
      <w:bookmarkEnd w:id="44"/>
      <w:r>
        <w:t>3.4</w:t>
      </w:r>
      <w:r w:rsidR="008A68C1">
        <w:t xml:space="preserve"> Correlations </w:t>
      </w:r>
      <w:r w:rsidR="007060F4">
        <w:t>among</w:t>
      </w:r>
      <w:r w:rsidR="008A68C1">
        <w:t xml:space="preserve"> Parameters</w:t>
      </w:r>
    </w:p>
    <w:p w14:paraId="0625AC7E" w14:textId="77777777" w:rsidR="008A68C1" w:rsidRDefault="00313BE8" w:rsidP="00313BE8">
      <w:pPr>
        <w:pStyle w:val="NoSpacing"/>
        <w:spacing w:line="480" w:lineRule="auto"/>
      </w:pPr>
      <w:bookmarkStart w:id="60" w:name="OLE_LINK102"/>
      <w:bookmarkEnd w:id="58"/>
      <w:bookmarkEnd w:id="59"/>
      <w:r w:rsidRPr="00313BE8">
        <w:t xml:space="preserve">H₂S concentrations increased concurrently with </w:t>
      </w:r>
      <w:proofErr w:type="spellStart"/>
      <w:r w:rsidRPr="00313BE8">
        <w:t>odour</w:t>
      </w:r>
      <w:proofErr w:type="spellEnd"/>
      <w:r w:rsidRPr="00313BE8">
        <w:t xml:space="preserve"> intensity and offensiveness, with peak emissions (Days 8–12) corresponding to maximum sensory scores, particularly for fish and eggs. Higher H₂S levels were observed during periods of rising pH in protein-rich wastes, especially </w:t>
      </w:r>
      <w:r w:rsidRPr="00313BE8">
        <w:lastRenderedPageBreak/>
        <w:t>under sealed conditions. TDS showed a positive association with H₂S across all waste types, as increasing dissolved solids paralleled elevated gas concentrations. Overall, H₂S generation was strongly linked to physicochemical changes and anaerobic conditions during decomposition.</w:t>
      </w:r>
    </w:p>
    <w:p w14:paraId="6E571AFD" w14:textId="77777777" w:rsidR="00766BD3" w:rsidRDefault="00D05C52" w:rsidP="00701BB8">
      <w:pPr>
        <w:pStyle w:val="Heading1"/>
        <w:numPr>
          <w:ilvl w:val="0"/>
          <w:numId w:val="28"/>
        </w:numPr>
      </w:pPr>
      <w:bookmarkStart w:id="61" w:name="OLE_LINK19"/>
      <w:bookmarkStart w:id="62" w:name="OLE_LINK20"/>
      <w:bookmarkStart w:id="63" w:name="OLE_LINK39"/>
      <w:bookmarkEnd w:id="45"/>
      <w:bookmarkEnd w:id="46"/>
      <w:bookmarkEnd w:id="60"/>
      <w:r>
        <w:t>D</w:t>
      </w:r>
      <w:r w:rsidR="009716FF" w:rsidRPr="009716FF">
        <w:t xml:space="preserve">iscussion </w:t>
      </w:r>
      <w:r w:rsidR="00766BD3">
        <w:t xml:space="preserve"> </w:t>
      </w:r>
      <w:r w:rsidR="00B9455A">
        <w:t xml:space="preserve"> </w:t>
      </w:r>
    </w:p>
    <w:p w14:paraId="1EB3451D" w14:textId="77777777" w:rsidR="00B43563" w:rsidRDefault="00313BE8" w:rsidP="00313BE8">
      <w:pPr>
        <w:pStyle w:val="NoSpacing"/>
        <w:spacing w:line="480" w:lineRule="auto"/>
      </w:pPr>
      <w:bookmarkStart w:id="64" w:name="OLE_LINK103"/>
      <w:bookmarkStart w:id="65" w:name="OLE_LINK104"/>
      <w:bookmarkEnd w:id="61"/>
      <w:bookmarkEnd w:id="62"/>
      <w:r w:rsidRPr="00313BE8">
        <w:t xml:space="preserve">The present study provides a detailed assessment of </w:t>
      </w:r>
      <w:proofErr w:type="spellStart"/>
      <w:r w:rsidRPr="00313BE8">
        <w:t>malodour</w:t>
      </w:r>
      <w:proofErr w:type="spellEnd"/>
      <w:r w:rsidRPr="00313BE8">
        <w:t xml:space="preserve"> generation from typical household and market organic wastes in </w:t>
      </w:r>
      <w:proofErr w:type="spellStart"/>
      <w:r w:rsidRPr="00313BE8">
        <w:t>Awka</w:t>
      </w:r>
      <w:proofErr w:type="spellEnd"/>
      <w:r w:rsidRPr="00313BE8">
        <w:t>, Nigeria. The results highlight the interplay of waste type, container condition, physicochemical changes, and temporal dynamics of decomposition, providing practical insights for municipal waste management.</w:t>
      </w:r>
    </w:p>
    <w:bookmarkEnd w:id="64"/>
    <w:bookmarkEnd w:id="65"/>
    <w:p w14:paraId="5E6F1DE9" w14:textId="77777777" w:rsidR="00B43563" w:rsidRDefault="00B43563" w:rsidP="00B43563">
      <w:pPr>
        <w:pStyle w:val="Heading3"/>
      </w:pPr>
      <w:r>
        <w:t>4.1 Influence of Waste Type</w:t>
      </w:r>
    </w:p>
    <w:p w14:paraId="67DB4C35" w14:textId="77777777" w:rsidR="00B43563" w:rsidRDefault="00313BE8" w:rsidP="00313BE8">
      <w:pPr>
        <w:pStyle w:val="NoSpacing"/>
        <w:spacing w:line="480" w:lineRule="auto"/>
      </w:pPr>
      <w:r w:rsidRPr="00313BE8">
        <w:t xml:space="preserve">Protein-rich wastes (fish, eggs, and meat) were the dominant sources of hydrogen </w:t>
      </w:r>
      <w:proofErr w:type="spellStart"/>
      <w:r w:rsidRPr="00313BE8">
        <w:t>sulphide</w:t>
      </w:r>
      <w:proofErr w:type="spellEnd"/>
      <w:r w:rsidRPr="00313BE8">
        <w:t xml:space="preserve"> (H₂S) and high sensory offensiveness. In unsealed bins, fish and eggs reached peaks of 1,772 ppm (Day 11) and 2,499 ppm (Day 13), respectively, whereas meat peaked at 65 ppm (Day 3) (Figure 2a). These high emissions are consistent with the presence of </w:t>
      </w:r>
      <w:proofErr w:type="spellStart"/>
      <w:r w:rsidRPr="00313BE8">
        <w:t>sulphur</w:t>
      </w:r>
      <w:proofErr w:type="spellEnd"/>
      <w:r w:rsidRPr="00313BE8">
        <w:t xml:space="preserve">-containing amino acids such as cysteine and methionine, which serve as precursors for H₂S during microbial degradation (Zhang et al., 2013; Zhang et al., 2012). Plant-based wastes, including tomato, onion, and cabbage, exhibited substantially lower emissions in unsealed bins (Figure 2c), reflecting their lower </w:t>
      </w:r>
      <w:proofErr w:type="spellStart"/>
      <w:r w:rsidRPr="00313BE8">
        <w:t>sulphur</w:t>
      </w:r>
      <w:proofErr w:type="spellEnd"/>
      <w:r w:rsidRPr="00313BE8">
        <w:t xml:space="preserve"> content and slower decomposition rates (United States EPA, 2024)</w:t>
      </w:r>
      <w:r w:rsidR="00B43563">
        <w:t>.</w:t>
      </w:r>
    </w:p>
    <w:p w14:paraId="630781EA" w14:textId="77777777" w:rsidR="00B43563" w:rsidRDefault="00B43563" w:rsidP="00B43563">
      <w:pPr>
        <w:pStyle w:val="Heading3"/>
      </w:pPr>
      <w:r>
        <w:t>4.2 Effect of Container Condition</w:t>
      </w:r>
    </w:p>
    <w:p w14:paraId="320FE718" w14:textId="77777777" w:rsidR="00B43563" w:rsidRDefault="00313BE8" w:rsidP="00313BE8">
      <w:pPr>
        <w:pStyle w:val="NoSpacing"/>
        <w:spacing w:line="480" w:lineRule="auto"/>
      </w:pPr>
      <w:bookmarkStart w:id="66" w:name="OLE_LINK107"/>
      <w:bookmarkStart w:id="67" w:name="OLE_LINK108"/>
      <w:r w:rsidRPr="00313BE8">
        <w:t xml:space="preserve">Container conditions had a major influence on H₂S emission dynamics. Unsealed bins allowed oxygen exchange and moisture loss, accelerating microbial activity and leading to earlier peaks in H₂S emissions (Days 8–10). In contrast, sealed bins delayed peak emissions to Days 12–15 but occasionally produced higher cumulative H₂S levels, particularly in plant-based wastes (Figure 2d). For example, cabbage emitted negligible H₂S in unsealed bins but peaked at </w:t>
      </w:r>
      <w:r w:rsidRPr="00313BE8">
        <w:lastRenderedPageBreak/>
        <w:t xml:space="preserve">1,112 ppm under sealed conditions. This highlights the role of anaerobic pathways in </w:t>
      </w:r>
      <w:proofErr w:type="spellStart"/>
      <w:r w:rsidRPr="00313BE8">
        <w:t>sulphur</w:t>
      </w:r>
      <w:proofErr w:type="spellEnd"/>
      <w:r w:rsidRPr="00313BE8">
        <w:t xml:space="preserve"> gas production (Han et al., 2019; United States EPA, 2024) and aligns with previous studies indicating that oxygen limitation can shift microbial metabolism toward sulphate-reducing organisms, prolonging and intensifying </w:t>
      </w:r>
      <w:proofErr w:type="spellStart"/>
      <w:r w:rsidRPr="00313BE8">
        <w:t>odour</w:t>
      </w:r>
      <w:proofErr w:type="spellEnd"/>
      <w:r w:rsidRPr="00313BE8">
        <w:t xml:space="preserve"> generation.</w:t>
      </w:r>
    </w:p>
    <w:bookmarkEnd w:id="66"/>
    <w:bookmarkEnd w:id="67"/>
    <w:p w14:paraId="27214B94" w14:textId="77777777" w:rsidR="00B43563" w:rsidRDefault="00B43563" w:rsidP="00B43563">
      <w:pPr>
        <w:pStyle w:val="Heading3"/>
      </w:pPr>
      <w:r>
        <w:t xml:space="preserve">4.3 Relationship between </w:t>
      </w:r>
      <w:proofErr w:type="spellStart"/>
      <w:r>
        <w:t>Malodo</w:t>
      </w:r>
      <w:r w:rsidR="007031A3">
        <w:t>u</w:t>
      </w:r>
      <w:r>
        <w:t>r</w:t>
      </w:r>
      <w:proofErr w:type="spellEnd"/>
      <w:r>
        <w:t xml:space="preserve"> and Sensory Perception</w:t>
      </w:r>
    </w:p>
    <w:p w14:paraId="435D27A9" w14:textId="77777777" w:rsidR="00B43563" w:rsidRDefault="00313BE8" w:rsidP="00313BE8">
      <w:pPr>
        <w:pStyle w:val="NoSpacing"/>
        <w:spacing w:line="480" w:lineRule="auto"/>
      </w:pPr>
      <w:r w:rsidRPr="00313BE8">
        <w:t xml:space="preserve">H₂S emissions correlated strongly with sensory perception, with peaks in </w:t>
      </w:r>
      <w:proofErr w:type="spellStart"/>
      <w:r w:rsidRPr="00313BE8">
        <w:t>odour</w:t>
      </w:r>
      <w:proofErr w:type="spellEnd"/>
      <w:r w:rsidRPr="00313BE8">
        <w:t xml:space="preserve"> intensity and offensiveness coinciding with chemical maxima (Days 8–12) (Figure 3). Protein-rich wastes were consistently rated highest in intensity and offensiveness, whereas plant-based wastes remained less perceptible under unsealed conditions. These results confirm H₂S as a reliable chemical marker for human-perceived </w:t>
      </w:r>
      <w:proofErr w:type="spellStart"/>
      <w:r w:rsidRPr="00313BE8">
        <w:t>malodour</w:t>
      </w:r>
      <w:proofErr w:type="spellEnd"/>
      <w:r w:rsidRPr="00313BE8">
        <w:t>, supporting earlier findings from municipal solid waste studies (Han et al., 2019).</w:t>
      </w:r>
    </w:p>
    <w:p w14:paraId="67C74F64" w14:textId="77777777" w:rsidR="00D65C34" w:rsidRDefault="00D65C34" w:rsidP="00D65C34">
      <w:pPr>
        <w:pStyle w:val="NoSpacing"/>
        <w:spacing w:line="480" w:lineRule="auto"/>
        <w:jc w:val="center"/>
      </w:pPr>
      <w:r>
        <w:rPr>
          <w:noProof/>
        </w:rPr>
        <w:drawing>
          <wp:inline distT="0" distB="0" distL="0" distR="0" wp14:anchorId="2A7D4758" wp14:editId="2326D230">
            <wp:extent cx="5943600" cy="2488565"/>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08849.tmp"/>
                    <pic:cNvPicPr/>
                  </pic:nvPicPr>
                  <pic:blipFill>
                    <a:blip r:embed="rId10">
                      <a:extLst>
                        <a:ext uri="{28A0092B-C50C-407E-A947-70E740481C1C}">
                          <a14:useLocalDpi xmlns:a14="http://schemas.microsoft.com/office/drawing/2010/main" val="0"/>
                        </a:ext>
                      </a:extLst>
                    </a:blip>
                    <a:stretch>
                      <a:fillRect/>
                    </a:stretch>
                  </pic:blipFill>
                  <pic:spPr>
                    <a:xfrm>
                      <a:off x="0" y="0"/>
                      <a:ext cx="5943600" cy="2488565"/>
                    </a:xfrm>
                    <a:prstGeom prst="rect">
                      <a:avLst/>
                    </a:prstGeom>
                  </pic:spPr>
                </pic:pic>
              </a:graphicData>
            </a:graphic>
          </wp:inline>
        </w:drawing>
      </w:r>
    </w:p>
    <w:p w14:paraId="643D96BA" w14:textId="77777777" w:rsidR="00692450" w:rsidRPr="00D30276" w:rsidRDefault="00692450" w:rsidP="00D30276">
      <w:pPr>
        <w:pStyle w:val="NoSpacing"/>
      </w:pPr>
      <w:r w:rsidRPr="00D30276">
        <w:rPr>
          <w:b/>
        </w:rPr>
        <w:t>Fig. 3.</w:t>
      </w:r>
      <w:bookmarkStart w:id="68" w:name="OLE_LINK111"/>
      <w:r w:rsidR="00313BE8">
        <w:rPr>
          <w:b/>
        </w:rPr>
        <w:t xml:space="preserve"> </w:t>
      </w:r>
      <w:r w:rsidR="00313BE8" w:rsidRPr="00D30276">
        <w:t>Variation in Mean Odor Intensity and Offensiveness of Meat, Fish, Tomato, Onion, Cabbage, and Egg between Day 8 and Day 12 of Decomposition (n = 3 Obs</w:t>
      </w:r>
      <w:bookmarkStart w:id="69" w:name="OLE_LINK112"/>
      <w:bookmarkStart w:id="70" w:name="OLE_LINK113"/>
      <w:r w:rsidR="00313BE8" w:rsidRPr="00D30276">
        <w:t>ervers</w:t>
      </w:r>
      <w:bookmarkEnd w:id="69"/>
      <w:bookmarkEnd w:id="70"/>
      <w:r w:rsidR="00313BE8">
        <w:t xml:space="preserve">) </w:t>
      </w:r>
    </w:p>
    <w:p w14:paraId="29CC50E3" w14:textId="77777777" w:rsidR="00B43563" w:rsidRDefault="00B43563" w:rsidP="00B43563">
      <w:pPr>
        <w:pStyle w:val="Heading3"/>
      </w:pPr>
      <w:r>
        <w:t>4.4 Physicochemical Drivers</w:t>
      </w:r>
    </w:p>
    <w:p w14:paraId="1E47DCD9" w14:textId="77777777" w:rsidR="00B43563" w:rsidRDefault="00313BE8" w:rsidP="00313BE8">
      <w:pPr>
        <w:pStyle w:val="NoSpacing"/>
        <w:spacing w:line="480" w:lineRule="auto"/>
      </w:pPr>
      <w:bookmarkStart w:id="71" w:name="OLE_LINK114"/>
      <w:bookmarkStart w:id="72" w:name="OLE_LINK115"/>
      <w:bookmarkEnd w:id="68"/>
      <w:r w:rsidRPr="00313BE8">
        <w:t xml:space="preserve">Physicochemical changes strongly influenced </w:t>
      </w:r>
      <w:proofErr w:type="spellStart"/>
      <w:r w:rsidRPr="00313BE8">
        <w:t>odour</w:t>
      </w:r>
      <w:proofErr w:type="spellEnd"/>
      <w:r w:rsidRPr="00313BE8">
        <w:t xml:space="preserve"> evolution. Protein-rich wastes exhibited progressive </w:t>
      </w:r>
      <w:proofErr w:type="spellStart"/>
      <w:r w:rsidRPr="00313BE8">
        <w:t>alkalinisation</w:t>
      </w:r>
      <w:proofErr w:type="spellEnd"/>
      <w:r w:rsidRPr="00313BE8">
        <w:t xml:space="preserve">, with pH increasing from 6.68 to 8.30 for fish, 6.68 to 8.28 for meat, and 7.34 to 8.00 for eggs, corresponding with periods of elevated H₂S emissions (Figure 4). This </w:t>
      </w:r>
      <w:proofErr w:type="spellStart"/>
      <w:r w:rsidRPr="00313BE8">
        <w:lastRenderedPageBreak/>
        <w:t>alkalinisation</w:t>
      </w:r>
      <w:proofErr w:type="spellEnd"/>
      <w:r w:rsidRPr="00313BE8">
        <w:t xml:space="preserve"> is attributed to proteolytic activity and ammonification, which release nitrogenous bases facilitating </w:t>
      </w:r>
      <w:proofErr w:type="spellStart"/>
      <w:r w:rsidRPr="00313BE8">
        <w:t>sulphur</w:t>
      </w:r>
      <w:proofErr w:type="spellEnd"/>
      <w:r w:rsidRPr="00313BE8">
        <w:t xml:space="preserve"> gas </w:t>
      </w:r>
      <w:proofErr w:type="spellStart"/>
      <w:r w:rsidRPr="00313BE8">
        <w:t>volatilisation</w:t>
      </w:r>
      <w:proofErr w:type="spellEnd"/>
      <w:r w:rsidRPr="00313BE8">
        <w:t xml:space="preserve"> (Zhang et al., 2013). Total dissolved solids (TDS) also increased markedly in protein-rich wastes, reflecting accumulation of soluble metabolites that serve as substrates for </w:t>
      </w:r>
      <w:proofErr w:type="spellStart"/>
      <w:r w:rsidRPr="00313BE8">
        <w:t>sulphur</w:t>
      </w:r>
      <w:proofErr w:type="spellEnd"/>
      <w:r w:rsidRPr="00313BE8">
        <w:t>-reducing microbes (Figure 4). Plant-based wastes showed initial acidification followed by gradual pH recovery, with delayed H₂S production in sealed bins, indicating the interplay between pH, substrate availability, and microbial metabolism (Zhang et al., 2012; United States EPA, 2024).</w:t>
      </w:r>
    </w:p>
    <w:bookmarkEnd w:id="71"/>
    <w:bookmarkEnd w:id="72"/>
    <w:p w14:paraId="45F03624" w14:textId="77777777" w:rsidR="00B43563" w:rsidRDefault="00B43563" w:rsidP="00B43563">
      <w:pPr>
        <w:pStyle w:val="Heading3"/>
      </w:pPr>
      <w:r>
        <w:t xml:space="preserve">4.5 Temporal Dynamics of </w:t>
      </w:r>
      <w:proofErr w:type="spellStart"/>
      <w:r>
        <w:t>Odo</w:t>
      </w:r>
      <w:r w:rsidR="007031A3">
        <w:t>u</w:t>
      </w:r>
      <w:r>
        <w:t>r</w:t>
      </w:r>
      <w:proofErr w:type="spellEnd"/>
      <w:r>
        <w:t xml:space="preserve"> Generation</w:t>
      </w:r>
    </w:p>
    <w:p w14:paraId="2B59DD98" w14:textId="77777777" w:rsidR="00B43563" w:rsidRDefault="00313BE8" w:rsidP="00313BE8">
      <w:pPr>
        <w:pStyle w:val="NoSpacing"/>
        <w:spacing w:line="480" w:lineRule="auto"/>
      </w:pPr>
      <w:bookmarkStart w:id="73" w:name="OLE_LINK116"/>
      <w:bookmarkStart w:id="74" w:name="OLE_LINK117"/>
      <w:r w:rsidRPr="00313BE8">
        <w:t xml:space="preserve">The temporal patterns of H₂S emissions and sensory scores highlight the influence of waste composition and container condition. Protein-rich wastes showed rapid peaks in H₂S and sensory offensiveness, whereas plant-based wastes exhibited delayed, gradual emission profiles, particularly under sealed conditions (Figures 2–3). Figure 4 visually </w:t>
      </w:r>
      <w:proofErr w:type="spellStart"/>
      <w:r w:rsidRPr="00313BE8">
        <w:t>summarises</w:t>
      </w:r>
      <w:proofErr w:type="spellEnd"/>
      <w:r w:rsidRPr="00313BE8">
        <w:t xml:space="preserve"> peak H₂S concentrations and corresponding sensory scores, illustrating the relative contribution of each waste type to overall </w:t>
      </w:r>
      <w:proofErr w:type="spellStart"/>
      <w:r w:rsidRPr="00313BE8">
        <w:t>odour</w:t>
      </w:r>
      <w:proofErr w:type="spellEnd"/>
      <w:r w:rsidRPr="00313BE8">
        <w:t xml:space="preserve"> nuisance. These patterns are consistent with previous studies on aerobic and anaerobic decomposition, where oxygen availability dictates the timing and intensity of </w:t>
      </w:r>
      <w:proofErr w:type="spellStart"/>
      <w:r w:rsidRPr="00313BE8">
        <w:t>malodour</w:t>
      </w:r>
      <w:proofErr w:type="spellEnd"/>
      <w:r w:rsidRPr="00313BE8">
        <w:t xml:space="preserve"> (Han </w:t>
      </w:r>
      <w:r w:rsidR="00E85365" w:rsidRPr="00313BE8">
        <w:t>et al.</w:t>
      </w:r>
      <w:r w:rsidRPr="00313BE8">
        <w:t xml:space="preserve"> 2019; Zhang </w:t>
      </w:r>
      <w:r w:rsidR="00E85365" w:rsidRPr="00313BE8">
        <w:t>et al.</w:t>
      </w:r>
      <w:r w:rsidRPr="00313BE8">
        <w:t xml:space="preserve"> 2013).</w:t>
      </w:r>
    </w:p>
    <w:bookmarkEnd w:id="73"/>
    <w:bookmarkEnd w:id="74"/>
    <w:p w14:paraId="3196D3E1" w14:textId="77777777" w:rsidR="00D30276" w:rsidRDefault="00AF5B00" w:rsidP="00AF5B00">
      <w:pPr>
        <w:pStyle w:val="NoSpacing"/>
        <w:spacing w:line="360" w:lineRule="auto"/>
        <w:jc w:val="center"/>
      </w:pPr>
      <w:r w:rsidRPr="00AF5B00">
        <w:rPr>
          <w:noProof/>
        </w:rPr>
        <w:lastRenderedPageBreak/>
        <w:t xml:space="preserve"> </w:t>
      </w:r>
      <w:r w:rsidRPr="00AF5B00">
        <w:rPr>
          <w:noProof/>
        </w:rPr>
        <w:drawing>
          <wp:inline distT="0" distB="0" distL="0" distR="0" wp14:anchorId="235A3F66" wp14:editId="583EFC3A">
            <wp:extent cx="4102873" cy="288398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098951" cy="2881225"/>
                    </a:xfrm>
                    <a:prstGeom prst="rect">
                      <a:avLst/>
                    </a:prstGeom>
                  </pic:spPr>
                </pic:pic>
              </a:graphicData>
            </a:graphic>
          </wp:inline>
        </w:drawing>
      </w:r>
    </w:p>
    <w:p w14:paraId="024B3968" w14:textId="77777777" w:rsidR="00D30276" w:rsidRPr="00D30276" w:rsidRDefault="00D30276" w:rsidP="00D30276">
      <w:pPr>
        <w:pStyle w:val="NoSpacing"/>
      </w:pPr>
      <w:r w:rsidRPr="00D30276">
        <w:rPr>
          <w:b/>
        </w:rPr>
        <w:t>Fig. 4.</w:t>
      </w:r>
      <w:r w:rsidRPr="00D30276">
        <w:t xml:space="preserve"> </w:t>
      </w:r>
      <w:r w:rsidR="00313BE8">
        <w:t xml:space="preserve">Comparative Peak H₂S Emissions and Associated Sensory Response of Meat, Fish, Tomato, Onion, Cabbage, and Eggs during Decomposition, Indicating Relative </w:t>
      </w:r>
      <w:proofErr w:type="spellStart"/>
      <w:r w:rsidR="00313BE8">
        <w:t>Odour</w:t>
      </w:r>
      <w:proofErr w:type="spellEnd"/>
      <w:r w:rsidR="00313BE8">
        <w:t xml:space="preserve"> Nuisance Contribution </w:t>
      </w:r>
    </w:p>
    <w:p w14:paraId="1AE5F604" w14:textId="77777777" w:rsidR="00B43563" w:rsidRDefault="00B43563" w:rsidP="00B43563">
      <w:pPr>
        <w:pStyle w:val="Heading3"/>
      </w:pPr>
      <w:r>
        <w:t>4.6 Implications for Waste Management</w:t>
      </w:r>
    </w:p>
    <w:p w14:paraId="031BC9E1" w14:textId="77777777" w:rsidR="004D71DA" w:rsidRDefault="00313BE8" w:rsidP="00313BE8">
      <w:pPr>
        <w:pStyle w:val="NoSpacing"/>
        <w:spacing w:line="480" w:lineRule="auto"/>
      </w:pPr>
      <w:bookmarkStart w:id="75" w:name="OLE_LINK120"/>
      <w:bookmarkStart w:id="76" w:name="OLE_LINK121"/>
      <w:r w:rsidRPr="00313BE8">
        <w:t xml:space="preserve">The predominance of protein-rich wastes in </w:t>
      </w:r>
      <w:proofErr w:type="spellStart"/>
      <w:r w:rsidRPr="00313BE8">
        <w:t>odour</w:t>
      </w:r>
      <w:proofErr w:type="spellEnd"/>
      <w:r w:rsidRPr="00313BE8">
        <w:t xml:space="preserve"> generation </w:t>
      </w:r>
      <w:proofErr w:type="spellStart"/>
      <w:r w:rsidRPr="00313BE8">
        <w:t>emphasises</w:t>
      </w:r>
      <w:proofErr w:type="spellEnd"/>
      <w:r w:rsidRPr="00313BE8">
        <w:t xml:space="preserve"> the need for targeted interventions, including source segregation, rapid collection, and controlled composting, to mitigate </w:t>
      </w:r>
      <w:proofErr w:type="spellStart"/>
      <w:r w:rsidRPr="00313BE8">
        <w:t>malodour</w:t>
      </w:r>
      <w:proofErr w:type="spellEnd"/>
      <w:r w:rsidRPr="00313BE8">
        <w:t xml:space="preserve"> impact. Container management also plays a critical role; covering or ventilating waste can delay peak emissions and reduce </w:t>
      </w:r>
      <w:proofErr w:type="spellStart"/>
      <w:r w:rsidRPr="00313BE8">
        <w:t>odour</w:t>
      </w:r>
      <w:proofErr w:type="spellEnd"/>
      <w:r w:rsidRPr="00313BE8">
        <w:t xml:space="preserve"> intensity (United States EPA, 2024). Integrating chemical monitoring of H₂S, pH, and TDS with sensory evaluation provides a robust framework for predicting periods of high </w:t>
      </w:r>
      <w:proofErr w:type="spellStart"/>
      <w:r w:rsidRPr="00313BE8">
        <w:t>odour</w:t>
      </w:r>
      <w:proofErr w:type="spellEnd"/>
      <w:r w:rsidRPr="00313BE8">
        <w:t xml:space="preserve"> nuisance and </w:t>
      </w:r>
      <w:proofErr w:type="spellStart"/>
      <w:r w:rsidRPr="00313BE8">
        <w:t>optimising</w:t>
      </w:r>
      <w:proofErr w:type="spellEnd"/>
      <w:r w:rsidRPr="00313BE8">
        <w:t xml:space="preserve"> urban waste handling practices (Han </w:t>
      </w:r>
      <w:r w:rsidR="00907B71" w:rsidRPr="00313BE8">
        <w:t>et al.</w:t>
      </w:r>
      <w:r w:rsidRPr="00313BE8">
        <w:t xml:space="preserve"> 2019).</w:t>
      </w:r>
      <w:r w:rsidR="009D5811">
        <w:t xml:space="preserve"> </w:t>
      </w:r>
    </w:p>
    <w:bookmarkEnd w:id="40"/>
    <w:bookmarkEnd w:id="41"/>
    <w:bookmarkEnd w:id="63"/>
    <w:bookmarkEnd w:id="75"/>
    <w:bookmarkEnd w:id="76"/>
    <w:p w14:paraId="5C1C7FB9" w14:textId="77777777" w:rsidR="00D05C52" w:rsidRDefault="004D71DA" w:rsidP="00701BB8">
      <w:pPr>
        <w:pStyle w:val="Heading1"/>
        <w:numPr>
          <w:ilvl w:val="0"/>
          <w:numId w:val="28"/>
        </w:numPr>
      </w:pPr>
      <w:r>
        <w:t>Conclusion</w:t>
      </w:r>
    </w:p>
    <w:p w14:paraId="4C5CC4E2" w14:textId="77777777" w:rsidR="00313BE8" w:rsidRDefault="00313BE8" w:rsidP="00313BE8">
      <w:pPr>
        <w:pStyle w:val="NoSpacing"/>
        <w:spacing w:line="480" w:lineRule="auto"/>
      </w:pPr>
      <w:bookmarkStart w:id="77" w:name="OLE_LINK122"/>
      <w:bookmarkStart w:id="78" w:name="OLE_LINK123"/>
      <w:r>
        <w:t xml:space="preserve">This study provides a comprehensive analysis of </w:t>
      </w:r>
      <w:proofErr w:type="spellStart"/>
      <w:r>
        <w:t>malodour</w:t>
      </w:r>
      <w:proofErr w:type="spellEnd"/>
      <w:r>
        <w:t xml:space="preserve"> generation from common household and market organic wastes in </w:t>
      </w:r>
      <w:proofErr w:type="spellStart"/>
      <w:r>
        <w:t>Awka</w:t>
      </w:r>
      <w:proofErr w:type="spellEnd"/>
      <w:r>
        <w:t xml:space="preserve">, highlighting the influence of waste type, container conditions, and physicochemical transformations during decomposition. Protein-rich wastes, particularly fish and broken eggs, were identified as the primary contributors to hydrogen </w:t>
      </w:r>
      <w:proofErr w:type="spellStart"/>
      <w:r>
        <w:t>sulphide</w:t>
      </w:r>
      <w:proofErr w:type="spellEnd"/>
      <w:r>
        <w:t xml:space="preserve"> (H₂S) emissions </w:t>
      </w:r>
      <w:r>
        <w:lastRenderedPageBreak/>
        <w:t xml:space="preserve">and sensory offensiveness, while plant-based wastes exhibited delayed and lower </w:t>
      </w:r>
      <w:proofErr w:type="spellStart"/>
      <w:r>
        <w:t>odour</w:t>
      </w:r>
      <w:proofErr w:type="spellEnd"/>
      <w:r>
        <w:t xml:space="preserve"> potential. Container condition played a critical role, with unsealed bins accelerating </w:t>
      </w:r>
      <w:proofErr w:type="spellStart"/>
      <w:r>
        <w:t>odour</w:t>
      </w:r>
      <w:proofErr w:type="spellEnd"/>
      <w:r>
        <w:t xml:space="preserve"> development through enhanced aerobic microbial activity, whereas sealed bins delayed peak emissions but occasionally increased cumulative H₂S accumulation, especially in plant-derived wastes.</w:t>
      </w:r>
    </w:p>
    <w:p w14:paraId="1DF9F96E" w14:textId="77777777" w:rsidR="00313BE8" w:rsidRDefault="00313BE8" w:rsidP="00313BE8">
      <w:pPr>
        <w:pStyle w:val="NoSpacing"/>
        <w:spacing w:line="480" w:lineRule="auto"/>
      </w:pPr>
      <w:r>
        <w:t xml:space="preserve">Physicochemical parameters such as pH and total dissolved solids (TDS) were strongly correlated with </w:t>
      </w:r>
      <w:proofErr w:type="spellStart"/>
      <w:r>
        <w:t>malodour</w:t>
      </w:r>
      <w:proofErr w:type="spellEnd"/>
      <w:r>
        <w:t xml:space="preserve"> intensity, reflecting the underlying microbial and chemical processes driving </w:t>
      </w:r>
      <w:proofErr w:type="spellStart"/>
      <w:r>
        <w:t>odour</w:t>
      </w:r>
      <w:proofErr w:type="spellEnd"/>
      <w:r>
        <w:t xml:space="preserve"> formation. The temporal alignment of H₂S peaks with sensory scores underscores the predictive value of chemical monitoring for assessing </w:t>
      </w:r>
      <w:proofErr w:type="spellStart"/>
      <w:r>
        <w:t>odour</w:t>
      </w:r>
      <w:proofErr w:type="spellEnd"/>
      <w:r>
        <w:t xml:space="preserve"> nuisance. These findings have practical implications for municipal solid waste management, </w:t>
      </w:r>
      <w:proofErr w:type="spellStart"/>
      <w:r>
        <w:t>emphasising</w:t>
      </w:r>
      <w:proofErr w:type="spellEnd"/>
      <w:r>
        <w:t xml:space="preserve"> the need for targeted strategies such as source segregation, rapid collection of high-protein waste, controlled composting, and appropriate container management to mitigate </w:t>
      </w:r>
      <w:proofErr w:type="spellStart"/>
      <w:r>
        <w:t>odour</w:t>
      </w:r>
      <w:proofErr w:type="spellEnd"/>
      <w:r>
        <w:t xml:space="preserve"> impact. Integrating chemical and sensory monitoring can inform operational decision-making and improve community acceptance of waste handling practices.</w:t>
      </w:r>
    </w:p>
    <w:p w14:paraId="19E2B6F2" w14:textId="77777777" w:rsidR="00D05C52" w:rsidRPr="00D05C52" w:rsidRDefault="00313BE8" w:rsidP="00313BE8">
      <w:pPr>
        <w:pStyle w:val="NoSpacing"/>
        <w:spacing w:line="480" w:lineRule="auto"/>
      </w:pPr>
      <w:r>
        <w:t xml:space="preserve">Overall, this study demonstrates that combining waste </w:t>
      </w:r>
      <w:proofErr w:type="spellStart"/>
      <w:r>
        <w:t>characterisation</w:t>
      </w:r>
      <w:proofErr w:type="spellEnd"/>
      <w:r>
        <w:t xml:space="preserve">, physicochemical analysis, and sensory evaluation provides a robust framework for understanding and managing </w:t>
      </w:r>
      <w:proofErr w:type="spellStart"/>
      <w:r>
        <w:t>malodour</w:t>
      </w:r>
      <w:proofErr w:type="spellEnd"/>
      <w:r>
        <w:t xml:space="preserve"> in urban waste systems, offering actionable insights for environmental management and public health.</w:t>
      </w:r>
    </w:p>
    <w:p w14:paraId="53BAFE95" w14:textId="77777777" w:rsidR="00E332B4" w:rsidRDefault="00E332B4" w:rsidP="00E332B4">
      <w:pPr>
        <w:pStyle w:val="Heading1"/>
        <w:numPr>
          <w:ilvl w:val="0"/>
          <w:numId w:val="29"/>
        </w:numPr>
        <w:ind w:left="360"/>
      </w:pPr>
      <w:bookmarkStart w:id="79" w:name="OLE_LINK124"/>
      <w:bookmarkEnd w:id="77"/>
      <w:bookmarkEnd w:id="78"/>
      <w:r>
        <w:t>Declaration of Conflicting Interests</w:t>
      </w:r>
    </w:p>
    <w:p w14:paraId="47C57D55" w14:textId="77777777" w:rsidR="00F9177B" w:rsidRDefault="00E332B4" w:rsidP="00F9177B">
      <w:pPr>
        <w:pStyle w:val="NoSpacing"/>
      </w:pPr>
      <w:bookmarkStart w:id="80" w:name="OLE_LINK125"/>
      <w:bookmarkStart w:id="81" w:name="OLE_LINK126"/>
      <w:r w:rsidRPr="00D93CA1">
        <w:t>The authors declare no conflict of interest.</w:t>
      </w:r>
      <w:bookmarkEnd w:id="80"/>
      <w:bookmarkEnd w:id="81"/>
    </w:p>
    <w:p w14:paraId="7E661299" w14:textId="77777777" w:rsidR="00E332B4" w:rsidRDefault="00E332B4" w:rsidP="00F9177B">
      <w:pPr>
        <w:pStyle w:val="Heading1"/>
        <w:ind w:left="360" w:hanging="360"/>
      </w:pPr>
      <w:r>
        <w:t>9</w:t>
      </w:r>
      <w:r>
        <w:tab/>
        <w:t>Ethical Responsibility of Authors</w:t>
      </w:r>
    </w:p>
    <w:p w14:paraId="2CE466ED" w14:textId="77777777" w:rsidR="00E332B4" w:rsidRPr="00E332B4" w:rsidRDefault="00E332B4" w:rsidP="00E332B4">
      <w:pPr>
        <w:pStyle w:val="NoSpacing"/>
        <w:spacing w:line="480" w:lineRule="auto"/>
      </w:pPr>
      <w:r w:rsidRPr="00E332B4">
        <w:t>All authors have read, understood, and have complied as applicable with the statement on “Ethical responsibilities of Authors” as found in the Instructions for Authors</w:t>
      </w:r>
    </w:p>
    <w:bookmarkEnd w:id="79"/>
    <w:p w14:paraId="514D68F0" w14:textId="77777777" w:rsidR="003A7845" w:rsidRDefault="003A7845" w:rsidP="00F9177B">
      <w:pPr>
        <w:pStyle w:val="Heading1"/>
        <w:numPr>
          <w:ilvl w:val="0"/>
          <w:numId w:val="30"/>
        </w:numPr>
        <w:ind w:left="360"/>
      </w:pPr>
      <w:r>
        <w:lastRenderedPageBreak/>
        <w:t>Data Availability Statement</w:t>
      </w:r>
    </w:p>
    <w:p w14:paraId="21BFAD09" w14:textId="77777777" w:rsidR="003A7845" w:rsidRDefault="00D93CA1" w:rsidP="00D93CA1">
      <w:pPr>
        <w:pStyle w:val="NoSpacing"/>
        <w:spacing w:line="480" w:lineRule="auto"/>
      </w:pPr>
      <w:bookmarkStart w:id="82" w:name="OLE_LINK127"/>
      <w:bookmarkStart w:id="83" w:name="OLE_LINK128"/>
      <w:r w:rsidRPr="00D93CA1">
        <w:t>The data supporting the findings of this study are available from the corresponding author upon reasonable request.</w:t>
      </w:r>
    </w:p>
    <w:p w14:paraId="3DCE773E" w14:textId="77777777" w:rsidR="001E28AD" w:rsidRPr="000839CE" w:rsidRDefault="001E28AD" w:rsidP="001E28AD">
      <w:pPr>
        <w:spacing w:after="0" w:line="240" w:lineRule="auto"/>
        <w:rPr>
          <w:rFonts w:cs="Times New Roman"/>
          <w:b/>
        </w:rPr>
      </w:pPr>
      <w:r w:rsidRPr="000839CE">
        <w:rPr>
          <w:rFonts w:cs="Times New Roman"/>
          <w:b/>
        </w:rPr>
        <w:t>Declaration of AI Use</w:t>
      </w:r>
    </w:p>
    <w:p w14:paraId="34C15A45" w14:textId="77777777" w:rsidR="001E28AD" w:rsidRPr="000839CE" w:rsidRDefault="001E28AD" w:rsidP="001E28AD">
      <w:pPr>
        <w:spacing w:after="0" w:line="240" w:lineRule="auto"/>
        <w:rPr>
          <w:rFonts w:cs="Times New Roman"/>
        </w:rPr>
      </w:pPr>
    </w:p>
    <w:p w14:paraId="78B0CD3F" w14:textId="77777777" w:rsidR="001E28AD" w:rsidRPr="000839CE" w:rsidRDefault="001E28AD" w:rsidP="001E28AD">
      <w:pPr>
        <w:spacing w:after="0" w:line="240" w:lineRule="auto"/>
        <w:rPr>
          <w:rFonts w:cs="Times New Roman"/>
        </w:rPr>
      </w:pPr>
      <w:r w:rsidRPr="00C56790">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4D3C3A6" w14:textId="77777777" w:rsidR="001E28AD" w:rsidRDefault="001E28AD" w:rsidP="00D93CA1">
      <w:pPr>
        <w:pStyle w:val="NoSpacing"/>
        <w:spacing w:line="480" w:lineRule="auto"/>
      </w:pPr>
    </w:p>
    <w:bookmarkEnd w:id="82"/>
    <w:bookmarkEnd w:id="83"/>
    <w:p w14:paraId="515DF0AF" w14:textId="77777777" w:rsidR="00084666" w:rsidRDefault="00084666" w:rsidP="00B20448">
      <w:pPr>
        <w:pStyle w:val="Heading1"/>
      </w:pPr>
      <w:r>
        <w:t xml:space="preserve">References </w:t>
      </w:r>
    </w:p>
    <w:p w14:paraId="1BE74F2E" w14:textId="77777777" w:rsidR="009836E7" w:rsidRDefault="009836E7" w:rsidP="009836E7">
      <w:pPr>
        <w:pStyle w:val="NormalWeb"/>
        <w:ind w:left="540" w:hanging="540"/>
      </w:pPr>
      <w:r>
        <w:t xml:space="preserve">Agency for Toxic Substances and Disease Registry (ATSDR) (2016) </w:t>
      </w:r>
      <w:r>
        <w:rPr>
          <w:rStyle w:val="Emphasis"/>
        </w:rPr>
        <w:t>Toxicological profile for hydrogen sulfide</w:t>
      </w:r>
      <w:r>
        <w:t>. U.S. Department of Health and Human Services.</w:t>
      </w:r>
    </w:p>
    <w:p w14:paraId="13D556E1" w14:textId="77777777" w:rsidR="009836E7" w:rsidRDefault="009836E7" w:rsidP="009836E7">
      <w:pPr>
        <w:pStyle w:val="NormalWeb"/>
        <w:ind w:left="540" w:hanging="540"/>
      </w:pPr>
      <w:r>
        <w:t xml:space="preserve">Beauchamp, R.O., Bus, J.S., Popp, J.A., </w:t>
      </w:r>
      <w:proofErr w:type="spellStart"/>
      <w:r>
        <w:t>Boreiko</w:t>
      </w:r>
      <w:proofErr w:type="spellEnd"/>
      <w:r>
        <w:t xml:space="preserve">, C.J. and </w:t>
      </w:r>
      <w:proofErr w:type="spellStart"/>
      <w:r>
        <w:t>Andjelkovich</w:t>
      </w:r>
      <w:proofErr w:type="spellEnd"/>
      <w:r>
        <w:t xml:space="preserve">, D.A. (1984) ‘A critical review of the literature on hydrogen sulfide toxicity’, </w:t>
      </w:r>
      <w:r>
        <w:rPr>
          <w:rStyle w:val="Emphasis"/>
        </w:rPr>
        <w:t>Critical Reviews in Toxicology</w:t>
      </w:r>
      <w:r>
        <w:t>, 13(1), pp. 25–97.</w:t>
      </w:r>
    </w:p>
    <w:p w14:paraId="7A72ADEE" w14:textId="77777777" w:rsidR="009836E7" w:rsidRDefault="009836E7" w:rsidP="009836E7">
      <w:pPr>
        <w:pStyle w:val="NormalWeb"/>
        <w:ind w:left="540" w:hanging="540"/>
      </w:pPr>
      <w:proofErr w:type="spellStart"/>
      <w:r>
        <w:t>Chuntan</w:t>
      </w:r>
      <w:proofErr w:type="spellEnd"/>
      <w:r>
        <w:t xml:space="preserve">, C., </w:t>
      </w:r>
      <w:proofErr w:type="spellStart"/>
      <w:r>
        <w:t>Xiangyong</w:t>
      </w:r>
      <w:proofErr w:type="spellEnd"/>
      <w:r>
        <w:t xml:space="preserve">, G., </w:t>
      </w:r>
      <w:proofErr w:type="spellStart"/>
      <w:r>
        <w:t>Hepei</w:t>
      </w:r>
      <w:proofErr w:type="spellEnd"/>
      <w:r>
        <w:t xml:space="preserve">, L., Yong, C. and </w:t>
      </w:r>
      <w:proofErr w:type="spellStart"/>
      <w:r>
        <w:t>Xinshuang</w:t>
      </w:r>
      <w:proofErr w:type="spellEnd"/>
      <w:r>
        <w:t xml:space="preserve">, D. (2025) ‘Advances in electrocatalytic hydrogen sulfide splitting for sulfur recovery: From reaction mechanisms to application’, </w:t>
      </w:r>
      <w:r>
        <w:rPr>
          <w:rStyle w:val="Emphasis"/>
        </w:rPr>
        <w:t>Catalysts</w:t>
      </w:r>
      <w:r>
        <w:t xml:space="preserve">, 15, 1019. Available at: </w:t>
      </w:r>
      <w:hyperlink r:id="rId12" w:tgtFrame="_new" w:history="1">
        <w:r>
          <w:rPr>
            <w:rStyle w:val="Hyperlink"/>
          </w:rPr>
          <w:t>https://doi.org/10.3390/catal15111019</w:t>
        </w:r>
      </w:hyperlink>
    </w:p>
    <w:p w14:paraId="1C878C82" w14:textId="77777777" w:rsidR="009836E7" w:rsidRDefault="009836E7" w:rsidP="009836E7">
      <w:pPr>
        <w:pStyle w:val="NormalWeb"/>
        <w:ind w:left="540" w:hanging="540"/>
      </w:pPr>
      <w:r>
        <w:t xml:space="preserve">Federal Republic of Nigeria (2007) ‘Legal notice on publication of the details of the breakdown of the national and state provisional totals 2006 census’, </w:t>
      </w:r>
      <w:r>
        <w:rPr>
          <w:rStyle w:val="Emphasis"/>
        </w:rPr>
        <w:t>Official Gazette</w:t>
      </w:r>
      <w:r>
        <w:t>, 15 May.</w:t>
      </w:r>
    </w:p>
    <w:p w14:paraId="1726133F" w14:textId="77777777" w:rsidR="009836E7" w:rsidRDefault="009836E7" w:rsidP="009836E7">
      <w:pPr>
        <w:pStyle w:val="NormalWeb"/>
        <w:ind w:left="540" w:hanging="540"/>
      </w:pPr>
      <w:r>
        <w:t xml:space="preserve">Francis, O.E. and Oluwole, S.O. (2002) </w:t>
      </w:r>
      <w:r>
        <w:rPr>
          <w:rStyle w:val="Emphasis"/>
        </w:rPr>
        <w:t>Harmonization and standardization of Nigerian languages</w:t>
      </w:r>
      <w:r>
        <w:t>. CASAS. ISBN 1-919799-70-2.</w:t>
      </w:r>
    </w:p>
    <w:p w14:paraId="2ABD1E52" w14:textId="77777777" w:rsidR="009836E7" w:rsidRDefault="009836E7" w:rsidP="009836E7">
      <w:pPr>
        <w:pStyle w:val="NormalWeb"/>
        <w:ind w:left="540" w:hanging="540"/>
      </w:pPr>
      <w:r>
        <w:t xml:space="preserve">Guidotti, T.L. (2010) ‘Hydrogen sulfide: Advances in understanding human toxicity’, </w:t>
      </w:r>
      <w:r>
        <w:rPr>
          <w:rStyle w:val="Emphasis"/>
        </w:rPr>
        <w:t>International Journal of Toxicology</w:t>
      </w:r>
      <w:r>
        <w:t xml:space="preserve">, 29(6), pp. 569–581. Available at: </w:t>
      </w:r>
      <w:hyperlink r:id="rId13" w:tgtFrame="_new" w:history="1">
        <w:r>
          <w:rPr>
            <w:rStyle w:val="Hyperlink"/>
          </w:rPr>
          <w:t>https://doi.org/10.1177/1091581810384882</w:t>
        </w:r>
      </w:hyperlink>
    </w:p>
    <w:p w14:paraId="3440FFBD" w14:textId="77777777" w:rsidR="009836E7" w:rsidRDefault="009836E7" w:rsidP="009836E7">
      <w:pPr>
        <w:pStyle w:val="NormalWeb"/>
        <w:ind w:left="540" w:hanging="540"/>
      </w:pPr>
      <w:r>
        <w:t xml:space="preserve">Han, Z., Qi, F., Wang, H., Li, R. and Sun, D. (2019) ‘Odor assessment of NH₃ and volatile sulfide compounds in a full-scale municipal sludge aerobic composting plant’, </w:t>
      </w:r>
      <w:r>
        <w:rPr>
          <w:rStyle w:val="Emphasis"/>
        </w:rPr>
        <w:t>Bioresource Technology</w:t>
      </w:r>
      <w:r>
        <w:t>, 282, pp. 447–455.</w:t>
      </w:r>
    </w:p>
    <w:p w14:paraId="3C9FC83B" w14:textId="77777777" w:rsidR="009836E7" w:rsidRDefault="009836E7" w:rsidP="009836E7">
      <w:pPr>
        <w:pStyle w:val="NormalWeb"/>
        <w:ind w:left="540" w:hanging="540"/>
      </w:pPr>
      <w:r>
        <w:lastRenderedPageBreak/>
        <w:t xml:space="preserve">Laura, C., Selena, S., Renato, D.R., Paolo, C., Adriano, R. and Caterina, A. (2011) ‘Olfactometric approach for the evaluation of citizens’ exposure to industrial emissions in the city of Terni, Italy’, </w:t>
      </w:r>
      <w:r>
        <w:rPr>
          <w:rStyle w:val="Emphasis"/>
        </w:rPr>
        <w:t>Science of the Total Environment</w:t>
      </w:r>
      <w:r>
        <w:t xml:space="preserve">, 409, pp. 595–603. Available at: </w:t>
      </w:r>
      <w:hyperlink r:id="rId14" w:tgtFrame="_new" w:history="1">
        <w:r>
          <w:rPr>
            <w:rStyle w:val="Hyperlink"/>
          </w:rPr>
          <w:t>https://doi.org/10.1016/j.scitotenv.2010.10.054</w:t>
        </w:r>
      </w:hyperlink>
    </w:p>
    <w:p w14:paraId="58D15FB7" w14:textId="77777777" w:rsidR="009836E7" w:rsidRDefault="009836E7" w:rsidP="009836E7">
      <w:pPr>
        <w:pStyle w:val="NormalWeb"/>
        <w:ind w:left="540" w:hanging="540"/>
      </w:pPr>
      <w:r>
        <w:t xml:space="preserve">Lucernoni, F., Capelli, L. and Sironi, S. (2016) ‘Comparison of different approaches for the estimation of </w:t>
      </w:r>
      <w:proofErr w:type="spellStart"/>
      <w:r>
        <w:t>odour</w:t>
      </w:r>
      <w:proofErr w:type="spellEnd"/>
      <w:r>
        <w:t xml:space="preserve"> emissions from landfill surfaces’, </w:t>
      </w:r>
      <w:r>
        <w:rPr>
          <w:rStyle w:val="Emphasis"/>
        </w:rPr>
        <w:t>Waste Management</w:t>
      </w:r>
      <w:r>
        <w:t xml:space="preserve">. Available at: </w:t>
      </w:r>
      <w:hyperlink r:id="rId15" w:tgtFrame="_new" w:history="1">
        <w:r>
          <w:rPr>
            <w:rStyle w:val="Hyperlink"/>
          </w:rPr>
          <w:t>https://doi.org/10.1016/j.wasman.2016.09.041</w:t>
        </w:r>
      </w:hyperlink>
    </w:p>
    <w:p w14:paraId="7351D8FA" w14:textId="77777777" w:rsidR="009836E7" w:rsidRDefault="009836E7" w:rsidP="009836E7">
      <w:pPr>
        <w:pStyle w:val="NormalWeb"/>
        <w:ind w:left="540" w:hanging="540"/>
      </w:pPr>
      <w:r>
        <w:t xml:space="preserve">News Agency of Nigeria (2025) ‘Anambra targets top three cleanest states in Nigeria, says waste management boss’, </w:t>
      </w:r>
      <w:r>
        <w:rPr>
          <w:rStyle w:val="Emphasis"/>
        </w:rPr>
        <w:t>Peoples Gazette</w:t>
      </w:r>
      <w:r>
        <w:t xml:space="preserve">, 11 December. Available at: </w:t>
      </w:r>
      <w:hyperlink r:id="rId16" w:tgtFrame="_new" w:history="1">
        <w:r>
          <w:rPr>
            <w:rStyle w:val="Hyperlink"/>
          </w:rPr>
          <w:t>https://gazettengr.com/anambra-targets-top-three-cleanest-states-in-nigeria-says-waste-management-boss/</w:t>
        </w:r>
      </w:hyperlink>
      <w:r>
        <w:t xml:space="preserve"> (Accessed: 28 February 2026).</w:t>
      </w:r>
    </w:p>
    <w:p w14:paraId="25FDE56F" w14:textId="77777777" w:rsidR="009836E7" w:rsidRDefault="009836E7" w:rsidP="009836E7">
      <w:pPr>
        <w:pStyle w:val="NormalWeb"/>
        <w:ind w:left="540" w:hanging="540"/>
      </w:pPr>
      <w:r>
        <w:t xml:space="preserve">Onwuka, N.F., Egbuna, O.K., Chukwuma, A.A. and Orji, C. (2025) ‘Analysis of housing demand in </w:t>
      </w:r>
      <w:proofErr w:type="spellStart"/>
      <w:r>
        <w:t>Awka</w:t>
      </w:r>
      <w:proofErr w:type="spellEnd"/>
      <w:r>
        <w:t xml:space="preserve"> City, Anambra State’, </w:t>
      </w:r>
      <w:r>
        <w:rPr>
          <w:rStyle w:val="Emphasis"/>
        </w:rPr>
        <w:t>International Journal of Research and Innovation in Social Science (IJRISS)</w:t>
      </w:r>
      <w:r>
        <w:t xml:space="preserve">, pp. 3488–3503. Available at: </w:t>
      </w:r>
      <w:hyperlink r:id="rId17" w:tgtFrame="_new" w:history="1">
        <w:r>
          <w:rPr>
            <w:rStyle w:val="Hyperlink"/>
          </w:rPr>
          <w:t>https://dx.doi.org/10.47772/IJRISS.2025.905000271</w:t>
        </w:r>
      </w:hyperlink>
    </w:p>
    <w:p w14:paraId="18579B7C" w14:textId="77777777" w:rsidR="009836E7" w:rsidRDefault="009836E7" w:rsidP="009836E7">
      <w:pPr>
        <w:pStyle w:val="NormalWeb"/>
        <w:ind w:left="540" w:hanging="540"/>
      </w:pPr>
      <w:r>
        <w:t xml:space="preserve">United States EPA (2024) </w:t>
      </w:r>
      <w:r>
        <w:rPr>
          <w:rStyle w:val="Emphasis"/>
        </w:rPr>
        <w:t>Appendix A – Odor characterization, assessment and sampling</w:t>
      </w:r>
      <w:r>
        <w:t>. U.S. Environmental Protection Agency.</w:t>
      </w:r>
    </w:p>
    <w:p w14:paraId="73F49473" w14:textId="77777777" w:rsidR="009836E7" w:rsidRDefault="009836E7" w:rsidP="009836E7">
      <w:pPr>
        <w:pStyle w:val="NormalWeb"/>
        <w:ind w:left="540" w:hanging="540"/>
      </w:pPr>
      <w:r>
        <w:t xml:space="preserve">World Health Organization (WHO) (2003) </w:t>
      </w:r>
      <w:r>
        <w:rPr>
          <w:rStyle w:val="Emphasis"/>
        </w:rPr>
        <w:t>Hydrogen sulfide: Human health aspects</w:t>
      </w:r>
      <w:r>
        <w:t>. Geneva: WHO Press.</w:t>
      </w:r>
    </w:p>
    <w:p w14:paraId="08EFE6A8" w14:textId="77777777" w:rsidR="009836E7" w:rsidRDefault="009836E7" w:rsidP="009836E7">
      <w:pPr>
        <w:pStyle w:val="NormalWeb"/>
        <w:ind w:left="540" w:hanging="540"/>
      </w:pPr>
      <w:proofErr w:type="spellStart"/>
      <w:r>
        <w:t>Xuejuan</w:t>
      </w:r>
      <w:proofErr w:type="spellEnd"/>
      <w:r>
        <w:t xml:space="preserve">, F., Bing, G., </w:t>
      </w:r>
      <w:proofErr w:type="spellStart"/>
      <w:r>
        <w:t>Dongliang</w:t>
      </w:r>
      <w:proofErr w:type="spellEnd"/>
      <w:r>
        <w:t xml:space="preserve">, Z., Lihong, W., </w:t>
      </w:r>
      <w:proofErr w:type="spellStart"/>
      <w:r>
        <w:t>Aiduan</w:t>
      </w:r>
      <w:proofErr w:type="spellEnd"/>
      <w:r>
        <w:t xml:space="preserve">, B., Wei, H., Su, X. and </w:t>
      </w:r>
      <w:proofErr w:type="spellStart"/>
      <w:r>
        <w:t>Shenghui</w:t>
      </w:r>
      <w:proofErr w:type="spellEnd"/>
      <w:r>
        <w:t xml:space="preserve">, C. (2023) ‘Closing the food waste loop: Analysis of the agronomic performance and potential of food waste disposal products’, </w:t>
      </w:r>
      <w:r>
        <w:rPr>
          <w:rStyle w:val="Emphasis"/>
        </w:rPr>
        <w:t>Journal of Cleaner Production</w:t>
      </w:r>
      <w:r>
        <w:t xml:space="preserve">, 382, 135174. Available at: </w:t>
      </w:r>
      <w:hyperlink r:id="rId18" w:tgtFrame="_new" w:history="1">
        <w:r>
          <w:rPr>
            <w:rStyle w:val="Hyperlink"/>
          </w:rPr>
          <w:t>https://doi.org/10.1016/j.jclepro.2022.135174</w:t>
        </w:r>
      </w:hyperlink>
    </w:p>
    <w:p w14:paraId="76707DA4" w14:textId="77777777" w:rsidR="009836E7" w:rsidRDefault="009836E7" w:rsidP="009836E7">
      <w:pPr>
        <w:pStyle w:val="NormalWeb"/>
        <w:ind w:left="540" w:hanging="540"/>
      </w:pPr>
      <w:r>
        <w:t xml:space="preserve">Zhaowen, C., </w:t>
      </w:r>
      <w:proofErr w:type="spellStart"/>
      <w:r>
        <w:t>Zhongtao</w:t>
      </w:r>
      <w:proofErr w:type="spellEnd"/>
      <w:r>
        <w:t xml:space="preserve">, S., Shijie, Z., Ziyang, L., </w:t>
      </w:r>
      <w:proofErr w:type="spellStart"/>
      <w:r>
        <w:t>Nanwen</w:t>
      </w:r>
      <w:proofErr w:type="spellEnd"/>
      <w:r>
        <w:t xml:space="preserve">, Z. and Lili, F. (2019) ‘The identification and health risk assessment of odor emissions from waste landfilling and composting’, </w:t>
      </w:r>
      <w:r>
        <w:rPr>
          <w:rStyle w:val="Emphasis"/>
        </w:rPr>
        <w:t>Science of the Total Environment</w:t>
      </w:r>
      <w:r>
        <w:t xml:space="preserve">, 649, pp. 1038–1044. Available at: </w:t>
      </w:r>
      <w:hyperlink r:id="rId19" w:tgtFrame="_new" w:history="1">
        <w:r>
          <w:rPr>
            <w:rStyle w:val="Hyperlink"/>
          </w:rPr>
          <w:t>https://doi.org/10.1016/j.scitotenv.2018.08.230</w:t>
        </w:r>
      </w:hyperlink>
    </w:p>
    <w:p w14:paraId="5490E8C6" w14:textId="77777777" w:rsidR="009836E7" w:rsidRDefault="009836E7" w:rsidP="009836E7">
      <w:pPr>
        <w:pStyle w:val="NormalWeb"/>
        <w:ind w:left="540" w:hanging="540"/>
      </w:pPr>
      <w:r>
        <w:t xml:space="preserve">Zhang, H., Schuchardt, F., Li, G., Yang, J. and Yang, Q. (2013) ‘Emission of volatile sulfur compounds during composting of municipal solid waste (MSW)’, </w:t>
      </w:r>
      <w:r>
        <w:rPr>
          <w:rStyle w:val="Emphasis"/>
        </w:rPr>
        <w:t>Waste Management</w:t>
      </w:r>
      <w:r>
        <w:t>, 33(4), pp. 957–963.</w:t>
      </w:r>
    </w:p>
    <w:p w14:paraId="563ED8DB" w14:textId="77777777" w:rsidR="009836E7" w:rsidRDefault="009836E7" w:rsidP="009836E7">
      <w:pPr>
        <w:pStyle w:val="NormalWeb"/>
        <w:ind w:left="540" w:hanging="540"/>
      </w:pPr>
      <w:r>
        <w:t xml:space="preserve">Zhang, H.-y., Zou, K.-h., Yang, J.-b. et al. (2012) ‘Analysis of odor pollutants in kitchen waste composting’, </w:t>
      </w:r>
      <w:r>
        <w:rPr>
          <w:rStyle w:val="Emphasis"/>
        </w:rPr>
        <w:t>Huan Jing Ke Xue</w:t>
      </w:r>
      <w:r>
        <w:t xml:space="preserve"> (in Chinese).</w:t>
      </w:r>
    </w:p>
    <w:p w14:paraId="44123D19" w14:textId="77777777" w:rsidR="009836E7" w:rsidRDefault="009836E7" w:rsidP="009836E7">
      <w:pPr>
        <w:pStyle w:val="NormalWeb"/>
        <w:ind w:left="540" w:hanging="540"/>
      </w:pPr>
      <w:proofErr w:type="spellStart"/>
      <w:r>
        <w:t>Zhangliang</w:t>
      </w:r>
      <w:proofErr w:type="spellEnd"/>
      <w:r>
        <w:t xml:space="preserve">, H., Fei, Q., Hui, W., Baoxian, L., Xiue, S., Cheng, S., Zhiyuan, B., </w:t>
      </w:r>
      <w:proofErr w:type="spellStart"/>
      <w:r>
        <w:t>Xufeng</w:t>
      </w:r>
      <w:proofErr w:type="spellEnd"/>
      <w:r>
        <w:t xml:space="preserve">, Z., </w:t>
      </w:r>
      <w:proofErr w:type="spellStart"/>
      <w:r>
        <w:t>Yangjie</w:t>
      </w:r>
      <w:proofErr w:type="spellEnd"/>
      <w:r>
        <w:t xml:space="preserve">, X. and </w:t>
      </w:r>
      <w:proofErr w:type="spellStart"/>
      <w:r>
        <w:t>Dezhi</w:t>
      </w:r>
      <w:proofErr w:type="spellEnd"/>
      <w:r>
        <w:t xml:space="preserve">, S. (2018) ‘Emission characteristics of volatile sulfur compounds (VSCs) from a municipal sewage sludge aerobic composting plant’, </w:t>
      </w:r>
      <w:r>
        <w:rPr>
          <w:rStyle w:val="Emphasis"/>
        </w:rPr>
        <w:t>Waste Management</w:t>
      </w:r>
      <w:r>
        <w:t xml:space="preserve">. Available at: </w:t>
      </w:r>
      <w:hyperlink r:id="rId20" w:tgtFrame="_new" w:history="1">
        <w:r>
          <w:rPr>
            <w:rStyle w:val="Hyperlink"/>
          </w:rPr>
          <w:t>https://doi.org/10.1016/j.wasman.2018.05.049</w:t>
        </w:r>
      </w:hyperlink>
      <w:bookmarkEnd w:id="9"/>
      <w:bookmarkEnd w:id="10"/>
      <w:bookmarkEnd w:id="11"/>
    </w:p>
    <w:sectPr w:rsidR="009836E7" w:rsidSect="00110E31">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EBD63" w14:textId="77777777" w:rsidR="00583FB1" w:rsidRDefault="00583FB1" w:rsidP="00F505BC">
      <w:pPr>
        <w:spacing w:after="0" w:line="240" w:lineRule="auto"/>
      </w:pPr>
      <w:r>
        <w:separator/>
      </w:r>
    </w:p>
  </w:endnote>
  <w:endnote w:type="continuationSeparator" w:id="0">
    <w:p w14:paraId="0938CAA7" w14:textId="77777777" w:rsidR="00583FB1" w:rsidRDefault="00583FB1" w:rsidP="00F50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24095" w14:textId="77777777" w:rsidR="00606C09" w:rsidRDefault="00606C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169005"/>
      <w:docPartObj>
        <w:docPartGallery w:val="Page Numbers (Bottom of Page)"/>
        <w:docPartUnique/>
      </w:docPartObj>
    </w:sdtPr>
    <w:sdtEndPr>
      <w:rPr>
        <w:noProof/>
      </w:rPr>
    </w:sdtEndPr>
    <w:sdtContent>
      <w:p w14:paraId="1414BF3E" w14:textId="77777777" w:rsidR="003D7400" w:rsidRDefault="003D7400">
        <w:pPr>
          <w:pStyle w:val="Footer"/>
          <w:jc w:val="right"/>
        </w:pPr>
        <w:r>
          <w:fldChar w:fldCharType="begin"/>
        </w:r>
        <w:r>
          <w:instrText xml:space="preserve"> PAGE   \* MERGEFORMAT </w:instrText>
        </w:r>
        <w:r>
          <w:fldChar w:fldCharType="separate"/>
        </w:r>
        <w:r w:rsidR="00C0665F">
          <w:rPr>
            <w:noProof/>
          </w:rPr>
          <w:t>4</w:t>
        </w:r>
        <w:r>
          <w:rPr>
            <w:noProof/>
          </w:rPr>
          <w:fldChar w:fldCharType="end"/>
        </w:r>
      </w:p>
    </w:sdtContent>
  </w:sdt>
  <w:p w14:paraId="7AF96172" w14:textId="77777777" w:rsidR="003D7400" w:rsidRDefault="003D74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833F" w14:textId="77777777" w:rsidR="00606C09" w:rsidRDefault="00606C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94F33" w14:textId="77777777" w:rsidR="00583FB1" w:rsidRDefault="00583FB1" w:rsidP="00F505BC">
      <w:pPr>
        <w:spacing w:after="0" w:line="240" w:lineRule="auto"/>
      </w:pPr>
      <w:r>
        <w:separator/>
      </w:r>
    </w:p>
  </w:footnote>
  <w:footnote w:type="continuationSeparator" w:id="0">
    <w:p w14:paraId="20047694" w14:textId="77777777" w:rsidR="00583FB1" w:rsidRDefault="00583FB1" w:rsidP="00F505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C97BC" w14:textId="63C8E355" w:rsidR="00606C09" w:rsidRDefault="00606C09">
    <w:pPr>
      <w:pStyle w:val="Header"/>
    </w:pPr>
    <w:r>
      <w:rPr>
        <w:noProof/>
      </w:rPr>
      <w:pict w14:anchorId="133E9A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602235" o:spid="_x0000_s1026" type="#_x0000_t136" style="position:absolute;left:0;text-align:left;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248BB" w14:textId="4CC8C011" w:rsidR="00606C09" w:rsidRDefault="00606C09">
    <w:pPr>
      <w:pStyle w:val="Header"/>
    </w:pPr>
    <w:r>
      <w:rPr>
        <w:noProof/>
      </w:rPr>
      <w:pict w14:anchorId="30F1F1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602236" o:spid="_x0000_s1027"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E7F0A" w14:textId="3D67ECDF" w:rsidR="00606C09" w:rsidRDefault="00606C09">
    <w:pPr>
      <w:pStyle w:val="Header"/>
    </w:pPr>
    <w:r>
      <w:rPr>
        <w:noProof/>
      </w:rPr>
      <w:pict w14:anchorId="4E480E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602234" o:spid="_x0000_s1025" type="#_x0000_t136" style="position:absolute;left:0;text-align:left;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F6526"/>
    <w:multiLevelType w:val="multilevel"/>
    <w:tmpl w:val="4FB0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74618"/>
    <w:multiLevelType w:val="multilevel"/>
    <w:tmpl w:val="B97C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E77DC"/>
    <w:multiLevelType w:val="multilevel"/>
    <w:tmpl w:val="2E48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4B2BBB"/>
    <w:multiLevelType w:val="multilevel"/>
    <w:tmpl w:val="CD62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0E380A"/>
    <w:multiLevelType w:val="hybridMultilevel"/>
    <w:tmpl w:val="74928D9A"/>
    <w:lvl w:ilvl="0" w:tplc="4562211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83A89"/>
    <w:multiLevelType w:val="multilevel"/>
    <w:tmpl w:val="D568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491657"/>
    <w:multiLevelType w:val="multilevel"/>
    <w:tmpl w:val="74B4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7F44B1"/>
    <w:multiLevelType w:val="multilevel"/>
    <w:tmpl w:val="ECE4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FF63B9"/>
    <w:multiLevelType w:val="multilevel"/>
    <w:tmpl w:val="022A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B569B0"/>
    <w:multiLevelType w:val="multilevel"/>
    <w:tmpl w:val="B6B8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4A0CDE"/>
    <w:multiLevelType w:val="hybridMultilevel"/>
    <w:tmpl w:val="F8D0E45C"/>
    <w:lvl w:ilvl="0" w:tplc="65F604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6437C1"/>
    <w:multiLevelType w:val="multilevel"/>
    <w:tmpl w:val="4CE2EE5C"/>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4400A42"/>
    <w:multiLevelType w:val="multilevel"/>
    <w:tmpl w:val="54D0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4D4821"/>
    <w:multiLevelType w:val="multilevel"/>
    <w:tmpl w:val="B2CE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60056D"/>
    <w:multiLevelType w:val="multilevel"/>
    <w:tmpl w:val="BD24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631445"/>
    <w:multiLevelType w:val="multilevel"/>
    <w:tmpl w:val="A00C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EB4089"/>
    <w:multiLevelType w:val="multilevel"/>
    <w:tmpl w:val="0AE40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0E5484"/>
    <w:multiLevelType w:val="multilevel"/>
    <w:tmpl w:val="0372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C8210C"/>
    <w:multiLevelType w:val="multilevel"/>
    <w:tmpl w:val="F1CCB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9B3E9F"/>
    <w:multiLevelType w:val="multilevel"/>
    <w:tmpl w:val="4C5E43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7CB61DD"/>
    <w:multiLevelType w:val="multilevel"/>
    <w:tmpl w:val="731A1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1C7B14"/>
    <w:multiLevelType w:val="hybridMultilevel"/>
    <w:tmpl w:val="F3964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FC6454"/>
    <w:multiLevelType w:val="multilevel"/>
    <w:tmpl w:val="4DE0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AD7EB2"/>
    <w:multiLevelType w:val="multilevel"/>
    <w:tmpl w:val="AC8A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597F70"/>
    <w:multiLevelType w:val="multilevel"/>
    <w:tmpl w:val="88D8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AD23FB"/>
    <w:multiLevelType w:val="multilevel"/>
    <w:tmpl w:val="0D444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F56228"/>
    <w:multiLevelType w:val="multilevel"/>
    <w:tmpl w:val="A8A08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1F7D7B"/>
    <w:multiLevelType w:val="hybridMultilevel"/>
    <w:tmpl w:val="C39A9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594D3F"/>
    <w:multiLevelType w:val="multilevel"/>
    <w:tmpl w:val="3FBA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30352F"/>
    <w:multiLevelType w:val="multilevel"/>
    <w:tmpl w:val="0340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9494298">
    <w:abstractNumId w:val="7"/>
  </w:num>
  <w:num w:numId="2" w16cid:durableId="127549952">
    <w:abstractNumId w:val="9"/>
  </w:num>
  <w:num w:numId="3" w16cid:durableId="536239574">
    <w:abstractNumId w:val="19"/>
  </w:num>
  <w:num w:numId="4" w16cid:durableId="99884756">
    <w:abstractNumId w:val="27"/>
  </w:num>
  <w:num w:numId="5" w16cid:durableId="1183784951">
    <w:abstractNumId w:val="21"/>
  </w:num>
  <w:num w:numId="6" w16cid:durableId="828061290">
    <w:abstractNumId w:val="14"/>
  </w:num>
  <w:num w:numId="7" w16cid:durableId="1980069448">
    <w:abstractNumId w:val="18"/>
  </w:num>
  <w:num w:numId="8" w16cid:durableId="1881700882">
    <w:abstractNumId w:val="20"/>
  </w:num>
  <w:num w:numId="9" w16cid:durableId="1881741079">
    <w:abstractNumId w:val="15"/>
  </w:num>
  <w:num w:numId="10" w16cid:durableId="854460112">
    <w:abstractNumId w:val="1"/>
  </w:num>
  <w:num w:numId="11" w16cid:durableId="260113151">
    <w:abstractNumId w:val="6"/>
  </w:num>
  <w:num w:numId="12" w16cid:durableId="1846748259">
    <w:abstractNumId w:val="2"/>
  </w:num>
  <w:num w:numId="13" w16cid:durableId="2102750203">
    <w:abstractNumId w:val="23"/>
  </w:num>
  <w:num w:numId="14" w16cid:durableId="579557947">
    <w:abstractNumId w:val="8"/>
  </w:num>
  <w:num w:numId="15" w16cid:durableId="110828707">
    <w:abstractNumId w:val="16"/>
  </w:num>
  <w:num w:numId="16" w16cid:durableId="1326859774">
    <w:abstractNumId w:val="3"/>
  </w:num>
  <w:num w:numId="17" w16cid:durableId="1159229777">
    <w:abstractNumId w:val="22"/>
  </w:num>
  <w:num w:numId="18" w16cid:durableId="1435321344">
    <w:abstractNumId w:val="0"/>
  </w:num>
  <w:num w:numId="19" w16cid:durableId="739181569">
    <w:abstractNumId w:val="26"/>
  </w:num>
  <w:num w:numId="20" w16cid:durableId="1227572773">
    <w:abstractNumId w:val="13"/>
  </w:num>
  <w:num w:numId="21" w16cid:durableId="1539052894">
    <w:abstractNumId w:val="25"/>
  </w:num>
  <w:num w:numId="22" w16cid:durableId="1358041815">
    <w:abstractNumId w:val="5"/>
  </w:num>
  <w:num w:numId="23" w16cid:durableId="127094362">
    <w:abstractNumId w:val="12"/>
  </w:num>
  <w:num w:numId="24" w16cid:durableId="518813988">
    <w:abstractNumId w:val="24"/>
  </w:num>
  <w:num w:numId="25" w16cid:durableId="386800699">
    <w:abstractNumId w:val="28"/>
  </w:num>
  <w:num w:numId="26" w16cid:durableId="1081954245">
    <w:abstractNumId w:val="29"/>
  </w:num>
  <w:num w:numId="27" w16cid:durableId="1418554598">
    <w:abstractNumId w:val="17"/>
  </w:num>
  <w:num w:numId="28" w16cid:durableId="1577470454">
    <w:abstractNumId w:val="11"/>
  </w:num>
  <w:num w:numId="29" w16cid:durableId="1333143023">
    <w:abstractNumId w:val="10"/>
  </w:num>
  <w:num w:numId="30" w16cid:durableId="953361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4F2"/>
    <w:rsid w:val="00000CFA"/>
    <w:rsid w:val="0000492C"/>
    <w:rsid w:val="000175FE"/>
    <w:rsid w:val="000257F1"/>
    <w:rsid w:val="000267E9"/>
    <w:rsid w:val="00027DAB"/>
    <w:rsid w:val="0003240E"/>
    <w:rsid w:val="0003497F"/>
    <w:rsid w:val="00035159"/>
    <w:rsid w:val="0004301B"/>
    <w:rsid w:val="000518B0"/>
    <w:rsid w:val="00051B62"/>
    <w:rsid w:val="000569B5"/>
    <w:rsid w:val="0006384C"/>
    <w:rsid w:val="000675F1"/>
    <w:rsid w:val="0007116D"/>
    <w:rsid w:val="0007436D"/>
    <w:rsid w:val="00074FA4"/>
    <w:rsid w:val="0008331D"/>
    <w:rsid w:val="00084666"/>
    <w:rsid w:val="00094BBA"/>
    <w:rsid w:val="00095859"/>
    <w:rsid w:val="000A3CC4"/>
    <w:rsid w:val="000B0CEA"/>
    <w:rsid w:val="000B1F43"/>
    <w:rsid w:val="000B7399"/>
    <w:rsid w:val="000B76C0"/>
    <w:rsid w:val="000C4B89"/>
    <w:rsid w:val="000C5040"/>
    <w:rsid w:val="000D47C3"/>
    <w:rsid w:val="000E5CE3"/>
    <w:rsid w:val="00103ACF"/>
    <w:rsid w:val="001049A7"/>
    <w:rsid w:val="0010650B"/>
    <w:rsid w:val="00110E31"/>
    <w:rsid w:val="00115F75"/>
    <w:rsid w:val="00116F70"/>
    <w:rsid w:val="001220C0"/>
    <w:rsid w:val="00137F6E"/>
    <w:rsid w:val="00140330"/>
    <w:rsid w:val="00152311"/>
    <w:rsid w:val="001523CB"/>
    <w:rsid w:val="0015566C"/>
    <w:rsid w:val="00161846"/>
    <w:rsid w:val="00161880"/>
    <w:rsid w:val="00162217"/>
    <w:rsid w:val="00162D48"/>
    <w:rsid w:val="0017014F"/>
    <w:rsid w:val="001770D0"/>
    <w:rsid w:val="00180019"/>
    <w:rsid w:val="001818DF"/>
    <w:rsid w:val="00182839"/>
    <w:rsid w:val="001A30E8"/>
    <w:rsid w:val="001B1FF3"/>
    <w:rsid w:val="001B7E4C"/>
    <w:rsid w:val="001C10B8"/>
    <w:rsid w:val="001C2918"/>
    <w:rsid w:val="001D2BB5"/>
    <w:rsid w:val="001E28AD"/>
    <w:rsid w:val="001F2EB7"/>
    <w:rsid w:val="00200EAD"/>
    <w:rsid w:val="00201A1D"/>
    <w:rsid w:val="00204307"/>
    <w:rsid w:val="002279CF"/>
    <w:rsid w:val="00230C98"/>
    <w:rsid w:val="00240832"/>
    <w:rsid w:val="00240F93"/>
    <w:rsid w:val="00242421"/>
    <w:rsid w:val="00247D2C"/>
    <w:rsid w:val="00253CDE"/>
    <w:rsid w:val="00271F23"/>
    <w:rsid w:val="00286005"/>
    <w:rsid w:val="00292E6B"/>
    <w:rsid w:val="002963AA"/>
    <w:rsid w:val="00296569"/>
    <w:rsid w:val="002A2039"/>
    <w:rsid w:val="002A7A47"/>
    <w:rsid w:val="002B4080"/>
    <w:rsid w:val="002C008D"/>
    <w:rsid w:val="002C2072"/>
    <w:rsid w:val="002C3664"/>
    <w:rsid w:val="002C5F8A"/>
    <w:rsid w:val="002D66D3"/>
    <w:rsid w:val="002E0AA2"/>
    <w:rsid w:val="00307DF2"/>
    <w:rsid w:val="00310EB2"/>
    <w:rsid w:val="00313BE8"/>
    <w:rsid w:val="003145F1"/>
    <w:rsid w:val="00317453"/>
    <w:rsid w:val="0032342B"/>
    <w:rsid w:val="003266C5"/>
    <w:rsid w:val="00334FD0"/>
    <w:rsid w:val="003367E4"/>
    <w:rsid w:val="00337BDA"/>
    <w:rsid w:val="00341DA9"/>
    <w:rsid w:val="00342A69"/>
    <w:rsid w:val="00347465"/>
    <w:rsid w:val="00354BDA"/>
    <w:rsid w:val="00361B13"/>
    <w:rsid w:val="0036384A"/>
    <w:rsid w:val="00365243"/>
    <w:rsid w:val="00366488"/>
    <w:rsid w:val="003719F7"/>
    <w:rsid w:val="00371E9A"/>
    <w:rsid w:val="00372950"/>
    <w:rsid w:val="00373C2D"/>
    <w:rsid w:val="00380F16"/>
    <w:rsid w:val="00384587"/>
    <w:rsid w:val="00384B5B"/>
    <w:rsid w:val="00393BB7"/>
    <w:rsid w:val="0039592F"/>
    <w:rsid w:val="0039723B"/>
    <w:rsid w:val="003A45AA"/>
    <w:rsid w:val="003A582A"/>
    <w:rsid w:val="003A5F02"/>
    <w:rsid w:val="003A7845"/>
    <w:rsid w:val="003A7AA1"/>
    <w:rsid w:val="003B2164"/>
    <w:rsid w:val="003B24B6"/>
    <w:rsid w:val="003B3FED"/>
    <w:rsid w:val="003B5E46"/>
    <w:rsid w:val="003B6397"/>
    <w:rsid w:val="003C09C4"/>
    <w:rsid w:val="003C6FD5"/>
    <w:rsid w:val="003D0A32"/>
    <w:rsid w:val="003D6ABD"/>
    <w:rsid w:val="003D7400"/>
    <w:rsid w:val="003F54E7"/>
    <w:rsid w:val="003F78C4"/>
    <w:rsid w:val="0040102A"/>
    <w:rsid w:val="00401F8D"/>
    <w:rsid w:val="004035DD"/>
    <w:rsid w:val="00410B94"/>
    <w:rsid w:val="00414F90"/>
    <w:rsid w:val="00425FD8"/>
    <w:rsid w:val="00430F3E"/>
    <w:rsid w:val="00440A71"/>
    <w:rsid w:val="00441BA0"/>
    <w:rsid w:val="00443B5A"/>
    <w:rsid w:val="00456A1C"/>
    <w:rsid w:val="00463D9F"/>
    <w:rsid w:val="00464464"/>
    <w:rsid w:val="00476B75"/>
    <w:rsid w:val="004779CA"/>
    <w:rsid w:val="00484B00"/>
    <w:rsid w:val="004C21CD"/>
    <w:rsid w:val="004C4764"/>
    <w:rsid w:val="004C605E"/>
    <w:rsid w:val="004C61D4"/>
    <w:rsid w:val="004D2824"/>
    <w:rsid w:val="004D5428"/>
    <w:rsid w:val="004D5E5A"/>
    <w:rsid w:val="004D71DA"/>
    <w:rsid w:val="004F21CE"/>
    <w:rsid w:val="004F4C21"/>
    <w:rsid w:val="004F52B8"/>
    <w:rsid w:val="0050271F"/>
    <w:rsid w:val="005120BF"/>
    <w:rsid w:val="00512C0C"/>
    <w:rsid w:val="0052144B"/>
    <w:rsid w:val="00522B29"/>
    <w:rsid w:val="005317CB"/>
    <w:rsid w:val="0053284D"/>
    <w:rsid w:val="00544C67"/>
    <w:rsid w:val="00550622"/>
    <w:rsid w:val="00551097"/>
    <w:rsid w:val="0055466A"/>
    <w:rsid w:val="00557C89"/>
    <w:rsid w:val="00562D0C"/>
    <w:rsid w:val="00562F51"/>
    <w:rsid w:val="00566126"/>
    <w:rsid w:val="005738EC"/>
    <w:rsid w:val="00577B16"/>
    <w:rsid w:val="00577CF1"/>
    <w:rsid w:val="00580A72"/>
    <w:rsid w:val="005810DB"/>
    <w:rsid w:val="00583FB1"/>
    <w:rsid w:val="00587D70"/>
    <w:rsid w:val="00592F35"/>
    <w:rsid w:val="00596273"/>
    <w:rsid w:val="005A1B77"/>
    <w:rsid w:val="005A46ED"/>
    <w:rsid w:val="005A55E8"/>
    <w:rsid w:val="005A6A7B"/>
    <w:rsid w:val="005B0A47"/>
    <w:rsid w:val="005B40D7"/>
    <w:rsid w:val="005B77D4"/>
    <w:rsid w:val="005C0A3A"/>
    <w:rsid w:val="005C1032"/>
    <w:rsid w:val="005C2188"/>
    <w:rsid w:val="005D139A"/>
    <w:rsid w:val="005D5396"/>
    <w:rsid w:val="005D56F7"/>
    <w:rsid w:val="005E1F68"/>
    <w:rsid w:val="005F3BE0"/>
    <w:rsid w:val="005F78AF"/>
    <w:rsid w:val="00606C09"/>
    <w:rsid w:val="0061088B"/>
    <w:rsid w:val="00617A06"/>
    <w:rsid w:val="00623F23"/>
    <w:rsid w:val="00624B5B"/>
    <w:rsid w:val="00632AAD"/>
    <w:rsid w:val="00634687"/>
    <w:rsid w:val="00655752"/>
    <w:rsid w:val="006675BF"/>
    <w:rsid w:val="00671F39"/>
    <w:rsid w:val="006827F4"/>
    <w:rsid w:val="0068306E"/>
    <w:rsid w:val="00685C8F"/>
    <w:rsid w:val="00692450"/>
    <w:rsid w:val="006965C0"/>
    <w:rsid w:val="00696E56"/>
    <w:rsid w:val="006A038D"/>
    <w:rsid w:val="006A61C9"/>
    <w:rsid w:val="006A6299"/>
    <w:rsid w:val="006B14E2"/>
    <w:rsid w:val="006B616B"/>
    <w:rsid w:val="006B7608"/>
    <w:rsid w:val="006C1422"/>
    <w:rsid w:val="006C298F"/>
    <w:rsid w:val="006E2918"/>
    <w:rsid w:val="006E51E0"/>
    <w:rsid w:val="006F167C"/>
    <w:rsid w:val="006F3E43"/>
    <w:rsid w:val="006F5B15"/>
    <w:rsid w:val="00701BB8"/>
    <w:rsid w:val="00702B61"/>
    <w:rsid w:val="007031A3"/>
    <w:rsid w:val="007060F4"/>
    <w:rsid w:val="00706D48"/>
    <w:rsid w:val="00726EB2"/>
    <w:rsid w:val="00743B85"/>
    <w:rsid w:val="00745FD4"/>
    <w:rsid w:val="00750A6E"/>
    <w:rsid w:val="007561E0"/>
    <w:rsid w:val="007607B3"/>
    <w:rsid w:val="0076326B"/>
    <w:rsid w:val="00766BD3"/>
    <w:rsid w:val="007762B3"/>
    <w:rsid w:val="00784115"/>
    <w:rsid w:val="007A2BA5"/>
    <w:rsid w:val="007A5CD4"/>
    <w:rsid w:val="007B09C6"/>
    <w:rsid w:val="007B41FE"/>
    <w:rsid w:val="007C0988"/>
    <w:rsid w:val="007C3BBB"/>
    <w:rsid w:val="007C4F67"/>
    <w:rsid w:val="007C549A"/>
    <w:rsid w:val="007D6724"/>
    <w:rsid w:val="007F0997"/>
    <w:rsid w:val="008049CB"/>
    <w:rsid w:val="00804A21"/>
    <w:rsid w:val="008064F2"/>
    <w:rsid w:val="008115FB"/>
    <w:rsid w:val="00815134"/>
    <w:rsid w:val="008219F4"/>
    <w:rsid w:val="00826810"/>
    <w:rsid w:val="00826885"/>
    <w:rsid w:val="00826F73"/>
    <w:rsid w:val="00833699"/>
    <w:rsid w:val="00864F9D"/>
    <w:rsid w:val="008700BC"/>
    <w:rsid w:val="00874D7A"/>
    <w:rsid w:val="00877600"/>
    <w:rsid w:val="008908ED"/>
    <w:rsid w:val="00893AB9"/>
    <w:rsid w:val="008960AB"/>
    <w:rsid w:val="008973FF"/>
    <w:rsid w:val="008A211C"/>
    <w:rsid w:val="008A603B"/>
    <w:rsid w:val="008A68C1"/>
    <w:rsid w:val="008B1F7F"/>
    <w:rsid w:val="008B78C9"/>
    <w:rsid w:val="008C5279"/>
    <w:rsid w:val="008D104F"/>
    <w:rsid w:val="008E30AE"/>
    <w:rsid w:val="008E7C93"/>
    <w:rsid w:val="008F2AEB"/>
    <w:rsid w:val="00907110"/>
    <w:rsid w:val="00907B71"/>
    <w:rsid w:val="00911A21"/>
    <w:rsid w:val="00914055"/>
    <w:rsid w:val="009170F2"/>
    <w:rsid w:val="009242D3"/>
    <w:rsid w:val="00926A33"/>
    <w:rsid w:val="00927BBE"/>
    <w:rsid w:val="009301B0"/>
    <w:rsid w:val="00943A27"/>
    <w:rsid w:val="00945427"/>
    <w:rsid w:val="00946627"/>
    <w:rsid w:val="00946A27"/>
    <w:rsid w:val="0095014F"/>
    <w:rsid w:val="00952157"/>
    <w:rsid w:val="00962680"/>
    <w:rsid w:val="009716FF"/>
    <w:rsid w:val="009836E7"/>
    <w:rsid w:val="009844C8"/>
    <w:rsid w:val="009852D0"/>
    <w:rsid w:val="009869BA"/>
    <w:rsid w:val="00986BD3"/>
    <w:rsid w:val="009877B1"/>
    <w:rsid w:val="00990332"/>
    <w:rsid w:val="00990FDB"/>
    <w:rsid w:val="009936D1"/>
    <w:rsid w:val="00995E39"/>
    <w:rsid w:val="009B114A"/>
    <w:rsid w:val="009B4C2A"/>
    <w:rsid w:val="009B5491"/>
    <w:rsid w:val="009C3122"/>
    <w:rsid w:val="009C328C"/>
    <w:rsid w:val="009C39AA"/>
    <w:rsid w:val="009C3EA0"/>
    <w:rsid w:val="009C5C68"/>
    <w:rsid w:val="009D161A"/>
    <w:rsid w:val="009D517C"/>
    <w:rsid w:val="009D5811"/>
    <w:rsid w:val="009E638C"/>
    <w:rsid w:val="009E6F71"/>
    <w:rsid w:val="009F2FAE"/>
    <w:rsid w:val="009F70BC"/>
    <w:rsid w:val="009F7A26"/>
    <w:rsid w:val="00A0023D"/>
    <w:rsid w:val="00A14D1A"/>
    <w:rsid w:val="00A2051C"/>
    <w:rsid w:val="00A25C50"/>
    <w:rsid w:val="00A36881"/>
    <w:rsid w:val="00A40E4B"/>
    <w:rsid w:val="00A450B1"/>
    <w:rsid w:val="00A468EB"/>
    <w:rsid w:val="00A50BC3"/>
    <w:rsid w:val="00A54D4D"/>
    <w:rsid w:val="00A60BFD"/>
    <w:rsid w:val="00A6364D"/>
    <w:rsid w:val="00A66910"/>
    <w:rsid w:val="00A70DA9"/>
    <w:rsid w:val="00A8351F"/>
    <w:rsid w:val="00AA10F0"/>
    <w:rsid w:val="00AA48BE"/>
    <w:rsid w:val="00AB6708"/>
    <w:rsid w:val="00AC2BD3"/>
    <w:rsid w:val="00AC5DEB"/>
    <w:rsid w:val="00AE043E"/>
    <w:rsid w:val="00AF3F94"/>
    <w:rsid w:val="00AF5B00"/>
    <w:rsid w:val="00B04E8C"/>
    <w:rsid w:val="00B17748"/>
    <w:rsid w:val="00B20448"/>
    <w:rsid w:val="00B24A9A"/>
    <w:rsid w:val="00B26958"/>
    <w:rsid w:val="00B35B5A"/>
    <w:rsid w:val="00B43563"/>
    <w:rsid w:val="00B448AF"/>
    <w:rsid w:val="00B50183"/>
    <w:rsid w:val="00B53C94"/>
    <w:rsid w:val="00B60AB0"/>
    <w:rsid w:val="00B61224"/>
    <w:rsid w:val="00B62251"/>
    <w:rsid w:val="00B678C5"/>
    <w:rsid w:val="00B763A9"/>
    <w:rsid w:val="00B76928"/>
    <w:rsid w:val="00B76E69"/>
    <w:rsid w:val="00B942C8"/>
    <w:rsid w:val="00B9455A"/>
    <w:rsid w:val="00BA161A"/>
    <w:rsid w:val="00BB12A0"/>
    <w:rsid w:val="00BB4727"/>
    <w:rsid w:val="00BC162B"/>
    <w:rsid w:val="00BC1DA0"/>
    <w:rsid w:val="00BC2A38"/>
    <w:rsid w:val="00BE1E2B"/>
    <w:rsid w:val="00BE73B4"/>
    <w:rsid w:val="00BE7A58"/>
    <w:rsid w:val="00BF3945"/>
    <w:rsid w:val="00BF3BAE"/>
    <w:rsid w:val="00C03D45"/>
    <w:rsid w:val="00C0665F"/>
    <w:rsid w:val="00C12417"/>
    <w:rsid w:val="00C173F0"/>
    <w:rsid w:val="00C21885"/>
    <w:rsid w:val="00C219A2"/>
    <w:rsid w:val="00C26D18"/>
    <w:rsid w:val="00C312EF"/>
    <w:rsid w:val="00C33763"/>
    <w:rsid w:val="00C41A42"/>
    <w:rsid w:val="00C42377"/>
    <w:rsid w:val="00C50EF3"/>
    <w:rsid w:val="00C53B1C"/>
    <w:rsid w:val="00C55FD9"/>
    <w:rsid w:val="00C56FD4"/>
    <w:rsid w:val="00C603A3"/>
    <w:rsid w:val="00C6314A"/>
    <w:rsid w:val="00C77BB8"/>
    <w:rsid w:val="00C86BAA"/>
    <w:rsid w:val="00C86F91"/>
    <w:rsid w:val="00C9050B"/>
    <w:rsid w:val="00C924DA"/>
    <w:rsid w:val="00CA1CBA"/>
    <w:rsid w:val="00CB0B96"/>
    <w:rsid w:val="00CB40D1"/>
    <w:rsid w:val="00CC5CE0"/>
    <w:rsid w:val="00CC6269"/>
    <w:rsid w:val="00CC72E8"/>
    <w:rsid w:val="00CD0FBC"/>
    <w:rsid w:val="00CD0FFE"/>
    <w:rsid w:val="00CD25B7"/>
    <w:rsid w:val="00CD6450"/>
    <w:rsid w:val="00CD696B"/>
    <w:rsid w:val="00CF6E9A"/>
    <w:rsid w:val="00CF6F06"/>
    <w:rsid w:val="00D057F0"/>
    <w:rsid w:val="00D05C52"/>
    <w:rsid w:val="00D210CB"/>
    <w:rsid w:val="00D22B5A"/>
    <w:rsid w:val="00D25954"/>
    <w:rsid w:val="00D27B24"/>
    <w:rsid w:val="00D30276"/>
    <w:rsid w:val="00D33567"/>
    <w:rsid w:val="00D5351C"/>
    <w:rsid w:val="00D53B2A"/>
    <w:rsid w:val="00D65C34"/>
    <w:rsid w:val="00D74A2F"/>
    <w:rsid w:val="00D76213"/>
    <w:rsid w:val="00D8577C"/>
    <w:rsid w:val="00D87EAE"/>
    <w:rsid w:val="00D93A47"/>
    <w:rsid w:val="00D93CA1"/>
    <w:rsid w:val="00DA12D8"/>
    <w:rsid w:val="00DB2AE2"/>
    <w:rsid w:val="00DC3FE9"/>
    <w:rsid w:val="00DD6474"/>
    <w:rsid w:val="00DE17E4"/>
    <w:rsid w:val="00DE4F1F"/>
    <w:rsid w:val="00DE5CAC"/>
    <w:rsid w:val="00DF233F"/>
    <w:rsid w:val="00DF6AB4"/>
    <w:rsid w:val="00DF7906"/>
    <w:rsid w:val="00E04FE5"/>
    <w:rsid w:val="00E1083F"/>
    <w:rsid w:val="00E15F78"/>
    <w:rsid w:val="00E16BC7"/>
    <w:rsid w:val="00E208E5"/>
    <w:rsid w:val="00E2268A"/>
    <w:rsid w:val="00E2314B"/>
    <w:rsid w:val="00E2601C"/>
    <w:rsid w:val="00E3248B"/>
    <w:rsid w:val="00E332B4"/>
    <w:rsid w:val="00E33FE5"/>
    <w:rsid w:val="00E365B6"/>
    <w:rsid w:val="00E37974"/>
    <w:rsid w:val="00E44B28"/>
    <w:rsid w:val="00E45BBE"/>
    <w:rsid w:val="00E51788"/>
    <w:rsid w:val="00E63C49"/>
    <w:rsid w:val="00E652AE"/>
    <w:rsid w:val="00E74CE0"/>
    <w:rsid w:val="00E74E26"/>
    <w:rsid w:val="00E75FFA"/>
    <w:rsid w:val="00E826DC"/>
    <w:rsid w:val="00E85365"/>
    <w:rsid w:val="00E92C26"/>
    <w:rsid w:val="00EA3CBA"/>
    <w:rsid w:val="00EA5764"/>
    <w:rsid w:val="00EC38D1"/>
    <w:rsid w:val="00EC5771"/>
    <w:rsid w:val="00EC6920"/>
    <w:rsid w:val="00EE579A"/>
    <w:rsid w:val="00EF0D29"/>
    <w:rsid w:val="00EF1796"/>
    <w:rsid w:val="00EF3247"/>
    <w:rsid w:val="00EF32C7"/>
    <w:rsid w:val="00EF7884"/>
    <w:rsid w:val="00F11A9E"/>
    <w:rsid w:val="00F1588B"/>
    <w:rsid w:val="00F21C06"/>
    <w:rsid w:val="00F34EA5"/>
    <w:rsid w:val="00F4073A"/>
    <w:rsid w:val="00F4158F"/>
    <w:rsid w:val="00F41F64"/>
    <w:rsid w:val="00F47C5A"/>
    <w:rsid w:val="00F505BC"/>
    <w:rsid w:val="00F52384"/>
    <w:rsid w:val="00F565FA"/>
    <w:rsid w:val="00F61191"/>
    <w:rsid w:val="00F807F8"/>
    <w:rsid w:val="00F8658D"/>
    <w:rsid w:val="00F9177B"/>
    <w:rsid w:val="00F96E6D"/>
    <w:rsid w:val="00FA6B2D"/>
    <w:rsid w:val="00FA7D8A"/>
    <w:rsid w:val="00FB2620"/>
    <w:rsid w:val="00FC201D"/>
    <w:rsid w:val="00FC453E"/>
    <w:rsid w:val="00FC470F"/>
    <w:rsid w:val="00FD0819"/>
    <w:rsid w:val="00FF0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88C10"/>
  <w15:docId w15:val="{F16B5337-C9DE-4D20-B6C6-7D6343F55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A69"/>
    <w:pPr>
      <w:jc w:val="both"/>
    </w:pPr>
    <w:rPr>
      <w:rFonts w:ascii="Times New Roman" w:hAnsi="Times New Roman"/>
      <w:sz w:val="24"/>
    </w:rPr>
  </w:style>
  <w:style w:type="paragraph" w:styleId="Heading1">
    <w:name w:val="heading 1"/>
    <w:basedOn w:val="Normal"/>
    <w:next w:val="Normal"/>
    <w:link w:val="Heading1Char"/>
    <w:uiPriority w:val="9"/>
    <w:qFormat/>
    <w:rsid w:val="009716FF"/>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9716FF"/>
    <w:pPr>
      <w:keepNext/>
      <w:keepLines/>
      <w:spacing w:before="200" w:after="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B17748"/>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B1774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16FF"/>
    <w:rPr>
      <w:rFonts w:ascii="Times New Roman" w:eastAsiaTheme="majorEastAsia" w:hAnsi="Times New Roman" w:cstheme="majorBidi"/>
      <w:b/>
      <w:bCs/>
      <w:sz w:val="24"/>
      <w:szCs w:val="28"/>
    </w:rPr>
  </w:style>
  <w:style w:type="character" w:styleId="PlaceholderText">
    <w:name w:val="Placeholder Text"/>
    <w:basedOn w:val="DefaultParagraphFont"/>
    <w:uiPriority w:val="99"/>
    <w:semiHidden/>
    <w:rsid w:val="008064F2"/>
    <w:rPr>
      <w:color w:val="808080"/>
    </w:rPr>
  </w:style>
  <w:style w:type="paragraph" w:styleId="BalloonText">
    <w:name w:val="Balloon Text"/>
    <w:basedOn w:val="Normal"/>
    <w:link w:val="BalloonTextChar"/>
    <w:uiPriority w:val="99"/>
    <w:semiHidden/>
    <w:unhideWhenUsed/>
    <w:rsid w:val="008064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4F2"/>
    <w:rPr>
      <w:rFonts w:ascii="Tahoma" w:hAnsi="Tahoma" w:cs="Tahoma"/>
      <w:sz w:val="16"/>
      <w:szCs w:val="16"/>
    </w:rPr>
  </w:style>
  <w:style w:type="character" w:styleId="Strong">
    <w:name w:val="Strong"/>
    <w:basedOn w:val="DefaultParagraphFont"/>
    <w:uiPriority w:val="22"/>
    <w:qFormat/>
    <w:rsid w:val="00B60AB0"/>
    <w:rPr>
      <w:b/>
      <w:bCs/>
    </w:rPr>
  </w:style>
  <w:style w:type="character" w:customStyle="1" w:styleId="ms-1">
    <w:name w:val="ms-1"/>
    <w:basedOn w:val="DefaultParagraphFont"/>
    <w:rsid w:val="00334FD0"/>
  </w:style>
  <w:style w:type="character" w:customStyle="1" w:styleId="max-w-15ch">
    <w:name w:val="max-w-[15ch]"/>
    <w:basedOn w:val="DefaultParagraphFont"/>
    <w:rsid w:val="00334FD0"/>
  </w:style>
  <w:style w:type="character" w:customStyle="1" w:styleId="-me-1">
    <w:name w:val="-me-1"/>
    <w:basedOn w:val="DefaultParagraphFont"/>
    <w:rsid w:val="00D93A47"/>
  </w:style>
  <w:style w:type="character" w:customStyle="1" w:styleId="Heading3Char">
    <w:name w:val="Heading 3 Char"/>
    <w:basedOn w:val="DefaultParagraphFont"/>
    <w:link w:val="Heading3"/>
    <w:uiPriority w:val="9"/>
    <w:rsid w:val="00B17748"/>
    <w:rPr>
      <w:rFonts w:asciiTheme="majorHAnsi" w:eastAsiaTheme="majorEastAsia" w:hAnsiTheme="majorHAnsi" w:cstheme="majorBidi"/>
      <w:b/>
      <w:bCs/>
      <w:sz w:val="24"/>
    </w:rPr>
  </w:style>
  <w:style w:type="paragraph" w:styleId="NormalWeb">
    <w:name w:val="Normal (Web)"/>
    <w:basedOn w:val="Normal"/>
    <w:uiPriority w:val="99"/>
    <w:unhideWhenUsed/>
    <w:rsid w:val="00EC38D1"/>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EC38D1"/>
    <w:rPr>
      <w:i/>
      <w:iCs/>
    </w:rPr>
  </w:style>
  <w:style w:type="paragraph" w:styleId="ListParagraph">
    <w:name w:val="List Paragraph"/>
    <w:basedOn w:val="Normal"/>
    <w:uiPriority w:val="34"/>
    <w:qFormat/>
    <w:rsid w:val="00182839"/>
    <w:pPr>
      <w:ind w:left="720"/>
      <w:contextualSpacing/>
    </w:pPr>
  </w:style>
  <w:style w:type="character" w:customStyle="1" w:styleId="Heading2Char">
    <w:name w:val="Heading 2 Char"/>
    <w:basedOn w:val="DefaultParagraphFont"/>
    <w:link w:val="Heading2"/>
    <w:uiPriority w:val="9"/>
    <w:rsid w:val="009716FF"/>
    <w:rPr>
      <w:rFonts w:asciiTheme="majorHAnsi" w:eastAsiaTheme="majorEastAsia" w:hAnsiTheme="majorHAnsi" w:cstheme="majorBidi"/>
      <w:b/>
      <w:bCs/>
      <w:sz w:val="24"/>
      <w:szCs w:val="26"/>
    </w:rPr>
  </w:style>
  <w:style w:type="character" w:styleId="Hyperlink">
    <w:name w:val="Hyperlink"/>
    <w:basedOn w:val="DefaultParagraphFont"/>
    <w:uiPriority w:val="99"/>
    <w:unhideWhenUsed/>
    <w:rsid w:val="009242D3"/>
    <w:rPr>
      <w:color w:val="0000FF" w:themeColor="hyperlink"/>
      <w:u w:val="single"/>
    </w:rPr>
  </w:style>
  <w:style w:type="character" w:customStyle="1" w:styleId="Heading4Char">
    <w:name w:val="Heading 4 Char"/>
    <w:basedOn w:val="DefaultParagraphFont"/>
    <w:link w:val="Heading4"/>
    <w:uiPriority w:val="9"/>
    <w:semiHidden/>
    <w:rsid w:val="00B17748"/>
    <w:rPr>
      <w:rFonts w:asciiTheme="majorHAnsi" w:eastAsiaTheme="majorEastAsia" w:hAnsiTheme="majorHAnsi" w:cstheme="majorBidi"/>
      <w:b/>
      <w:bCs/>
      <w:i/>
      <w:iCs/>
      <w:color w:val="4F81BD" w:themeColor="accent1"/>
      <w:sz w:val="24"/>
    </w:rPr>
  </w:style>
  <w:style w:type="paragraph" w:styleId="Header">
    <w:name w:val="header"/>
    <w:basedOn w:val="Normal"/>
    <w:link w:val="HeaderChar"/>
    <w:uiPriority w:val="99"/>
    <w:unhideWhenUsed/>
    <w:rsid w:val="00F505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5BC"/>
    <w:rPr>
      <w:rFonts w:ascii="Times New Roman" w:hAnsi="Times New Roman"/>
      <w:sz w:val="24"/>
    </w:rPr>
  </w:style>
  <w:style w:type="paragraph" w:styleId="Footer">
    <w:name w:val="footer"/>
    <w:basedOn w:val="Normal"/>
    <w:link w:val="FooterChar"/>
    <w:uiPriority w:val="99"/>
    <w:unhideWhenUsed/>
    <w:rsid w:val="00F505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5BC"/>
    <w:rPr>
      <w:rFonts w:ascii="Times New Roman" w:hAnsi="Times New Roman"/>
      <w:sz w:val="24"/>
    </w:rPr>
  </w:style>
  <w:style w:type="paragraph" w:styleId="NoSpacing">
    <w:name w:val="No Spacing"/>
    <w:uiPriority w:val="1"/>
    <w:qFormat/>
    <w:rsid w:val="004C605E"/>
    <w:pPr>
      <w:spacing w:after="0" w:line="240" w:lineRule="auto"/>
      <w:jc w:val="both"/>
    </w:pPr>
    <w:rPr>
      <w:rFonts w:ascii="Times New Roman" w:hAnsi="Times New Roman"/>
      <w:sz w:val="24"/>
    </w:rPr>
  </w:style>
  <w:style w:type="character" w:customStyle="1" w:styleId="whitespace-normal">
    <w:name w:val="whitespace-normal"/>
    <w:basedOn w:val="DefaultParagraphFont"/>
    <w:rsid w:val="008219F4"/>
  </w:style>
  <w:style w:type="table" w:styleId="TableGrid">
    <w:name w:val="Table Grid"/>
    <w:basedOn w:val="TableNormal"/>
    <w:uiPriority w:val="39"/>
    <w:rsid w:val="00441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07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591">
      <w:bodyDiv w:val="1"/>
      <w:marLeft w:val="0"/>
      <w:marRight w:val="0"/>
      <w:marTop w:val="0"/>
      <w:marBottom w:val="0"/>
      <w:divBdr>
        <w:top w:val="none" w:sz="0" w:space="0" w:color="auto"/>
        <w:left w:val="none" w:sz="0" w:space="0" w:color="auto"/>
        <w:bottom w:val="none" w:sz="0" w:space="0" w:color="auto"/>
        <w:right w:val="none" w:sz="0" w:space="0" w:color="auto"/>
      </w:divBdr>
    </w:div>
    <w:div w:id="10955515">
      <w:bodyDiv w:val="1"/>
      <w:marLeft w:val="0"/>
      <w:marRight w:val="0"/>
      <w:marTop w:val="0"/>
      <w:marBottom w:val="0"/>
      <w:divBdr>
        <w:top w:val="none" w:sz="0" w:space="0" w:color="auto"/>
        <w:left w:val="none" w:sz="0" w:space="0" w:color="auto"/>
        <w:bottom w:val="none" w:sz="0" w:space="0" w:color="auto"/>
        <w:right w:val="none" w:sz="0" w:space="0" w:color="auto"/>
      </w:divBdr>
    </w:div>
    <w:div w:id="15664300">
      <w:bodyDiv w:val="1"/>
      <w:marLeft w:val="0"/>
      <w:marRight w:val="0"/>
      <w:marTop w:val="0"/>
      <w:marBottom w:val="0"/>
      <w:divBdr>
        <w:top w:val="none" w:sz="0" w:space="0" w:color="auto"/>
        <w:left w:val="none" w:sz="0" w:space="0" w:color="auto"/>
        <w:bottom w:val="none" w:sz="0" w:space="0" w:color="auto"/>
        <w:right w:val="none" w:sz="0" w:space="0" w:color="auto"/>
      </w:divBdr>
    </w:div>
    <w:div w:id="29185473">
      <w:bodyDiv w:val="1"/>
      <w:marLeft w:val="0"/>
      <w:marRight w:val="0"/>
      <w:marTop w:val="0"/>
      <w:marBottom w:val="0"/>
      <w:divBdr>
        <w:top w:val="none" w:sz="0" w:space="0" w:color="auto"/>
        <w:left w:val="none" w:sz="0" w:space="0" w:color="auto"/>
        <w:bottom w:val="none" w:sz="0" w:space="0" w:color="auto"/>
        <w:right w:val="none" w:sz="0" w:space="0" w:color="auto"/>
      </w:divBdr>
    </w:div>
    <w:div w:id="30611408">
      <w:bodyDiv w:val="1"/>
      <w:marLeft w:val="0"/>
      <w:marRight w:val="0"/>
      <w:marTop w:val="0"/>
      <w:marBottom w:val="0"/>
      <w:divBdr>
        <w:top w:val="none" w:sz="0" w:space="0" w:color="auto"/>
        <w:left w:val="none" w:sz="0" w:space="0" w:color="auto"/>
        <w:bottom w:val="none" w:sz="0" w:space="0" w:color="auto"/>
        <w:right w:val="none" w:sz="0" w:space="0" w:color="auto"/>
      </w:divBdr>
    </w:div>
    <w:div w:id="49497410">
      <w:bodyDiv w:val="1"/>
      <w:marLeft w:val="0"/>
      <w:marRight w:val="0"/>
      <w:marTop w:val="0"/>
      <w:marBottom w:val="0"/>
      <w:divBdr>
        <w:top w:val="none" w:sz="0" w:space="0" w:color="auto"/>
        <w:left w:val="none" w:sz="0" w:space="0" w:color="auto"/>
        <w:bottom w:val="none" w:sz="0" w:space="0" w:color="auto"/>
        <w:right w:val="none" w:sz="0" w:space="0" w:color="auto"/>
      </w:divBdr>
    </w:div>
    <w:div w:id="75830693">
      <w:bodyDiv w:val="1"/>
      <w:marLeft w:val="0"/>
      <w:marRight w:val="0"/>
      <w:marTop w:val="0"/>
      <w:marBottom w:val="0"/>
      <w:divBdr>
        <w:top w:val="none" w:sz="0" w:space="0" w:color="auto"/>
        <w:left w:val="none" w:sz="0" w:space="0" w:color="auto"/>
        <w:bottom w:val="none" w:sz="0" w:space="0" w:color="auto"/>
        <w:right w:val="none" w:sz="0" w:space="0" w:color="auto"/>
      </w:divBdr>
    </w:div>
    <w:div w:id="102696156">
      <w:bodyDiv w:val="1"/>
      <w:marLeft w:val="0"/>
      <w:marRight w:val="0"/>
      <w:marTop w:val="0"/>
      <w:marBottom w:val="0"/>
      <w:divBdr>
        <w:top w:val="none" w:sz="0" w:space="0" w:color="auto"/>
        <w:left w:val="none" w:sz="0" w:space="0" w:color="auto"/>
        <w:bottom w:val="none" w:sz="0" w:space="0" w:color="auto"/>
        <w:right w:val="none" w:sz="0" w:space="0" w:color="auto"/>
      </w:divBdr>
    </w:div>
    <w:div w:id="111364590">
      <w:bodyDiv w:val="1"/>
      <w:marLeft w:val="0"/>
      <w:marRight w:val="0"/>
      <w:marTop w:val="0"/>
      <w:marBottom w:val="0"/>
      <w:divBdr>
        <w:top w:val="none" w:sz="0" w:space="0" w:color="auto"/>
        <w:left w:val="none" w:sz="0" w:space="0" w:color="auto"/>
        <w:bottom w:val="none" w:sz="0" w:space="0" w:color="auto"/>
        <w:right w:val="none" w:sz="0" w:space="0" w:color="auto"/>
      </w:divBdr>
    </w:div>
    <w:div w:id="128398504">
      <w:bodyDiv w:val="1"/>
      <w:marLeft w:val="0"/>
      <w:marRight w:val="0"/>
      <w:marTop w:val="0"/>
      <w:marBottom w:val="0"/>
      <w:divBdr>
        <w:top w:val="none" w:sz="0" w:space="0" w:color="auto"/>
        <w:left w:val="none" w:sz="0" w:space="0" w:color="auto"/>
        <w:bottom w:val="none" w:sz="0" w:space="0" w:color="auto"/>
        <w:right w:val="none" w:sz="0" w:space="0" w:color="auto"/>
      </w:divBdr>
    </w:div>
    <w:div w:id="128861581">
      <w:bodyDiv w:val="1"/>
      <w:marLeft w:val="0"/>
      <w:marRight w:val="0"/>
      <w:marTop w:val="0"/>
      <w:marBottom w:val="0"/>
      <w:divBdr>
        <w:top w:val="none" w:sz="0" w:space="0" w:color="auto"/>
        <w:left w:val="none" w:sz="0" w:space="0" w:color="auto"/>
        <w:bottom w:val="none" w:sz="0" w:space="0" w:color="auto"/>
        <w:right w:val="none" w:sz="0" w:space="0" w:color="auto"/>
      </w:divBdr>
    </w:div>
    <w:div w:id="130830857">
      <w:bodyDiv w:val="1"/>
      <w:marLeft w:val="0"/>
      <w:marRight w:val="0"/>
      <w:marTop w:val="0"/>
      <w:marBottom w:val="0"/>
      <w:divBdr>
        <w:top w:val="none" w:sz="0" w:space="0" w:color="auto"/>
        <w:left w:val="none" w:sz="0" w:space="0" w:color="auto"/>
        <w:bottom w:val="none" w:sz="0" w:space="0" w:color="auto"/>
        <w:right w:val="none" w:sz="0" w:space="0" w:color="auto"/>
      </w:divBdr>
    </w:div>
    <w:div w:id="179977204">
      <w:bodyDiv w:val="1"/>
      <w:marLeft w:val="0"/>
      <w:marRight w:val="0"/>
      <w:marTop w:val="0"/>
      <w:marBottom w:val="0"/>
      <w:divBdr>
        <w:top w:val="none" w:sz="0" w:space="0" w:color="auto"/>
        <w:left w:val="none" w:sz="0" w:space="0" w:color="auto"/>
        <w:bottom w:val="none" w:sz="0" w:space="0" w:color="auto"/>
        <w:right w:val="none" w:sz="0" w:space="0" w:color="auto"/>
      </w:divBdr>
    </w:div>
    <w:div w:id="180246871">
      <w:bodyDiv w:val="1"/>
      <w:marLeft w:val="0"/>
      <w:marRight w:val="0"/>
      <w:marTop w:val="0"/>
      <w:marBottom w:val="0"/>
      <w:divBdr>
        <w:top w:val="none" w:sz="0" w:space="0" w:color="auto"/>
        <w:left w:val="none" w:sz="0" w:space="0" w:color="auto"/>
        <w:bottom w:val="none" w:sz="0" w:space="0" w:color="auto"/>
        <w:right w:val="none" w:sz="0" w:space="0" w:color="auto"/>
      </w:divBdr>
    </w:div>
    <w:div w:id="183057514">
      <w:bodyDiv w:val="1"/>
      <w:marLeft w:val="0"/>
      <w:marRight w:val="0"/>
      <w:marTop w:val="0"/>
      <w:marBottom w:val="0"/>
      <w:divBdr>
        <w:top w:val="none" w:sz="0" w:space="0" w:color="auto"/>
        <w:left w:val="none" w:sz="0" w:space="0" w:color="auto"/>
        <w:bottom w:val="none" w:sz="0" w:space="0" w:color="auto"/>
        <w:right w:val="none" w:sz="0" w:space="0" w:color="auto"/>
      </w:divBdr>
    </w:div>
    <w:div w:id="198013955">
      <w:bodyDiv w:val="1"/>
      <w:marLeft w:val="0"/>
      <w:marRight w:val="0"/>
      <w:marTop w:val="0"/>
      <w:marBottom w:val="0"/>
      <w:divBdr>
        <w:top w:val="none" w:sz="0" w:space="0" w:color="auto"/>
        <w:left w:val="none" w:sz="0" w:space="0" w:color="auto"/>
        <w:bottom w:val="none" w:sz="0" w:space="0" w:color="auto"/>
        <w:right w:val="none" w:sz="0" w:space="0" w:color="auto"/>
      </w:divBdr>
    </w:div>
    <w:div w:id="230240762">
      <w:bodyDiv w:val="1"/>
      <w:marLeft w:val="0"/>
      <w:marRight w:val="0"/>
      <w:marTop w:val="0"/>
      <w:marBottom w:val="0"/>
      <w:divBdr>
        <w:top w:val="none" w:sz="0" w:space="0" w:color="auto"/>
        <w:left w:val="none" w:sz="0" w:space="0" w:color="auto"/>
        <w:bottom w:val="none" w:sz="0" w:space="0" w:color="auto"/>
        <w:right w:val="none" w:sz="0" w:space="0" w:color="auto"/>
      </w:divBdr>
    </w:div>
    <w:div w:id="238714551">
      <w:bodyDiv w:val="1"/>
      <w:marLeft w:val="0"/>
      <w:marRight w:val="0"/>
      <w:marTop w:val="0"/>
      <w:marBottom w:val="0"/>
      <w:divBdr>
        <w:top w:val="none" w:sz="0" w:space="0" w:color="auto"/>
        <w:left w:val="none" w:sz="0" w:space="0" w:color="auto"/>
        <w:bottom w:val="none" w:sz="0" w:space="0" w:color="auto"/>
        <w:right w:val="none" w:sz="0" w:space="0" w:color="auto"/>
      </w:divBdr>
    </w:div>
    <w:div w:id="244416082">
      <w:bodyDiv w:val="1"/>
      <w:marLeft w:val="0"/>
      <w:marRight w:val="0"/>
      <w:marTop w:val="0"/>
      <w:marBottom w:val="0"/>
      <w:divBdr>
        <w:top w:val="none" w:sz="0" w:space="0" w:color="auto"/>
        <w:left w:val="none" w:sz="0" w:space="0" w:color="auto"/>
        <w:bottom w:val="none" w:sz="0" w:space="0" w:color="auto"/>
        <w:right w:val="none" w:sz="0" w:space="0" w:color="auto"/>
      </w:divBdr>
    </w:div>
    <w:div w:id="255942461">
      <w:bodyDiv w:val="1"/>
      <w:marLeft w:val="0"/>
      <w:marRight w:val="0"/>
      <w:marTop w:val="0"/>
      <w:marBottom w:val="0"/>
      <w:divBdr>
        <w:top w:val="none" w:sz="0" w:space="0" w:color="auto"/>
        <w:left w:val="none" w:sz="0" w:space="0" w:color="auto"/>
        <w:bottom w:val="none" w:sz="0" w:space="0" w:color="auto"/>
        <w:right w:val="none" w:sz="0" w:space="0" w:color="auto"/>
      </w:divBdr>
    </w:div>
    <w:div w:id="256211810">
      <w:bodyDiv w:val="1"/>
      <w:marLeft w:val="0"/>
      <w:marRight w:val="0"/>
      <w:marTop w:val="0"/>
      <w:marBottom w:val="0"/>
      <w:divBdr>
        <w:top w:val="none" w:sz="0" w:space="0" w:color="auto"/>
        <w:left w:val="none" w:sz="0" w:space="0" w:color="auto"/>
        <w:bottom w:val="none" w:sz="0" w:space="0" w:color="auto"/>
        <w:right w:val="none" w:sz="0" w:space="0" w:color="auto"/>
      </w:divBdr>
    </w:div>
    <w:div w:id="257563132">
      <w:bodyDiv w:val="1"/>
      <w:marLeft w:val="0"/>
      <w:marRight w:val="0"/>
      <w:marTop w:val="0"/>
      <w:marBottom w:val="0"/>
      <w:divBdr>
        <w:top w:val="none" w:sz="0" w:space="0" w:color="auto"/>
        <w:left w:val="none" w:sz="0" w:space="0" w:color="auto"/>
        <w:bottom w:val="none" w:sz="0" w:space="0" w:color="auto"/>
        <w:right w:val="none" w:sz="0" w:space="0" w:color="auto"/>
      </w:divBdr>
    </w:div>
    <w:div w:id="261381018">
      <w:bodyDiv w:val="1"/>
      <w:marLeft w:val="0"/>
      <w:marRight w:val="0"/>
      <w:marTop w:val="0"/>
      <w:marBottom w:val="0"/>
      <w:divBdr>
        <w:top w:val="none" w:sz="0" w:space="0" w:color="auto"/>
        <w:left w:val="none" w:sz="0" w:space="0" w:color="auto"/>
        <w:bottom w:val="none" w:sz="0" w:space="0" w:color="auto"/>
        <w:right w:val="none" w:sz="0" w:space="0" w:color="auto"/>
      </w:divBdr>
    </w:div>
    <w:div w:id="284628962">
      <w:bodyDiv w:val="1"/>
      <w:marLeft w:val="0"/>
      <w:marRight w:val="0"/>
      <w:marTop w:val="0"/>
      <w:marBottom w:val="0"/>
      <w:divBdr>
        <w:top w:val="none" w:sz="0" w:space="0" w:color="auto"/>
        <w:left w:val="none" w:sz="0" w:space="0" w:color="auto"/>
        <w:bottom w:val="none" w:sz="0" w:space="0" w:color="auto"/>
        <w:right w:val="none" w:sz="0" w:space="0" w:color="auto"/>
      </w:divBdr>
    </w:div>
    <w:div w:id="299650466">
      <w:bodyDiv w:val="1"/>
      <w:marLeft w:val="0"/>
      <w:marRight w:val="0"/>
      <w:marTop w:val="0"/>
      <w:marBottom w:val="0"/>
      <w:divBdr>
        <w:top w:val="none" w:sz="0" w:space="0" w:color="auto"/>
        <w:left w:val="none" w:sz="0" w:space="0" w:color="auto"/>
        <w:bottom w:val="none" w:sz="0" w:space="0" w:color="auto"/>
        <w:right w:val="none" w:sz="0" w:space="0" w:color="auto"/>
      </w:divBdr>
    </w:div>
    <w:div w:id="299768137">
      <w:bodyDiv w:val="1"/>
      <w:marLeft w:val="0"/>
      <w:marRight w:val="0"/>
      <w:marTop w:val="0"/>
      <w:marBottom w:val="0"/>
      <w:divBdr>
        <w:top w:val="none" w:sz="0" w:space="0" w:color="auto"/>
        <w:left w:val="none" w:sz="0" w:space="0" w:color="auto"/>
        <w:bottom w:val="none" w:sz="0" w:space="0" w:color="auto"/>
        <w:right w:val="none" w:sz="0" w:space="0" w:color="auto"/>
      </w:divBdr>
    </w:div>
    <w:div w:id="300696561">
      <w:bodyDiv w:val="1"/>
      <w:marLeft w:val="0"/>
      <w:marRight w:val="0"/>
      <w:marTop w:val="0"/>
      <w:marBottom w:val="0"/>
      <w:divBdr>
        <w:top w:val="none" w:sz="0" w:space="0" w:color="auto"/>
        <w:left w:val="none" w:sz="0" w:space="0" w:color="auto"/>
        <w:bottom w:val="none" w:sz="0" w:space="0" w:color="auto"/>
        <w:right w:val="none" w:sz="0" w:space="0" w:color="auto"/>
      </w:divBdr>
    </w:div>
    <w:div w:id="315643688">
      <w:bodyDiv w:val="1"/>
      <w:marLeft w:val="0"/>
      <w:marRight w:val="0"/>
      <w:marTop w:val="0"/>
      <w:marBottom w:val="0"/>
      <w:divBdr>
        <w:top w:val="none" w:sz="0" w:space="0" w:color="auto"/>
        <w:left w:val="none" w:sz="0" w:space="0" w:color="auto"/>
        <w:bottom w:val="none" w:sz="0" w:space="0" w:color="auto"/>
        <w:right w:val="none" w:sz="0" w:space="0" w:color="auto"/>
      </w:divBdr>
    </w:div>
    <w:div w:id="319503528">
      <w:bodyDiv w:val="1"/>
      <w:marLeft w:val="0"/>
      <w:marRight w:val="0"/>
      <w:marTop w:val="0"/>
      <w:marBottom w:val="0"/>
      <w:divBdr>
        <w:top w:val="none" w:sz="0" w:space="0" w:color="auto"/>
        <w:left w:val="none" w:sz="0" w:space="0" w:color="auto"/>
        <w:bottom w:val="none" w:sz="0" w:space="0" w:color="auto"/>
        <w:right w:val="none" w:sz="0" w:space="0" w:color="auto"/>
      </w:divBdr>
    </w:div>
    <w:div w:id="336467278">
      <w:bodyDiv w:val="1"/>
      <w:marLeft w:val="0"/>
      <w:marRight w:val="0"/>
      <w:marTop w:val="0"/>
      <w:marBottom w:val="0"/>
      <w:divBdr>
        <w:top w:val="none" w:sz="0" w:space="0" w:color="auto"/>
        <w:left w:val="none" w:sz="0" w:space="0" w:color="auto"/>
        <w:bottom w:val="none" w:sz="0" w:space="0" w:color="auto"/>
        <w:right w:val="none" w:sz="0" w:space="0" w:color="auto"/>
      </w:divBdr>
    </w:div>
    <w:div w:id="341246934">
      <w:bodyDiv w:val="1"/>
      <w:marLeft w:val="0"/>
      <w:marRight w:val="0"/>
      <w:marTop w:val="0"/>
      <w:marBottom w:val="0"/>
      <w:divBdr>
        <w:top w:val="none" w:sz="0" w:space="0" w:color="auto"/>
        <w:left w:val="none" w:sz="0" w:space="0" w:color="auto"/>
        <w:bottom w:val="none" w:sz="0" w:space="0" w:color="auto"/>
        <w:right w:val="none" w:sz="0" w:space="0" w:color="auto"/>
      </w:divBdr>
    </w:div>
    <w:div w:id="363528937">
      <w:bodyDiv w:val="1"/>
      <w:marLeft w:val="0"/>
      <w:marRight w:val="0"/>
      <w:marTop w:val="0"/>
      <w:marBottom w:val="0"/>
      <w:divBdr>
        <w:top w:val="none" w:sz="0" w:space="0" w:color="auto"/>
        <w:left w:val="none" w:sz="0" w:space="0" w:color="auto"/>
        <w:bottom w:val="none" w:sz="0" w:space="0" w:color="auto"/>
        <w:right w:val="none" w:sz="0" w:space="0" w:color="auto"/>
      </w:divBdr>
    </w:div>
    <w:div w:id="404377138">
      <w:bodyDiv w:val="1"/>
      <w:marLeft w:val="0"/>
      <w:marRight w:val="0"/>
      <w:marTop w:val="0"/>
      <w:marBottom w:val="0"/>
      <w:divBdr>
        <w:top w:val="none" w:sz="0" w:space="0" w:color="auto"/>
        <w:left w:val="none" w:sz="0" w:space="0" w:color="auto"/>
        <w:bottom w:val="none" w:sz="0" w:space="0" w:color="auto"/>
        <w:right w:val="none" w:sz="0" w:space="0" w:color="auto"/>
      </w:divBdr>
    </w:div>
    <w:div w:id="410583446">
      <w:bodyDiv w:val="1"/>
      <w:marLeft w:val="0"/>
      <w:marRight w:val="0"/>
      <w:marTop w:val="0"/>
      <w:marBottom w:val="0"/>
      <w:divBdr>
        <w:top w:val="none" w:sz="0" w:space="0" w:color="auto"/>
        <w:left w:val="none" w:sz="0" w:space="0" w:color="auto"/>
        <w:bottom w:val="none" w:sz="0" w:space="0" w:color="auto"/>
        <w:right w:val="none" w:sz="0" w:space="0" w:color="auto"/>
      </w:divBdr>
    </w:div>
    <w:div w:id="417020261">
      <w:bodyDiv w:val="1"/>
      <w:marLeft w:val="0"/>
      <w:marRight w:val="0"/>
      <w:marTop w:val="0"/>
      <w:marBottom w:val="0"/>
      <w:divBdr>
        <w:top w:val="none" w:sz="0" w:space="0" w:color="auto"/>
        <w:left w:val="none" w:sz="0" w:space="0" w:color="auto"/>
        <w:bottom w:val="none" w:sz="0" w:space="0" w:color="auto"/>
        <w:right w:val="none" w:sz="0" w:space="0" w:color="auto"/>
      </w:divBdr>
    </w:div>
    <w:div w:id="417337218">
      <w:bodyDiv w:val="1"/>
      <w:marLeft w:val="0"/>
      <w:marRight w:val="0"/>
      <w:marTop w:val="0"/>
      <w:marBottom w:val="0"/>
      <w:divBdr>
        <w:top w:val="none" w:sz="0" w:space="0" w:color="auto"/>
        <w:left w:val="none" w:sz="0" w:space="0" w:color="auto"/>
        <w:bottom w:val="none" w:sz="0" w:space="0" w:color="auto"/>
        <w:right w:val="none" w:sz="0" w:space="0" w:color="auto"/>
      </w:divBdr>
    </w:div>
    <w:div w:id="487523577">
      <w:bodyDiv w:val="1"/>
      <w:marLeft w:val="0"/>
      <w:marRight w:val="0"/>
      <w:marTop w:val="0"/>
      <w:marBottom w:val="0"/>
      <w:divBdr>
        <w:top w:val="none" w:sz="0" w:space="0" w:color="auto"/>
        <w:left w:val="none" w:sz="0" w:space="0" w:color="auto"/>
        <w:bottom w:val="none" w:sz="0" w:space="0" w:color="auto"/>
        <w:right w:val="none" w:sz="0" w:space="0" w:color="auto"/>
      </w:divBdr>
    </w:div>
    <w:div w:id="527447345">
      <w:bodyDiv w:val="1"/>
      <w:marLeft w:val="0"/>
      <w:marRight w:val="0"/>
      <w:marTop w:val="0"/>
      <w:marBottom w:val="0"/>
      <w:divBdr>
        <w:top w:val="none" w:sz="0" w:space="0" w:color="auto"/>
        <w:left w:val="none" w:sz="0" w:space="0" w:color="auto"/>
        <w:bottom w:val="none" w:sz="0" w:space="0" w:color="auto"/>
        <w:right w:val="none" w:sz="0" w:space="0" w:color="auto"/>
      </w:divBdr>
    </w:div>
    <w:div w:id="535969309">
      <w:bodyDiv w:val="1"/>
      <w:marLeft w:val="0"/>
      <w:marRight w:val="0"/>
      <w:marTop w:val="0"/>
      <w:marBottom w:val="0"/>
      <w:divBdr>
        <w:top w:val="none" w:sz="0" w:space="0" w:color="auto"/>
        <w:left w:val="none" w:sz="0" w:space="0" w:color="auto"/>
        <w:bottom w:val="none" w:sz="0" w:space="0" w:color="auto"/>
        <w:right w:val="none" w:sz="0" w:space="0" w:color="auto"/>
      </w:divBdr>
    </w:div>
    <w:div w:id="537468510">
      <w:bodyDiv w:val="1"/>
      <w:marLeft w:val="0"/>
      <w:marRight w:val="0"/>
      <w:marTop w:val="0"/>
      <w:marBottom w:val="0"/>
      <w:divBdr>
        <w:top w:val="none" w:sz="0" w:space="0" w:color="auto"/>
        <w:left w:val="none" w:sz="0" w:space="0" w:color="auto"/>
        <w:bottom w:val="none" w:sz="0" w:space="0" w:color="auto"/>
        <w:right w:val="none" w:sz="0" w:space="0" w:color="auto"/>
      </w:divBdr>
    </w:div>
    <w:div w:id="557319800">
      <w:bodyDiv w:val="1"/>
      <w:marLeft w:val="0"/>
      <w:marRight w:val="0"/>
      <w:marTop w:val="0"/>
      <w:marBottom w:val="0"/>
      <w:divBdr>
        <w:top w:val="none" w:sz="0" w:space="0" w:color="auto"/>
        <w:left w:val="none" w:sz="0" w:space="0" w:color="auto"/>
        <w:bottom w:val="none" w:sz="0" w:space="0" w:color="auto"/>
        <w:right w:val="none" w:sz="0" w:space="0" w:color="auto"/>
      </w:divBdr>
    </w:div>
    <w:div w:id="563833730">
      <w:bodyDiv w:val="1"/>
      <w:marLeft w:val="0"/>
      <w:marRight w:val="0"/>
      <w:marTop w:val="0"/>
      <w:marBottom w:val="0"/>
      <w:divBdr>
        <w:top w:val="none" w:sz="0" w:space="0" w:color="auto"/>
        <w:left w:val="none" w:sz="0" w:space="0" w:color="auto"/>
        <w:bottom w:val="none" w:sz="0" w:space="0" w:color="auto"/>
        <w:right w:val="none" w:sz="0" w:space="0" w:color="auto"/>
      </w:divBdr>
    </w:div>
    <w:div w:id="578372683">
      <w:bodyDiv w:val="1"/>
      <w:marLeft w:val="0"/>
      <w:marRight w:val="0"/>
      <w:marTop w:val="0"/>
      <w:marBottom w:val="0"/>
      <w:divBdr>
        <w:top w:val="none" w:sz="0" w:space="0" w:color="auto"/>
        <w:left w:val="none" w:sz="0" w:space="0" w:color="auto"/>
        <w:bottom w:val="none" w:sz="0" w:space="0" w:color="auto"/>
        <w:right w:val="none" w:sz="0" w:space="0" w:color="auto"/>
      </w:divBdr>
    </w:div>
    <w:div w:id="592670549">
      <w:bodyDiv w:val="1"/>
      <w:marLeft w:val="0"/>
      <w:marRight w:val="0"/>
      <w:marTop w:val="0"/>
      <w:marBottom w:val="0"/>
      <w:divBdr>
        <w:top w:val="none" w:sz="0" w:space="0" w:color="auto"/>
        <w:left w:val="none" w:sz="0" w:space="0" w:color="auto"/>
        <w:bottom w:val="none" w:sz="0" w:space="0" w:color="auto"/>
        <w:right w:val="none" w:sz="0" w:space="0" w:color="auto"/>
      </w:divBdr>
    </w:div>
    <w:div w:id="614020688">
      <w:bodyDiv w:val="1"/>
      <w:marLeft w:val="0"/>
      <w:marRight w:val="0"/>
      <w:marTop w:val="0"/>
      <w:marBottom w:val="0"/>
      <w:divBdr>
        <w:top w:val="none" w:sz="0" w:space="0" w:color="auto"/>
        <w:left w:val="none" w:sz="0" w:space="0" w:color="auto"/>
        <w:bottom w:val="none" w:sz="0" w:space="0" w:color="auto"/>
        <w:right w:val="none" w:sz="0" w:space="0" w:color="auto"/>
      </w:divBdr>
    </w:div>
    <w:div w:id="628978037">
      <w:bodyDiv w:val="1"/>
      <w:marLeft w:val="0"/>
      <w:marRight w:val="0"/>
      <w:marTop w:val="0"/>
      <w:marBottom w:val="0"/>
      <w:divBdr>
        <w:top w:val="none" w:sz="0" w:space="0" w:color="auto"/>
        <w:left w:val="none" w:sz="0" w:space="0" w:color="auto"/>
        <w:bottom w:val="none" w:sz="0" w:space="0" w:color="auto"/>
        <w:right w:val="none" w:sz="0" w:space="0" w:color="auto"/>
      </w:divBdr>
    </w:div>
    <w:div w:id="646085685">
      <w:bodyDiv w:val="1"/>
      <w:marLeft w:val="0"/>
      <w:marRight w:val="0"/>
      <w:marTop w:val="0"/>
      <w:marBottom w:val="0"/>
      <w:divBdr>
        <w:top w:val="none" w:sz="0" w:space="0" w:color="auto"/>
        <w:left w:val="none" w:sz="0" w:space="0" w:color="auto"/>
        <w:bottom w:val="none" w:sz="0" w:space="0" w:color="auto"/>
        <w:right w:val="none" w:sz="0" w:space="0" w:color="auto"/>
      </w:divBdr>
    </w:div>
    <w:div w:id="652565412">
      <w:bodyDiv w:val="1"/>
      <w:marLeft w:val="0"/>
      <w:marRight w:val="0"/>
      <w:marTop w:val="0"/>
      <w:marBottom w:val="0"/>
      <w:divBdr>
        <w:top w:val="none" w:sz="0" w:space="0" w:color="auto"/>
        <w:left w:val="none" w:sz="0" w:space="0" w:color="auto"/>
        <w:bottom w:val="none" w:sz="0" w:space="0" w:color="auto"/>
        <w:right w:val="none" w:sz="0" w:space="0" w:color="auto"/>
      </w:divBdr>
    </w:div>
    <w:div w:id="655456414">
      <w:bodyDiv w:val="1"/>
      <w:marLeft w:val="0"/>
      <w:marRight w:val="0"/>
      <w:marTop w:val="0"/>
      <w:marBottom w:val="0"/>
      <w:divBdr>
        <w:top w:val="none" w:sz="0" w:space="0" w:color="auto"/>
        <w:left w:val="none" w:sz="0" w:space="0" w:color="auto"/>
        <w:bottom w:val="none" w:sz="0" w:space="0" w:color="auto"/>
        <w:right w:val="none" w:sz="0" w:space="0" w:color="auto"/>
      </w:divBdr>
    </w:div>
    <w:div w:id="662319893">
      <w:bodyDiv w:val="1"/>
      <w:marLeft w:val="0"/>
      <w:marRight w:val="0"/>
      <w:marTop w:val="0"/>
      <w:marBottom w:val="0"/>
      <w:divBdr>
        <w:top w:val="none" w:sz="0" w:space="0" w:color="auto"/>
        <w:left w:val="none" w:sz="0" w:space="0" w:color="auto"/>
        <w:bottom w:val="none" w:sz="0" w:space="0" w:color="auto"/>
        <w:right w:val="none" w:sz="0" w:space="0" w:color="auto"/>
      </w:divBdr>
    </w:div>
    <w:div w:id="666782746">
      <w:bodyDiv w:val="1"/>
      <w:marLeft w:val="0"/>
      <w:marRight w:val="0"/>
      <w:marTop w:val="0"/>
      <w:marBottom w:val="0"/>
      <w:divBdr>
        <w:top w:val="none" w:sz="0" w:space="0" w:color="auto"/>
        <w:left w:val="none" w:sz="0" w:space="0" w:color="auto"/>
        <w:bottom w:val="none" w:sz="0" w:space="0" w:color="auto"/>
        <w:right w:val="none" w:sz="0" w:space="0" w:color="auto"/>
      </w:divBdr>
    </w:div>
    <w:div w:id="682514286">
      <w:bodyDiv w:val="1"/>
      <w:marLeft w:val="0"/>
      <w:marRight w:val="0"/>
      <w:marTop w:val="0"/>
      <w:marBottom w:val="0"/>
      <w:divBdr>
        <w:top w:val="none" w:sz="0" w:space="0" w:color="auto"/>
        <w:left w:val="none" w:sz="0" w:space="0" w:color="auto"/>
        <w:bottom w:val="none" w:sz="0" w:space="0" w:color="auto"/>
        <w:right w:val="none" w:sz="0" w:space="0" w:color="auto"/>
      </w:divBdr>
    </w:div>
    <w:div w:id="682821718">
      <w:bodyDiv w:val="1"/>
      <w:marLeft w:val="0"/>
      <w:marRight w:val="0"/>
      <w:marTop w:val="0"/>
      <w:marBottom w:val="0"/>
      <w:divBdr>
        <w:top w:val="none" w:sz="0" w:space="0" w:color="auto"/>
        <w:left w:val="none" w:sz="0" w:space="0" w:color="auto"/>
        <w:bottom w:val="none" w:sz="0" w:space="0" w:color="auto"/>
        <w:right w:val="none" w:sz="0" w:space="0" w:color="auto"/>
      </w:divBdr>
    </w:div>
    <w:div w:id="694888255">
      <w:bodyDiv w:val="1"/>
      <w:marLeft w:val="0"/>
      <w:marRight w:val="0"/>
      <w:marTop w:val="0"/>
      <w:marBottom w:val="0"/>
      <w:divBdr>
        <w:top w:val="none" w:sz="0" w:space="0" w:color="auto"/>
        <w:left w:val="none" w:sz="0" w:space="0" w:color="auto"/>
        <w:bottom w:val="none" w:sz="0" w:space="0" w:color="auto"/>
        <w:right w:val="none" w:sz="0" w:space="0" w:color="auto"/>
      </w:divBdr>
    </w:div>
    <w:div w:id="705256841">
      <w:bodyDiv w:val="1"/>
      <w:marLeft w:val="0"/>
      <w:marRight w:val="0"/>
      <w:marTop w:val="0"/>
      <w:marBottom w:val="0"/>
      <w:divBdr>
        <w:top w:val="none" w:sz="0" w:space="0" w:color="auto"/>
        <w:left w:val="none" w:sz="0" w:space="0" w:color="auto"/>
        <w:bottom w:val="none" w:sz="0" w:space="0" w:color="auto"/>
        <w:right w:val="none" w:sz="0" w:space="0" w:color="auto"/>
      </w:divBdr>
    </w:div>
    <w:div w:id="774596594">
      <w:bodyDiv w:val="1"/>
      <w:marLeft w:val="0"/>
      <w:marRight w:val="0"/>
      <w:marTop w:val="0"/>
      <w:marBottom w:val="0"/>
      <w:divBdr>
        <w:top w:val="none" w:sz="0" w:space="0" w:color="auto"/>
        <w:left w:val="none" w:sz="0" w:space="0" w:color="auto"/>
        <w:bottom w:val="none" w:sz="0" w:space="0" w:color="auto"/>
        <w:right w:val="none" w:sz="0" w:space="0" w:color="auto"/>
      </w:divBdr>
    </w:div>
    <w:div w:id="787507456">
      <w:bodyDiv w:val="1"/>
      <w:marLeft w:val="0"/>
      <w:marRight w:val="0"/>
      <w:marTop w:val="0"/>
      <w:marBottom w:val="0"/>
      <w:divBdr>
        <w:top w:val="none" w:sz="0" w:space="0" w:color="auto"/>
        <w:left w:val="none" w:sz="0" w:space="0" w:color="auto"/>
        <w:bottom w:val="none" w:sz="0" w:space="0" w:color="auto"/>
        <w:right w:val="none" w:sz="0" w:space="0" w:color="auto"/>
      </w:divBdr>
    </w:div>
    <w:div w:id="851802579">
      <w:bodyDiv w:val="1"/>
      <w:marLeft w:val="0"/>
      <w:marRight w:val="0"/>
      <w:marTop w:val="0"/>
      <w:marBottom w:val="0"/>
      <w:divBdr>
        <w:top w:val="none" w:sz="0" w:space="0" w:color="auto"/>
        <w:left w:val="none" w:sz="0" w:space="0" w:color="auto"/>
        <w:bottom w:val="none" w:sz="0" w:space="0" w:color="auto"/>
        <w:right w:val="none" w:sz="0" w:space="0" w:color="auto"/>
      </w:divBdr>
    </w:div>
    <w:div w:id="874536632">
      <w:bodyDiv w:val="1"/>
      <w:marLeft w:val="0"/>
      <w:marRight w:val="0"/>
      <w:marTop w:val="0"/>
      <w:marBottom w:val="0"/>
      <w:divBdr>
        <w:top w:val="none" w:sz="0" w:space="0" w:color="auto"/>
        <w:left w:val="none" w:sz="0" w:space="0" w:color="auto"/>
        <w:bottom w:val="none" w:sz="0" w:space="0" w:color="auto"/>
        <w:right w:val="none" w:sz="0" w:space="0" w:color="auto"/>
      </w:divBdr>
    </w:div>
    <w:div w:id="895239754">
      <w:bodyDiv w:val="1"/>
      <w:marLeft w:val="0"/>
      <w:marRight w:val="0"/>
      <w:marTop w:val="0"/>
      <w:marBottom w:val="0"/>
      <w:divBdr>
        <w:top w:val="none" w:sz="0" w:space="0" w:color="auto"/>
        <w:left w:val="none" w:sz="0" w:space="0" w:color="auto"/>
        <w:bottom w:val="none" w:sz="0" w:space="0" w:color="auto"/>
        <w:right w:val="none" w:sz="0" w:space="0" w:color="auto"/>
      </w:divBdr>
    </w:div>
    <w:div w:id="927616946">
      <w:bodyDiv w:val="1"/>
      <w:marLeft w:val="0"/>
      <w:marRight w:val="0"/>
      <w:marTop w:val="0"/>
      <w:marBottom w:val="0"/>
      <w:divBdr>
        <w:top w:val="none" w:sz="0" w:space="0" w:color="auto"/>
        <w:left w:val="none" w:sz="0" w:space="0" w:color="auto"/>
        <w:bottom w:val="none" w:sz="0" w:space="0" w:color="auto"/>
        <w:right w:val="none" w:sz="0" w:space="0" w:color="auto"/>
      </w:divBdr>
    </w:div>
    <w:div w:id="973096599">
      <w:bodyDiv w:val="1"/>
      <w:marLeft w:val="0"/>
      <w:marRight w:val="0"/>
      <w:marTop w:val="0"/>
      <w:marBottom w:val="0"/>
      <w:divBdr>
        <w:top w:val="none" w:sz="0" w:space="0" w:color="auto"/>
        <w:left w:val="none" w:sz="0" w:space="0" w:color="auto"/>
        <w:bottom w:val="none" w:sz="0" w:space="0" w:color="auto"/>
        <w:right w:val="none" w:sz="0" w:space="0" w:color="auto"/>
      </w:divBdr>
    </w:div>
    <w:div w:id="998382924">
      <w:bodyDiv w:val="1"/>
      <w:marLeft w:val="0"/>
      <w:marRight w:val="0"/>
      <w:marTop w:val="0"/>
      <w:marBottom w:val="0"/>
      <w:divBdr>
        <w:top w:val="none" w:sz="0" w:space="0" w:color="auto"/>
        <w:left w:val="none" w:sz="0" w:space="0" w:color="auto"/>
        <w:bottom w:val="none" w:sz="0" w:space="0" w:color="auto"/>
        <w:right w:val="none" w:sz="0" w:space="0" w:color="auto"/>
      </w:divBdr>
    </w:div>
    <w:div w:id="1007293565">
      <w:bodyDiv w:val="1"/>
      <w:marLeft w:val="0"/>
      <w:marRight w:val="0"/>
      <w:marTop w:val="0"/>
      <w:marBottom w:val="0"/>
      <w:divBdr>
        <w:top w:val="none" w:sz="0" w:space="0" w:color="auto"/>
        <w:left w:val="none" w:sz="0" w:space="0" w:color="auto"/>
        <w:bottom w:val="none" w:sz="0" w:space="0" w:color="auto"/>
        <w:right w:val="none" w:sz="0" w:space="0" w:color="auto"/>
      </w:divBdr>
    </w:div>
    <w:div w:id="1021853652">
      <w:bodyDiv w:val="1"/>
      <w:marLeft w:val="0"/>
      <w:marRight w:val="0"/>
      <w:marTop w:val="0"/>
      <w:marBottom w:val="0"/>
      <w:divBdr>
        <w:top w:val="none" w:sz="0" w:space="0" w:color="auto"/>
        <w:left w:val="none" w:sz="0" w:space="0" w:color="auto"/>
        <w:bottom w:val="none" w:sz="0" w:space="0" w:color="auto"/>
        <w:right w:val="none" w:sz="0" w:space="0" w:color="auto"/>
      </w:divBdr>
    </w:div>
    <w:div w:id="1042436596">
      <w:bodyDiv w:val="1"/>
      <w:marLeft w:val="0"/>
      <w:marRight w:val="0"/>
      <w:marTop w:val="0"/>
      <w:marBottom w:val="0"/>
      <w:divBdr>
        <w:top w:val="none" w:sz="0" w:space="0" w:color="auto"/>
        <w:left w:val="none" w:sz="0" w:space="0" w:color="auto"/>
        <w:bottom w:val="none" w:sz="0" w:space="0" w:color="auto"/>
        <w:right w:val="none" w:sz="0" w:space="0" w:color="auto"/>
      </w:divBdr>
    </w:div>
    <w:div w:id="1065420841">
      <w:bodyDiv w:val="1"/>
      <w:marLeft w:val="0"/>
      <w:marRight w:val="0"/>
      <w:marTop w:val="0"/>
      <w:marBottom w:val="0"/>
      <w:divBdr>
        <w:top w:val="none" w:sz="0" w:space="0" w:color="auto"/>
        <w:left w:val="none" w:sz="0" w:space="0" w:color="auto"/>
        <w:bottom w:val="none" w:sz="0" w:space="0" w:color="auto"/>
        <w:right w:val="none" w:sz="0" w:space="0" w:color="auto"/>
      </w:divBdr>
    </w:div>
    <w:div w:id="1108770136">
      <w:bodyDiv w:val="1"/>
      <w:marLeft w:val="0"/>
      <w:marRight w:val="0"/>
      <w:marTop w:val="0"/>
      <w:marBottom w:val="0"/>
      <w:divBdr>
        <w:top w:val="none" w:sz="0" w:space="0" w:color="auto"/>
        <w:left w:val="none" w:sz="0" w:space="0" w:color="auto"/>
        <w:bottom w:val="none" w:sz="0" w:space="0" w:color="auto"/>
        <w:right w:val="none" w:sz="0" w:space="0" w:color="auto"/>
      </w:divBdr>
    </w:div>
    <w:div w:id="1112090032">
      <w:bodyDiv w:val="1"/>
      <w:marLeft w:val="0"/>
      <w:marRight w:val="0"/>
      <w:marTop w:val="0"/>
      <w:marBottom w:val="0"/>
      <w:divBdr>
        <w:top w:val="none" w:sz="0" w:space="0" w:color="auto"/>
        <w:left w:val="none" w:sz="0" w:space="0" w:color="auto"/>
        <w:bottom w:val="none" w:sz="0" w:space="0" w:color="auto"/>
        <w:right w:val="none" w:sz="0" w:space="0" w:color="auto"/>
      </w:divBdr>
    </w:div>
    <w:div w:id="1131169634">
      <w:bodyDiv w:val="1"/>
      <w:marLeft w:val="0"/>
      <w:marRight w:val="0"/>
      <w:marTop w:val="0"/>
      <w:marBottom w:val="0"/>
      <w:divBdr>
        <w:top w:val="none" w:sz="0" w:space="0" w:color="auto"/>
        <w:left w:val="none" w:sz="0" w:space="0" w:color="auto"/>
        <w:bottom w:val="none" w:sz="0" w:space="0" w:color="auto"/>
        <w:right w:val="none" w:sz="0" w:space="0" w:color="auto"/>
      </w:divBdr>
    </w:div>
    <w:div w:id="1135634539">
      <w:bodyDiv w:val="1"/>
      <w:marLeft w:val="0"/>
      <w:marRight w:val="0"/>
      <w:marTop w:val="0"/>
      <w:marBottom w:val="0"/>
      <w:divBdr>
        <w:top w:val="none" w:sz="0" w:space="0" w:color="auto"/>
        <w:left w:val="none" w:sz="0" w:space="0" w:color="auto"/>
        <w:bottom w:val="none" w:sz="0" w:space="0" w:color="auto"/>
        <w:right w:val="none" w:sz="0" w:space="0" w:color="auto"/>
      </w:divBdr>
    </w:div>
    <w:div w:id="1138184450">
      <w:bodyDiv w:val="1"/>
      <w:marLeft w:val="0"/>
      <w:marRight w:val="0"/>
      <w:marTop w:val="0"/>
      <w:marBottom w:val="0"/>
      <w:divBdr>
        <w:top w:val="none" w:sz="0" w:space="0" w:color="auto"/>
        <w:left w:val="none" w:sz="0" w:space="0" w:color="auto"/>
        <w:bottom w:val="none" w:sz="0" w:space="0" w:color="auto"/>
        <w:right w:val="none" w:sz="0" w:space="0" w:color="auto"/>
      </w:divBdr>
    </w:div>
    <w:div w:id="1140420735">
      <w:bodyDiv w:val="1"/>
      <w:marLeft w:val="0"/>
      <w:marRight w:val="0"/>
      <w:marTop w:val="0"/>
      <w:marBottom w:val="0"/>
      <w:divBdr>
        <w:top w:val="none" w:sz="0" w:space="0" w:color="auto"/>
        <w:left w:val="none" w:sz="0" w:space="0" w:color="auto"/>
        <w:bottom w:val="none" w:sz="0" w:space="0" w:color="auto"/>
        <w:right w:val="none" w:sz="0" w:space="0" w:color="auto"/>
      </w:divBdr>
    </w:div>
    <w:div w:id="1151410168">
      <w:bodyDiv w:val="1"/>
      <w:marLeft w:val="0"/>
      <w:marRight w:val="0"/>
      <w:marTop w:val="0"/>
      <w:marBottom w:val="0"/>
      <w:divBdr>
        <w:top w:val="none" w:sz="0" w:space="0" w:color="auto"/>
        <w:left w:val="none" w:sz="0" w:space="0" w:color="auto"/>
        <w:bottom w:val="none" w:sz="0" w:space="0" w:color="auto"/>
        <w:right w:val="none" w:sz="0" w:space="0" w:color="auto"/>
      </w:divBdr>
    </w:div>
    <w:div w:id="1156920386">
      <w:bodyDiv w:val="1"/>
      <w:marLeft w:val="0"/>
      <w:marRight w:val="0"/>
      <w:marTop w:val="0"/>
      <w:marBottom w:val="0"/>
      <w:divBdr>
        <w:top w:val="none" w:sz="0" w:space="0" w:color="auto"/>
        <w:left w:val="none" w:sz="0" w:space="0" w:color="auto"/>
        <w:bottom w:val="none" w:sz="0" w:space="0" w:color="auto"/>
        <w:right w:val="none" w:sz="0" w:space="0" w:color="auto"/>
      </w:divBdr>
    </w:div>
    <w:div w:id="1192376127">
      <w:bodyDiv w:val="1"/>
      <w:marLeft w:val="0"/>
      <w:marRight w:val="0"/>
      <w:marTop w:val="0"/>
      <w:marBottom w:val="0"/>
      <w:divBdr>
        <w:top w:val="none" w:sz="0" w:space="0" w:color="auto"/>
        <w:left w:val="none" w:sz="0" w:space="0" w:color="auto"/>
        <w:bottom w:val="none" w:sz="0" w:space="0" w:color="auto"/>
        <w:right w:val="none" w:sz="0" w:space="0" w:color="auto"/>
      </w:divBdr>
    </w:div>
    <w:div w:id="1278292195">
      <w:bodyDiv w:val="1"/>
      <w:marLeft w:val="0"/>
      <w:marRight w:val="0"/>
      <w:marTop w:val="0"/>
      <w:marBottom w:val="0"/>
      <w:divBdr>
        <w:top w:val="none" w:sz="0" w:space="0" w:color="auto"/>
        <w:left w:val="none" w:sz="0" w:space="0" w:color="auto"/>
        <w:bottom w:val="none" w:sz="0" w:space="0" w:color="auto"/>
        <w:right w:val="none" w:sz="0" w:space="0" w:color="auto"/>
      </w:divBdr>
    </w:div>
    <w:div w:id="1286279496">
      <w:bodyDiv w:val="1"/>
      <w:marLeft w:val="0"/>
      <w:marRight w:val="0"/>
      <w:marTop w:val="0"/>
      <w:marBottom w:val="0"/>
      <w:divBdr>
        <w:top w:val="none" w:sz="0" w:space="0" w:color="auto"/>
        <w:left w:val="none" w:sz="0" w:space="0" w:color="auto"/>
        <w:bottom w:val="none" w:sz="0" w:space="0" w:color="auto"/>
        <w:right w:val="none" w:sz="0" w:space="0" w:color="auto"/>
      </w:divBdr>
    </w:div>
    <w:div w:id="1297373796">
      <w:bodyDiv w:val="1"/>
      <w:marLeft w:val="0"/>
      <w:marRight w:val="0"/>
      <w:marTop w:val="0"/>
      <w:marBottom w:val="0"/>
      <w:divBdr>
        <w:top w:val="none" w:sz="0" w:space="0" w:color="auto"/>
        <w:left w:val="none" w:sz="0" w:space="0" w:color="auto"/>
        <w:bottom w:val="none" w:sz="0" w:space="0" w:color="auto"/>
        <w:right w:val="none" w:sz="0" w:space="0" w:color="auto"/>
      </w:divBdr>
    </w:div>
    <w:div w:id="1304896032">
      <w:bodyDiv w:val="1"/>
      <w:marLeft w:val="0"/>
      <w:marRight w:val="0"/>
      <w:marTop w:val="0"/>
      <w:marBottom w:val="0"/>
      <w:divBdr>
        <w:top w:val="none" w:sz="0" w:space="0" w:color="auto"/>
        <w:left w:val="none" w:sz="0" w:space="0" w:color="auto"/>
        <w:bottom w:val="none" w:sz="0" w:space="0" w:color="auto"/>
        <w:right w:val="none" w:sz="0" w:space="0" w:color="auto"/>
      </w:divBdr>
    </w:div>
    <w:div w:id="1311057906">
      <w:bodyDiv w:val="1"/>
      <w:marLeft w:val="0"/>
      <w:marRight w:val="0"/>
      <w:marTop w:val="0"/>
      <w:marBottom w:val="0"/>
      <w:divBdr>
        <w:top w:val="none" w:sz="0" w:space="0" w:color="auto"/>
        <w:left w:val="none" w:sz="0" w:space="0" w:color="auto"/>
        <w:bottom w:val="none" w:sz="0" w:space="0" w:color="auto"/>
        <w:right w:val="none" w:sz="0" w:space="0" w:color="auto"/>
      </w:divBdr>
    </w:div>
    <w:div w:id="1337228089">
      <w:bodyDiv w:val="1"/>
      <w:marLeft w:val="0"/>
      <w:marRight w:val="0"/>
      <w:marTop w:val="0"/>
      <w:marBottom w:val="0"/>
      <w:divBdr>
        <w:top w:val="none" w:sz="0" w:space="0" w:color="auto"/>
        <w:left w:val="none" w:sz="0" w:space="0" w:color="auto"/>
        <w:bottom w:val="none" w:sz="0" w:space="0" w:color="auto"/>
        <w:right w:val="none" w:sz="0" w:space="0" w:color="auto"/>
      </w:divBdr>
    </w:div>
    <w:div w:id="1358776793">
      <w:bodyDiv w:val="1"/>
      <w:marLeft w:val="0"/>
      <w:marRight w:val="0"/>
      <w:marTop w:val="0"/>
      <w:marBottom w:val="0"/>
      <w:divBdr>
        <w:top w:val="none" w:sz="0" w:space="0" w:color="auto"/>
        <w:left w:val="none" w:sz="0" w:space="0" w:color="auto"/>
        <w:bottom w:val="none" w:sz="0" w:space="0" w:color="auto"/>
        <w:right w:val="none" w:sz="0" w:space="0" w:color="auto"/>
      </w:divBdr>
    </w:div>
    <w:div w:id="1376737158">
      <w:bodyDiv w:val="1"/>
      <w:marLeft w:val="0"/>
      <w:marRight w:val="0"/>
      <w:marTop w:val="0"/>
      <w:marBottom w:val="0"/>
      <w:divBdr>
        <w:top w:val="none" w:sz="0" w:space="0" w:color="auto"/>
        <w:left w:val="none" w:sz="0" w:space="0" w:color="auto"/>
        <w:bottom w:val="none" w:sz="0" w:space="0" w:color="auto"/>
        <w:right w:val="none" w:sz="0" w:space="0" w:color="auto"/>
      </w:divBdr>
    </w:div>
    <w:div w:id="1382710503">
      <w:bodyDiv w:val="1"/>
      <w:marLeft w:val="0"/>
      <w:marRight w:val="0"/>
      <w:marTop w:val="0"/>
      <w:marBottom w:val="0"/>
      <w:divBdr>
        <w:top w:val="none" w:sz="0" w:space="0" w:color="auto"/>
        <w:left w:val="none" w:sz="0" w:space="0" w:color="auto"/>
        <w:bottom w:val="none" w:sz="0" w:space="0" w:color="auto"/>
        <w:right w:val="none" w:sz="0" w:space="0" w:color="auto"/>
      </w:divBdr>
    </w:div>
    <w:div w:id="1410153133">
      <w:bodyDiv w:val="1"/>
      <w:marLeft w:val="0"/>
      <w:marRight w:val="0"/>
      <w:marTop w:val="0"/>
      <w:marBottom w:val="0"/>
      <w:divBdr>
        <w:top w:val="none" w:sz="0" w:space="0" w:color="auto"/>
        <w:left w:val="none" w:sz="0" w:space="0" w:color="auto"/>
        <w:bottom w:val="none" w:sz="0" w:space="0" w:color="auto"/>
        <w:right w:val="none" w:sz="0" w:space="0" w:color="auto"/>
      </w:divBdr>
    </w:div>
    <w:div w:id="1439905967">
      <w:bodyDiv w:val="1"/>
      <w:marLeft w:val="0"/>
      <w:marRight w:val="0"/>
      <w:marTop w:val="0"/>
      <w:marBottom w:val="0"/>
      <w:divBdr>
        <w:top w:val="none" w:sz="0" w:space="0" w:color="auto"/>
        <w:left w:val="none" w:sz="0" w:space="0" w:color="auto"/>
        <w:bottom w:val="none" w:sz="0" w:space="0" w:color="auto"/>
        <w:right w:val="none" w:sz="0" w:space="0" w:color="auto"/>
      </w:divBdr>
    </w:div>
    <w:div w:id="1451433030">
      <w:bodyDiv w:val="1"/>
      <w:marLeft w:val="0"/>
      <w:marRight w:val="0"/>
      <w:marTop w:val="0"/>
      <w:marBottom w:val="0"/>
      <w:divBdr>
        <w:top w:val="none" w:sz="0" w:space="0" w:color="auto"/>
        <w:left w:val="none" w:sz="0" w:space="0" w:color="auto"/>
        <w:bottom w:val="none" w:sz="0" w:space="0" w:color="auto"/>
        <w:right w:val="none" w:sz="0" w:space="0" w:color="auto"/>
      </w:divBdr>
    </w:div>
    <w:div w:id="1466237597">
      <w:bodyDiv w:val="1"/>
      <w:marLeft w:val="0"/>
      <w:marRight w:val="0"/>
      <w:marTop w:val="0"/>
      <w:marBottom w:val="0"/>
      <w:divBdr>
        <w:top w:val="none" w:sz="0" w:space="0" w:color="auto"/>
        <w:left w:val="none" w:sz="0" w:space="0" w:color="auto"/>
        <w:bottom w:val="none" w:sz="0" w:space="0" w:color="auto"/>
        <w:right w:val="none" w:sz="0" w:space="0" w:color="auto"/>
      </w:divBdr>
    </w:div>
    <w:div w:id="1531408605">
      <w:bodyDiv w:val="1"/>
      <w:marLeft w:val="0"/>
      <w:marRight w:val="0"/>
      <w:marTop w:val="0"/>
      <w:marBottom w:val="0"/>
      <w:divBdr>
        <w:top w:val="none" w:sz="0" w:space="0" w:color="auto"/>
        <w:left w:val="none" w:sz="0" w:space="0" w:color="auto"/>
        <w:bottom w:val="none" w:sz="0" w:space="0" w:color="auto"/>
        <w:right w:val="none" w:sz="0" w:space="0" w:color="auto"/>
      </w:divBdr>
    </w:div>
    <w:div w:id="1533155308">
      <w:bodyDiv w:val="1"/>
      <w:marLeft w:val="0"/>
      <w:marRight w:val="0"/>
      <w:marTop w:val="0"/>
      <w:marBottom w:val="0"/>
      <w:divBdr>
        <w:top w:val="none" w:sz="0" w:space="0" w:color="auto"/>
        <w:left w:val="none" w:sz="0" w:space="0" w:color="auto"/>
        <w:bottom w:val="none" w:sz="0" w:space="0" w:color="auto"/>
        <w:right w:val="none" w:sz="0" w:space="0" w:color="auto"/>
      </w:divBdr>
    </w:div>
    <w:div w:id="1537964476">
      <w:bodyDiv w:val="1"/>
      <w:marLeft w:val="0"/>
      <w:marRight w:val="0"/>
      <w:marTop w:val="0"/>
      <w:marBottom w:val="0"/>
      <w:divBdr>
        <w:top w:val="none" w:sz="0" w:space="0" w:color="auto"/>
        <w:left w:val="none" w:sz="0" w:space="0" w:color="auto"/>
        <w:bottom w:val="none" w:sz="0" w:space="0" w:color="auto"/>
        <w:right w:val="none" w:sz="0" w:space="0" w:color="auto"/>
      </w:divBdr>
    </w:div>
    <w:div w:id="1581793748">
      <w:bodyDiv w:val="1"/>
      <w:marLeft w:val="0"/>
      <w:marRight w:val="0"/>
      <w:marTop w:val="0"/>
      <w:marBottom w:val="0"/>
      <w:divBdr>
        <w:top w:val="none" w:sz="0" w:space="0" w:color="auto"/>
        <w:left w:val="none" w:sz="0" w:space="0" w:color="auto"/>
        <w:bottom w:val="none" w:sz="0" w:space="0" w:color="auto"/>
        <w:right w:val="none" w:sz="0" w:space="0" w:color="auto"/>
      </w:divBdr>
    </w:div>
    <w:div w:id="1643005408">
      <w:bodyDiv w:val="1"/>
      <w:marLeft w:val="0"/>
      <w:marRight w:val="0"/>
      <w:marTop w:val="0"/>
      <w:marBottom w:val="0"/>
      <w:divBdr>
        <w:top w:val="none" w:sz="0" w:space="0" w:color="auto"/>
        <w:left w:val="none" w:sz="0" w:space="0" w:color="auto"/>
        <w:bottom w:val="none" w:sz="0" w:space="0" w:color="auto"/>
        <w:right w:val="none" w:sz="0" w:space="0" w:color="auto"/>
      </w:divBdr>
    </w:div>
    <w:div w:id="1667126039">
      <w:bodyDiv w:val="1"/>
      <w:marLeft w:val="0"/>
      <w:marRight w:val="0"/>
      <w:marTop w:val="0"/>
      <w:marBottom w:val="0"/>
      <w:divBdr>
        <w:top w:val="none" w:sz="0" w:space="0" w:color="auto"/>
        <w:left w:val="none" w:sz="0" w:space="0" w:color="auto"/>
        <w:bottom w:val="none" w:sz="0" w:space="0" w:color="auto"/>
        <w:right w:val="none" w:sz="0" w:space="0" w:color="auto"/>
      </w:divBdr>
    </w:div>
    <w:div w:id="1676764400">
      <w:bodyDiv w:val="1"/>
      <w:marLeft w:val="0"/>
      <w:marRight w:val="0"/>
      <w:marTop w:val="0"/>
      <w:marBottom w:val="0"/>
      <w:divBdr>
        <w:top w:val="none" w:sz="0" w:space="0" w:color="auto"/>
        <w:left w:val="none" w:sz="0" w:space="0" w:color="auto"/>
        <w:bottom w:val="none" w:sz="0" w:space="0" w:color="auto"/>
        <w:right w:val="none" w:sz="0" w:space="0" w:color="auto"/>
      </w:divBdr>
    </w:div>
    <w:div w:id="1689064176">
      <w:bodyDiv w:val="1"/>
      <w:marLeft w:val="0"/>
      <w:marRight w:val="0"/>
      <w:marTop w:val="0"/>
      <w:marBottom w:val="0"/>
      <w:divBdr>
        <w:top w:val="none" w:sz="0" w:space="0" w:color="auto"/>
        <w:left w:val="none" w:sz="0" w:space="0" w:color="auto"/>
        <w:bottom w:val="none" w:sz="0" w:space="0" w:color="auto"/>
        <w:right w:val="none" w:sz="0" w:space="0" w:color="auto"/>
      </w:divBdr>
    </w:div>
    <w:div w:id="1773935108">
      <w:bodyDiv w:val="1"/>
      <w:marLeft w:val="0"/>
      <w:marRight w:val="0"/>
      <w:marTop w:val="0"/>
      <w:marBottom w:val="0"/>
      <w:divBdr>
        <w:top w:val="none" w:sz="0" w:space="0" w:color="auto"/>
        <w:left w:val="none" w:sz="0" w:space="0" w:color="auto"/>
        <w:bottom w:val="none" w:sz="0" w:space="0" w:color="auto"/>
        <w:right w:val="none" w:sz="0" w:space="0" w:color="auto"/>
      </w:divBdr>
    </w:div>
    <w:div w:id="1786923929">
      <w:bodyDiv w:val="1"/>
      <w:marLeft w:val="0"/>
      <w:marRight w:val="0"/>
      <w:marTop w:val="0"/>
      <w:marBottom w:val="0"/>
      <w:divBdr>
        <w:top w:val="none" w:sz="0" w:space="0" w:color="auto"/>
        <w:left w:val="none" w:sz="0" w:space="0" w:color="auto"/>
        <w:bottom w:val="none" w:sz="0" w:space="0" w:color="auto"/>
        <w:right w:val="none" w:sz="0" w:space="0" w:color="auto"/>
      </w:divBdr>
    </w:div>
    <w:div w:id="1801800745">
      <w:bodyDiv w:val="1"/>
      <w:marLeft w:val="0"/>
      <w:marRight w:val="0"/>
      <w:marTop w:val="0"/>
      <w:marBottom w:val="0"/>
      <w:divBdr>
        <w:top w:val="none" w:sz="0" w:space="0" w:color="auto"/>
        <w:left w:val="none" w:sz="0" w:space="0" w:color="auto"/>
        <w:bottom w:val="none" w:sz="0" w:space="0" w:color="auto"/>
        <w:right w:val="none" w:sz="0" w:space="0" w:color="auto"/>
      </w:divBdr>
    </w:div>
    <w:div w:id="1818261984">
      <w:bodyDiv w:val="1"/>
      <w:marLeft w:val="0"/>
      <w:marRight w:val="0"/>
      <w:marTop w:val="0"/>
      <w:marBottom w:val="0"/>
      <w:divBdr>
        <w:top w:val="none" w:sz="0" w:space="0" w:color="auto"/>
        <w:left w:val="none" w:sz="0" w:space="0" w:color="auto"/>
        <w:bottom w:val="none" w:sz="0" w:space="0" w:color="auto"/>
        <w:right w:val="none" w:sz="0" w:space="0" w:color="auto"/>
      </w:divBdr>
    </w:div>
    <w:div w:id="1830172374">
      <w:bodyDiv w:val="1"/>
      <w:marLeft w:val="0"/>
      <w:marRight w:val="0"/>
      <w:marTop w:val="0"/>
      <w:marBottom w:val="0"/>
      <w:divBdr>
        <w:top w:val="none" w:sz="0" w:space="0" w:color="auto"/>
        <w:left w:val="none" w:sz="0" w:space="0" w:color="auto"/>
        <w:bottom w:val="none" w:sz="0" w:space="0" w:color="auto"/>
        <w:right w:val="none" w:sz="0" w:space="0" w:color="auto"/>
      </w:divBdr>
    </w:div>
    <w:div w:id="1844319381">
      <w:bodyDiv w:val="1"/>
      <w:marLeft w:val="0"/>
      <w:marRight w:val="0"/>
      <w:marTop w:val="0"/>
      <w:marBottom w:val="0"/>
      <w:divBdr>
        <w:top w:val="none" w:sz="0" w:space="0" w:color="auto"/>
        <w:left w:val="none" w:sz="0" w:space="0" w:color="auto"/>
        <w:bottom w:val="none" w:sz="0" w:space="0" w:color="auto"/>
        <w:right w:val="none" w:sz="0" w:space="0" w:color="auto"/>
      </w:divBdr>
    </w:div>
    <w:div w:id="1857184875">
      <w:bodyDiv w:val="1"/>
      <w:marLeft w:val="0"/>
      <w:marRight w:val="0"/>
      <w:marTop w:val="0"/>
      <w:marBottom w:val="0"/>
      <w:divBdr>
        <w:top w:val="none" w:sz="0" w:space="0" w:color="auto"/>
        <w:left w:val="none" w:sz="0" w:space="0" w:color="auto"/>
        <w:bottom w:val="none" w:sz="0" w:space="0" w:color="auto"/>
        <w:right w:val="none" w:sz="0" w:space="0" w:color="auto"/>
      </w:divBdr>
    </w:div>
    <w:div w:id="1859460714">
      <w:bodyDiv w:val="1"/>
      <w:marLeft w:val="0"/>
      <w:marRight w:val="0"/>
      <w:marTop w:val="0"/>
      <w:marBottom w:val="0"/>
      <w:divBdr>
        <w:top w:val="none" w:sz="0" w:space="0" w:color="auto"/>
        <w:left w:val="none" w:sz="0" w:space="0" w:color="auto"/>
        <w:bottom w:val="none" w:sz="0" w:space="0" w:color="auto"/>
        <w:right w:val="none" w:sz="0" w:space="0" w:color="auto"/>
      </w:divBdr>
    </w:div>
    <w:div w:id="1886865122">
      <w:bodyDiv w:val="1"/>
      <w:marLeft w:val="0"/>
      <w:marRight w:val="0"/>
      <w:marTop w:val="0"/>
      <w:marBottom w:val="0"/>
      <w:divBdr>
        <w:top w:val="none" w:sz="0" w:space="0" w:color="auto"/>
        <w:left w:val="none" w:sz="0" w:space="0" w:color="auto"/>
        <w:bottom w:val="none" w:sz="0" w:space="0" w:color="auto"/>
        <w:right w:val="none" w:sz="0" w:space="0" w:color="auto"/>
      </w:divBdr>
    </w:div>
    <w:div w:id="1904828528">
      <w:bodyDiv w:val="1"/>
      <w:marLeft w:val="0"/>
      <w:marRight w:val="0"/>
      <w:marTop w:val="0"/>
      <w:marBottom w:val="0"/>
      <w:divBdr>
        <w:top w:val="none" w:sz="0" w:space="0" w:color="auto"/>
        <w:left w:val="none" w:sz="0" w:space="0" w:color="auto"/>
        <w:bottom w:val="none" w:sz="0" w:space="0" w:color="auto"/>
        <w:right w:val="none" w:sz="0" w:space="0" w:color="auto"/>
      </w:divBdr>
    </w:div>
    <w:div w:id="1924294414">
      <w:bodyDiv w:val="1"/>
      <w:marLeft w:val="0"/>
      <w:marRight w:val="0"/>
      <w:marTop w:val="0"/>
      <w:marBottom w:val="0"/>
      <w:divBdr>
        <w:top w:val="none" w:sz="0" w:space="0" w:color="auto"/>
        <w:left w:val="none" w:sz="0" w:space="0" w:color="auto"/>
        <w:bottom w:val="none" w:sz="0" w:space="0" w:color="auto"/>
        <w:right w:val="none" w:sz="0" w:space="0" w:color="auto"/>
      </w:divBdr>
    </w:div>
    <w:div w:id="1944264472">
      <w:bodyDiv w:val="1"/>
      <w:marLeft w:val="0"/>
      <w:marRight w:val="0"/>
      <w:marTop w:val="0"/>
      <w:marBottom w:val="0"/>
      <w:divBdr>
        <w:top w:val="none" w:sz="0" w:space="0" w:color="auto"/>
        <w:left w:val="none" w:sz="0" w:space="0" w:color="auto"/>
        <w:bottom w:val="none" w:sz="0" w:space="0" w:color="auto"/>
        <w:right w:val="none" w:sz="0" w:space="0" w:color="auto"/>
      </w:divBdr>
    </w:div>
    <w:div w:id="1998337499">
      <w:bodyDiv w:val="1"/>
      <w:marLeft w:val="0"/>
      <w:marRight w:val="0"/>
      <w:marTop w:val="0"/>
      <w:marBottom w:val="0"/>
      <w:divBdr>
        <w:top w:val="none" w:sz="0" w:space="0" w:color="auto"/>
        <w:left w:val="none" w:sz="0" w:space="0" w:color="auto"/>
        <w:bottom w:val="none" w:sz="0" w:space="0" w:color="auto"/>
        <w:right w:val="none" w:sz="0" w:space="0" w:color="auto"/>
      </w:divBdr>
    </w:div>
    <w:div w:id="2000690563">
      <w:bodyDiv w:val="1"/>
      <w:marLeft w:val="0"/>
      <w:marRight w:val="0"/>
      <w:marTop w:val="0"/>
      <w:marBottom w:val="0"/>
      <w:divBdr>
        <w:top w:val="none" w:sz="0" w:space="0" w:color="auto"/>
        <w:left w:val="none" w:sz="0" w:space="0" w:color="auto"/>
        <w:bottom w:val="none" w:sz="0" w:space="0" w:color="auto"/>
        <w:right w:val="none" w:sz="0" w:space="0" w:color="auto"/>
      </w:divBdr>
    </w:div>
    <w:div w:id="2026202638">
      <w:bodyDiv w:val="1"/>
      <w:marLeft w:val="0"/>
      <w:marRight w:val="0"/>
      <w:marTop w:val="0"/>
      <w:marBottom w:val="0"/>
      <w:divBdr>
        <w:top w:val="none" w:sz="0" w:space="0" w:color="auto"/>
        <w:left w:val="none" w:sz="0" w:space="0" w:color="auto"/>
        <w:bottom w:val="none" w:sz="0" w:space="0" w:color="auto"/>
        <w:right w:val="none" w:sz="0" w:space="0" w:color="auto"/>
      </w:divBdr>
      <w:divsChild>
        <w:div w:id="682509062">
          <w:blockQuote w:val="1"/>
          <w:marLeft w:val="720"/>
          <w:marRight w:val="720"/>
          <w:marTop w:val="100"/>
          <w:marBottom w:val="100"/>
          <w:divBdr>
            <w:top w:val="none" w:sz="0" w:space="0" w:color="auto"/>
            <w:left w:val="none" w:sz="0" w:space="0" w:color="auto"/>
            <w:bottom w:val="none" w:sz="0" w:space="0" w:color="auto"/>
            <w:right w:val="none" w:sz="0" w:space="0" w:color="auto"/>
          </w:divBdr>
        </w:div>
        <w:div w:id="9485862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4018767">
      <w:bodyDiv w:val="1"/>
      <w:marLeft w:val="0"/>
      <w:marRight w:val="0"/>
      <w:marTop w:val="0"/>
      <w:marBottom w:val="0"/>
      <w:divBdr>
        <w:top w:val="none" w:sz="0" w:space="0" w:color="auto"/>
        <w:left w:val="none" w:sz="0" w:space="0" w:color="auto"/>
        <w:bottom w:val="none" w:sz="0" w:space="0" w:color="auto"/>
        <w:right w:val="none" w:sz="0" w:space="0" w:color="auto"/>
      </w:divBdr>
    </w:div>
    <w:div w:id="2046640015">
      <w:bodyDiv w:val="1"/>
      <w:marLeft w:val="0"/>
      <w:marRight w:val="0"/>
      <w:marTop w:val="0"/>
      <w:marBottom w:val="0"/>
      <w:divBdr>
        <w:top w:val="none" w:sz="0" w:space="0" w:color="auto"/>
        <w:left w:val="none" w:sz="0" w:space="0" w:color="auto"/>
        <w:bottom w:val="none" w:sz="0" w:space="0" w:color="auto"/>
        <w:right w:val="none" w:sz="0" w:space="0" w:color="auto"/>
      </w:divBdr>
    </w:div>
    <w:div w:id="2050297151">
      <w:bodyDiv w:val="1"/>
      <w:marLeft w:val="0"/>
      <w:marRight w:val="0"/>
      <w:marTop w:val="0"/>
      <w:marBottom w:val="0"/>
      <w:divBdr>
        <w:top w:val="none" w:sz="0" w:space="0" w:color="auto"/>
        <w:left w:val="none" w:sz="0" w:space="0" w:color="auto"/>
        <w:bottom w:val="none" w:sz="0" w:space="0" w:color="auto"/>
        <w:right w:val="none" w:sz="0" w:space="0" w:color="auto"/>
      </w:divBdr>
    </w:div>
    <w:div w:id="2056347206">
      <w:bodyDiv w:val="1"/>
      <w:marLeft w:val="0"/>
      <w:marRight w:val="0"/>
      <w:marTop w:val="0"/>
      <w:marBottom w:val="0"/>
      <w:divBdr>
        <w:top w:val="none" w:sz="0" w:space="0" w:color="auto"/>
        <w:left w:val="none" w:sz="0" w:space="0" w:color="auto"/>
        <w:bottom w:val="none" w:sz="0" w:space="0" w:color="auto"/>
        <w:right w:val="none" w:sz="0" w:space="0" w:color="auto"/>
      </w:divBdr>
    </w:div>
    <w:div w:id="2063483324">
      <w:bodyDiv w:val="1"/>
      <w:marLeft w:val="0"/>
      <w:marRight w:val="0"/>
      <w:marTop w:val="0"/>
      <w:marBottom w:val="0"/>
      <w:divBdr>
        <w:top w:val="none" w:sz="0" w:space="0" w:color="auto"/>
        <w:left w:val="none" w:sz="0" w:space="0" w:color="auto"/>
        <w:bottom w:val="none" w:sz="0" w:space="0" w:color="auto"/>
        <w:right w:val="none" w:sz="0" w:space="0" w:color="auto"/>
      </w:divBdr>
    </w:div>
    <w:div w:id="2070221919">
      <w:bodyDiv w:val="1"/>
      <w:marLeft w:val="0"/>
      <w:marRight w:val="0"/>
      <w:marTop w:val="0"/>
      <w:marBottom w:val="0"/>
      <w:divBdr>
        <w:top w:val="none" w:sz="0" w:space="0" w:color="auto"/>
        <w:left w:val="none" w:sz="0" w:space="0" w:color="auto"/>
        <w:bottom w:val="none" w:sz="0" w:space="0" w:color="auto"/>
        <w:right w:val="none" w:sz="0" w:space="0" w:color="auto"/>
      </w:divBdr>
    </w:div>
    <w:div w:id="208459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yperlink" Target="https://doi.org/10.1177/1091581810384882" TargetMode="External"/><Relationship Id="rId18" Type="http://schemas.openxmlformats.org/officeDocument/2006/relationships/hyperlink" Target="https://doi.org/10.1016/j.jclepro.2022.135174"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3390/catal15111019" TargetMode="External"/><Relationship Id="rId17" Type="http://schemas.openxmlformats.org/officeDocument/2006/relationships/hyperlink" Target="https://dx.doi.org/10.47772/IJRISS.2025.905000271"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gazettengr.com/anambra-targets-top-three-cleanest-states-in-nigeria-says-waste-management-boss/" TargetMode="External"/><Relationship Id="rId20" Type="http://schemas.openxmlformats.org/officeDocument/2006/relationships/hyperlink" Target="https://doi.org/10.1016/j.wasman.2018.05.0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16/j.wasman.2016.09.041"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tmp"/><Relationship Id="rId19" Type="http://schemas.openxmlformats.org/officeDocument/2006/relationships/hyperlink" Target="https://doi.org/10.1016/j.scitotenv.2018.08.230" TargetMode="Externa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yperlink" Target="https://doi.org/10.1016/j.scitotenv.2010.10.054"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03A5D-F526-45DE-9F9D-DB25AE240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23</Pages>
  <Words>6782</Words>
  <Characters>38663</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chika okonkwo</dc:creator>
  <cp:lastModifiedBy>SDI 1166</cp:lastModifiedBy>
  <cp:revision>14</cp:revision>
  <cp:lastPrinted>2026-03-01T19:01:00Z</cp:lastPrinted>
  <dcterms:created xsi:type="dcterms:W3CDTF">2026-07-13T22:23:00Z</dcterms:created>
  <dcterms:modified xsi:type="dcterms:W3CDTF">2026-07-31T12:46:00Z</dcterms:modified>
</cp:coreProperties>
</file>