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86641" w14:textId="77777777" w:rsidR="00A14773" w:rsidRPr="00A14773" w:rsidRDefault="00A14773" w:rsidP="00A14773">
      <w:pPr>
        <w:keepNext/>
        <w:spacing w:before="40" w:after="320"/>
        <w:jc w:val="center"/>
        <w:rPr>
          <w:b/>
          <w:bCs/>
          <w:i/>
          <w:iCs/>
          <w:color w:val="1F374B"/>
          <w:sz w:val="34"/>
          <w:u w:val="single"/>
        </w:rPr>
      </w:pPr>
      <w:r w:rsidRPr="00A14773">
        <w:rPr>
          <w:b/>
          <w:bCs/>
          <w:i/>
          <w:iCs/>
          <w:color w:val="1F374B"/>
          <w:sz w:val="34"/>
          <w:u w:val="single"/>
        </w:rPr>
        <w:t>Review Article</w:t>
      </w:r>
    </w:p>
    <w:p w14:paraId="5C1BAF21" w14:textId="77777777" w:rsidR="00A423C3" w:rsidRDefault="00000000">
      <w:pPr>
        <w:keepNext/>
        <w:spacing w:before="40" w:after="320"/>
        <w:jc w:val="center"/>
        <w:rPr>
          <w:b/>
          <w:color w:val="1F374B"/>
          <w:sz w:val="34"/>
        </w:rPr>
      </w:pPr>
      <w:r>
        <w:rPr>
          <w:b/>
          <w:color w:val="1F374B"/>
          <w:sz w:val="34"/>
        </w:rPr>
        <w:t>CRISPR and Next-Generation Molecular Diagnostics for Foodborne Pathogen Detection: Analytical Performance, Matrix Robustness and Translational Readiness</w:t>
      </w:r>
    </w:p>
    <w:p w14:paraId="103C9A50" w14:textId="77777777" w:rsidR="003F0587" w:rsidRDefault="003F0587">
      <w:pPr>
        <w:keepNext/>
        <w:spacing w:before="40" w:after="320"/>
        <w:jc w:val="center"/>
      </w:pPr>
    </w:p>
    <w:p w14:paraId="2D1A7C93" w14:textId="77777777" w:rsidR="00A423C3" w:rsidRDefault="00000000">
      <w:pPr>
        <w:spacing w:before="40" w:after="100"/>
        <w:jc w:val="left"/>
      </w:pPr>
      <w:r>
        <w:rPr>
          <w:b/>
          <w:color w:val="1F374B"/>
          <w:sz w:val="24"/>
        </w:rPr>
        <w:t>Abstract</w:t>
      </w:r>
    </w:p>
    <w:p w14:paraId="6C29E958" w14:textId="77777777" w:rsidR="00A423C3" w:rsidRDefault="00000000">
      <w:r>
        <w:t xml:space="preserve">Foodborne-pathogen testing increasingly requires results that are not only analytically sensitive but also rapid, interpretable, robust in heterogeneous matrices and compatible with decisions made across production, surveillance and outbreak response. Clustered regularly interspaced short palindromic repeats (CRISPR)-associated diagnostics have expanded this landscape by coupling programmable sequence recognition with collateral nucleic-acid cleavage, frequently after isothermal amplification. This critical narrative review evaluates CRISPR diagnostics alongside quantitative polymerase chain reaction, isothermal amplification, digital polymerase chain reaction, whole-genome sequencing and metagenomic or nanopore approaches, with emphasis on what determines performance in real food testing rather than purified-template experiments. Literature published from 1 January 2017 to 19 June 2026 was considered, with earlier foundational studies retained where necessary. The evidence indicates that Cas12a-centred assays can provide rapid and highly specific targeted detection across several bacterial and viral hazards, while Cas13, Cas12b, digital CRISPR and alternative readouts broaden the design space. Yet the apparent analytical gains are often contingent on upstream concentration, enrichment, lysis and amplification, and reported limits of detection are poorly comparable across studies because units, sample inputs, enrichment histories and positivity criteria differ. Viability discrimination, multiplexing, contamination control, reagent stability and prospective validation in naturally contaminated foods remain less mature than proof-of-concept sensitivity. Digital PCR offers stronger absolute quantification, whereas whole-genome sequencing and metagenomics provide strain resolution, source attribution and broader genomic context that targeted CRISPR assays cannot replace. The most defensible near-term model is therefore a tiered diagnostic architecture in which rapid CRISPR screening is integrated with fit-for-purpose sample preparation and linked to culture, quantitative molecular confirmation or sequencing according to the decision required. Translation will depend less on progressively lower nominal detection limits than on </w:t>
      </w:r>
      <w:proofErr w:type="spellStart"/>
      <w:r>
        <w:t>standardised</w:t>
      </w:r>
      <w:proofErr w:type="spellEnd"/>
      <w:r>
        <w:t xml:space="preserve"> validation of the complete sample-to-result workflow.</w:t>
      </w:r>
    </w:p>
    <w:p w14:paraId="1EE9BBEC" w14:textId="77777777" w:rsidR="00A423C3" w:rsidRDefault="00000000">
      <w:pPr>
        <w:spacing w:after="200"/>
        <w:jc w:val="left"/>
      </w:pPr>
      <w:r>
        <w:rPr>
          <w:b/>
        </w:rPr>
        <w:t>Keywords:</w:t>
      </w:r>
      <w:r>
        <w:t xml:space="preserve"> biosensing; Cas12a; digital PCR; food microbiology; isothermal amplification; metagenomics; molecular surveillance; whole-genome sequencing</w:t>
      </w:r>
    </w:p>
    <w:p w14:paraId="07DB1665" w14:textId="77777777" w:rsidR="00A423C3" w:rsidRDefault="00000000">
      <w:pPr>
        <w:pStyle w:val="Heading1"/>
      </w:pPr>
      <w:r>
        <w:rPr>
          <w:rFonts w:ascii="Times New Roman" w:hAnsi="Times New Roman"/>
          <w:b w:val="0"/>
        </w:rPr>
        <w:t>1. Introduction</w:t>
      </w:r>
    </w:p>
    <w:p w14:paraId="7AF6C301" w14:textId="77777777" w:rsidR="00A423C3" w:rsidRDefault="00000000">
      <w:pPr>
        <w:pStyle w:val="Heading2"/>
      </w:pPr>
      <w:r>
        <w:rPr>
          <w:rFonts w:ascii="Times New Roman" w:hAnsi="Times New Roman"/>
          <w:b w:val="0"/>
        </w:rPr>
        <w:t>1.1 From target detection to decision-quality food diagnostics</w:t>
      </w:r>
    </w:p>
    <w:p w14:paraId="67A404E8" w14:textId="77777777" w:rsidR="00A423C3" w:rsidRDefault="00000000">
      <w:r>
        <w:t xml:space="preserve">Foodborne-pathogen detection sits at the intersection of analytical chemistry, microbiology, molecular genetics and operational risk management. A laboratory result is useful only when the measured target, sampled material and reporting timescale match the decision being made. The same analytical platform may therefore perform well for confirmation of an enriched sample yet be poorly suited to estimating viable contamination in a raw food, or may provide rapid target recognition without the isolate needed for source </w:t>
      </w:r>
      <w:r>
        <w:lastRenderedPageBreak/>
        <w:t>attribution. This distinction has become increasingly important as nucleic-acid technologies have diversified beyond culture and conventional polymerase chain reaction (PCR) into isothermal amplification, digital PCR (</w:t>
      </w:r>
      <w:proofErr w:type="spellStart"/>
      <w:r>
        <w:t>dPCR</w:t>
      </w:r>
      <w:proofErr w:type="spellEnd"/>
      <w:r>
        <w:t xml:space="preserve">), whole-genome sequencing (WGS), metagenomics and clustered regularly interspaced short palindromic repeats (CRISPR)-associated detection. Recent reviews document rapid growth of CRISPR food-safety biosensors, particularly platforms based on Cas12a and isothermal amplification, but also identify matrix inhibition, limited multiplexing and incomplete </w:t>
      </w:r>
      <w:proofErr w:type="spellStart"/>
      <w:r>
        <w:t>standardisation</w:t>
      </w:r>
      <w:proofErr w:type="spellEnd"/>
      <w:r>
        <w:t xml:space="preserve"> as persistent obstacles (Li et al., 2022; Lu et al., 2024; Shin et al., 2022; Xie et al., 2024; Yang et al., 2026).</w:t>
      </w:r>
    </w:p>
    <w:p w14:paraId="1A5D28C0" w14:textId="77777777" w:rsidR="00A423C3" w:rsidRDefault="00000000">
      <w:r>
        <w:t xml:space="preserve">The molecular logic of CRISPR diagnostics derives from programmable recognition of a nucleic-acid target followed, for selected Cas effectors, by collateral cleavage of reporter molecules. Cas13a established a widely adopted route to RNA-programmed detection, and Cas12a subsequently showed target-activated indiscriminate single-stranded deoxyribonuclease activity that could be converted into a signal-generating assay (Chen et al., 2018; </w:t>
      </w:r>
      <w:proofErr w:type="spellStart"/>
      <w:r>
        <w:t>Gootenberg</w:t>
      </w:r>
      <w:proofErr w:type="spellEnd"/>
      <w:r>
        <w:t xml:space="preserve"> et al., 2017). The integration of Cas13, Cas12a and auxiliary nucleases demonstrated that portable and multiplexed molecular detection was technically feasible, while the discovery of miniature Cas14-family effectors broadened the repertoire of sequence-recognition systems potentially available to diagnostics (</w:t>
      </w:r>
      <w:proofErr w:type="spellStart"/>
      <w:r>
        <w:t>Gootenberg</w:t>
      </w:r>
      <w:proofErr w:type="spellEnd"/>
      <w:r>
        <w:t xml:space="preserve"> et al., 2018; Harrington et al., 2018). These foundational studies were not developed specifically for food testing, but they established the central design principle now used in foodborne-pathogen assays: a target-dependent molecular recognition event is translated into rapid cleavage of many reporter molecules.</w:t>
      </w:r>
    </w:p>
    <w:p w14:paraId="02F119E2" w14:textId="77777777" w:rsidR="00A423C3" w:rsidRDefault="00000000">
      <w:r>
        <w:t xml:space="preserve">In food matrices, that elegant molecular principle encounters a less tractable pre-analytical problem. Pathogens may be spatially heterogeneous, present at very low abundance, stressed or injured, surrounded by dense non-target microbiota, and embedded in matrices containing fats, polyphenols, polysaccharides, salts or other compounds that interfere with extraction or amplification. A nominally sensitive sensor cannot compensate for a target molecule that never enters the analytical aliquot. Consequently, filtration, immunomagnetic capture, culture enrichment, lysis and nucleic-acid purification can dominate the real sample-to-decision time and the probability of detection. Studies that integrate filtration or magnetic concentration with CRISPR illustrate this point directly: filtration-assisted LAMP-Cas12a improved detection of </w:t>
      </w:r>
      <w:r>
        <w:rPr>
          <w:i/>
        </w:rPr>
        <w:t>Escherichia coli</w:t>
      </w:r>
      <w:r>
        <w:t xml:space="preserve"> O157:H7 in romaine lettuce, while immunomagnetic enrichment coupled to single-step RPA-Cas12a was used to concentrate </w:t>
      </w:r>
      <w:r>
        <w:rPr>
          <w:i/>
        </w:rPr>
        <w:t>Staphylococcus aureus</w:t>
      </w:r>
      <w:r>
        <w:t xml:space="preserve"> before detection in several matrices (Lee &amp; Oh, 2022; Ma et al., 2024). The implication is that CRISPR should be appraised as part of an analytical chain rather than as an isolated enzymatic reaction.</w:t>
      </w:r>
    </w:p>
    <w:p w14:paraId="767A9531" w14:textId="77777777" w:rsidR="00A423C3" w:rsidRDefault="00000000">
      <w:r>
        <w:t xml:space="preserve">The same end-to-end perspective changes how sensitivity claims should be interpreted. Food-detection studies report limits in units ranging from DNA copies per reaction and molar concentration to colony-forming units (CFU) per </w:t>
      </w:r>
      <w:proofErr w:type="spellStart"/>
      <w:r>
        <w:t>millilitre</w:t>
      </w:r>
      <w:proofErr w:type="spellEnd"/>
      <w:r>
        <w:t xml:space="preserve"> or gram, sometimes after an enrichment period and sometimes without one. An assay detecting single-digit DNA copies after amplification does not necessarily have a single-cell method detection limit in food. Conversely, a workflow that detects a low initial CFU concentration after several hours of enrichment may be operationally valuable even though the final analytical concentration is high. Representative studies show the breadth of reported endpoints: a frontline RPA-Cas12a system reported detection down to ten target copies under its analytical conditions; a Cas12b assay detected </w:t>
      </w:r>
      <w:r>
        <w:rPr>
          <w:i/>
        </w:rPr>
        <w:t xml:space="preserve">Campylobacter </w:t>
      </w:r>
      <w:proofErr w:type="spellStart"/>
      <w:r>
        <w:rPr>
          <w:i/>
        </w:rPr>
        <w:t>jejuni</w:t>
      </w:r>
      <w:proofErr w:type="spellEnd"/>
      <w:r>
        <w:t xml:space="preserve"> in experimentally contaminated chicken; and a bio-barcode/RPA/Cas12a workflow achieved single-digit </w:t>
      </w:r>
      <w:r>
        <w:rPr>
          <w:i/>
        </w:rPr>
        <w:t>Salmonella</w:t>
      </w:r>
      <w:r>
        <w:t xml:space="preserve"> detection in spiked milk (Cai et al., 2021; Huang et al., 2021; Liu et al., 2021). These results establish technical possibility, but they do not create a common performance scale.</w:t>
      </w:r>
    </w:p>
    <w:p w14:paraId="57BA6B71" w14:textId="77777777" w:rsidR="00A423C3" w:rsidRDefault="00000000">
      <w:r>
        <w:t xml:space="preserve">A second interpretive problem concerns biological meaning. DNA-based detection generally cannot establish that a detected organism is viable, and the public-health significance of DNA from non-viable cells differs from that of replicating organisms. Propidium </w:t>
      </w:r>
      <w:proofErr w:type="spellStart"/>
      <w:r>
        <w:t>monoazide</w:t>
      </w:r>
      <w:proofErr w:type="spellEnd"/>
      <w:r>
        <w:t xml:space="preserve"> (PMA)-assisted digital CRISPR has been used to suppress signal from dead </w:t>
      </w:r>
      <w:r>
        <w:rPr>
          <w:i/>
        </w:rPr>
        <w:t>E. coli</w:t>
      </w:r>
      <w:r>
        <w:t xml:space="preserve"> O157:H7, whereas a 2026 phage-amplification/CRISPR workflow </w:t>
      </w:r>
      <w:r>
        <w:lastRenderedPageBreak/>
        <w:t>exploited phage replication as a viability-dependent amplification step before Cas12a detection (</w:t>
      </w:r>
      <w:proofErr w:type="spellStart"/>
      <w:r>
        <w:t>Wisuthiphaet</w:t>
      </w:r>
      <w:proofErr w:type="spellEnd"/>
      <w:r>
        <w:t xml:space="preserve"> et al., 2026; Yin et al., 2024). Both approaches are conceptually important, yet each adds assumptions and process steps. PMA performance depends on membrane integrity and sample conditions; phage amplification depends on host susceptibility and requires time for biological replication. Viability is therefore not a property conferred by CRISPR itself but by the upstream biological or physicochemical strategy.</w:t>
      </w:r>
    </w:p>
    <w:p w14:paraId="25B8BB86" w14:textId="77777777" w:rsidR="00A423C3" w:rsidRDefault="00000000">
      <w:r>
        <w:t xml:space="preserve">CRISPR diagnostics also need to be positioned against technologies that solve different parts of the food-safety problem. </w:t>
      </w:r>
      <w:proofErr w:type="spellStart"/>
      <w:r>
        <w:t>dPCR</w:t>
      </w:r>
      <w:proofErr w:type="spellEnd"/>
      <w:r>
        <w:t xml:space="preserve"> provides partition-based absolute quantification without an external calibration curve and has been applied to </w:t>
      </w:r>
      <w:r>
        <w:rPr>
          <w:i/>
        </w:rPr>
        <w:t>Listeria monocytogenes</w:t>
      </w:r>
      <w:r>
        <w:t xml:space="preserve"> and, more recently, to </w:t>
      </w:r>
      <w:r>
        <w:rPr>
          <w:i/>
        </w:rPr>
        <w:t>Salmonella</w:t>
      </w:r>
      <w:r>
        <w:t xml:space="preserve"> quantification in meat (Liang et al., 2026; Witte et al., 2016). WGS provides strain-level resolution for cluster detection, antimicrobial-resistance </w:t>
      </w:r>
      <w:proofErr w:type="spellStart"/>
      <w:r>
        <w:t>characterisation</w:t>
      </w:r>
      <w:proofErr w:type="spellEnd"/>
      <w:r>
        <w:t xml:space="preserve"> and source attribution, but it generally depends on isolate recovery or sufficient target abundance and does not itself solve low-level screening of complex foods. The transition to WGS has measurably changed national outbreak surveillance, while reviews of genomics in foodborne-disease control </w:t>
      </w:r>
      <w:proofErr w:type="spellStart"/>
      <w:r>
        <w:t>emphasise</w:t>
      </w:r>
      <w:proofErr w:type="spellEnd"/>
      <w:r>
        <w:t xml:space="preserve"> that genomic relatedness still requires epidemiological and biological context for interpretation (Morton et al., 2024; </w:t>
      </w:r>
      <w:proofErr w:type="spellStart"/>
      <w:r>
        <w:t>Schadron</w:t>
      </w:r>
      <w:proofErr w:type="spellEnd"/>
      <w:r>
        <w:t xml:space="preserve"> et al., 2024). Shotgun metagenomics and nanopore sequencing can broaden detection beyond preselected targets and recover antimicrobial-resistance information, but background DNA, abundance thresholds and bioinformatic interpretation remain substantial constraints in foods (Lee et al., 2024; Lin et al., 2022).</w:t>
      </w:r>
    </w:p>
    <w:p w14:paraId="3AFEC59E" w14:textId="77777777" w:rsidR="00A423C3" w:rsidRDefault="00000000">
      <w:r>
        <w:t xml:space="preserve">The literature has therefore reached a stage at which another catalogue of CRISPR assay formats would add limited value. Recent reviews already describe Cas systems, biosensor readouts and food-safety applications in considerable breadth (Azhar et al., 2026; Liberty et al., 2025; Li et al., 2022; Lu et al., 2024; Shin et al., 2022; Yang et al., 2026). The more consequential unresolved questions concern translational readiness: whether analytical sensitivity survives realistic sampling and matrix effects; how viability and quantification should be interpreted; whether one-pot simplification compromises reaction compatibility; how multiplexing can be achieved without loss of discrimination; and where CRISPR belongs relative to </w:t>
      </w:r>
      <w:proofErr w:type="spellStart"/>
      <w:r>
        <w:t>dPCR</w:t>
      </w:r>
      <w:proofErr w:type="spellEnd"/>
      <w:r>
        <w:t xml:space="preserve"> and sequencing within an evidence-based testing architecture. Those questions require comparison across platforms and across levels of the analytical workflow rather than within CRISPR chemistry alone.</w:t>
      </w:r>
    </w:p>
    <w:p w14:paraId="5AF0123E" w14:textId="77777777" w:rsidR="00A423C3" w:rsidRDefault="00000000">
      <w:pPr>
        <w:pStyle w:val="Heading2"/>
      </w:pPr>
      <w:r>
        <w:rPr>
          <w:rFonts w:ascii="Times New Roman" w:hAnsi="Times New Roman"/>
          <w:b w:val="0"/>
        </w:rPr>
        <w:t>1.2 Scope, Research Gap and Objectives</w:t>
      </w:r>
    </w:p>
    <w:p w14:paraId="46F8B82E" w14:textId="77777777" w:rsidR="00A423C3" w:rsidRDefault="00000000">
      <w:r>
        <w:t xml:space="preserve">This review critically evaluates CRISPR-associated molecular diagnostics for foodborne-pathogen detection within the broader ecosystem of next-generation molecular testing. The primary scope is the detection of bacterial and viral foodborne hazards in foods, food-processing environments and closely related analytical contexts, with emphasis on assays that connect molecular recognition to practical sample testing. The review considers CRISPR effector choice, amplification architecture, signal readout, multiplexing, digital partitioning, viability discrimination and sample preparation, and compares these features with quantitative PCR, isothermal amplification, digital PCR, whole-genome sequencing and metagenomic or nanopore workflows. Gene editing for antimicrobial control, non-microbial chemical hazards and purely clinical diagnostics </w:t>
      </w:r>
      <w:proofErr w:type="gramStart"/>
      <w:r>
        <w:t>are</w:t>
      </w:r>
      <w:proofErr w:type="gramEnd"/>
      <w:r>
        <w:t xml:space="preserve"> excluded except where a study provides transferable mechanistic evidence for diagnostic design.</w:t>
      </w:r>
    </w:p>
    <w:p w14:paraId="4EBE8684" w14:textId="77777777" w:rsidR="00A423C3" w:rsidRDefault="00000000">
      <w:r>
        <w:t xml:space="preserve">The central research gap is the absence of a sufficiently integrated appraisal that distinguishes molecular proof-of-concept performance from method-level performance in complex food matrices and then relates that distinction to the complementary capabilities of quantification and sequencing technologies. The objectives are to identify the principal determinants of sample-to-result performance, evaluate the strength and limitations of representative evidence across pathogen and matrix classes, clarify why commonly reported detection limits are not directly comparable, assess translational barriers including viability, multiplexing and </w:t>
      </w:r>
      <w:r>
        <w:lastRenderedPageBreak/>
        <w:t>quality control, and propose a tiered framework for matching molecular technologies to food-safety decisions.</w:t>
      </w:r>
    </w:p>
    <w:p w14:paraId="7E3B4C91" w14:textId="77777777" w:rsidR="00A423C3" w:rsidRDefault="00000000">
      <w:pPr>
        <w:pStyle w:val="Heading1"/>
      </w:pPr>
      <w:r>
        <w:rPr>
          <w:rFonts w:ascii="Times New Roman" w:hAnsi="Times New Roman"/>
          <w:b w:val="0"/>
        </w:rPr>
        <w:t>2. Methods for Literature Selection</w:t>
      </w:r>
    </w:p>
    <w:p w14:paraId="43F555FB" w14:textId="77777777" w:rsidR="00A423C3" w:rsidRDefault="00000000">
      <w:pPr>
        <w:pStyle w:val="Heading2"/>
      </w:pPr>
      <w:r>
        <w:rPr>
          <w:rFonts w:ascii="Times New Roman" w:hAnsi="Times New Roman"/>
          <w:b w:val="0"/>
        </w:rPr>
        <w:t>2.1 Review Design and Rationale</w:t>
      </w:r>
    </w:p>
    <w:p w14:paraId="35F0490A" w14:textId="77777777" w:rsidR="00A423C3" w:rsidRDefault="00000000">
      <w:r>
        <w:t xml:space="preserve">A critical narrative review design was selected because the review question spans heterogeneous technologies, sample matrices, performance endpoints and intended uses that are not amenable to a single pooled effect estimate. The purpose was not to calculate a summary diagnostic accuracy measure, but to integrate mechanistic evidence, analytical validation studies, platform comparisons and surveillance-oriented genomics literature while explicitly examining methodological limitations and conflicting interpretations. Narrative review methods can be rigorous when the question, search logic, source selection and critical reasoning are made transparent; the SANRA framework similarly </w:t>
      </w:r>
      <w:proofErr w:type="spellStart"/>
      <w:r>
        <w:t>emphasises</w:t>
      </w:r>
      <w:proofErr w:type="spellEnd"/>
      <w:r>
        <w:t xml:space="preserve"> justification of the review, literature-search description, referencing and scientific reasoning as indicators of narrative-review quality (</w:t>
      </w:r>
      <w:proofErr w:type="spellStart"/>
      <w:r>
        <w:t>Baethge</w:t>
      </w:r>
      <w:proofErr w:type="spellEnd"/>
      <w:r>
        <w:t xml:space="preserve"> et al., 2019; Green et al., 2006). The present approach therefore used a reproducible search framework and structured critical appraisal without presenting the process as a systematic review or assigning formal risk-of-bias scores.</w:t>
      </w:r>
    </w:p>
    <w:p w14:paraId="5E2EC9B7" w14:textId="77777777" w:rsidR="00A423C3" w:rsidRDefault="00000000">
      <w:pPr>
        <w:pStyle w:val="Heading2"/>
      </w:pPr>
      <w:r>
        <w:rPr>
          <w:rFonts w:ascii="Times New Roman" w:hAnsi="Times New Roman"/>
          <w:b w:val="0"/>
        </w:rPr>
        <w:t>2.2 Information Sources</w:t>
      </w:r>
    </w:p>
    <w:p w14:paraId="43FD5D74" w14:textId="77777777" w:rsidR="00A423C3" w:rsidRDefault="00000000">
      <w:r>
        <w:t xml:space="preserve">Literature searches were conducted in PubMed, Europe PMC, AGRIS, </w:t>
      </w:r>
      <w:proofErr w:type="spellStart"/>
      <w:r>
        <w:t>OpenAlex</w:t>
      </w:r>
      <w:proofErr w:type="spellEnd"/>
      <w:r>
        <w:t>, the Directory of Open Access Journals (DOAJ), Semantic Scholar and Google Scholar. These sources were selected to cover biomedical molecular diagnostics, food science and agriculture, multidisciplinary scholarly records and open-access literature. Backward and forward citation searching and related-article searching were used to locate foundational methods, independent applications and later methodological developments. Bibliographic details and Digital Object Identifiers (DOIs) were checked against PubMed records, DOI landing records and journal article records. Searches for corrections, retractions or bibliographic inconsistencies were incorporated during final source verification. Only databases and indexes actually searched for this review are named here.</w:t>
      </w:r>
    </w:p>
    <w:p w14:paraId="69F6FB29" w14:textId="77777777" w:rsidR="00A423C3" w:rsidRDefault="00000000">
      <w:pPr>
        <w:pStyle w:val="Heading2"/>
      </w:pPr>
      <w:r>
        <w:rPr>
          <w:rFonts w:ascii="Times New Roman" w:hAnsi="Times New Roman"/>
          <w:b w:val="0"/>
        </w:rPr>
        <w:t>2.3 Search Strategy and Search Period</w:t>
      </w:r>
    </w:p>
    <w:p w14:paraId="430E53CC" w14:textId="77777777" w:rsidR="00A423C3" w:rsidRDefault="00000000">
      <w:r>
        <w:t>The principal search period was 1 January 2017 to 19 June 2026. The starting date corresponds to the emergence of CRISPR-associated nucleic-acid detection as a distinct diagnostic platform, while earlier publications were retained when they were necessary to establish narrative-review methodology or foundational performance of a comparator technology. Online-first journal articles were eligible when the first formal online publication date fell within the search period, even if assignment to a later issue occurred after the search end date.</w:t>
      </w:r>
    </w:p>
    <w:p w14:paraId="17B19546" w14:textId="77777777" w:rsidR="00A423C3" w:rsidRDefault="00000000">
      <w:r>
        <w:t>Searches combined four concept groups: CRISPR effectors and diagnostics; foodborne pathogens and food matrices; molecular detection or biosensing; and comparator technologies or implementation constraints. Representative strings included (CRISPR OR Cas12a OR Cas12b OR Cas13 OR CRISPR-Dx) AND (foodborne pathogen</w:t>
      </w:r>
      <w:r>
        <w:rPr>
          <w:i/>
        </w:rPr>
        <w:t xml:space="preserve"> OR food safety OR food sample</w:t>
      </w:r>
      <w:r>
        <w:t xml:space="preserve"> OR food microbiology) AND (detect</w:t>
      </w:r>
      <w:r>
        <w:rPr>
          <w:i/>
        </w:rPr>
        <w:t xml:space="preserve"> OR </w:t>
      </w:r>
      <w:proofErr w:type="spellStart"/>
      <w:r>
        <w:rPr>
          <w:i/>
        </w:rPr>
        <w:t>diagnos</w:t>
      </w:r>
      <w:proofErr w:type="spellEnd"/>
      <w:r>
        <w:t xml:space="preserve"> OR </w:t>
      </w:r>
      <w:proofErr w:type="spellStart"/>
      <w:r>
        <w:t>biosens</w:t>
      </w:r>
      <w:proofErr w:type="spellEnd"/>
      <w:r>
        <w:rPr>
          <w:i/>
        </w:rPr>
        <w:t xml:space="preserve">); and (digital PCR OR </w:t>
      </w:r>
      <w:proofErr w:type="spellStart"/>
      <w:r>
        <w:rPr>
          <w:i/>
        </w:rPr>
        <w:t>dPCR</w:t>
      </w:r>
      <w:proofErr w:type="spellEnd"/>
      <w:r>
        <w:rPr>
          <w:i/>
        </w:rPr>
        <w:t xml:space="preserve"> OR </w:t>
      </w:r>
      <w:proofErr w:type="spellStart"/>
      <w:r>
        <w:rPr>
          <w:i/>
        </w:rPr>
        <w:t>ddPCR</w:t>
      </w:r>
      <w:proofErr w:type="spellEnd"/>
      <w:r>
        <w:rPr>
          <w:i/>
        </w:rPr>
        <w:t xml:space="preserve"> OR whole genome sequencing OR WGS OR metagenomic</w:t>
      </w:r>
      <w:r>
        <w:t xml:space="preserve"> OR nanopore) AND (foodborne pathogen</w:t>
      </w:r>
      <w:r>
        <w:rPr>
          <w:i/>
        </w:rPr>
        <w:t xml:space="preserve"> OR food sample</w:t>
      </w:r>
      <w:r>
        <w:t xml:space="preserve"> OR foodborne surveillance). Pathogen-specific searches substituted </w:t>
      </w:r>
      <w:r>
        <w:rPr>
          <w:i/>
        </w:rPr>
        <w:t>Listeria monocytogenes</w:t>
      </w:r>
      <w:r>
        <w:t xml:space="preserve">, </w:t>
      </w:r>
      <w:r>
        <w:rPr>
          <w:i/>
        </w:rPr>
        <w:t>Escherichia coli</w:t>
      </w:r>
      <w:r>
        <w:t xml:space="preserve"> O157:H7, </w:t>
      </w:r>
      <w:r>
        <w:rPr>
          <w:i/>
        </w:rPr>
        <w:t>Salmonella</w:t>
      </w:r>
      <w:r>
        <w:t xml:space="preserve">, </w:t>
      </w:r>
      <w:r>
        <w:rPr>
          <w:i/>
        </w:rPr>
        <w:t xml:space="preserve">Campylobacter </w:t>
      </w:r>
      <w:proofErr w:type="spellStart"/>
      <w:r>
        <w:rPr>
          <w:i/>
        </w:rPr>
        <w:t>jejuni</w:t>
      </w:r>
      <w:proofErr w:type="spellEnd"/>
      <w:r>
        <w:t xml:space="preserve">, </w:t>
      </w:r>
      <w:r>
        <w:rPr>
          <w:i/>
        </w:rPr>
        <w:t>Staphylococcus aureus</w:t>
      </w:r>
      <w:r>
        <w:t xml:space="preserve">, </w:t>
      </w:r>
      <w:r>
        <w:rPr>
          <w:i/>
        </w:rPr>
        <w:t>Vibrio parahaemolyticus</w:t>
      </w:r>
      <w:r>
        <w:t xml:space="preserve"> and norovirus. Additional searches combined terms for isothermal amplification, RPA, RAA, LAMP, one-pot, lateral flow, electrochemical, digital CRISPR, viability, PMA, enrichment, matrix inhibition and multiplexing.</w:t>
      </w:r>
    </w:p>
    <w:p w14:paraId="12B861F1" w14:textId="77777777" w:rsidR="00A423C3" w:rsidRDefault="00000000">
      <w:pPr>
        <w:pStyle w:val="Heading2"/>
      </w:pPr>
      <w:r>
        <w:rPr>
          <w:rFonts w:ascii="Times New Roman" w:hAnsi="Times New Roman"/>
          <w:b w:val="0"/>
        </w:rPr>
        <w:lastRenderedPageBreak/>
        <w:t>2.4 Eligibility Criteria</w:t>
      </w:r>
    </w:p>
    <w:p w14:paraId="46922747" w14:textId="77777777" w:rsidR="00A423C3" w:rsidRDefault="00000000">
      <w:r>
        <w:t xml:space="preserve">Eligible evidence comprised peer-reviewed original research, high-quality reviews and methodological papers directly relevant to foodborne-pathogen molecular detection or to a comparator technology with clear food-safety relevance. Original CRISPR studies were </w:t>
      </w:r>
      <w:proofErr w:type="spellStart"/>
      <w:r>
        <w:t>prioritised</w:t>
      </w:r>
      <w:proofErr w:type="spellEnd"/>
      <w:r>
        <w:t xml:space="preserve"> when they reported assay architecture, target identity, analytical sensitivity or specificity and validation in a food matrix, environmental food-processing sample or closely related sample type. Clinical-only CRISPR studies were used sparingly and only when they addressed a transferable mechanistic issue such as one-tube architecture or multiplexing. Sequencing studies were included when they informed detection, source tracing, surveillance, genomic interpretation or metagenomic analysis of foodborne pathogens. English-language publications with verifiable bibliographic metadata were included. Conference abstracts, patents used as evidence of effectiveness, commercial promotional material, unverifiable reports, retracted work and papers with unresolved bibliographic inconsistencies were excluded. Preprints were not used where peer-reviewed evidence was available.</w:t>
      </w:r>
    </w:p>
    <w:p w14:paraId="6FF9A8A1" w14:textId="77777777" w:rsidR="00A423C3" w:rsidRDefault="00000000">
      <w:pPr>
        <w:pStyle w:val="Heading2"/>
      </w:pPr>
      <w:r>
        <w:rPr>
          <w:rFonts w:ascii="Times New Roman" w:hAnsi="Times New Roman"/>
          <w:b w:val="0"/>
        </w:rPr>
        <w:t>2.5 Screening, Duplicate Handling and Study Selection</w:t>
      </w:r>
    </w:p>
    <w:p w14:paraId="57C72086" w14:textId="77777777" w:rsidR="00A423C3" w:rsidRDefault="00000000">
      <w:r>
        <w:t>Titles and abstracts were assessed for alignment with the defined scope, followed by examination of accessible full records or article pages when a source was likely to contribute to the synthesis. Duplicate records retrieved from multiple indexes were reconciled by DOI, title and author metadata so that each publication was represented once. Selection was purposive rather than exhaustive: studies were retained when they contributed mechanistic insight, method-level evidence in foods, a useful counterexample, comparative information, or an important implementation perspective. No screening counts are reported because the review did not use a prospectively registered systematic-review workflow with a complete auditable record inventory. Sources that could not be bibliographically verified or whose relevance to a cited claim could not be established were not retained.</w:t>
      </w:r>
    </w:p>
    <w:p w14:paraId="0D378E39" w14:textId="77777777" w:rsidR="00A423C3" w:rsidRDefault="00000000">
      <w:pPr>
        <w:pStyle w:val="Heading2"/>
      </w:pPr>
      <w:r>
        <w:rPr>
          <w:rFonts w:ascii="Times New Roman" w:hAnsi="Times New Roman"/>
          <w:b w:val="0"/>
        </w:rPr>
        <w:t>2.6 Critical Appraisal and Evidence Synthesis</w:t>
      </w:r>
    </w:p>
    <w:p w14:paraId="2757D682" w14:textId="77777777" w:rsidR="00A423C3" w:rsidRDefault="00000000">
      <w:r>
        <w:t>The evidence was appraised according to the question each study could legitimately answer. For analytical assays, attention was given to target selection, negative and near-</w:t>
      </w:r>
      <w:proofErr w:type="spellStart"/>
      <w:r>
        <w:t>neighbour</w:t>
      </w:r>
      <w:proofErr w:type="spellEnd"/>
      <w:r>
        <w:t xml:space="preserve"> controls, sample input, matrix type, concentration or enrichment, nucleic-acid preparation, amplification, detection endpoint, replicate structure where reported, and whether the stated limit referred to purified nucleic acid, pure culture or food. For field-translation claims, weight was placed on naturally contaminated samples, blinded or prospective comparison, matrix diversity, internal controls, operator or site reproducibility, reagent stability and comparison with </w:t>
      </w:r>
      <w:proofErr w:type="spellStart"/>
      <w:r>
        <w:t>recognised</w:t>
      </w:r>
      <w:proofErr w:type="spellEnd"/>
      <w:r>
        <w:t xml:space="preserve"> reference methods. Sequencing evidence was evaluated for breadth of detection, isolate dependence, background-signal challenges, interpretive framework and epidemiological linkage. Thematic synthesis was then </w:t>
      </w:r>
      <w:proofErr w:type="spellStart"/>
      <w:r>
        <w:t>organised</w:t>
      </w:r>
      <w:proofErr w:type="spellEnd"/>
      <w:r>
        <w:t xml:space="preserve"> around the pre-analytical pathway, platform capabilities, CRISPR architecture, matrix validation, performance comparability, multiplexing and translation. Apparent contradictions were interpreted in light of differences in sample preparation, units, enrichment history, target abundance and validation design rather than treated as simple disagreements.</w:t>
      </w:r>
    </w:p>
    <w:p w14:paraId="6FCCFCBC" w14:textId="77777777" w:rsidR="00A423C3" w:rsidRDefault="00000000">
      <w:pPr>
        <w:pStyle w:val="Heading1"/>
      </w:pPr>
      <w:r>
        <w:rPr>
          <w:rFonts w:ascii="Times New Roman" w:hAnsi="Times New Roman"/>
          <w:b w:val="0"/>
        </w:rPr>
        <w:t>3. The Diagnostic Problem in Food: From Sample to Actionable Result</w:t>
      </w:r>
    </w:p>
    <w:p w14:paraId="2608AB63" w14:textId="77777777" w:rsidR="00A423C3" w:rsidRDefault="00000000">
      <w:pPr>
        <w:pStyle w:val="Heading2"/>
      </w:pPr>
      <w:r>
        <w:rPr>
          <w:rFonts w:ascii="Times New Roman" w:hAnsi="Times New Roman"/>
          <w:b w:val="0"/>
        </w:rPr>
        <w:t>3.1 Sampling, concentration, enrichment and matrix effects</w:t>
      </w:r>
    </w:p>
    <w:p w14:paraId="35A3CECE" w14:textId="77777777" w:rsidR="00A423C3" w:rsidRDefault="00000000">
      <w:r>
        <w:t xml:space="preserve">The major conceptual error in evaluating a rapid molecular sensor is to begin the analysis at the reaction tube. Food testing begins with the physical distribution of organisms in a lot, the mass or volume collected, the efficiency of </w:t>
      </w:r>
      <w:proofErr w:type="spellStart"/>
      <w:r>
        <w:t>homogenisation</w:t>
      </w:r>
      <w:proofErr w:type="spellEnd"/>
      <w:r>
        <w:t xml:space="preserve"> and the fraction of the homogenate that is ultimately represented in the assay. When contamination is sparse and heterogeneous, analytical sensitivity at the level of a few DNA </w:t>
      </w:r>
      <w:r>
        <w:lastRenderedPageBreak/>
        <w:t>copies cannot overcome sampling uncertainty. A test may therefore be chemically capable of detecting a very small number of target molecules while having a materially lower probability of detecting a low-level contamination event in the original food unit. This gap between analytical and method-level sensitivity is especially relevant when studies compare purified templates with spiked foods using small aliquots.</w:t>
      </w:r>
    </w:p>
    <w:p w14:paraId="68418681" w14:textId="77777777" w:rsidR="00A423C3" w:rsidRDefault="00000000">
      <w:r>
        <w:t xml:space="preserve">Concentration steps are one way to narrow that gap, but they shift performance from the CRISPR reaction to the recovery process. Lee and Oh (2022) used filtration enrichment before LAMP-Cas12a detection of </w:t>
      </w:r>
      <w:r>
        <w:rPr>
          <w:i/>
        </w:rPr>
        <w:t>E. coli</w:t>
      </w:r>
      <w:r>
        <w:t xml:space="preserve"> O157:H7 in romaine lettuce, reporting detection at a low CFU-per-gram level without microbial pre-enrichment. Ma et al. (2024) used antibody-</w:t>
      </w:r>
      <w:proofErr w:type="spellStart"/>
      <w:r>
        <w:t>functionalised</w:t>
      </w:r>
      <w:proofErr w:type="spellEnd"/>
      <w:r>
        <w:t xml:space="preserve"> magnetic beads to capture </w:t>
      </w:r>
      <w:r>
        <w:rPr>
          <w:i/>
        </w:rPr>
        <w:t>S. aureus</w:t>
      </w:r>
      <w:r>
        <w:t xml:space="preserve"> rapidly before an extraction-light single-step RPA-Cas12a workflow. These studies are stronger translational examples than assays tested only on purified DNA because they explicitly address target recovery from a complex material. Their results also show why enrichment efficiency should be reported as part of diagnostic performance. If a concentration method captures only a variable fraction of cells, the downstream Cas reaction can be perfectly reproducible while the overall assay remains variable.</w:t>
      </w:r>
    </w:p>
    <w:p w14:paraId="34D2029E" w14:textId="77777777" w:rsidR="00A423C3" w:rsidRDefault="00000000">
      <w:r>
        <w:t xml:space="preserve">Culture enrichment remains important precisely because it provides biological amplification at the sample level. It can increase target abundance, dilute inhibitors and </w:t>
      </w:r>
      <w:proofErr w:type="spellStart"/>
      <w:r>
        <w:t>favour</w:t>
      </w:r>
      <w:proofErr w:type="spellEnd"/>
      <w:r>
        <w:t xml:space="preserve"> recovery of viable organisms, although selective media may introduce bias by differentially supporting stressed strains or competitors. In a LAMP-Cas12a assay for </w:t>
      </w:r>
      <w:r>
        <w:rPr>
          <w:i/>
        </w:rPr>
        <w:t>E. coli</w:t>
      </w:r>
      <w:r>
        <w:t xml:space="preserve"> O157:H7, Wang et al. (2024) reported rapid analytical detection but still used a three-hour culture step to detect a low initial inoculum in milk. This is not a failure of the CRISPR component; it reflects the practical requirement to bridge a large ratio between the original contamination burden and the target concentration needed for reproducible molecular measurement. Claims of a culture-free workflow should therefore be evaluated against the starting sample mass, the volume entering the reaction and the recovery efficiency, not only the final CFU or copy concentration.</w:t>
      </w:r>
    </w:p>
    <w:p w14:paraId="77BB359F" w14:textId="77777777" w:rsidR="00A423C3" w:rsidRDefault="00000000">
      <w:r>
        <w:t xml:space="preserve">Food chemistry introduces a second source of instability. Lipids, proteins, polysaccharides, salts, pigments and phenolic compounds can affect lysis, nucleic-acid binding, polymerase activity or optical readouts. A Cas effector may be relatively tolerant once supplied with a clean amplicon, yet the upstream polymerase or reporter signal can remain vulnerable. This helps explain why integrated systems that </w:t>
      </w:r>
      <w:proofErr w:type="spellStart"/>
      <w:r>
        <w:t>minimise</w:t>
      </w:r>
      <w:proofErr w:type="spellEnd"/>
      <w:r>
        <w:t xml:space="preserve"> sample preparation are attractive but difficult to </w:t>
      </w:r>
      <w:proofErr w:type="spellStart"/>
      <w:r>
        <w:t>generalise</w:t>
      </w:r>
      <w:proofErr w:type="spellEnd"/>
      <w:r>
        <w:t>. A workflow that performs well in milk may not behave similarly in leafy vegetables, seafood or high-fat meat. The literature contains increasing numbers of demonstrations across multiple matrices, including meat, produce, juice, mushrooms and seafood, but matrix panels are still usually limited within each study (Li et al., 2021; Ma et al., 2024; Xiao et al., 2023). General claims of matrix robustness should consequently be reserved for assays tested across deliberately challenging foods and across independent sample sets.</w:t>
      </w:r>
    </w:p>
    <w:p w14:paraId="640506E0" w14:textId="77777777" w:rsidR="00A423C3" w:rsidRDefault="00000000">
      <w:pPr>
        <w:pStyle w:val="Heading2"/>
      </w:pPr>
      <w:r>
        <w:rPr>
          <w:rFonts w:ascii="Times New Roman" w:hAnsi="Times New Roman"/>
          <w:b w:val="0"/>
        </w:rPr>
        <w:t>3.2 Viability, quantification and the meaning of a positive result</w:t>
      </w:r>
    </w:p>
    <w:p w14:paraId="2FE5B1CB" w14:textId="77777777" w:rsidR="00A423C3" w:rsidRDefault="00000000">
      <w:r>
        <w:t>Molecular tests answer a question about a target molecule; food-safety decisions often concern a viable hazard. For DNA-based assays, a positive result can persist after cell death because DNA may remain amplifiable. The degree of mismatch between DNA detection and viability depends on the organism, treatment history and matrix. Culture addresses viability through growth but at the cost of time. Molecular viability approaches attempt to preserve speed by selectively blocking or suppressing DNA from membrane-compromised cells, or by linking signal generation to a biological event that occurs only in viable hosts.</w:t>
      </w:r>
    </w:p>
    <w:p w14:paraId="19E27A3C" w14:textId="77777777" w:rsidR="00A423C3" w:rsidRDefault="00000000">
      <w:r>
        <w:t xml:space="preserve">The PMA-assisted digital CRISPR system described by Yin et al. (2024) illustrates the first strategy. Partitioning into microwells supported rapid absolute-style measurement, while PMA treatment was reported to eliminate most interference from dead </w:t>
      </w:r>
      <w:r>
        <w:rPr>
          <w:i/>
        </w:rPr>
        <w:t>E. coli</w:t>
      </w:r>
      <w:r>
        <w:t xml:space="preserve"> O157:H7. The design is attractive because it combines a viability pretreatment with digital counting and CRISPR specificity. Nevertheless, membrane integrity is an operational proxy for viability rather than a universal biological definition. Food processing can create </w:t>
      </w:r>
      <w:r>
        <w:lastRenderedPageBreak/>
        <w:t xml:space="preserve">injured cells whose membrane permeability and </w:t>
      </w:r>
      <w:proofErr w:type="spellStart"/>
      <w:r>
        <w:t>culturability</w:t>
      </w:r>
      <w:proofErr w:type="spellEnd"/>
      <w:r>
        <w:t xml:space="preserve"> change over time, so PMA performance should be validated under the specific thermal, chemical or storage stresses relevant to the intended matrix.</w:t>
      </w:r>
    </w:p>
    <w:p w14:paraId="20782032" w14:textId="77777777" w:rsidR="00A423C3" w:rsidRDefault="00000000">
      <w:proofErr w:type="spellStart"/>
      <w:r>
        <w:t>Wisuthiphaet</w:t>
      </w:r>
      <w:proofErr w:type="spellEnd"/>
      <w:r>
        <w:t xml:space="preserve"> et al. (2026) pursued a different strategy by coupling bacteriophage T7 replication to Cas12a detection. Because phage replication requires susceptible viable </w:t>
      </w:r>
      <w:r>
        <w:rPr>
          <w:i/>
        </w:rPr>
        <w:t>E. coli</w:t>
      </w:r>
      <w:r>
        <w:t>, amplified phage DNA becomes an indirect marker of viable host cells. The study detected low concentrations in broth and higher concentrations in spinach homogenate, but the total workflow required more than eight hours. The central contribution is therefore not a new speed benchmark; it is evidence that biological amplification can restore viability specificity without conventional target-nucleic-acid amplification. Translation will depend on phage host range, the diversity of target strains, interference by food-associated bacteria and the time required for productive infection.</w:t>
      </w:r>
    </w:p>
    <w:p w14:paraId="3B77F42F" w14:textId="77777777" w:rsidR="00A423C3" w:rsidRDefault="00000000">
      <w:r>
        <w:t xml:space="preserve">Quantification introduces a related distinction. Fluorescent CRISPR signals can correlate with target abundance under controlled conditions, but collateral cleavage, endpoint saturation and variable preamplification make many assays more naturally qualitative or semi-quantitative. </w:t>
      </w:r>
      <w:proofErr w:type="spellStart"/>
      <w:r>
        <w:t>dPCR</w:t>
      </w:r>
      <w:proofErr w:type="spellEnd"/>
      <w:r>
        <w:t xml:space="preserve"> avoids external calibration by partitioning the sample and using the fraction of positive partitions to estimate target concentration. Witte et al. (2016) demonstrated quantitative detection of the </w:t>
      </w:r>
      <w:r>
        <w:rPr>
          <w:i/>
        </w:rPr>
        <w:t xml:space="preserve">L. monocytogenes </w:t>
      </w:r>
      <w:proofErr w:type="spellStart"/>
      <w:r>
        <w:rPr>
          <w:i/>
        </w:rPr>
        <w:t>prfA</w:t>
      </w:r>
      <w:proofErr w:type="spellEnd"/>
      <w:r>
        <w:t xml:space="preserve"> locus in pure culture and food-associated samples, while Liang et al. (2026) applied droplet </w:t>
      </w:r>
      <w:proofErr w:type="spellStart"/>
      <w:r>
        <w:t>dPCR</w:t>
      </w:r>
      <w:proofErr w:type="spellEnd"/>
      <w:r>
        <w:t xml:space="preserve"> to </w:t>
      </w:r>
      <w:r>
        <w:rPr>
          <w:i/>
        </w:rPr>
        <w:t>Salmonella</w:t>
      </w:r>
      <w:r>
        <w:t xml:space="preserve"> in meat and compared molecular quantification with microbiological counts. </w:t>
      </w:r>
      <w:proofErr w:type="spellStart"/>
      <w:r>
        <w:t>dPCR</w:t>
      </w:r>
      <w:proofErr w:type="spellEnd"/>
      <w:r>
        <w:t xml:space="preserve"> therefore provides a stronger framework when absolute nucleic-acid quantification is itself the decision variable. It does not, without an added viability strategy, resolve the live/dead problem.</w:t>
      </w:r>
    </w:p>
    <w:p w14:paraId="03DF76A2" w14:textId="77777777" w:rsidR="00A423C3" w:rsidRDefault="00000000">
      <w:r>
        <w:t xml:space="preserve">The practical interpretation of a molecular positive result should thus be specified before assay </w:t>
      </w:r>
      <w:proofErr w:type="spellStart"/>
      <w:r>
        <w:t>optimisation</w:t>
      </w:r>
      <w:proofErr w:type="spellEnd"/>
      <w:r>
        <w:t xml:space="preserve">. Presence/absence screening, enumeration, verification of a toxin-associated genotype, confirmation of viable organisms and outbreak source attribution are different diagnostic tasks. The assay with the lowest nominal detection limit is not automatically the best assay for all of them. Table 1 </w:t>
      </w:r>
      <w:proofErr w:type="spellStart"/>
      <w:r>
        <w:t>summarises</w:t>
      </w:r>
      <w:proofErr w:type="spellEnd"/>
      <w:r>
        <w:t xml:space="preserve"> the main pre-analytical and interpretive bottlenecks and shows that most are upstream of, or orthogonal to, the molecular recognition chemistry. This is important for CRISPR development because engineering effort concentrated only on collateral-cleavage signal gain can produce diminishing practical returns if sampling, recovery, viability and decision thresholds remain unresolved.</w:t>
      </w:r>
    </w:p>
    <w:p w14:paraId="2ED6EA3D" w14:textId="77777777" w:rsidR="00A423C3" w:rsidRDefault="00000000">
      <w:pPr>
        <w:pStyle w:val="TableCaption"/>
      </w:pPr>
      <w:r>
        <w:rPr>
          <w:b w:val="0"/>
        </w:rPr>
        <w:t>Table 1. Pre-analytical and interpretive bottlenecks in molecular foodborne-pathogen detection</w:t>
      </w:r>
    </w:p>
    <w:tbl>
      <w:tblPr>
        <w:tblStyle w:val="TableGrid"/>
        <w:tblW w:w="5000" w:type="pct"/>
        <w:jc w:val="center"/>
        <w:tblLook w:val="04A0" w:firstRow="1" w:lastRow="0" w:firstColumn="1" w:lastColumn="0" w:noHBand="0" w:noVBand="1"/>
      </w:tblPr>
      <w:tblGrid>
        <w:gridCol w:w="1488"/>
        <w:gridCol w:w="1913"/>
        <w:gridCol w:w="2196"/>
        <w:gridCol w:w="2622"/>
        <w:gridCol w:w="1629"/>
      </w:tblGrid>
      <w:tr w:rsidR="00A423C3" w14:paraId="0A9B8D1C" w14:textId="77777777" w:rsidTr="00916311">
        <w:trPr>
          <w:cantSplit/>
          <w:tblHeader/>
          <w:jc w:val="center"/>
        </w:trPr>
        <w:tc>
          <w:tcPr>
            <w:tcW w:w="755" w:type="pct"/>
            <w:shd w:val="clear" w:color="auto" w:fill="D9E2F3"/>
            <w:tcMar>
              <w:top w:w="90" w:type="dxa"/>
              <w:left w:w="100" w:type="dxa"/>
              <w:bottom w:w="90" w:type="dxa"/>
              <w:right w:w="100" w:type="dxa"/>
            </w:tcMar>
            <w:vAlign w:val="center"/>
          </w:tcPr>
          <w:p w14:paraId="05E4E148" w14:textId="77777777" w:rsidR="00A423C3" w:rsidRDefault="00000000">
            <w:pPr>
              <w:spacing w:after="0" w:line="240" w:lineRule="auto"/>
              <w:jc w:val="center"/>
            </w:pPr>
            <w:r>
              <w:rPr>
                <w:b/>
                <w:sz w:val="16"/>
              </w:rPr>
              <w:t>Diagnostic stage</w:t>
            </w:r>
          </w:p>
        </w:tc>
        <w:tc>
          <w:tcPr>
            <w:tcW w:w="971" w:type="pct"/>
            <w:shd w:val="clear" w:color="auto" w:fill="D9E2F3"/>
            <w:tcMar>
              <w:top w:w="90" w:type="dxa"/>
              <w:left w:w="100" w:type="dxa"/>
              <w:bottom w:w="90" w:type="dxa"/>
              <w:right w:w="100" w:type="dxa"/>
            </w:tcMar>
            <w:vAlign w:val="center"/>
          </w:tcPr>
          <w:p w14:paraId="38A346B2" w14:textId="77777777" w:rsidR="00A423C3" w:rsidRDefault="00000000">
            <w:pPr>
              <w:spacing w:after="0" w:line="240" w:lineRule="auto"/>
              <w:jc w:val="center"/>
            </w:pPr>
            <w:r>
              <w:rPr>
                <w:b/>
                <w:sz w:val="16"/>
              </w:rPr>
              <w:t>Principal failure mode</w:t>
            </w:r>
          </w:p>
        </w:tc>
        <w:tc>
          <w:tcPr>
            <w:tcW w:w="1115" w:type="pct"/>
            <w:shd w:val="clear" w:color="auto" w:fill="D9E2F3"/>
            <w:tcMar>
              <w:top w:w="90" w:type="dxa"/>
              <w:left w:w="100" w:type="dxa"/>
              <w:bottom w:w="90" w:type="dxa"/>
              <w:right w:w="100" w:type="dxa"/>
            </w:tcMar>
            <w:vAlign w:val="center"/>
          </w:tcPr>
          <w:p w14:paraId="6ADBF5B3" w14:textId="77777777" w:rsidR="00A423C3" w:rsidRDefault="00000000">
            <w:pPr>
              <w:spacing w:after="0" w:line="240" w:lineRule="auto"/>
              <w:jc w:val="center"/>
            </w:pPr>
            <w:r>
              <w:rPr>
                <w:b/>
                <w:sz w:val="16"/>
              </w:rPr>
              <w:t>Consequence for interpretation</w:t>
            </w:r>
          </w:p>
        </w:tc>
        <w:tc>
          <w:tcPr>
            <w:tcW w:w="1331" w:type="pct"/>
            <w:shd w:val="clear" w:color="auto" w:fill="D9E2F3"/>
            <w:tcMar>
              <w:top w:w="90" w:type="dxa"/>
              <w:left w:w="100" w:type="dxa"/>
              <w:bottom w:w="90" w:type="dxa"/>
              <w:right w:w="100" w:type="dxa"/>
            </w:tcMar>
            <w:vAlign w:val="center"/>
          </w:tcPr>
          <w:p w14:paraId="136DC878" w14:textId="77777777" w:rsidR="00A423C3" w:rsidRDefault="00000000">
            <w:pPr>
              <w:spacing w:after="0" w:line="240" w:lineRule="auto"/>
              <w:jc w:val="center"/>
            </w:pPr>
            <w:r>
              <w:rPr>
                <w:b/>
                <w:sz w:val="16"/>
              </w:rPr>
              <w:t>Fit-for-purpose mitigation or metric</w:t>
            </w:r>
          </w:p>
        </w:tc>
        <w:tc>
          <w:tcPr>
            <w:tcW w:w="827" w:type="pct"/>
            <w:shd w:val="clear" w:color="auto" w:fill="D9E2F3"/>
            <w:tcMar>
              <w:top w:w="90" w:type="dxa"/>
              <w:left w:w="100" w:type="dxa"/>
              <w:bottom w:w="90" w:type="dxa"/>
              <w:right w:w="100" w:type="dxa"/>
            </w:tcMar>
            <w:vAlign w:val="center"/>
          </w:tcPr>
          <w:p w14:paraId="75B0618E" w14:textId="77777777" w:rsidR="00A423C3" w:rsidRDefault="00000000">
            <w:pPr>
              <w:spacing w:after="0" w:line="240" w:lineRule="auto"/>
              <w:jc w:val="center"/>
            </w:pPr>
            <w:r>
              <w:rPr>
                <w:b/>
                <w:sz w:val="16"/>
              </w:rPr>
              <w:t>Supporting references</w:t>
            </w:r>
          </w:p>
        </w:tc>
      </w:tr>
      <w:tr w:rsidR="00A423C3" w14:paraId="74A4F6ED" w14:textId="77777777" w:rsidTr="00916311">
        <w:trPr>
          <w:cantSplit/>
          <w:jc w:val="center"/>
        </w:trPr>
        <w:tc>
          <w:tcPr>
            <w:tcW w:w="755" w:type="pct"/>
            <w:tcMar>
              <w:top w:w="70" w:type="dxa"/>
              <w:left w:w="90" w:type="dxa"/>
              <w:bottom w:w="70" w:type="dxa"/>
              <w:right w:w="90" w:type="dxa"/>
            </w:tcMar>
            <w:vAlign w:val="center"/>
          </w:tcPr>
          <w:p w14:paraId="0C811CDA" w14:textId="77777777" w:rsidR="00A423C3" w:rsidRDefault="00000000">
            <w:pPr>
              <w:spacing w:after="0" w:line="240" w:lineRule="auto"/>
              <w:jc w:val="left"/>
            </w:pPr>
            <w:r>
              <w:rPr>
                <w:sz w:val="15"/>
              </w:rPr>
              <w:t xml:space="preserve">Sampling and </w:t>
            </w:r>
            <w:proofErr w:type="spellStart"/>
            <w:r>
              <w:rPr>
                <w:sz w:val="15"/>
              </w:rPr>
              <w:t>homogenisation</w:t>
            </w:r>
            <w:proofErr w:type="spellEnd"/>
          </w:p>
        </w:tc>
        <w:tc>
          <w:tcPr>
            <w:tcW w:w="971" w:type="pct"/>
            <w:tcMar>
              <w:top w:w="70" w:type="dxa"/>
              <w:left w:w="90" w:type="dxa"/>
              <w:bottom w:w="70" w:type="dxa"/>
              <w:right w:w="90" w:type="dxa"/>
            </w:tcMar>
            <w:vAlign w:val="center"/>
          </w:tcPr>
          <w:p w14:paraId="503C9B14" w14:textId="77777777" w:rsidR="00A423C3" w:rsidRDefault="00000000">
            <w:pPr>
              <w:spacing w:after="0" w:line="240" w:lineRule="auto"/>
              <w:jc w:val="left"/>
            </w:pPr>
            <w:r>
              <w:rPr>
                <w:sz w:val="15"/>
              </w:rPr>
              <w:t>Sparse or heterogeneous contamination; small analytical aliquot</w:t>
            </w:r>
          </w:p>
        </w:tc>
        <w:tc>
          <w:tcPr>
            <w:tcW w:w="1115" w:type="pct"/>
            <w:tcMar>
              <w:top w:w="70" w:type="dxa"/>
              <w:left w:w="90" w:type="dxa"/>
              <w:bottom w:w="70" w:type="dxa"/>
              <w:right w:w="90" w:type="dxa"/>
            </w:tcMar>
            <w:vAlign w:val="center"/>
          </w:tcPr>
          <w:p w14:paraId="40163DD6" w14:textId="77777777" w:rsidR="00A423C3" w:rsidRDefault="00000000">
            <w:pPr>
              <w:spacing w:after="0" w:line="240" w:lineRule="auto"/>
              <w:jc w:val="left"/>
            </w:pPr>
            <w:r>
              <w:rPr>
                <w:sz w:val="15"/>
              </w:rPr>
              <w:t>A highly sensitive reaction may miss the target because it was never sampled</w:t>
            </w:r>
          </w:p>
        </w:tc>
        <w:tc>
          <w:tcPr>
            <w:tcW w:w="1331" w:type="pct"/>
            <w:tcMar>
              <w:top w:w="70" w:type="dxa"/>
              <w:left w:w="90" w:type="dxa"/>
              <w:bottom w:w="70" w:type="dxa"/>
              <w:right w:w="90" w:type="dxa"/>
            </w:tcMar>
            <w:vAlign w:val="center"/>
          </w:tcPr>
          <w:p w14:paraId="304EFFFA" w14:textId="77777777" w:rsidR="00A423C3" w:rsidRDefault="00000000">
            <w:pPr>
              <w:spacing w:after="0" w:line="240" w:lineRule="auto"/>
              <w:jc w:val="left"/>
            </w:pPr>
            <w:r>
              <w:rPr>
                <w:sz w:val="15"/>
              </w:rPr>
              <w:t xml:space="preserve">State original sample mass/volume; </w:t>
            </w:r>
            <w:proofErr w:type="spellStart"/>
            <w:r>
              <w:rPr>
                <w:sz w:val="15"/>
              </w:rPr>
              <w:t>standardise</w:t>
            </w:r>
            <w:proofErr w:type="spellEnd"/>
            <w:r>
              <w:rPr>
                <w:sz w:val="15"/>
              </w:rPr>
              <w:t xml:space="preserve"> </w:t>
            </w:r>
            <w:proofErr w:type="spellStart"/>
            <w:r>
              <w:rPr>
                <w:sz w:val="15"/>
              </w:rPr>
              <w:t>homogenisation</w:t>
            </w:r>
            <w:proofErr w:type="spellEnd"/>
            <w:r>
              <w:rPr>
                <w:sz w:val="15"/>
              </w:rPr>
              <w:t>; evaluate probability of detection at low contamination</w:t>
            </w:r>
          </w:p>
        </w:tc>
        <w:tc>
          <w:tcPr>
            <w:tcW w:w="827" w:type="pct"/>
            <w:tcMar>
              <w:top w:w="70" w:type="dxa"/>
              <w:left w:w="90" w:type="dxa"/>
              <w:bottom w:w="70" w:type="dxa"/>
              <w:right w:w="90" w:type="dxa"/>
            </w:tcMar>
            <w:vAlign w:val="center"/>
          </w:tcPr>
          <w:p w14:paraId="61BEED5D" w14:textId="77777777" w:rsidR="00A423C3" w:rsidRDefault="00000000">
            <w:pPr>
              <w:spacing w:after="0" w:line="240" w:lineRule="auto"/>
              <w:jc w:val="left"/>
            </w:pPr>
            <w:r>
              <w:rPr>
                <w:sz w:val="15"/>
              </w:rPr>
              <w:t>Lee &amp; Oh (2022); Shin et al. (2022)</w:t>
            </w:r>
          </w:p>
        </w:tc>
      </w:tr>
      <w:tr w:rsidR="00A423C3" w14:paraId="1A13BB4E" w14:textId="77777777" w:rsidTr="00916311">
        <w:trPr>
          <w:cantSplit/>
          <w:jc w:val="center"/>
        </w:trPr>
        <w:tc>
          <w:tcPr>
            <w:tcW w:w="755" w:type="pct"/>
            <w:tcMar>
              <w:top w:w="70" w:type="dxa"/>
              <w:left w:w="90" w:type="dxa"/>
              <w:bottom w:w="70" w:type="dxa"/>
              <w:right w:w="90" w:type="dxa"/>
            </w:tcMar>
            <w:vAlign w:val="center"/>
          </w:tcPr>
          <w:p w14:paraId="77A1E2BF" w14:textId="77777777" w:rsidR="00A423C3" w:rsidRDefault="00000000">
            <w:pPr>
              <w:spacing w:after="0" w:line="240" w:lineRule="auto"/>
              <w:jc w:val="left"/>
            </w:pPr>
            <w:r>
              <w:rPr>
                <w:sz w:val="15"/>
              </w:rPr>
              <w:t>Concentration or enrichment</w:t>
            </w:r>
          </w:p>
        </w:tc>
        <w:tc>
          <w:tcPr>
            <w:tcW w:w="971" w:type="pct"/>
            <w:tcMar>
              <w:top w:w="70" w:type="dxa"/>
              <w:left w:w="90" w:type="dxa"/>
              <w:bottom w:w="70" w:type="dxa"/>
              <w:right w:w="90" w:type="dxa"/>
            </w:tcMar>
            <w:vAlign w:val="center"/>
          </w:tcPr>
          <w:p w14:paraId="1884B4F2" w14:textId="77777777" w:rsidR="00A423C3" w:rsidRDefault="00000000">
            <w:pPr>
              <w:spacing w:after="0" w:line="240" w:lineRule="auto"/>
              <w:jc w:val="left"/>
            </w:pPr>
            <w:r>
              <w:rPr>
                <w:sz w:val="15"/>
              </w:rPr>
              <w:t>Variable recovery; selective growth; added time</w:t>
            </w:r>
          </w:p>
        </w:tc>
        <w:tc>
          <w:tcPr>
            <w:tcW w:w="1115" w:type="pct"/>
            <w:tcMar>
              <w:top w:w="70" w:type="dxa"/>
              <w:left w:w="90" w:type="dxa"/>
              <w:bottom w:w="70" w:type="dxa"/>
              <w:right w:w="90" w:type="dxa"/>
            </w:tcMar>
            <w:vAlign w:val="center"/>
          </w:tcPr>
          <w:p w14:paraId="361E6F9F" w14:textId="77777777" w:rsidR="00A423C3" w:rsidRDefault="00000000">
            <w:pPr>
              <w:spacing w:after="0" w:line="240" w:lineRule="auto"/>
              <w:jc w:val="left"/>
            </w:pPr>
            <w:r>
              <w:rPr>
                <w:sz w:val="15"/>
              </w:rPr>
              <w:t>Reported post-enrichment sensitivity may not represent the initial contamination burden</w:t>
            </w:r>
          </w:p>
        </w:tc>
        <w:tc>
          <w:tcPr>
            <w:tcW w:w="1331" w:type="pct"/>
            <w:tcMar>
              <w:top w:w="70" w:type="dxa"/>
              <w:left w:w="90" w:type="dxa"/>
              <w:bottom w:w="70" w:type="dxa"/>
              <w:right w:w="90" w:type="dxa"/>
            </w:tcMar>
            <w:vAlign w:val="center"/>
          </w:tcPr>
          <w:p w14:paraId="48ACFA15" w14:textId="77777777" w:rsidR="00A423C3" w:rsidRDefault="00000000">
            <w:pPr>
              <w:spacing w:after="0" w:line="240" w:lineRule="auto"/>
              <w:jc w:val="left"/>
            </w:pPr>
            <w:r>
              <w:rPr>
                <w:sz w:val="15"/>
              </w:rPr>
              <w:t xml:space="preserve">Report recovery efficiency and enrichment duration separately from analytical </w:t>
            </w:r>
            <w:proofErr w:type="spellStart"/>
            <w:r>
              <w:rPr>
                <w:sz w:val="15"/>
              </w:rPr>
              <w:t>LoD</w:t>
            </w:r>
            <w:proofErr w:type="spellEnd"/>
          </w:p>
        </w:tc>
        <w:tc>
          <w:tcPr>
            <w:tcW w:w="827" w:type="pct"/>
            <w:tcMar>
              <w:top w:w="70" w:type="dxa"/>
              <w:left w:w="90" w:type="dxa"/>
              <w:bottom w:w="70" w:type="dxa"/>
              <w:right w:w="90" w:type="dxa"/>
            </w:tcMar>
            <w:vAlign w:val="center"/>
          </w:tcPr>
          <w:p w14:paraId="2F02D0DF" w14:textId="77777777" w:rsidR="00A423C3" w:rsidRDefault="00000000">
            <w:pPr>
              <w:spacing w:after="0" w:line="240" w:lineRule="auto"/>
              <w:jc w:val="left"/>
            </w:pPr>
            <w:r>
              <w:rPr>
                <w:sz w:val="15"/>
              </w:rPr>
              <w:t>Ma et al. (2024); Wang et al. (2024)</w:t>
            </w:r>
          </w:p>
        </w:tc>
      </w:tr>
      <w:tr w:rsidR="00A423C3" w14:paraId="6DC2F94C" w14:textId="77777777" w:rsidTr="00916311">
        <w:trPr>
          <w:cantSplit/>
          <w:jc w:val="center"/>
        </w:trPr>
        <w:tc>
          <w:tcPr>
            <w:tcW w:w="755" w:type="pct"/>
            <w:tcMar>
              <w:top w:w="70" w:type="dxa"/>
              <w:left w:w="90" w:type="dxa"/>
              <w:bottom w:w="70" w:type="dxa"/>
              <w:right w:w="90" w:type="dxa"/>
            </w:tcMar>
            <w:vAlign w:val="center"/>
          </w:tcPr>
          <w:p w14:paraId="02054CF9" w14:textId="77777777" w:rsidR="00A423C3" w:rsidRDefault="00000000">
            <w:pPr>
              <w:spacing w:after="0" w:line="240" w:lineRule="auto"/>
              <w:jc w:val="left"/>
            </w:pPr>
            <w:r>
              <w:rPr>
                <w:sz w:val="15"/>
              </w:rPr>
              <w:t>Lysis and nucleic-acid extraction</w:t>
            </w:r>
          </w:p>
        </w:tc>
        <w:tc>
          <w:tcPr>
            <w:tcW w:w="971" w:type="pct"/>
            <w:tcMar>
              <w:top w:w="70" w:type="dxa"/>
              <w:left w:w="90" w:type="dxa"/>
              <w:bottom w:w="70" w:type="dxa"/>
              <w:right w:w="90" w:type="dxa"/>
            </w:tcMar>
            <w:vAlign w:val="center"/>
          </w:tcPr>
          <w:p w14:paraId="20669153" w14:textId="77777777" w:rsidR="00A423C3" w:rsidRDefault="00000000">
            <w:pPr>
              <w:spacing w:after="0" w:line="240" w:lineRule="auto"/>
              <w:jc w:val="left"/>
            </w:pPr>
            <w:r>
              <w:rPr>
                <w:sz w:val="15"/>
              </w:rPr>
              <w:t>Food-derived inhibitors and target loss</w:t>
            </w:r>
          </w:p>
        </w:tc>
        <w:tc>
          <w:tcPr>
            <w:tcW w:w="1115" w:type="pct"/>
            <w:tcMar>
              <w:top w:w="70" w:type="dxa"/>
              <w:left w:w="90" w:type="dxa"/>
              <w:bottom w:w="70" w:type="dxa"/>
              <w:right w:w="90" w:type="dxa"/>
            </w:tcMar>
            <w:vAlign w:val="center"/>
          </w:tcPr>
          <w:p w14:paraId="19E1DEB8" w14:textId="77777777" w:rsidR="00A423C3" w:rsidRDefault="00000000">
            <w:pPr>
              <w:spacing w:after="0" w:line="240" w:lineRule="auto"/>
              <w:jc w:val="left"/>
            </w:pPr>
            <w:r>
              <w:rPr>
                <w:sz w:val="15"/>
              </w:rPr>
              <w:t>False negatives or matrix-dependent shifts in sensitivity</w:t>
            </w:r>
          </w:p>
        </w:tc>
        <w:tc>
          <w:tcPr>
            <w:tcW w:w="1331" w:type="pct"/>
            <w:tcMar>
              <w:top w:w="70" w:type="dxa"/>
              <w:left w:w="90" w:type="dxa"/>
              <w:bottom w:w="70" w:type="dxa"/>
              <w:right w:w="90" w:type="dxa"/>
            </w:tcMar>
            <w:vAlign w:val="center"/>
          </w:tcPr>
          <w:p w14:paraId="092A00DA" w14:textId="77777777" w:rsidR="00A423C3" w:rsidRDefault="00000000">
            <w:pPr>
              <w:spacing w:after="0" w:line="240" w:lineRule="auto"/>
              <w:jc w:val="left"/>
            </w:pPr>
            <w:r>
              <w:rPr>
                <w:sz w:val="15"/>
              </w:rPr>
              <w:t>Use process controls; measure extraction/recovery; validate across chemically diverse matrices</w:t>
            </w:r>
          </w:p>
        </w:tc>
        <w:tc>
          <w:tcPr>
            <w:tcW w:w="827" w:type="pct"/>
            <w:tcMar>
              <w:top w:w="70" w:type="dxa"/>
              <w:left w:w="90" w:type="dxa"/>
              <w:bottom w:w="70" w:type="dxa"/>
              <w:right w:w="90" w:type="dxa"/>
            </w:tcMar>
            <w:vAlign w:val="center"/>
          </w:tcPr>
          <w:p w14:paraId="2B6F7407" w14:textId="77777777" w:rsidR="00A423C3" w:rsidRDefault="00000000">
            <w:pPr>
              <w:spacing w:after="0" w:line="240" w:lineRule="auto"/>
              <w:jc w:val="left"/>
            </w:pPr>
            <w:r>
              <w:rPr>
                <w:sz w:val="15"/>
              </w:rPr>
              <w:t>Li et al. (2021); Xiao et al. (2023)</w:t>
            </w:r>
          </w:p>
        </w:tc>
      </w:tr>
      <w:tr w:rsidR="00A423C3" w14:paraId="3991F16F" w14:textId="77777777" w:rsidTr="00916311">
        <w:trPr>
          <w:cantSplit/>
          <w:jc w:val="center"/>
        </w:trPr>
        <w:tc>
          <w:tcPr>
            <w:tcW w:w="755" w:type="pct"/>
            <w:tcMar>
              <w:top w:w="70" w:type="dxa"/>
              <w:left w:w="90" w:type="dxa"/>
              <w:bottom w:w="70" w:type="dxa"/>
              <w:right w:w="90" w:type="dxa"/>
            </w:tcMar>
            <w:vAlign w:val="center"/>
          </w:tcPr>
          <w:p w14:paraId="6BE2C0C2" w14:textId="77777777" w:rsidR="00A423C3" w:rsidRDefault="00000000">
            <w:pPr>
              <w:spacing w:after="0" w:line="240" w:lineRule="auto"/>
              <w:jc w:val="left"/>
            </w:pPr>
            <w:r>
              <w:rPr>
                <w:sz w:val="15"/>
              </w:rPr>
              <w:t>Viability</w:t>
            </w:r>
          </w:p>
        </w:tc>
        <w:tc>
          <w:tcPr>
            <w:tcW w:w="971" w:type="pct"/>
            <w:tcMar>
              <w:top w:w="70" w:type="dxa"/>
              <w:left w:w="90" w:type="dxa"/>
              <w:bottom w:w="70" w:type="dxa"/>
              <w:right w:w="90" w:type="dxa"/>
            </w:tcMar>
            <w:vAlign w:val="center"/>
          </w:tcPr>
          <w:p w14:paraId="7509BEE5" w14:textId="77777777" w:rsidR="00A423C3" w:rsidRDefault="00000000">
            <w:pPr>
              <w:spacing w:after="0" w:line="240" w:lineRule="auto"/>
              <w:jc w:val="left"/>
            </w:pPr>
            <w:r>
              <w:rPr>
                <w:sz w:val="15"/>
              </w:rPr>
              <w:t>Persistent DNA from non-viable cells</w:t>
            </w:r>
          </w:p>
        </w:tc>
        <w:tc>
          <w:tcPr>
            <w:tcW w:w="1115" w:type="pct"/>
            <w:tcMar>
              <w:top w:w="70" w:type="dxa"/>
              <w:left w:w="90" w:type="dxa"/>
              <w:bottom w:w="70" w:type="dxa"/>
              <w:right w:w="90" w:type="dxa"/>
            </w:tcMar>
            <w:vAlign w:val="center"/>
          </w:tcPr>
          <w:p w14:paraId="11ED511A" w14:textId="77777777" w:rsidR="00A423C3" w:rsidRDefault="00000000">
            <w:pPr>
              <w:spacing w:after="0" w:line="240" w:lineRule="auto"/>
              <w:jc w:val="left"/>
            </w:pPr>
            <w:r>
              <w:rPr>
                <w:sz w:val="15"/>
              </w:rPr>
              <w:t>Molecular positivity may overstate viable hazard</w:t>
            </w:r>
          </w:p>
        </w:tc>
        <w:tc>
          <w:tcPr>
            <w:tcW w:w="1331" w:type="pct"/>
            <w:tcMar>
              <w:top w:w="70" w:type="dxa"/>
              <w:left w:w="90" w:type="dxa"/>
              <w:bottom w:w="70" w:type="dxa"/>
              <w:right w:w="90" w:type="dxa"/>
            </w:tcMar>
            <w:vAlign w:val="center"/>
          </w:tcPr>
          <w:p w14:paraId="584D1A4D" w14:textId="77777777" w:rsidR="00A423C3" w:rsidRDefault="00000000">
            <w:pPr>
              <w:spacing w:after="0" w:line="240" w:lineRule="auto"/>
              <w:jc w:val="left"/>
            </w:pPr>
            <w:r>
              <w:rPr>
                <w:sz w:val="15"/>
              </w:rPr>
              <w:t>Use validated viability pretreatment or biology-dependent amplification when viability is the intended measurand</w:t>
            </w:r>
          </w:p>
        </w:tc>
        <w:tc>
          <w:tcPr>
            <w:tcW w:w="827" w:type="pct"/>
            <w:tcMar>
              <w:top w:w="70" w:type="dxa"/>
              <w:left w:w="90" w:type="dxa"/>
              <w:bottom w:w="70" w:type="dxa"/>
              <w:right w:w="90" w:type="dxa"/>
            </w:tcMar>
            <w:vAlign w:val="center"/>
          </w:tcPr>
          <w:p w14:paraId="20F6DD3B" w14:textId="77777777" w:rsidR="00A423C3" w:rsidRDefault="00000000">
            <w:pPr>
              <w:spacing w:after="0" w:line="240" w:lineRule="auto"/>
              <w:jc w:val="left"/>
            </w:pPr>
            <w:proofErr w:type="spellStart"/>
            <w:r>
              <w:rPr>
                <w:sz w:val="15"/>
              </w:rPr>
              <w:t>Wisuthiphaet</w:t>
            </w:r>
            <w:proofErr w:type="spellEnd"/>
            <w:r>
              <w:rPr>
                <w:sz w:val="15"/>
              </w:rPr>
              <w:t xml:space="preserve"> et al. (2026); Yin et al. (2024)</w:t>
            </w:r>
          </w:p>
        </w:tc>
      </w:tr>
      <w:tr w:rsidR="00A423C3" w14:paraId="793AC6DA" w14:textId="77777777" w:rsidTr="00916311">
        <w:trPr>
          <w:cantSplit/>
          <w:jc w:val="center"/>
        </w:trPr>
        <w:tc>
          <w:tcPr>
            <w:tcW w:w="755" w:type="pct"/>
            <w:tcMar>
              <w:top w:w="70" w:type="dxa"/>
              <w:left w:w="90" w:type="dxa"/>
              <w:bottom w:w="70" w:type="dxa"/>
              <w:right w:w="90" w:type="dxa"/>
            </w:tcMar>
            <w:vAlign w:val="center"/>
          </w:tcPr>
          <w:p w14:paraId="2EE7F05D" w14:textId="77777777" w:rsidR="00A423C3" w:rsidRDefault="00000000">
            <w:pPr>
              <w:spacing w:after="0" w:line="240" w:lineRule="auto"/>
              <w:jc w:val="left"/>
            </w:pPr>
            <w:r>
              <w:rPr>
                <w:sz w:val="15"/>
              </w:rPr>
              <w:t>Target and guide design</w:t>
            </w:r>
          </w:p>
        </w:tc>
        <w:tc>
          <w:tcPr>
            <w:tcW w:w="971" w:type="pct"/>
            <w:tcMar>
              <w:top w:w="70" w:type="dxa"/>
              <w:left w:w="90" w:type="dxa"/>
              <w:bottom w:w="70" w:type="dxa"/>
              <w:right w:w="90" w:type="dxa"/>
            </w:tcMar>
            <w:vAlign w:val="center"/>
          </w:tcPr>
          <w:p w14:paraId="12FCECBD" w14:textId="77777777" w:rsidR="00A423C3" w:rsidRDefault="00000000">
            <w:pPr>
              <w:spacing w:after="0" w:line="240" w:lineRule="auto"/>
              <w:jc w:val="left"/>
            </w:pPr>
            <w:r>
              <w:rPr>
                <w:sz w:val="15"/>
              </w:rPr>
              <w:t>Natural genomic variation or near-</w:t>
            </w:r>
            <w:proofErr w:type="spellStart"/>
            <w:r>
              <w:rPr>
                <w:sz w:val="15"/>
              </w:rPr>
              <w:t>neighbour</w:t>
            </w:r>
            <w:proofErr w:type="spellEnd"/>
            <w:r>
              <w:rPr>
                <w:sz w:val="15"/>
              </w:rPr>
              <w:t xml:space="preserve"> homology</w:t>
            </w:r>
          </w:p>
        </w:tc>
        <w:tc>
          <w:tcPr>
            <w:tcW w:w="1115" w:type="pct"/>
            <w:tcMar>
              <w:top w:w="70" w:type="dxa"/>
              <w:left w:w="90" w:type="dxa"/>
              <w:bottom w:w="70" w:type="dxa"/>
              <w:right w:w="90" w:type="dxa"/>
            </w:tcMar>
            <w:vAlign w:val="center"/>
          </w:tcPr>
          <w:p w14:paraId="0C12D70B" w14:textId="77777777" w:rsidR="00A423C3" w:rsidRDefault="00000000">
            <w:pPr>
              <w:spacing w:after="0" w:line="240" w:lineRule="auto"/>
              <w:jc w:val="left"/>
            </w:pPr>
            <w:r>
              <w:rPr>
                <w:sz w:val="15"/>
              </w:rPr>
              <w:t>False negatives in divergent lineages or false positives in related organisms</w:t>
            </w:r>
          </w:p>
        </w:tc>
        <w:tc>
          <w:tcPr>
            <w:tcW w:w="1331" w:type="pct"/>
            <w:tcMar>
              <w:top w:w="70" w:type="dxa"/>
              <w:left w:w="90" w:type="dxa"/>
              <w:bottom w:w="70" w:type="dxa"/>
              <w:right w:w="90" w:type="dxa"/>
            </w:tcMar>
            <w:vAlign w:val="center"/>
          </w:tcPr>
          <w:p w14:paraId="49D0864E" w14:textId="77777777" w:rsidR="00A423C3" w:rsidRDefault="00000000">
            <w:pPr>
              <w:spacing w:after="0" w:line="240" w:lineRule="auto"/>
              <w:jc w:val="left"/>
            </w:pPr>
            <w:r>
              <w:rPr>
                <w:sz w:val="15"/>
              </w:rPr>
              <w:t>Sequence-based inclusivity/exclusivity assessment plus experimental strain panels</w:t>
            </w:r>
          </w:p>
        </w:tc>
        <w:tc>
          <w:tcPr>
            <w:tcW w:w="827" w:type="pct"/>
            <w:tcMar>
              <w:top w:w="70" w:type="dxa"/>
              <w:left w:w="90" w:type="dxa"/>
              <w:bottom w:w="70" w:type="dxa"/>
              <w:right w:w="90" w:type="dxa"/>
            </w:tcMar>
            <w:vAlign w:val="center"/>
          </w:tcPr>
          <w:p w14:paraId="5FBD38D9" w14:textId="77777777" w:rsidR="00A423C3" w:rsidRDefault="00000000">
            <w:pPr>
              <w:spacing w:after="0" w:line="240" w:lineRule="auto"/>
              <w:jc w:val="left"/>
            </w:pPr>
            <w:r>
              <w:rPr>
                <w:sz w:val="15"/>
              </w:rPr>
              <w:t>Guan et al. (2025); Huang et al. (2021)</w:t>
            </w:r>
          </w:p>
        </w:tc>
      </w:tr>
      <w:tr w:rsidR="00A423C3" w14:paraId="151D4F17" w14:textId="77777777" w:rsidTr="00916311">
        <w:trPr>
          <w:cantSplit/>
          <w:jc w:val="center"/>
        </w:trPr>
        <w:tc>
          <w:tcPr>
            <w:tcW w:w="755" w:type="pct"/>
            <w:tcMar>
              <w:top w:w="70" w:type="dxa"/>
              <w:left w:w="90" w:type="dxa"/>
              <w:bottom w:w="70" w:type="dxa"/>
              <w:right w:w="90" w:type="dxa"/>
            </w:tcMar>
            <w:vAlign w:val="center"/>
          </w:tcPr>
          <w:p w14:paraId="5EEB9A38" w14:textId="77777777" w:rsidR="00A423C3" w:rsidRDefault="00000000">
            <w:pPr>
              <w:spacing w:after="0" w:line="240" w:lineRule="auto"/>
              <w:jc w:val="left"/>
            </w:pPr>
            <w:r>
              <w:rPr>
                <w:sz w:val="15"/>
              </w:rPr>
              <w:t>Quantification</w:t>
            </w:r>
          </w:p>
        </w:tc>
        <w:tc>
          <w:tcPr>
            <w:tcW w:w="971" w:type="pct"/>
            <w:tcMar>
              <w:top w:w="70" w:type="dxa"/>
              <w:left w:w="90" w:type="dxa"/>
              <w:bottom w:w="70" w:type="dxa"/>
              <w:right w:w="90" w:type="dxa"/>
            </w:tcMar>
            <w:vAlign w:val="center"/>
          </w:tcPr>
          <w:p w14:paraId="0F884E75" w14:textId="77777777" w:rsidR="00A423C3" w:rsidRDefault="00000000">
            <w:pPr>
              <w:spacing w:after="0" w:line="240" w:lineRule="auto"/>
              <w:jc w:val="left"/>
            </w:pPr>
            <w:r>
              <w:rPr>
                <w:sz w:val="15"/>
              </w:rPr>
              <w:t>Variable preamplification and endpoint saturation</w:t>
            </w:r>
          </w:p>
        </w:tc>
        <w:tc>
          <w:tcPr>
            <w:tcW w:w="1115" w:type="pct"/>
            <w:tcMar>
              <w:top w:w="70" w:type="dxa"/>
              <w:left w:w="90" w:type="dxa"/>
              <w:bottom w:w="70" w:type="dxa"/>
              <w:right w:w="90" w:type="dxa"/>
            </w:tcMar>
            <w:vAlign w:val="center"/>
          </w:tcPr>
          <w:p w14:paraId="7B36987F" w14:textId="77777777" w:rsidR="00A423C3" w:rsidRDefault="00000000">
            <w:pPr>
              <w:spacing w:after="0" w:line="240" w:lineRule="auto"/>
              <w:jc w:val="left"/>
            </w:pPr>
            <w:r>
              <w:rPr>
                <w:sz w:val="15"/>
              </w:rPr>
              <w:t>Fluorescence intensity may not map reliably to initial target concentration</w:t>
            </w:r>
          </w:p>
        </w:tc>
        <w:tc>
          <w:tcPr>
            <w:tcW w:w="1331" w:type="pct"/>
            <w:tcMar>
              <w:top w:w="70" w:type="dxa"/>
              <w:left w:w="90" w:type="dxa"/>
              <w:bottom w:w="70" w:type="dxa"/>
              <w:right w:w="90" w:type="dxa"/>
            </w:tcMar>
            <w:vAlign w:val="center"/>
          </w:tcPr>
          <w:p w14:paraId="7885309A" w14:textId="77777777" w:rsidR="00A423C3" w:rsidRDefault="00000000">
            <w:pPr>
              <w:spacing w:after="0" w:line="240" w:lineRule="auto"/>
              <w:jc w:val="left"/>
            </w:pPr>
            <w:r>
              <w:rPr>
                <w:sz w:val="15"/>
              </w:rPr>
              <w:t>Use partition-based quantification or validated standard curves when enumeration is required</w:t>
            </w:r>
          </w:p>
        </w:tc>
        <w:tc>
          <w:tcPr>
            <w:tcW w:w="827" w:type="pct"/>
            <w:tcMar>
              <w:top w:w="70" w:type="dxa"/>
              <w:left w:w="90" w:type="dxa"/>
              <w:bottom w:w="70" w:type="dxa"/>
              <w:right w:w="90" w:type="dxa"/>
            </w:tcMar>
            <w:vAlign w:val="center"/>
          </w:tcPr>
          <w:p w14:paraId="28A67683" w14:textId="77777777" w:rsidR="00A423C3" w:rsidRDefault="00000000">
            <w:pPr>
              <w:spacing w:after="0" w:line="240" w:lineRule="auto"/>
              <w:jc w:val="left"/>
            </w:pPr>
            <w:r>
              <w:rPr>
                <w:sz w:val="15"/>
              </w:rPr>
              <w:t>Liang et al. (2026); Witte et al. (2016); Yin et al. (2024)</w:t>
            </w:r>
          </w:p>
        </w:tc>
      </w:tr>
      <w:tr w:rsidR="00A423C3" w14:paraId="5CC306F8" w14:textId="77777777" w:rsidTr="00916311">
        <w:trPr>
          <w:cantSplit/>
          <w:jc w:val="center"/>
        </w:trPr>
        <w:tc>
          <w:tcPr>
            <w:tcW w:w="755" w:type="pct"/>
            <w:tcMar>
              <w:top w:w="70" w:type="dxa"/>
              <w:left w:w="90" w:type="dxa"/>
              <w:bottom w:w="70" w:type="dxa"/>
              <w:right w:w="90" w:type="dxa"/>
            </w:tcMar>
            <w:vAlign w:val="center"/>
          </w:tcPr>
          <w:p w14:paraId="206FF47B" w14:textId="77777777" w:rsidR="00A423C3" w:rsidRDefault="00000000">
            <w:pPr>
              <w:spacing w:after="0" w:line="240" w:lineRule="auto"/>
              <w:jc w:val="left"/>
            </w:pPr>
            <w:r>
              <w:rPr>
                <w:sz w:val="15"/>
              </w:rPr>
              <w:lastRenderedPageBreak/>
              <w:t>Confirmation and surveillance</w:t>
            </w:r>
          </w:p>
        </w:tc>
        <w:tc>
          <w:tcPr>
            <w:tcW w:w="971" w:type="pct"/>
            <w:tcMar>
              <w:top w:w="70" w:type="dxa"/>
              <w:left w:w="90" w:type="dxa"/>
              <w:bottom w:w="70" w:type="dxa"/>
              <w:right w:w="90" w:type="dxa"/>
            </w:tcMar>
            <w:vAlign w:val="center"/>
          </w:tcPr>
          <w:p w14:paraId="0202E555" w14:textId="77777777" w:rsidR="00A423C3" w:rsidRDefault="00000000">
            <w:pPr>
              <w:spacing w:after="0" w:line="240" w:lineRule="auto"/>
              <w:jc w:val="left"/>
            </w:pPr>
            <w:r>
              <w:rPr>
                <w:sz w:val="15"/>
              </w:rPr>
              <w:t>Rapid target signal lacks isolate-level relatedness information</w:t>
            </w:r>
          </w:p>
        </w:tc>
        <w:tc>
          <w:tcPr>
            <w:tcW w:w="1115" w:type="pct"/>
            <w:tcMar>
              <w:top w:w="70" w:type="dxa"/>
              <w:left w:w="90" w:type="dxa"/>
              <w:bottom w:w="70" w:type="dxa"/>
              <w:right w:w="90" w:type="dxa"/>
            </w:tcMar>
            <w:vAlign w:val="center"/>
          </w:tcPr>
          <w:p w14:paraId="4424AEC4" w14:textId="77777777" w:rsidR="00A423C3" w:rsidRDefault="00000000">
            <w:pPr>
              <w:spacing w:after="0" w:line="240" w:lineRule="auto"/>
              <w:jc w:val="left"/>
            </w:pPr>
            <w:r>
              <w:rPr>
                <w:sz w:val="15"/>
              </w:rPr>
              <w:t>A positive screen may be insufficient for source attribution or resistance analysis</w:t>
            </w:r>
          </w:p>
        </w:tc>
        <w:tc>
          <w:tcPr>
            <w:tcW w:w="1331" w:type="pct"/>
            <w:tcMar>
              <w:top w:w="70" w:type="dxa"/>
              <w:left w:w="90" w:type="dxa"/>
              <w:bottom w:w="70" w:type="dxa"/>
              <w:right w:w="90" w:type="dxa"/>
            </w:tcMar>
            <w:vAlign w:val="center"/>
          </w:tcPr>
          <w:p w14:paraId="4E517A95" w14:textId="77777777" w:rsidR="00A423C3" w:rsidRDefault="00000000">
            <w:pPr>
              <w:spacing w:after="0" w:line="240" w:lineRule="auto"/>
              <w:jc w:val="left"/>
            </w:pPr>
            <w:r>
              <w:rPr>
                <w:sz w:val="15"/>
              </w:rPr>
              <w:t xml:space="preserve">Define escalation to culture, </w:t>
            </w:r>
            <w:proofErr w:type="spellStart"/>
            <w:r>
              <w:rPr>
                <w:sz w:val="15"/>
              </w:rPr>
              <w:t>dPCR</w:t>
            </w:r>
            <w:proofErr w:type="spellEnd"/>
            <w:r>
              <w:rPr>
                <w:sz w:val="15"/>
              </w:rPr>
              <w:t>, WGS or metagenomics according to the decision</w:t>
            </w:r>
          </w:p>
        </w:tc>
        <w:tc>
          <w:tcPr>
            <w:tcW w:w="827" w:type="pct"/>
            <w:tcMar>
              <w:top w:w="70" w:type="dxa"/>
              <w:left w:w="90" w:type="dxa"/>
              <w:bottom w:w="70" w:type="dxa"/>
              <w:right w:w="90" w:type="dxa"/>
            </w:tcMar>
            <w:vAlign w:val="center"/>
          </w:tcPr>
          <w:p w14:paraId="26D88DC2" w14:textId="77777777" w:rsidR="00A423C3" w:rsidRDefault="00000000">
            <w:pPr>
              <w:spacing w:after="0" w:line="240" w:lineRule="auto"/>
              <w:jc w:val="left"/>
            </w:pPr>
            <w:r>
              <w:rPr>
                <w:sz w:val="15"/>
              </w:rPr>
              <w:t xml:space="preserve">Lin et al. (2022); Morton et al. (2024); </w:t>
            </w:r>
            <w:proofErr w:type="spellStart"/>
            <w:r>
              <w:rPr>
                <w:sz w:val="15"/>
              </w:rPr>
              <w:t>Schadron</w:t>
            </w:r>
            <w:proofErr w:type="spellEnd"/>
            <w:r>
              <w:rPr>
                <w:sz w:val="15"/>
              </w:rPr>
              <w:t xml:space="preserve"> et al. (2024)</w:t>
            </w:r>
          </w:p>
        </w:tc>
      </w:tr>
    </w:tbl>
    <w:p w14:paraId="40EF3A7A" w14:textId="77777777" w:rsidR="00A423C3" w:rsidRDefault="00000000">
      <w:pPr>
        <w:spacing w:before="60" w:after="160"/>
      </w:pPr>
      <w:r>
        <w:rPr>
          <w:i/>
          <w:sz w:val="17"/>
        </w:rPr>
        <w:t xml:space="preserve">Note. </w:t>
      </w:r>
      <w:proofErr w:type="spellStart"/>
      <w:r>
        <w:rPr>
          <w:sz w:val="17"/>
        </w:rPr>
        <w:t>dPCR</w:t>
      </w:r>
      <w:proofErr w:type="spellEnd"/>
      <w:r>
        <w:rPr>
          <w:sz w:val="17"/>
        </w:rPr>
        <w:t xml:space="preserve"> = digital polymerase chain reaction; </w:t>
      </w:r>
      <w:proofErr w:type="spellStart"/>
      <w:r>
        <w:rPr>
          <w:sz w:val="17"/>
        </w:rPr>
        <w:t>LoD</w:t>
      </w:r>
      <w:proofErr w:type="spellEnd"/>
      <w:r>
        <w:rPr>
          <w:sz w:val="17"/>
        </w:rPr>
        <w:t xml:space="preserve"> = limit of detection; WGS = whole-genome sequencing.</w:t>
      </w:r>
    </w:p>
    <w:p w14:paraId="34A320C1" w14:textId="77777777" w:rsidR="00A423C3" w:rsidRDefault="00000000">
      <w:pPr>
        <w:pStyle w:val="Heading1"/>
      </w:pPr>
      <w:r>
        <w:rPr>
          <w:rFonts w:ascii="Times New Roman" w:hAnsi="Times New Roman"/>
          <w:b w:val="0"/>
        </w:rPr>
        <w:t>4. Next-Generation Molecular Diagnostics Beyond CRISPR</w:t>
      </w:r>
    </w:p>
    <w:p w14:paraId="712C5C0F" w14:textId="77777777" w:rsidR="00A423C3" w:rsidRDefault="00000000">
      <w:pPr>
        <w:pStyle w:val="Heading2"/>
      </w:pPr>
      <w:r>
        <w:rPr>
          <w:rFonts w:ascii="Times New Roman" w:hAnsi="Times New Roman"/>
          <w:b w:val="0"/>
        </w:rPr>
        <w:t>4.1 qPCR, isothermal amplification and digital PCR</w:t>
      </w:r>
    </w:p>
    <w:p w14:paraId="4DD4A462" w14:textId="77777777" w:rsidR="00A423C3" w:rsidRDefault="00000000">
      <w:r>
        <w:t xml:space="preserve">The practical value of CRISPR diagnostics is best understood by separating what the Cas reaction adds from what established amplification technologies already do well. Quantitative PCR (qPCR) remains a mature targeted method because amplification and fluorescence measurement occur in a closed tube with well-established approaches to internal controls, calibration and thresholding. Its limitations for </w:t>
      </w:r>
      <w:proofErr w:type="spellStart"/>
      <w:r>
        <w:t>decentralised</w:t>
      </w:r>
      <w:proofErr w:type="spellEnd"/>
      <w:r>
        <w:t xml:space="preserve"> food testing are primarily instrumental and pre-analytical rather than a lack of sequence specificity. Thermal cycling, fluorescence optics and trained interpretation increase platform requirements, while food-derived inhibitors can shift amplification efficiency. Importantly, qPCR and CRISPR are not mutually exclusive molecular philosophies. Many CRISPR assays depend on a prior amplification step and therefore inherit the primer-design, inhibition and contamination risks of nucleic-acid amplification even when the final signal is generated by a Cas effector.</w:t>
      </w:r>
    </w:p>
    <w:p w14:paraId="71B32408" w14:textId="77777777" w:rsidR="00A423C3" w:rsidRDefault="00000000">
      <w:r>
        <w:t xml:space="preserve">Loop-mediated isothermal amplification (LAMP), recombinase polymerase amplification (RPA) and recombinase-aided amplification (RAA) reduce or remove the need for thermal cycling and are consequently common partners for CRISPR. Their main value is not merely speed. They permit low-power incubation, compact hardware and potential integration with paper, microfluidic or lateral-flow formats. Their principal weakness is that rapid high-yield amplification can generate non-specific products or cross-contamination if reaction design and workflow separation are poor. CRISPR adds a second sequence-dependent recognition event after amplification, which can convert a broadly amplified product into a target-specific reporter-cleavage signal. The filtration-based LAMP-Cas12a study of Lee and Oh (2022), the RPA-Cas12a food-safety platform of Liu et al. (2021), and the LAMP-Cas12a comparison reported by </w:t>
      </w:r>
      <w:proofErr w:type="spellStart"/>
      <w:r>
        <w:t>Safenkova</w:t>
      </w:r>
      <w:proofErr w:type="spellEnd"/>
      <w:r>
        <w:t xml:space="preserve"> et al. (2026) illustrate this layered specificity. The benefit is therefore strongest when the Cas step corrects an ambiguity inherent in the amplification readout rather than when it simply makes an already specific assay more elaborate.</w:t>
      </w:r>
    </w:p>
    <w:p w14:paraId="007A3E59" w14:textId="77777777" w:rsidR="00A423C3" w:rsidRDefault="00000000">
      <w:r>
        <w:t xml:space="preserve">RPA and RAA operate at moderate temperatures and can be completed rapidly, making them attractive for portable workflows. Yet recombinase-based amplification frequently requires careful primer screening and may be less tolerant of crude samples than simplified schematics imply. In food testing, a short amplification time can be offset by the time needed for enrichment, extraction or inhibitor removal. LAMP, in contrast, uses multiple primers and typically a higher reaction temperature, offering high amplification efficiency but imposing a more complex primer-design burden. Reviews of isothermal microfluidic food diagnostics </w:t>
      </w:r>
      <w:proofErr w:type="spellStart"/>
      <w:r>
        <w:t>emphasise</w:t>
      </w:r>
      <w:proofErr w:type="spellEnd"/>
      <w:r>
        <w:t xml:space="preserve"> that </w:t>
      </w:r>
      <w:proofErr w:type="spellStart"/>
      <w:r>
        <w:t>miniaturisation</w:t>
      </w:r>
      <w:proofErr w:type="spellEnd"/>
      <w:r>
        <w:t xml:space="preserve"> can reduce reagent consumption and integrate workflow steps, but fluidic handling, thermal uniformity and matrix-specific preparation become part of the device validation problem (Trinh &amp; Nam, 2024). Thus, isothermal amplification is an enabling layer for CRISPR, not a universally interchangeable module.</w:t>
      </w:r>
    </w:p>
    <w:p w14:paraId="6CB67E1F" w14:textId="77777777" w:rsidR="00A423C3" w:rsidRDefault="00000000">
      <w:r>
        <w:t xml:space="preserve">Digital PCR occupies a different niche. By partitioning a sample into many discrete reactions, </w:t>
      </w:r>
      <w:proofErr w:type="spellStart"/>
      <w:r>
        <w:t>dPCR</w:t>
      </w:r>
      <w:proofErr w:type="spellEnd"/>
      <w:r>
        <w:t xml:space="preserve"> supports absolute nucleic-acid quantification and can reduce dependence on calibration curves. The </w:t>
      </w:r>
      <w:proofErr w:type="spellStart"/>
      <w:r>
        <w:rPr>
          <w:i/>
        </w:rPr>
        <w:t>prfA</w:t>
      </w:r>
      <w:proofErr w:type="spellEnd"/>
      <w:r>
        <w:t xml:space="preserve"> </w:t>
      </w:r>
      <w:proofErr w:type="spellStart"/>
      <w:r>
        <w:t>ddPCR</w:t>
      </w:r>
      <w:proofErr w:type="spellEnd"/>
      <w:r>
        <w:t xml:space="preserve"> work of Witte et al. (2016) showed that food-related matrices and background microbiota need not preclude useful quantification, although droplet classification and assay </w:t>
      </w:r>
      <w:proofErr w:type="spellStart"/>
      <w:r>
        <w:t>optimisation</w:t>
      </w:r>
      <w:proofErr w:type="spellEnd"/>
      <w:r>
        <w:t xml:space="preserve"> still matter. Liang et al. (2026) </w:t>
      </w:r>
      <w:r>
        <w:lastRenderedPageBreak/>
        <w:t xml:space="preserve">extended the food-quantification argument to </w:t>
      </w:r>
      <w:r>
        <w:rPr>
          <w:i/>
        </w:rPr>
        <w:t>Salmonella</w:t>
      </w:r>
      <w:r>
        <w:t xml:space="preserve"> in meat, reporting a defined quantification limit and agreement with plate-based measurements across the tested range. These studies suggest that </w:t>
      </w:r>
      <w:proofErr w:type="spellStart"/>
      <w:r>
        <w:t>dPCR</w:t>
      </w:r>
      <w:proofErr w:type="spellEnd"/>
      <w:r>
        <w:t xml:space="preserve"> is a more natural comparator for CRISPR when the question is quantitative rather than merely qualitative detection. Digital CRISPR can combine partitioning with Cas-mediated recognition, as demonstrated for viable </w:t>
      </w:r>
      <w:r>
        <w:rPr>
          <w:i/>
        </w:rPr>
        <w:t>E. coli</w:t>
      </w:r>
      <w:r>
        <w:t xml:space="preserve"> O157:H7 by Yin et al. (2024), but it inherits added device complexity and must show a clear advantage over established digital amplification to justify that complexity.</w:t>
      </w:r>
    </w:p>
    <w:p w14:paraId="30116865" w14:textId="77777777" w:rsidR="00A423C3" w:rsidRDefault="00000000">
      <w:pPr>
        <w:pStyle w:val="Heading2"/>
      </w:pPr>
      <w:r>
        <w:rPr>
          <w:rFonts w:ascii="Times New Roman" w:hAnsi="Times New Roman"/>
          <w:b w:val="0"/>
        </w:rPr>
        <w:t>4.2 Whole-genome sequencing, metagenomics and nanopore workflows</w:t>
      </w:r>
    </w:p>
    <w:p w14:paraId="26DEB6BF" w14:textId="77777777" w:rsidR="00A423C3" w:rsidRDefault="00000000">
      <w:r>
        <w:t xml:space="preserve">Sequencing shifts the diagnostic question from 'is this target present?' to 'what genomic information is present and how is it related to other isolates or communities?'. WGS is especially valuable after recovery of a bacterial isolate because it can simultaneously support high-resolution relatedness analysis, virulence </w:t>
      </w:r>
      <w:proofErr w:type="spellStart"/>
      <w:r>
        <w:t>characterisation</w:t>
      </w:r>
      <w:proofErr w:type="spellEnd"/>
      <w:r>
        <w:t xml:space="preserve">, antimicrobial-resistance prediction and source attribution. Its public-health value is supported by surveillance experience rather than by analytical limits of detection alone. In Canada, the transition from pulsed-field gel electrophoresis to WGS changed detection and investigation of clusters involving </w:t>
      </w:r>
      <w:r>
        <w:rPr>
          <w:i/>
        </w:rPr>
        <w:t>L. monocytogenes</w:t>
      </w:r>
      <w:r>
        <w:t xml:space="preserve">, </w:t>
      </w:r>
      <w:r>
        <w:rPr>
          <w:i/>
        </w:rPr>
        <w:t>Salmonella</w:t>
      </w:r>
      <w:r>
        <w:t xml:space="preserve">, Shiga toxin-producing </w:t>
      </w:r>
      <w:r>
        <w:rPr>
          <w:i/>
        </w:rPr>
        <w:t>E. coli</w:t>
      </w:r>
      <w:r>
        <w:t xml:space="preserve"> and </w:t>
      </w:r>
      <w:r>
        <w:rPr>
          <w:i/>
        </w:rPr>
        <w:t>Shigella</w:t>
      </w:r>
      <w:r>
        <w:t xml:space="preserve"> (Morton et al., 2024). Broader appraisal of foodborne WGS likewise shows that the technology has become central to surveillance while retaining interpretive dependence on representative sampling, metadata and epidemiological context (</w:t>
      </w:r>
      <w:proofErr w:type="spellStart"/>
      <w:r>
        <w:t>Schadron</w:t>
      </w:r>
      <w:proofErr w:type="spellEnd"/>
      <w:r>
        <w:t xml:space="preserve"> et al., 2024).</w:t>
      </w:r>
    </w:p>
    <w:p w14:paraId="49157EE0" w14:textId="77777777" w:rsidR="00A423C3" w:rsidRDefault="00000000">
      <w:r>
        <w:t>This distinction matters when WGS is compared with rapid CRISPR tests. CRISPR is designed to collapse a molecular question into a fast and often binary signal. WGS expands rather than collapses the information space. It can distinguish genetically related isolates that share the same species-level target, identify resistance or virulence determinants and support cross-jurisdictional cluster analysis. Those capabilities cannot be replicated by a single-target Cas assay. Conversely, routine WGS generally does not solve the initial problem of finding a sparse pathogen in a heterogeneous food. A culture or targeted enrichment step commonly precedes isolate sequencing, and the time needed for that biological preparation remains part of the workflow.</w:t>
      </w:r>
    </w:p>
    <w:p w14:paraId="58B127C6" w14:textId="77777777" w:rsidR="00A423C3" w:rsidRDefault="00000000">
      <w:r>
        <w:t xml:space="preserve">Shotgun metagenomics reduces the need to preselect a target and can, in principle, identify multiple organisms and genes directly from a sample. Lin et al. (2022) demonstrated the complementary use of metagenomic sequencing and WGS in a </w:t>
      </w:r>
      <w:r>
        <w:rPr>
          <w:i/>
        </w:rPr>
        <w:t>Salmonella Typhimurium</w:t>
      </w:r>
      <w:r>
        <w:t xml:space="preserve"> outbreak investigation: metagenomic reads from suspected food contributed to rapid identification, while conventional confirmation and isolate-level sequencing supported traceback. The study is instructive because the methods were layered rather than treated as competitors. Metagenomic evidence generated an early broad signal, and targeted microbiology and WGS resolved identity and relatedness.</w:t>
      </w:r>
    </w:p>
    <w:p w14:paraId="1F4FACF3" w14:textId="77777777" w:rsidR="00A423C3" w:rsidRDefault="00000000">
      <w:r>
        <w:t xml:space="preserve">Nanopore sequencing further increases the appeal of direct metagenomics by providing long reads and real-time data generation. Lee et al. (2024) applied nanopore-based metagenomics to a large collection of food products and </w:t>
      </w:r>
      <w:proofErr w:type="spellStart"/>
      <w:r>
        <w:t>characterised</w:t>
      </w:r>
      <w:proofErr w:type="spellEnd"/>
      <w:r>
        <w:t xml:space="preserve"> pathogenic microbes together with antimicrobial-resistance genes. Such breadth is difficult to reproduce with a fixed CRISPR panel. The cost of breadth is a more complicated relationship between reads and actionable hazards. Host and food DNA can dominate sequencing capacity, low-abundance pathogens may be </w:t>
      </w:r>
      <w:proofErr w:type="spellStart"/>
      <w:r>
        <w:t>undersampled</w:t>
      </w:r>
      <w:proofErr w:type="spellEnd"/>
      <w:r>
        <w:t>, closely related taxa can challenge taxonomic assignment, and detection of a resistance gene does not necessarily establish its genomic linkage to the pathogen of interest. Bioinformatic pipelines, contamination controls and interpretive thresholds therefore become part of the diagnostic method.</w:t>
      </w:r>
    </w:p>
    <w:p w14:paraId="4EAAADD5" w14:textId="77777777" w:rsidR="00A423C3" w:rsidRDefault="00000000">
      <w:r>
        <w:t xml:space="preserve">The critical comparison is consequently not whether CRISPR is 'better' than sequencing. Targeted CRISPR, </w:t>
      </w:r>
      <w:proofErr w:type="spellStart"/>
      <w:r>
        <w:t>dPCR</w:t>
      </w:r>
      <w:proofErr w:type="spellEnd"/>
      <w:r>
        <w:t xml:space="preserve"> and sequencing answer different questions at different points of the food-safety pathway. CRISPR is potentially strongest where a small number of well-defined hazards must be screened quickly; </w:t>
      </w:r>
      <w:proofErr w:type="spellStart"/>
      <w:r>
        <w:t>dPCR</w:t>
      </w:r>
      <w:proofErr w:type="spellEnd"/>
      <w:r>
        <w:t xml:space="preserve"> where </w:t>
      </w:r>
      <w:r>
        <w:lastRenderedPageBreak/>
        <w:t xml:space="preserve">absolute target quantification is required; WGS where isolate-level discrimination and epidemiological linkage are required; and metagenomics where the hazard is uncertain or broad genomic context is valuable. Table 2 makes this division of </w:t>
      </w:r>
      <w:proofErr w:type="spellStart"/>
      <w:r>
        <w:t>labour</w:t>
      </w:r>
      <w:proofErr w:type="spellEnd"/>
      <w:r>
        <w:t xml:space="preserve"> explicit. It also highlights an important translational principle: a platform should be judged against the decision it enables, not against an undifferentiated ideal of sensitivity.</w:t>
      </w:r>
    </w:p>
    <w:p w14:paraId="04DBB021" w14:textId="77777777" w:rsidR="00A423C3" w:rsidRDefault="00000000">
      <w:pPr>
        <w:pStyle w:val="TableCaption"/>
      </w:pPr>
      <w:r>
        <w:rPr>
          <w:b w:val="0"/>
        </w:rPr>
        <w:t>Table 2. Comparative roles of molecular platforms in foodborne-pathogen testing</w:t>
      </w:r>
    </w:p>
    <w:tbl>
      <w:tblPr>
        <w:tblStyle w:val="TableGrid"/>
        <w:tblW w:w="5000" w:type="pct"/>
        <w:jc w:val="center"/>
        <w:tblLook w:val="04A0" w:firstRow="1" w:lastRow="0" w:firstColumn="1" w:lastColumn="0" w:noHBand="0" w:noVBand="1"/>
      </w:tblPr>
      <w:tblGrid>
        <w:gridCol w:w="1079"/>
        <w:gridCol w:w="1686"/>
        <w:gridCol w:w="1822"/>
        <w:gridCol w:w="2092"/>
        <w:gridCol w:w="1753"/>
        <w:gridCol w:w="1416"/>
      </w:tblGrid>
      <w:tr w:rsidR="00A423C3" w14:paraId="2D69E09F" w14:textId="77777777" w:rsidTr="00916311">
        <w:trPr>
          <w:cantSplit/>
          <w:tblHeader/>
          <w:jc w:val="center"/>
        </w:trPr>
        <w:tc>
          <w:tcPr>
            <w:tcW w:w="548" w:type="pct"/>
            <w:shd w:val="clear" w:color="auto" w:fill="D9E2F3"/>
            <w:tcMar>
              <w:top w:w="90" w:type="dxa"/>
              <w:left w:w="100" w:type="dxa"/>
              <w:bottom w:w="90" w:type="dxa"/>
              <w:right w:w="100" w:type="dxa"/>
            </w:tcMar>
            <w:vAlign w:val="center"/>
          </w:tcPr>
          <w:p w14:paraId="7B009D1A" w14:textId="77777777" w:rsidR="00A423C3" w:rsidRDefault="00000000">
            <w:pPr>
              <w:spacing w:after="0" w:line="240" w:lineRule="auto"/>
              <w:jc w:val="center"/>
            </w:pPr>
            <w:r>
              <w:rPr>
                <w:b/>
                <w:sz w:val="16"/>
              </w:rPr>
              <w:t>Platform</w:t>
            </w:r>
          </w:p>
        </w:tc>
        <w:tc>
          <w:tcPr>
            <w:tcW w:w="856" w:type="pct"/>
            <w:shd w:val="clear" w:color="auto" w:fill="D9E2F3"/>
            <w:tcMar>
              <w:top w:w="90" w:type="dxa"/>
              <w:left w:w="100" w:type="dxa"/>
              <w:bottom w:w="90" w:type="dxa"/>
              <w:right w:w="100" w:type="dxa"/>
            </w:tcMar>
            <w:vAlign w:val="center"/>
          </w:tcPr>
          <w:p w14:paraId="6197FAB6" w14:textId="77777777" w:rsidR="00A423C3" w:rsidRDefault="00000000">
            <w:pPr>
              <w:spacing w:after="0" w:line="240" w:lineRule="auto"/>
              <w:jc w:val="center"/>
            </w:pPr>
            <w:r>
              <w:rPr>
                <w:b/>
                <w:sz w:val="16"/>
              </w:rPr>
              <w:t>Primary analytical role</w:t>
            </w:r>
          </w:p>
        </w:tc>
        <w:tc>
          <w:tcPr>
            <w:tcW w:w="925" w:type="pct"/>
            <w:shd w:val="clear" w:color="auto" w:fill="D9E2F3"/>
            <w:tcMar>
              <w:top w:w="90" w:type="dxa"/>
              <w:left w:w="100" w:type="dxa"/>
              <w:bottom w:w="90" w:type="dxa"/>
              <w:right w:w="100" w:type="dxa"/>
            </w:tcMar>
            <w:vAlign w:val="center"/>
          </w:tcPr>
          <w:p w14:paraId="1E79F328" w14:textId="77777777" w:rsidR="00A423C3" w:rsidRDefault="00000000">
            <w:pPr>
              <w:spacing w:after="0" w:line="240" w:lineRule="auto"/>
              <w:jc w:val="center"/>
            </w:pPr>
            <w:r>
              <w:rPr>
                <w:b/>
                <w:sz w:val="16"/>
              </w:rPr>
              <w:t>Main strengths</w:t>
            </w:r>
          </w:p>
        </w:tc>
        <w:tc>
          <w:tcPr>
            <w:tcW w:w="1062" w:type="pct"/>
            <w:shd w:val="clear" w:color="auto" w:fill="D9E2F3"/>
            <w:tcMar>
              <w:top w:w="90" w:type="dxa"/>
              <w:left w:w="100" w:type="dxa"/>
              <w:bottom w:w="90" w:type="dxa"/>
              <w:right w:w="100" w:type="dxa"/>
            </w:tcMar>
            <w:vAlign w:val="center"/>
          </w:tcPr>
          <w:p w14:paraId="4772139B" w14:textId="77777777" w:rsidR="00A423C3" w:rsidRDefault="00000000">
            <w:pPr>
              <w:spacing w:after="0" w:line="240" w:lineRule="auto"/>
              <w:jc w:val="center"/>
            </w:pPr>
            <w:r>
              <w:rPr>
                <w:b/>
                <w:sz w:val="16"/>
              </w:rPr>
              <w:t>Principal limitations in foods</w:t>
            </w:r>
          </w:p>
        </w:tc>
        <w:tc>
          <w:tcPr>
            <w:tcW w:w="890" w:type="pct"/>
            <w:shd w:val="clear" w:color="auto" w:fill="D9E2F3"/>
            <w:tcMar>
              <w:top w:w="90" w:type="dxa"/>
              <w:left w:w="100" w:type="dxa"/>
              <w:bottom w:w="90" w:type="dxa"/>
              <w:right w:w="100" w:type="dxa"/>
            </w:tcMar>
            <w:vAlign w:val="center"/>
          </w:tcPr>
          <w:p w14:paraId="7E67057C" w14:textId="77777777" w:rsidR="00A423C3" w:rsidRDefault="00000000">
            <w:pPr>
              <w:spacing w:after="0" w:line="240" w:lineRule="auto"/>
              <w:jc w:val="center"/>
            </w:pPr>
            <w:r>
              <w:rPr>
                <w:b/>
                <w:sz w:val="16"/>
              </w:rPr>
              <w:t>Best-fit position</w:t>
            </w:r>
          </w:p>
        </w:tc>
        <w:tc>
          <w:tcPr>
            <w:tcW w:w="719" w:type="pct"/>
            <w:shd w:val="clear" w:color="auto" w:fill="D9E2F3"/>
            <w:tcMar>
              <w:top w:w="90" w:type="dxa"/>
              <w:left w:w="100" w:type="dxa"/>
              <w:bottom w:w="90" w:type="dxa"/>
              <w:right w:w="100" w:type="dxa"/>
            </w:tcMar>
            <w:vAlign w:val="center"/>
          </w:tcPr>
          <w:p w14:paraId="514A60A1" w14:textId="77777777" w:rsidR="00A423C3" w:rsidRDefault="00000000">
            <w:pPr>
              <w:spacing w:after="0" w:line="240" w:lineRule="auto"/>
              <w:jc w:val="center"/>
            </w:pPr>
            <w:r>
              <w:rPr>
                <w:b/>
                <w:sz w:val="16"/>
              </w:rPr>
              <w:t>Supporting references</w:t>
            </w:r>
          </w:p>
        </w:tc>
      </w:tr>
      <w:tr w:rsidR="00A423C3" w14:paraId="7D23BFD5" w14:textId="77777777" w:rsidTr="00916311">
        <w:trPr>
          <w:cantSplit/>
          <w:jc w:val="center"/>
        </w:trPr>
        <w:tc>
          <w:tcPr>
            <w:tcW w:w="548" w:type="pct"/>
            <w:tcMar>
              <w:top w:w="70" w:type="dxa"/>
              <w:left w:w="90" w:type="dxa"/>
              <w:bottom w:w="70" w:type="dxa"/>
              <w:right w:w="90" w:type="dxa"/>
            </w:tcMar>
            <w:vAlign w:val="center"/>
          </w:tcPr>
          <w:p w14:paraId="51DB0F53" w14:textId="77777777" w:rsidR="00A423C3" w:rsidRDefault="00000000">
            <w:pPr>
              <w:spacing w:after="0" w:line="240" w:lineRule="auto"/>
              <w:jc w:val="left"/>
            </w:pPr>
            <w:r>
              <w:rPr>
                <w:sz w:val="15"/>
              </w:rPr>
              <w:t>qPCR</w:t>
            </w:r>
          </w:p>
        </w:tc>
        <w:tc>
          <w:tcPr>
            <w:tcW w:w="856" w:type="pct"/>
            <w:tcMar>
              <w:top w:w="70" w:type="dxa"/>
              <w:left w:w="90" w:type="dxa"/>
              <w:bottom w:w="70" w:type="dxa"/>
              <w:right w:w="90" w:type="dxa"/>
            </w:tcMar>
            <w:vAlign w:val="center"/>
          </w:tcPr>
          <w:p w14:paraId="5BE7BBA4" w14:textId="77777777" w:rsidR="00A423C3" w:rsidRDefault="00000000">
            <w:pPr>
              <w:spacing w:after="0" w:line="240" w:lineRule="auto"/>
              <w:jc w:val="left"/>
            </w:pPr>
            <w:r>
              <w:rPr>
                <w:sz w:val="15"/>
              </w:rPr>
              <w:t>Targeted detection and relative/absolute quantification with standards</w:t>
            </w:r>
          </w:p>
        </w:tc>
        <w:tc>
          <w:tcPr>
            <w:tcW w:w="925" w:type="pct"/>
            <w:tcMar>
              <w:top w:w="70" w:type="dxa"/>
              <w:left w:w="90" w:type="dxa"/>
              <w:bottom w:w="70" w:type="dxa"/>
              <w:right w:w="90" w:type="dxa"/>
            </w:tcMar>
            <w:vAlign w:val="center"/>
          </w:tcPr>
          <w:p w14:paraId="64167045" w14:textId="77777777" w:rsidR="00A423C3" w:rsidRDefault="00000000">
            <w:pPr>
              <w:spacing w:after="0" w:line="240" w:lineRule="auto"/>
              <w:jc w:val="left"/>
            </w:pPr>
            <w:r>
              <w:rPr>
                <w:sz w:val="15"/>
              </w:rPr>
              <w:t>Closed-tube workflow; mature controls; strong analytical specificity</w:t>
            </w:r>
          </w:p>
        </w:tc>
        <w:tc>
          <w:tcPr>
            <w:tcW w:w="1062" w:type="pct"/>
            <w:tcMar>
              <w:top w:w="70" w:type="dxa"/>
              <w:left w:w="90" w:type="dxa"/>
              <w:bottom w:w="70" w:type="dxa"/>
              <w:right w:w="90" w:type="dxa"/>
            </w:tcMar>
            <w:vAlign w:val="center"/>
          </w:tcPr>
          <w:p w14:paraId="4BDE0445" w14:textId="77777777" w:rsidR="00A423C3" w:rsidRDefault="00000000">
            <w:pPr>
              <w:spacing w:after="0" w:line="240" w:lineRule="auto"/>
              <w:jc w:val="left"/>
            </w:pPr>
            <w:r>
              <w:rPr>
                <w:sz w:val="15"/>
              </w:rPr>
              <w:t>Thermal cycling and fluorescence instrumentation; inhibitor sensitivity; DNA does not establish viability</w:t>
            </w:r>
          </w:p>
        </w:tc>
        <w:tc>
          <w:tcPr>
            <w:tcW w:w="890" w:type="pct"/>
            <w:tcMar>
              <w:top w:w="70" w:type="dxa"/>
              <w:left w:w="90" w:type="dxa"/>
              <w:bottom w:w="70" w:type="dxa"/>
              <w:right w:w="90" w:type="dxa"/>
            </w:tcMar>
            <w:vAlign w:val="center"/>
          </w:tcPr>
          <w:p w14:paraId="1F56B8EA" w14:textId="77777777" w:rsidR="00A423C3" w:rsidRDefault="00000000">
            <w:pPr>
              <w:spacing w:after="0" w:line="240" w:lineRule="auto"/>
              <w:jc w:val="left"/>
            </w:pPr>
            <w:r>
              <w:rPr>
                <w:sz w:val="15"/>
              </w:rPr>
              <w:t>Laboratory screening and confirmation of defined targets</w:t>
            </w:r>
          </w:p>
        </w:tc>
        <w:tc>
          <w:tcPr>
            <w:tcW w:w="719" w:type="pct"/>
            <w:tcMar>
              <w:top w:w="70" w:type="dxa"/>
              <w:left w:w="90" w:type="dxa"/>
              <w:bottom w:w="70" w:type="dxa"/>
              <w:right w:w="90" w:type="dxa"/>
            </w:tcMar>
            <w:vAlign w:val="center"/>
          </w:tcPr>
          <w:p w14:paraId="5D00A76C" w14:textId="77777777" w:rsidR="00A423C3" w:rsidRDefault="00000000">
            <w:pPr>
              <w:spacing w:after="0" w:line="240" w:lineRule="auto"/>
              <w:jc w:val="left"/>
            </w:pPr>
            <w:r>
              <w:rPr>
                <w:sz w:val="15"/>
              </w:rPr>
              <w:t>Li et al. (2022); Trinh &amp; Nam (2024)</w:t>
            </w:r>
          </w:p>
        </w:tc>
      </w:tr>
      <w:tr w:rsidR="00A423C3" w14:paraId="0B6877F8" w14:textId="77777777" w:rsidTr="00916311">
        <w:trPr>
          <w:cantSplit/>
          <w:jc w:val="center"/>
        </w:trPr>
        <w:tc>
          <w:tcPr>
            <w:tcW w:w="548" w:type="pct"/>
            <w:tcMar>
              <w:top w:w="70" w:type="dxa"/>
              <w:left w:w="90" w:type="dxa"/>
              <w:bottom w:w="70" w:type="dxa"/>
              <w:right w:w="90" w:type="dxa"/>
            </w:tcMar>
            <w:vAlign w:val="center"/>
          </w:tcPr>
          <w:p w14:paraId="5F835A45" w14:textId="77777777" w:rsidR="00A423C3" w:rsidRDefault="00000000">
            <w:pPr>
              <w:spacing w:after="0" w:line="240" w:lineRule="auto"/>
              <w:jc w:val="left"/>
            </w:pPr>
            <w:r>
              <w:rPr>
                <w:sz w:val="15"/>
              </w:rPr>
              <w:t>LAMP / RPA / RAA</w:t>
            </w:r>
          </w:p>
        </w:tc>
        <w:tc>
          <w:tcPr>
            <w:tcW w:w="856" w:type="pct"/>
            <w:tcMar>
              <w:top w:w="70" w:type="dxa"/>
              <w:left w:w="90" w:type="dxa"/>
              <w:bottom w:w="70" w:type="dxa"/>
              <w:right w:w="90" w:type="dxa"/>
            </w:tcMar>
            <w:vAlign w:val="center"/>
          </w:tcPr>
          <w:p w14:paraId="4D2AE7B3" w14:textId="77777777" w:rsidR="00A423C3" w:rsidRDefault="00000000">
            <w:pPr>
              <w:spacing w:after="0" w:line="240" w:lineRule="auto"/>
              <w:jc w:val="left"/>
            </w:pPr>
            <w:r>
              <w:rPr>
                <w:sz w:val="15"/>
              </w:rPr>
              <w:t>Rapid target amplification at constant or near-constant temperature</w:t>
            </w:r>
          </w:p>
        </w:tc>
        <w:tc>
          <w:tcPr>
            <w:tcW w:w="925" w:type="pct"/>
            <w:tcMar>
              <w:top w:w="70" w:type="dxa"/>
              <w:left w:w="90" w:type="dxa"/>
              <w:bottom w:w="70" w:type="dxa"/>
              <w:right w:w="90" w:type="dxa"/>
            </w:tcMar>
            <w:vAlign w:val="center"/>
          </w:tcPr>
          <w:p w14:paraId="0207A7AE" w14:textId="77777777" w:rsidR="00A423C3" w:rsidRDefault="00000000">
            <w:pPr>
              <w:spacing w:after="0" w:line="240" w:lineRule="auto"/>
              <w:jc w:val="left"/>
            </w:pPr>
            <w:r>
              <w:rPr>
                <w:sz w:val="15"/>
              </w:rPr>
              <w:t>Low-power heating; rapid amplification; compatible with portable devices</w:t>
            </w:r>
          </w:p>
        </w:tc>
        <w:tc>
          <w:tcPr>
            <w:tcW w:w="1062" w:type="pct"/>
            <w:tcMar>
              <w:top w:w="70" w:type="dxa"/>
              <w:left w:w="90" w:type="dxa"/>
              <w:bottom w:w="70" w:type="dxa"/>
              <w:right w:w="90" w:type="dxa"/>
            </w:tcMar>
            <w:vAlign w:val="center"/>
          </w:tcPr>
          <w:p w14:paraId="7AB87607" w14:textId="77777777" w:rsidR="00A423C3" w:rsidRDefault="00000000">
            <w:pPr>
              <w:spacing w:after="0" w:line="240" w:lineRule="auto"/>
              <w:jc w:val="left"/>
            </w:pPr>
            <w:r>
              <w:rPr>
                <w:sz w:val="15"/>
              </w:rPr>
              <w:t>Primer complexity or non-specific products; carryover contamination; matrix inhibition</w:t>
            </w:r>
          </w:p>
        </w:tc>
        <w:tc>
          <w:tcPr>
            <w:tcW w:w="890" w:type="pct"/>
            <w:tcMar>
              <w:top w:w="70" w:type="dxa"/>
              <w:left w:w="90" w:type="dxa"/>
              <w:bottom w:w="70" w:type="dxa"/>
              <w:right w:w="90" w:type="dxa"/>
            </w:tcMar>
            <w:vAlign w:val="center"/>
          </w:tcPr>
          <w:p w14:paraId="1194F71D" w14:textId="77777777" w:rsidR="00A423C3" w:rsidRDefault="00000000">
            <w:pPr>
              <w:spacing w:after="0" w:line="240" w:lineRule="auto"/>
              <w:jc w:val="left"/>
            </w:pPr>
            <w:r>
              <w:rPr>
                <w:sz w:val="15"/>
              </w:rPr>
              <w:t>Front-end amplification for portable CRISPR or standalone testing</w:t>
            </w:r>
          </w:p>
        </w:tc>
        <w:tc>
          <w:tcPr>
            <w:tcW w:w="719" w:type="pct"/>
            <w:tcMar>
              <w:top w:w="70" w:type="dxa"/>
              <w:left w:w="90" w:type="dxa"/>
              <w:bottom w:w="70" w:type="dxa"/>
              <w:right w:w="90" w:type="dxa"/>
            </w:tcMar>
            <w:vAlign w:val="center"/>
          </w:tcPr>
          <w:p w14:paraId="1AD8D4CD" w14:textId="77777777" w:rsidR="00A423C3" w:rsidRDefault="00000000">
            <w:pPr>
              <w:spacing w:after="0" w:line="240" w:lineRule="auto"/>
              <w:jc w:val="left"/>
            </w:pPr>
            <w:r>
              <w:rPr>
                <w:sz w:val="15"/>
              </w:rPr>
              <w:t>Liu et al. (2021); Trinh &amp; Nam (2024)</w:t>
            </w:r>
          </w:p>
        </w:tc>
      </w:tr>
      <w:tr w:rsidR="00A423C3" w14:paraId="481D7FFB" w14:textId="77777777" w:rsidTr="00916311">
        <w:trPr>
          <w:cantSplit/>
          <w:jc w:val="center"/>
        </w:trPr>
        <w:tc>
          <w:tcPr>
            <w:tcW w:w="548" w:type="pct"/>
            <w:tcMar>
              <w:top w:w="70" w:type="dxa"/>
              <w:left w:w="90" w:type="dxa"/>
              <w:bottom w:w="70" w:type="dxa"/>
              <w:right w:w="90" w:type="dxa"/>
            </w:tcMar>
            <w:vAlign w:val="center"/>
          </w:tcPr>
          <w:p w14:paraId="41CF211D" w14:textId="77777777" w:rsidR="00A423C3" w:rsidRDefault="00000000">
            <w:pPr>
              <w:spacing w:after="0" w:line="240" w:lineRule="auto"/>
              <w:jc w:val="left"/>
            </w:pPr>
            <w:proofErr w:type="spellStart"/>
            <w:r>
              <w:rPr>
                <w:sz w:val="15"/>
              </w:rPr>
              <w:t>dPCR</w:t>
            </w:r>
            <w:proofErr w:type="spellEnd"/>
            <w:r>
              <w:rPr>
                <w:sz w:val="15"/>
              </w:rPr>
              <w:t xml:space="preserve"> / </w:t>
            </w:r>
            <w:proofErr w:type="spellStart"/>
            <w:r>
              <w:rPr>
                <w:sz w:val="15"/>
              </w:rPr>
              <w:t>ddPCR</w:t>
            </w:r>
            <w:proofErr w:type="spellEnd"/>
          </w:p>
        </w:tc>
        <w:tc>
          <w:tcPr>
            <w:tcW w:w="856" w:type="pct"/>
            <w:tcMar>
              <w:top w:w="70" w:type="dxa"/>
              <w:left w:w="90" w:type="dxa"/>
              <w:bottom w:w="70" w:type="dxa"/>
              <w:right w:w="90" w:type="dxa"/>
            </w:tcMar>
            <w:vAlign w:val="center"/>
          </w:tcPr>
          <w:p w14:paraId="42361BF8" w14:textId="77777777" w:rsidR="00A423C3" w:rsidRDefault="00000000">
            <w:pPr>
              <w:spacing w:after="0" w:line="240" w:lineRule="auto"/>
              <w:jc w:val="left"/>
            </w:pPr>
            <w:r>
              <w:rPr>
                <w:sz w:val="15"/>
              </w:rPr>
              <w:t>Partition-based absolute target quantification</w:t>
            </w:r>
          </w:p>
        </w:tc>
        <w:tc>
          <w:tcPr>
            <w:tcW w:w="925" w:type="pct"/>
            <w:tcMar>
              <w:top w:w="70" w:type="dxa"/>
              <w:left w:w="90" w:type="dxa"/>
              <w:bottom w:w="70" w:type="dxa"/>
              <w:right w:w="90" w:type="dxa"/>
            </w:tcMar>
            <w:vAlign w:val="center"/>
          </w:tcPr>
          <w:p w14:paraId="30DBC90B" w14:textId="77777777" w:rsidR="00A423C3" w:rsidRDefault="00000000">
            <w:pPr>
              <w:spacing w:after="0" w:line="240" w:lineRule="auto"/>
              <w:jc w:val="left"/>
            </w:pPr>
            <w:r>
              <w:rPr>
                <w:sz w:val="15"/>
              </w:rPr>
              <w:t>No external calibration curve; useful precision for enumeration</w:t>
            </w:r>
          </w:p>
        </w:tc>
        <w:tc>
          <w:tcPr>
            <w:tcW w:w="1062" w:type="pct"/>
            <w:tcMar>
              <w:top w:w="70" w:type="dxa"/>
              <w:left w:w="90" w:type="dxa"/>
              <w:bottom w:w="70" w:type="dxa"/>
              <w:right w:w="90" w:type="dxa"/>
            </w:tcMar>
            <w:vAlign w:val="center"/>
          </w:tcPr>
          <w:p w14:paraId="7ABC7D90" w14:textId="77777777" w:rsidR="00A423C3" w:rsidRDefault="00000000">
            <w:pPr>
              <w:spacing w:after="0" w:line="240" w:lineRule="auto"/>
              <w:jc w:val="left"/>
            </w:pPr>
            <w:r>
              <w:rPr>
                <w:sz w:val="15"/>
              </w:rPr>
              <w:t>Partition instrument or consumables; DNA-based viability limitation; finite dynamic range</w:t>
            </w:r>
          </w:p>
        </w:tc>
        <w:tc>
          <w:tcPr>
            <w:tcW w:w="890" w:type="pct"/>
            <w:tcMar>
              <w:top w:w="70" w:type="dxa"/>
              <w:left w:w="90" w:type="dxa"/>
              <w:bottom w:w="70" w:type="dxa"/>
              <w:right w:w="90" w:type="dxa"/>
            </w:tcMar>
            <w:vAlign w:val="center"/>
          </w:tcPr>
          <w:p w14:paraId="2C2A03F6" w14:textId="77777777" w:rsidR="00A423C3" w:rsidRDefault="00000000">
            <w:pPr>
              <w:spacing w:after="0" w:line="240" w:lineRule="auto"/>
              <w:jc w:val="left"/>
            </w:pPr>
            <w:r>
              <w:rPr>
                <w:sz w:val="15"/>
              </w:rPr>
              <w:t>Quantitative verification and research-grade enumeration</w:t>
            </w:r>
          </w:p>
        </w:tc>
        <w:tc>
          <w:tcPr>
            <w:tcW w:w="719" w:type="pct"/>
            <w:tcMar>
              <w:top w:w="70" w:type="dxa"/>
              <w:left w:w="90" w:type="dxa"/>
              <w:bottom w:w="70" w:type="dxa"/>
              <w:right w:w="90" w:type="dxa"/>
            </w:tcMar>
            <w:vAlign w:val="center"/>
          </w:tcPr>
          <w:p w14:paraId="62E6B793" w14:textId="77777777" w:rsidR="00A423C3" w:rsidRDefault="00000000">
            <w:pPr>
              <w:spacing w:after="0" w:line="240" w:lineRule="auto"/>
              <w:jc w:val="left"/>
            </w:pPr>
            <w:r>
              <w:rPr>
                <w:sz w:val="15"/>
              </w:rPr>
              <w:t>Liang et al. (2026); Witte et al. (2016)</w:t>
            </w:r>
          </w:p>
        </w:tc>
      </w:tr>
      <w:tr w:rsidR="00A423C3" w14:paraId="3D0514D0" w14:textId="77777777" w:rsidTr="00916311">
        <w:trPr>
          <w:cantSplit/>
          <w:jc w:val="center"/>
        </w:trPr>
        <w:tc>
          <w:tcPr>
            <w:tcW w:w="548" w:type="pct"/>
            <w:tcMar>
              <w:top w:w="70" w:type="dxa"/>
              <w:left w:w="90" w:type="dxa"/>
              <w:bottom w:w="70" w:type="dxa"/>
              <w:right w:w="90" w:type="dxa"/>
            </w:tcMar>
            <w:vAlign w:val="center"/>
          </w:tcPr>
          <w:p w14:paraId="2EC3AA82" w14:textId="77777777" w:rsidR="00A423C3" w:rsidRDefault="00000000">
            <w:pPr>
              <w:spacing w:after="0" w:line="240" w:lineRule="auto"/>
              <w:jc w:val="left"/>
            </w:pPr>
            <w:r>
              <w:rPr>
                <w:sz w:val="15"/>
              </w:rPr>
              <w:t>CRISPR-Dx</w:t>
            </w:r>
          </w:p>
        </w:tc>
        <w:tc>
          <w:tcPr>
            <w:tcW w:w="856" w:type="pct"/>
            <w:tcMar>
              <w:top w:w="70" w:type="dxa"/>
              <w:left w:w="90" w:type="dxa"/>
              <w:bottom w:w="70" w:type="dxa"/>
              <w:right w:w="90" w:type="dxa"/>
            </w:tcMar>
            <w:vAlign w:val="center"/>
          </w:tcPr>
          <w:p w14:paraId="23710D67" w14:textId="77777777" w:rsidR="00A423C3" w:rsidRDefault="00000000">
            <w:pPr>
              <w:spacing w:after="0" w:line="240" w:lineRule="auto"/>
              <w:jc w:val="left"/>
            </w:pPr>
            <w:r>
              <w:rPr>
                <w:sz w:val="15"/>
              </w:rPr>
              <w:t>Rapid programmable target recognition after amplification or concentration</w:t>
            </w:r>
          </w:p>
        </w:tc>
        <w:tc>
          <w:tcPr>
            <w:tcW w:w="925" w:type="pct"/>
            <w:tcMar>
              <w:top w:w="70" w:type="dxa"/>
              <w:left w:w="90" w:type="dxa"/>
              <w:bottom w:w="70" w:type="dxa"/>
              <w:right w:w="90" w:type="dxa"/>
            </w:tcMar>
            <w:vAlign w:val="center"/>
          </w:tcPr>
          <w:p w14:paraId="431BE988" w14:textId="77777777" w:rsidR="00A423C3" w:rsidRDefault="00000000">
            <w:pPr>
              <w:spacing w:after="0" w:line="240" w:lineRule="auto"/>
              <w:jc w:val="left"/>
            </w:pPr>
            <w:r>
              <w:rPr>
                <w:sz w:val="15"/>
              </w:rPr>
              <w:t>Second sequence-recognition layer; portable readouts; flexible guide design</w:t>
            </w:r>
          </w:p>
        </w:tc>
        <w:tc>
          <w:tcPr>
            <w:tcW w:w="1062" w:type="pct"/>
            <w:tcMar>
              <w:top w:w="70" w:type="dxa"/>
              <w:left w:w="90" w:type="dxa"/>
              <w:bottom w:w="70" w:type="dxa"/>
              <w:right w:w="90" w:type="dxa"/>
            </w:tcMar>
            <w:vAlign w:val="center"/>
          </w:tcPr>
          <w:p w14:paraId="20DADA54" w14:textId="77777777" w:rsidR="00A423C3" w:rsidRDefault="00000000">
            <w:pPr>
              <w:spacing w:after="0" w:line="240" w:lineRule="auto"/>
              <w:jc w:val="left"/>
            </w:pPr>
            <w:r>
              <w:rPr>
                <w:sz w:val="15"/>
              </w:rPr>
              <w:t xml:space="preserve">Often amplification-dependent; multiplexing and </w:t>
            </w:r>
            <w:proofErr w:type="spellStart"/>
            <w:r>
              <w:rPr>
                <w:sz w:val="15"/>
              </w:rPr>
              <w:t>standardisation</w:t>
            </w:r>
            <w:proofErr w:type="spellEnd"/>
            <w:r>
              <w:rPr>
                <w:sz w:val="15"/>
              </w:rPr>
              <w:t xml:space="preserve"> remain limited; method </w:t>
            </w:r>
            <w:proofErr w:type="spellStart"/>
            <w:r>
              <w:rPr>
                <w:sz w:val="15"/>
              </w:rPr>
              <w:t>LoD</w:t>
            </w:r>
            <w:proofErr w:type="spellEnd"/>
            <w:r>
              <w:rPr>
                <w:sz w:val="15"/>
              </w:rPr>
              <w:t xml:space="preserve"> matrix-dependent</w:t>
            </w:r>
          </w:p>
        </w:tc>
        <w:tc>
          <w:tcPr>
            <w:tcW w:w="890" w:type="pct"/>
            <w:tcMar>
              <w:top w:w="70" w:type="dxa"/>
              <w:left w:w="90" w:type="dxa"/>
              <w:bottom w:w="70" w:type="dxa"/>
              <w:right w:w="90" w:type="dxa"/>
            </w:tcMar>
            <w:vAlign w:val="center"/>
          </w:tcPr>
          <w:p w14:paraId="06F68CC7" w14:textId="77777777" w:rsidR="00A423C3" w:rsidRDefault="00000000">
            <w:pPr>
              <w:spacing w:after="0" w:line="240" w:lineRule="auto"/>
              <w:jc w:val="left"/>
            </w:pPr>
            <w:r>
              <w:rPr>
                <w:sz w:val="15"/>
              </w:rPr>
              <w:t>Rapid targeted screening and near-site confirmation within a tiered workflow</w:t>
            </w:r>
          </w:p>
        </w:tc>
        <w:tc>
          <w:tcPr>
            <w:tcW w:w="719" w:type="pct"/>
            <w:tcMar>
              <w:top w:w="70" w:type="dxa"/>
              <w:left w:w="90" w:type="dxa"/>
              <w:bottom w:w="70" w:type="dxa"/>
              <w:right w:w="90" w:type="dxa"/>
            </w:tcMar>
            <w:vAlign w:val="center"/>
          </w:tcPr>
          <w:p w14:paraId="3B8373FA" w14:textId="77777777" w:rsidR="00A423C3" w:rsidRDefault="00000000">
            <w:pPr>
              <w:spacing w:after="0" w:line="240" w:lineRule="auto"/>
              <w:jc w:val="left"/>
            </w:pPr>
            <w:r>
              <w:rPr>
                <w:sz w:val="15"/>
              </w:rPr>
              <w:t>Li et al. (2022); Lu et al. (2024); Yang et al. (2026)</w:t>
            </w:r>
          </w:p>
        </w:tc>
      </w:tr>
      <w:tr w:rsidR="00A423C3" w14:paraId="1D1B0416" w14:textId="77777777" w:rsidTr="00916311">
        <w:trPr>
          <w:cantSplit/>
          <w:jc w:val="center"/>
        </w:trPr>
        <w:tc>
          <w:tcPr>
            <w:tcW w:w="548" w:type="pct"/>
            <w:tcMar>
              <w:top w:w="70" w:type="dxa"/>
              <w:left w:w="90" w:type="dxa"/>
              <w:bottom w:w="70" w:type="dxa"/>
              <w:right w:w="90" w:type="dxa"/>
            </w:tcMar>
            <w:vAlign w:val="center"/>
          </w:tcPr>
          <w:p w14:paraId="06FC44FC" w14:textId="77777777" w:rsidR="00A423C3" w:rsidRDefault="00000000">
            <w:pPr>
              <w:spacing w:after="0" w:line="240" w:lineRule="auto"/>
              <w:jc w:val="left"/>
            </w:pPr>
            <w:r>
              <w:rPr>
                <w:sz w:val="15"/>
              </w:rPr>
              <w:t>WGS</w:t>
            </w:r>
          </w:p>
        </w:tc>
        <w:tc>
          <w:tcPr>
            <w:tcW w:w="856" w:type="pct"/>
            <w:tcMar>
              <w:top w:w="70" w:type="dxa"/>
              <w:left w:w="90" w:type="dxa"/>
              <w:bottom w:w="70" w:type="dxa"/>
              <w:right w:w="90" w:type="dxa"/>
            </w:tcMar>
            <w:vAlign w:val="center"/>
          </w:tcPr>
          <w:p w14:paraId="16EF2DB9" w14:textId="77777777" w:rsidR="00A423C3" w:rsidRDefault="00000000">
            <w:pPr>
              <w:spacing w:after="0" w:line="240" w:lineRule="auto"/>
              <w:jc w:val="left"/>
            </w:pPr>
            <w:r>
              <w:rPr>
                <w:sz w:val="15"/>
              </w:rPr>
              <w:t xml:space="preserve">Isolate-level genomic </w:t>
            </w:r>
            <w:proofErr w:type="spellStart"/>
            <w:r>
              <w:rPr>
                <w:sz w:val="15"/>
              </w:rPr>
              <w:t>characterisation</w:t>
            </w:r>
            <w:proofErr w:type="spellEnd"/>
            <w:r>
              <w:rPr>
                <w:sz w:val="15"/>
              </w:rPr>
              <w:t xml:space="preserve"> and relatedness</w:t>
            </w:r>
          </w:p>
        </w:tc>
        <w:tc>
          <w:tcPr>
            <w:tcW w:w="925" w:type="pct"/>
            <w:tcMar>
              <w:top w:w="70" w:type="dxa"/>
              <w:left w:w="90" w:type="dxa"/>
              <w:bottom w:w="70" w:type="dxa"/>
              <w:right w:w="90" w:type="dxa"/>
            </w:tcMar>
            <w:vAlign w:val="center"/>
          </w:tcPr>
          <w:p w14:paraId="70B9D231" w14:textId="77777777" w:rsidR="00A423C3" w:rsidRDefault="00000000">
            <w:pPr>
              <w:spacing w:after="0" w:line="240" w:lineRule="auto"/>
              <w:jc w:val="left"/>
            </w:pPr>
            <w:r>
              <w:rPr>
                <w:sz w:val="15"/>
              </w:rPr>
              <w:t>High resolution; source attribution; virulence/AMR context</w:t>
            </w:r>
          </w:p>
        </w:tc>
        <w:tc>
          <w:tcPr>
            <w:tcW w:w="1062" w:type="pct"/>
            <w:tcMar>
              <w:top w:w="70" w:type="dxa"/>
              <w:left w:w="90" w:type="dxa"/>
              <w:bottom w:w="70" w:type="dxa"/>
              <w:right w:w="90" w:type="dxa"/>
            </w:tcMar>
            <w:vAlign w:val="center"/>
          </w:tcPr>
          <w:p w14:paraId="23C1A6A7" w14:textId="77777777" w:rsidR="00A423C3" w:rsidRDefault="00000000">
            <w:pPr>
              <w:spacing w:after="0" w:line="240" w:lineRule="auto"/>
              <w:jc w:val="left"/>
            </w:pPr>
            <w:r>
              <w:rPr>
                <w:sz w:val="15"/>
              </w:rPr>
              <w:t>Usually requires isolate recovery or sufficient target; bioinformatic and metadata dependence</w:t>
            </w:r>
          </w:p>
        </w:tc>
        <w:tc>
          <w:tcPr>
            <w:tcW w:w="890" w:type="pct"/>
            <w:tcMar>
              <w:top w:w="70" w:type="dxa"/>
              <w:left w:w="90" w:type="dxa"/>
              <w:bottom w:w="70" w:type="dxa"/>
              <w:right w:w="90" w:type="dxa"/>
            </w:tcMar>
            <w:vAlign w:val="center"/>
          </w:tcPr>
          <w:p w14:paraId="57230A17" w14:textId="77777777" w:rsidR="00A423C3" w:rsidRDefault="00000000">
            <w:pPr>
              <w:spacing w:after="0" w:line="240" w:lineRule="auto"/>
              <w:jc w:val="left"/>
            </w:pPr>
            <w:r>
              <w:rPr>
                <w:sz w:val="15"/>
              </w:rPr>
              <w:t>Outbreak surveillance, cluster resolution and source attribution</w:t>
            </w:r>
          </w:p>
        </w:tc>
        <w:tc>
          <w:tcPr>
            <w:tcW w:w="719" w:type="pct"/>
            <w:tcMar>
              <w:top w:w="70" w:type="dxa"/>
              <w:left w:w="90" w:type="dxa"/>
              <w:bottom w:w="70" w:type="dxa"/>
              <w:right w:w="90" w:type="dxa"/>
            </w:tcMar>
            <w:vAlign w:val="center"/>
          </w:tcPr>
          <w:p w14:paraId="764701BF" w14:textId="77777777" w:rsidR="00A423C3" w:rsidRDefault="00000000">
            <w:pPr>
              <w:spacing w:after="0" w:line="240" w:lineRule="auto"/>
              <w:jc w:val="left"/>
            </w:pPr>
            <w:r>
              <w:rPr>
                <w:sz w:val="15"/>
              </w:rPr>
              <w:t xml:space="preserve">Morton et al. (2024); </w:t>
            </w:r>
            <w:proofErr w:type="spellStart"/>
            <w:r>
              <w:rPr>
                <w:sz w:val="15"/>
              </w:rPr>
              <w:t>Schadron</w:t>
            </w:r>
            <w:proofErr w:type="spellEnd"/>
            <w:r>
              <w:rPr>
                <w:sz w:val="15"/>
              </w:rPr>
              <w:t xml:space="preserve"> et al. (2024)</w:t>
            </w:r>
          </w:p>
        </w:tc>
      </w:tr>
      <w:tr w:rsidR="00A423C3" w14:paraId="58CDCB68" w14:textId="77777777" w:rsidTr="00916311">
        <w:trPr>
          <w:cantSplit/>
          <w:jc w:val="center"/>
        </w:trPr>
        <w:tc>
          <w:tcPr>
            <w:tcW w:w="548" w:type="pct"/>
            <w:tcMar>
              <w:top w:w="70" w:type="dxa"/>
              <w:left w:w="90" w:type="dxa"/>
              <w:bottom w:w="70" w:type="dxa"/>
              <w:right w:w="90" w:type="dxa"/>
            </w:tcMar>
            <w:vAlign w:val="center"/>
          </w:tcPr>
          <w:p w14:paraId="307871AC" w14:textId="77777777" w:rsidR="00A423C3" w:rsidRDefault="00000000">
            <w:pPr>
              <w:spacing w:after="0" w:line="240" w:lineRule="auto"/>
              <w:jc w:val="left"/>
            </w:pPr>
            <w:r>
              <w:rPr>
                <w:sz w:val="15"/>
              </w:rPr>
              <w:t>Shotgun metagenomics / nanopore</w:t>
            </w:r>
          </w:p>
        </w:tc>
        <w:tc>
          <w:tcPr>
            <w:tcW w:w="856" w:type="pct"/>
            <w:tcMar>
              <w:top w:w="70" w:type="dxa"/>
              <w:left w:w="90" w:type="dxa"/>
              <w:bottom w:w="70" w:type="dxa"/>
              <w:right w:w="90" w:type="dxa"/>
            </w:tcMar>
            <w:vAlign w:val="center"/>
          </w:tcPr>
          <w:p w14:paraId="17AD975F" w14:textId="77777777" w:rsidR="00A423C3" w:rsidRDefault="00000000">
            <w:pPr>
              <w:spacing w:after="0" w:line="240" w:lineRule="auto"/>
              <w:jc w:val="left"/>
            </w:pPr>
            <w:r>
              <w:rPr>
                <w:sz w:val="15"/>
              </w:rPr>
              <w:t>Broad, less hypothesis-dependent organism and gene detection</w:t>
            </w:r>
          </w:p>
        </w:tc>
        <w:tc>
          <w:tcPr>
            <w:tcW w:w="925" w:type="pct"/>
            <w:tcMar>
              <w:top w:w="70" w:type="dxa"/>
              <w:left w:w="90" w:type="dxa"/>
              <w:bottom w:w="70" w:type="dxa"/>
              <w:right w:w="90" w:type="dxa"/>
            </w:tcMar>
            <w:vAlign w:val="center"/>
          </w:tcPr>
          <w:p w14:paraId="7994E0B7" w14:textId="77777777" w:rsidR="00A423C3" w:rsidRDefault="00000000">
            <w:pPr>
              <w:spacing w:after="0" w:line="240" w:lineRule="auto"/>
              <w:jc w:val="left"/>
            </w:pPr>
            <w:r>
              <w:rPr>
                <w:sz w:val="15"/>
              </w:rPr>
              <w:t>Simultaneous taxa and resistance information; real-time sequencing possible</w:t>
            </w:r>
          </w:p>
        </w:tc>
        <w:tc>
          <w:tcPr>
            <w:tcW w:w="1062" w:type="pct"/>
            <w:tcMar>
              <w:top w:w="70" w:type="dxa"/>
              <w:left w:w="90" w:type="dxa"/>
              <w:bottom w:w="70" w:type="dxa"/>
              <w:right w:w="90" w:type="dxa"/>
            </w:tcMar>
            <w:vAlign w:val="center"/>
          </w:tcPr>
          <w:p w14:paraId="5F7DB813" w14:textId="77777777" w:rsidR="00A423C3" w:rsidRDefault="00000000">
            <w:pPr>
              <w:spacing w:after="0" w:line="240" w:lineRule="auto"/>
              <w:jc w:val="left"/>
            </w:pPr>
            <w:r>
              <w:rPr>
                <w:sz w:val="15"/>
              </w:rPr>
              <w:t>High background; low-abundance targets; contamination and taxonomic interpretation challenges</w:t>
            </w:r>
          </w:p>
        </w:tc>
        <w:tc>
          <w:tcPr>
            <w:tcW w:w="890" w:type="pct"/>
            <w:tcMar>
              <w:top w:w="70" w:type="dxa"/>
              <w:left w:w="90" w:type="dxa"/>
              <w:bottom w:w="70" w:type="dxa"/>
              <w:right w:w="90" w:type="dxa"/>
            </w:tcMar>
            <w:vAlign w:val="center"/>
          </w:tcPr>
          <w:p w14:paraId="750BAACF" w14:textId="77777777" w:rsidR="00A423C3" w:rsidRDefault="00000000">
            <w:pPr>
              <w:spacing w:after="0" w:line="240" w:lineRule="auto"/>
              <w:jc w:val="left"/>
            </w:pPr>
            <w:r>
              <w:rPr>
                <w:sz w:val="15"/>
              </w:rPr>
              <w:t>Unknown-hazard investigation, broad profiling and adjunct outbreak analysis</w:t>
            </w:r>
          </w:p>
        </w:tc>
        <w:tc>
          <w:tcPr>
            <w:tcW w:w="719" w:type="pct"/>
            <w:tcMar>
              <w:top w:w="70" w:type="dxa"/>
              <w:left w:w="90" w:type="dxa"/>
              <w:bottom w:w="70" w:type="dxa"/>
              <w:right w:w="90" w:type="dxa"/>
            </w:tcMar>
            <w:vAlign w:val="center"/>
          </w:tcPr>
          <w:p w14:paraId="5BA4B558" w14:textId="77777777" w:rsidR="00A423C3" w:rsidRDefault="00000000">
            <w:pPr>
              <w:spacing w:after="0" w:line="240" w:lineRule="auto"/>
              <w:jc w:val="left"/>
            </w:pPr>
            <w:r>
              <w:rPr>
                <w:sz w:val="15"/>
              </w:rPr>
              <w:t>Lee et al. (2024); Lin et al. (2022)</w:t>
            </w:r>
          </w:p>
        </w:tc>
      </w:tr>
    </w:tbl>
    <w:p w14:paraId="6A0137D6" w14:textId="77777777" w:rsidR="00A423C3" w:rsidRDefault="00000000">
      <w:pPr>
        <w:spacing w:before="60" w:after="160"/>
      </w:pPr>
      <w:r>
        <w:rPr>
          <w:i/>
          <w:sz w:val="17"/>
        </w:rPr>
        <w:t xml:space="preserve">Note. </w:t>
      </w:r>
      <w:r>
        <w:rPr>
          <w:sz w:val="17"/>
        </w:rPr>
        <w:t xml:space="preserve">AMR = antimicrobial resistance; CRISPR-Dx = CRISPR-associated diagnostics; </w:t>
      </w:r>
      <w:proofErr w:type="spellStart"/>
      <w:r>
        <w:rPr>
          <w:sz w:val="17"/>
        </w:rPr>
        <w:t>ddPCR</w:t>
      </w:r>
      <w:proofErr w:type="spellEnd"/>
      <w:r>
        <w:rPr>
          <w:sz w:val="17"/>
        </w:rPr>
        <w:t xml:space="preserve"> = droplet digital PCR; </w:t>
      </w:r>
      <w:proofErr w:type="spellStart"/>
      <w:r>
        <w:rPr>
          <w:sz w:val="17"/>
        </w:rPr>
        <w:t>dPCR</w:t>
      </w:r>
      <w:proofErr w:type="spellEnd"/>
      <w:r>
        <w:rPr>
          <w:sz w:val="17"/>
        </w:rPr>
        <w:t xml:space="preserve"> = digital PCR; LAMP = loop-mediated isothermal amplification; qPCR = quantitative PCR; RAA = recombinase-aided amplification; RPA = recombinase polymerase amplification; WGS = whole-genome sequencing.</w:t>
      </w:r>
    </w:p>
    <w:p w14:paraId="4BC7EB87" w14:textId="77777777" w:rsidR="00A423C3" w:rsidRDefault="00000000">
      <w:pPr>
        <w:pStyle w:val="Heading1"/>
      </w:pPr>
      <w:r>
        <w:rPr>
          <w:rFonts w:ascii="Times New Roman" w:hAnsi="Times New Roman"/>
          <w:b w:val="0"/>
        </w:rPr>
        <w:t>5. CRISPR Diagnostic Mechanisms and Assay Architecture</w:t>
      </w:r>
    </w:p>
    <w:p w14:paraId="4FA36B44" w14:textId="77777777" w:rsidR="00A423C3" w:rsidRDefault="00000000">
      <w:pPr>
        <w:pStyle w:val="Heading2"/>
      </w:pPr>
      <w:r>
        <w:rPr>
          <w:rFonts w:ascii="Times New Roman" w:hAnsi="Times New Roman"/>
          <w:b w:val="0"/>
        </w:rPr>
        <w:t>5.1 Effector choice and molecular recognition</w:t>
      </w:r>
    </w:p>
    <w:p w14:paraId="4B56E5A5" w14:textId="77777777" w:rsidR="00A423C3" w:rsidRDefault="00000000">
      <w:r>
        <w:t>Cas12a has become the dominant effector in foodborne-pathogen CRISPR assays because target recognition of double-stranded DNA can trigger robust collateral cleavage of single-stranded DNA reporters, allowing straightforward coupling to fluorescence, lateral-flow and electrochemical signals (Chen et al., 2018; Li et al., 2022). Most bacterial foodborne targets are genomic DNA, and amplified products from PCR, RPA, RAA or LAMP can be readily presented to Cas12a. The practical advantages are therefore partly biochemical and partly ecosystem-driven: reagents, guide-design experience and reporter formats are comparatively mature. This concentration of evidence also means that claims about 'CRISPR diagnostics' in food are often, in practice, claims about a relatively narrow Cas12a design space.</w:t>
      </w:r>
    </w:p>
    <w:p w14:paraId="5FB4D1E4" w14:textId="77777777" w:rsidR="00A423C3" w:rsidRDefault="00000000">
      <w:r>
        <w:t>Cas13 expands the target space to RNA and can support RNA-responsive collateral cleavage. The original SHERLOCK concept established high-sensitivity nucleic-acid detection using Cas13a (</w:t>
      </w:r>
      <w:proofErr w:type="spellStart"/>
      <w:r>
        <w:t>Gootenberg</w:t>
      </w:r>
      <w:proofErr w:type="spellEnd"/>
      <w:r>
        <w:t xml:space="preserve"> et al., 2017), and subsequent work demonstrated that multiple effectors could be combined to increase detection channels (</w:t>
      </w:r>
      <w:proofErr w:type="spellStart"/>
      <w:r>
        <w:t>Gootenberg</w:t>
      </w:r>
      <w:proofErr w:type="spellEnd"/>
      <w:r>
        <w:t xml:space="preserve"> et al., 2018). For foodborne applications, Cas13 is particularly relevant to RNA viruses or to workflows in which DNA amplicons are transcribed before detection. An et al. (2021) combined RPA with Cas13a for </w:t>
      </w:r>
      <w:r>
        <w:rPr>
          <w:i/>
        </w:rPr>
        <w:t>Salmonella</w:t>
      </w:r>
      <w:r>
        <w:t xml:space="preserve"> and showed a notable trade-off between a rapid one-tube format </w:t>
      </w:r>
      <w:r>
        <w:lastRenderedPageBreak/>
        <w:t xml:space="preserve">and a more sensitive two-step format. Although that study was not </w:t>
      </w:r>
      <w:proofErr w:type="spellStart"/>
      <w:r>
        <w:t>centred</w:t>
      </w:r>
      <w:proofErr w:type="spellEnd"/>
      <w:r>
        <w:t xml:space="preserve"> on complex food matrices, it captures a general design tension: biochemical integration can simplify handling while reducing the ability to </w:t>
      </w:r>
      <w:proofErr w:type="spellStart"/>
      <w:r>
        <w:t>optimise</w:t>
      </w:r>
      <w:proofErr w:type="spellEnd"/>
      <w:r>
        <w:t xml:space="preserve"> each reaction independently.</w:t>
      </w:r>
    </w:p>
    <w:p w14:paraId="36E507B2" w14:textId="77777777" w:rsidR="00A423C3" w:rsidRDefault="00000000">
      <w:r>
        <w:t xml:space="preserve">Cas12b has a higher operating-temperature compatibility that can be advantageous when paired with LAMP-like amplification. Huang et al. (2021) used Cas12b to detect </w:t>
      </w:r>
      <w:r>
        <w:rPr>
          <w:i/>
        </w:rPr>
        <w:t xml:space="preserve">C. </w:t>
      </w:r>
      <w:proofErr w:type="spellStart"/>
      <w:r>
        <w:rPr>
          <w:i/>
        </w:rPr>
        <w:t>jejuni</w:t>
      </w:r>
      <w:proofErr w:type="spellEnd"/>
      <w:r>
        <w:t xml:space="preserve"> with a target sequence selected from genomic comparisons and validated the assay in experimentally contaminated chicken. The study demonstrates that effector choice can be used to align recognition chemistry with amplification conditions rather than forcing sequential temperature steps. Yet Cas12b has a smaller food-validation literature than Cas12a, and conclusions about robustness or manufacturability remain less secure. Miniature and alternative effectors such as Cas14/Cas12f broaden recognition possibilities and may relax size constraints in engineered devices, but their diagnostic role in food remains more developmental than established (Harrington et al., 2018; Zhou et al., 2024).</w:t>
      </w:r>
    </w:p>
    <w:p w14:paraId="0B6518C6" w14:textId="77777777" w:rsidR="00A423C3" w:rsidRDefault="00000000">
      <w:r>
        <w:t xml:space="preserve">Specificity is frequently described as an intrinsic strength of CRISPR, but it is not absolute. Guide sequence, protospacer-adjacent motif requirements, mismatch position and target concentration all influence recognition. In foodborne surveillance, this creates two competing risks. A guide designed around a highly conserved locus may detect a broad pathogen population but lose discrimination against close relatives; a guide </w:t>
      </w:r>
      <w:proofErr w:type="spellStart"/>
      <w:r>
        <w:t>optimised</w:t>
      </w:r>
      <w:proofErr w:type="spellEnd"/>
      <w:r>
        <w:t xml:space="preserve"> for a narrow signature may miss naturally occurring sequence variants. Genomic diversity therefore needs to be treated as a validation population rather than a design afterthought. The multiplexing work of Guan et al. (2025), although developed in a clinical viral context, is informative because it deliberately </w:t>
      </w:r>
      <w:proofErr w:type="spellStart"/>
      <w:r>
        <w:t>characterises</w:t>
      </w:r>
      <w:proofErr w:type="spellEnd"/>
      <w:r>
        <w:t xml:space="preserve"> mismatch tolerance and turns a specificity limitation into a programmable approximate-versus-precise recognition strategy. For food diagnostics, the broader lesson is that guide performance should be challenged against large, contemporary sequence collections and verified with organism panels representing the intended inclusivity and exclusivity claims.</w:t>
      </w:r>
    </w:p>
    <w:p w14:paraId="407426FE" w14:textId="77777777" w:rsidR="00A423C3" w:rsidRDefault="00000000">
      <w:pPr>
        <w:pStyle w:val="Heading2"/>
      </w:pPr>
      <w:r>
        <w:rPr>
          <w:rFonts w:ascii="Times New Roman" w:hAnsi="Times New Roman"/>
          <w:b w:val="0"/>
        </w:rPr>
        <w:t>5.2 Amplification-coupled and amplification-free architectures</w:t>
      </w:r>
    </w:p>
    <w:p w14:paraId="4308A78E" w14:textId="77777777" w:rsidR="00A423C3" w:rsidRDefault="00000000">
      <w:r>
        <w:t xml:space="preserve">Most reported foodborne CRISPR assays are not amplification-free. Their low nominal detection limits arise from a cascade in which target DNA or RNA is first amplified and Cas-mediated collateral cleavage then amplifies the reporter response. Liu et al. (2021) combined RPA with Cas12a in a rapid frontline system, while multiple later studies have coupled Cas12a to RAA or LAMP for </w:t>
      </w:r>
      <w:r>
        <w:rPr>
          <w:i/>
        </w:rPr>
        <w:t>Listeria</w:t>
      </w:r>
      <w:r>
        <w:t xml:space="preserve">, </w:t>
      </w:r>
      <w:r>
        <w:rPr>
          <w:i/>
        </w:rPr>
        <w:t>E. coli</w:t>
      </w:r>
      <w:r>
        <w:t xml:space="preserve">, </w:t>
      </w:r>
      <w:r>
        <w:rPr>
          <w:i/>
        </w:rPr>
        <w:t>Salmonella</w:t>
      </w:r>
      <w:r>
        <w:t xml:space="preserve">, </w:t>
      </w:r>
      <w:r>
        <w:rPr>
          <w:i/>
        </w:rPr>
        <w:t>S. aureus</w:t>
      </w:r>
      <w:r>
        <w:t xml:space="preserve"> and norovirus (Gou et al., 2025; Ma et al., 2024; </w:t>
      </w:r>
      <w:proofErr w:type="spellStart"/>
      <w:r>
        <w:t>Safenkova</w:t>
      </w:r>
      <w:proofErr w:type="spellEnd"/>
      <w:r>
        <w:t xml:space="preserve"> et al., 2026; Wang et al., 2024; Xiao et al., 2023). The resulting sensitivity is often impressive, but mechanistically it reflects both target amplification and signal amplification. Comparisons with non-amplified sensors therefore need to state which stage contributes the gain.</w:t>
      </w:r>
    </w:p>
    <w:p w14:paraId="3E10BECA" w14:textId="77777777" w:rsidR="00A423C3" w:rsidRDefault="00000000">
      <w:r>
        <w:t xml:space="preserve">Preamplification brings three costs. First, primers add another specificity layer that can fail through sequence variation or non-specific amplification. Second, high-copy amplicons increase contamination risk, particularly when tubes are opened to transfer product to a Cas reaction. Third, quantitative interpretation becomes more difficult because amplification efficiency can vary between samples. These costs explain interest in one-pot systems and amplification-free CRISPR. Yet amplification-free detection faces a fundamental target-number constraint in low-level food contamination: if only a few target molecules enter the reaction, collateral cleavage must generate enough signal above matrix and reporter background without the assistance of target amplification. Claims of amplification-free sensitivity should therefore be </w:t>
      </w:r>
      <w:proofErr w:type="spellStart"/>
      <w:r>
        <w:t>scrutinised</w:t>
      </w:r>
      <w:proofErr w:type="spellEnd"/>
      <w:r>
        <w:t xml:space="preserve"> for target input, sample concentration, nanomaterial amplification and whether the method was validated in realistic foods.</w:t>
      </w:r>
    </w:p>
    <w:p w14:paraId="23741ACF" w14:textId="77777777" w:rsidR="00A423C3" w:rsidRDefault="00000000">
      <w:r>
        <w:t xml:space="preserve">One-pot integration tackles contamination rather than target number by placing amplification and CRISPR recognition in a sealed vessel. Xiao et al. (2023) developed a one-step Cas12a-MA/RPA approach for </w:t>
      </w:r>
      <w:r>
        <w:rPr>
          <w:i/>
        </w:rPr>
        <w:t xml:space="preserve">L. </w:t>
      </w:r>
      <w:r>
        <w:rPr>
          <w:i/>
        </w:rPr>
        <w:lastRenderedPageBreak/>
        <w:t>monocytogenes</w:t>
      </w:r>
      <w:r>
        <w:t xml:space="preserve"> and reported rapid detection in spiked and natural meat samples. Wang et al. (2024) similarly constructed a one-pot LAMP-Cas12a format for </w:t>
      </w:r>
      <w:r>
        <w:rPr>
          <w:i/>
        </w:rPr>
        <w:t>E. coli</w:t>
      </w:r>
      <w:r>
        <w:t xml:space="preserve"> O157:H7. These designs reduce transfer steps, but shared-vessel chemistry introduces compatibility problems. Polymerase, Cas protein, magnesium, primers, guide RNA and reporters may have different optimal concentrations and temperatures. Premature collateral cleavage can interfere with amplification components, while high-temperature amplification can reduce the activity of some effectors. Physical separation within a tube, timed activation or temperature staging can mitigate these interactions, but each solution increases design complexity.</w:t>
      </w:r>
    </w:p>
    <w:p w14:paraId="38353F5B" w14:textId="77777777" w:rsidR="00A423C3" w:rsidRDefault="00000000">
      <w:r>
        <w:t xml:space="preserve">The comparison between one-tube and sequential formats reported by </w:t>
      </w:r>
      <w:proofErr w:type="gramStart"/>
      <w:r>
        <w:t>An</w:t>
      </w:r>
      <w:proofErr w:type="gramEnd"/>
      <w:r>
        <w:t xml:space="preserve"> et al. (2021) makes the trade-off explicit: integration shortened the workflow but the two-step configuration achieved greater analytical sensitivity. This pattern should not be interpreted as evidence that one-pot assays are inferior. Rather, it shows that integration </w:t>
      </w:r>
      <w:proofErr w:type="spellStart"/>
      <w:r>
        <w:t>optimises</w:t>
      </w:r>
      <w:proofErr w:type="spellEnd"/>
      <w:r>
        <w:t xml:space="preserve"> a multi-objective problem involving sensitivity, contamination control, handling burden and robustness. For routine food testing, a small loss of analytical sensitivity may be acceptable if the sealed workflow substantially reduces false positives from amplicon carryover and simplifies operator training, provided the method still meets a predefined decision threshold.</w:t>
      </w:r>
    </w:p>
    <w:p w14:paraId="6DCC5CD3" w14:textId="77777777" w:rsidR="00A423C3" w:rsidRDefault="00000000">
      <w:pPr>
        <w:pStyle w:val="Heading2"/>
      </w:pPr>
      <w:r>
        <w:rPr>
          <w:rFonts w:ascii="Times New Roman" w:hAnsi="Times New Roman"/>
          <w:b w:val="0"/>
        </w:rPr>
        <w:t>5.3 Signal readout, portability and quantification</w:t>
      </w:r>
    </w:p>
    <w:p w14:paraId="5411F187" w14:textId="77777777" w:rsidR="00A423C3" w:rsidRDefault="00000000">
      <w:r>
        <w:t xml:space="preserve">Fluorescence remains the most direct CRISPR readout because collateral cleavage can separate a fluorophore from a quencher and permit kinetic measurement. It supports sensitive detection and can provide a semi-quantitative time course, but it requires an excitation source and detector, and food-associated </w:t>
      </w:r>
      <w:proofErr w:type="spellStart"/>
      <w:r>
        <w:t>colour</w:t>
      </w:r>
      <w:proofErr w:type="spellEnd"/>
      <w:r>
        <w:t xml:space="preserve"> or turbidity can complicate direct measurements if sample cleanup is incomplete. Portable fluorimeters and smartphone-linked optics reduce the instrumentation burden, but device calibration and signal-threshold </w:t>
      </w:r>
      <w:proofErr w:type="spellStart"/>
      <w:r>
        <w:t>standardisation</w:t>
      </w:r>
      <w:proofErr w:type="spellEnd"/>
      <w:r>
        <w:t xml:space="preserve"> then become part of validation. Fluorescence is therefore highly compatible with laboratory and near-site testing, but 'visual fluorescence under ultraviolet light' should not be treated as equivalent to instrumented quantitative fluorescence.</w:t>
      </w:r>
    </w:p>
    <w:p w14:paraId="4F6BB104" w14:textId="77777777" w:rsidR="00A423C3" w:rsidRDefault="00000000">
      <w:r>
        <w:t xml:space="preserve">Lateral-flow readouts convert reporter cleavage into a visually interpretable band and are attractive for field use. Qian et al. (2022) and Gou et al. (2025) illustrate lateral-flow-compatible CRISPR approaches for norovirus, while </w:t>
      </w:r>
      <w:proofErr w:type="spellStart"/>
      <w:r>
        <w:t>Safenkova</w:t>
      </w:r>
      <w:proofErr w:type="spellEnd"/>
      <w:r>
        <w:t xml:space="preserve"> et al. (2026) engineered a fork-shaped probe to improve LAMP-CRISPR lateral-flow detection of </w:t>
      </w:r>
      <w:r>
        <w:rPr>
          <w:i/>
        </w:rPr>
        <w:t>L. monocytogenes</w:t>
      </w:r>
      <w:r>
        <w:t>. Lateral flow offers equipment-light endpoint interpretation, but band intensity is generally semi-quantitative and can be influenced by strip manufacture, sample viscosity, reporter concentration and reading time. When a weak test line sits close to the decision threshold, subjective visual scoring can reintroduce observer variability that molecular recognition alone does not remove.</w:t>
      </w:r>
    </w:p>
    <w:p w14:paraId="7172D2A6" w14:textId="77777777" w:rsidR="00A423C3" w:rsidRDefault="00000000">
      <w:r>
        <w:t xml:space="preserve">Colorimetric strategies eliminate optical instrumentation more aggressively. Chen et al. (2021) used Cas12a-mediated trimming of a G-quadruplex </w:t>
      </w:r>
      <w:proofErr w:type="spellStart"/>
      <w:r>
        <w:t>DNAzyme</w:t>
      </w:r>
      <w:proofErr w:type="spellEnd"/>
      <w:r>
        <w:t xml:space="preserve"> for label-free </w:t>
      </w:r>
      <w:proofErr w:type="spellStart"/>
      <w:r>
        <w:t>colour</w:t>
      </w:r>
      <w:proofErr w:type="spellEnd"/>
      <w:r>
        <w:t xml:space="preserve"> detection of </w:t>
      </w:r>
      <w:r>
        <w:rPr>
          <w:i/>
        </w:rPr>
        <w:t>Vibrio parahaemolyticus</w:t>
      </w:r>
      <w:r>
        <w:t xml:space="preserve">, with distinct performance in pure culture and spiked shrimp. Such systems can make the result intuitively visible, but food </w:t>
      </w:r>
      <w:proofErr w:type="spellStart"/>
      <w:r>
        <w:t>colour</w:t>
      </w:r>
      <w:proofErr w:type="spellEnd"/>
      <w:r>
        <w:t xml:space="preserve">, lighting and human perception can limit reproducibility. Smartphone image analysis can reduce subjectivity, although that effectively reintroduces an instrument and requires </w:t>
      </w:r>
      <w:proofErr w:type="spellStart"/>
      <w:r>
        <w:t>standardised</w:t>
      </w:r>
      <w:proofErr w:type="spellEnd"/>
      <w:r>
        <w:t xml:space="preserve"> illumination. The same general caution applies to complex nanomaterial-based visual sensors: added signal gain can improve analytical sensitivity while increasing reagent-manufacturing and quality-control burden.</w:t>
      </w:r>
    </w:p>
    <w:p w14:paraId="5D080F3B" w14:textId="77777777" w:rsidR="00A423C3" w:rsidRDefault="00000000">
      <w:r>
        <w:t xml:space="preserve">Electrochemical CRISPR shifts the signal into an electrical domain that is attractive for </w:t>
      </w:r>
      <w:proofErr w:type="spellStart"/>
      <w:r>
        <w:t>miniaturisation</w:t>
      </w:r>
      <w:proofErr w:type="spellEnd"/>
      <w:r>
        <w:t xml:space="preserve">. Li et al. (2021) coupled RAA-Cas12a to an electrochemical biosensor for </w:t>
      </w:r>
      <w:r>
        <w:rPr>
          <w:i/>
        </w:rPr>
        <w:t>L. monocytogenes</w:t>
      </w:r>
      <w:r>
        <w:t xml:space="preserve"> and tested both spiked and naturally contaminated </w:t>
      </w:r>
      <w:proofErr w:type="spellStart"/>
      <w:r>
        <w:rPr>
          <w:i/>
        </w:rPr>
        <w:t>Flammulina</w:t>
      </w:r>
      <w:proofErr w:type="spellEnd"/>
      <w:r>
        <w:rPr>
          <w:i/>
        </w:rPr>
        <w:t xml:space="preserve"> </w:t>
      </w:r>
      <w:proofErr w:type="spellStart"/>
      <w:r>
        <w:rPr>
          <w:i/>
        </w:rPr>
        <w:t>velutipes</w:t>
      </w:r>
      <w:proofErr w:type="spellEnd"/>
      <w:r>
        <w:t xml:space="preserve"> samples. Electrochemical platforms can provide compact quantitative readouts and avoid some optical interference, but electrode fouling, surface chemistry, lot-to-lot fabrication and calibration can limit transfer between research prototypes and routine devices. Multimodal systems push even further. Wang et al. (2025) combined CRISPR activation with a DNA hydrogel and composite nanomaterials to support Raman, </w:t>
      </w:r>
      <w:proofErr w:type="spellStart"/>
      <w:r>
        <w:t>colour</w:t>
      </w:r>
      <w:proofErr w:type="spellEnd"/>
      <w:r>
        <w:t xml:space="preserve"> and fluorescence responses for norovirus. </w:t>
      </w:r>
      <w:r>
        <w:lastRenderedPageBreak/>
        <w:t>The analytical flexibility is notable, but every added material and signal pathway expands the manufacturing and validation surface. For routine testing, the simplest readout that meets the decision requirement may be more defensible than the most sensitive multimodal design.</w:t>
      </w:r>
    </w:p>
    <w:p w14:paraId="193D3E0D" w14:textId="77777777" w:rsidR="00A423C3" w:rsidRDefault="00000000">
      <w:r>
        <w:t>Table 3 compares the principal CRISPR architectural choices. The central pattern is that no configuration dominates across sensitivity, simplicity, contamination risk, multiplexing and quantification. Cas12a plus isothermal amplification currently has the strongest food-specific evidence, but the best architecture depends on the target molecule, matrix, desired turnaround time, whether absolute quantification is required and how much instrument infrastructure is acceptable.</w:t>
      </w:r>
    </w:p>
    <w:p w14:paraId="5D82369D" w14:textId="77777777" w:rsidR="00A423C3" w:rsidRDefault="00000000">
      <w:pPr>
        <w:pStyle w:val="TableCaption"/>
      </w:pPr>
      <w:r>
        <w:rPr>
          <w:b w:val="0"/>
        </w:rPr>
        <w:t>Table 3. CRISPR diagnostic architecture and readout trade-offs relevant to food testing</w:t>
      </w:r>
    </w:p>
    <w:tbl>
      <w:tblPr>
        <w:tblStyle w:val="TableGrid"/>
        <w:tblW w:w="5000" w:type="pct"/>
        <w:jc w:val="center"/>
        <w:tblLook w:val="04A0" w:firstRow="1" w:lastRow="0" w:firstColumn="1" w:lastColumn="0" w:noHBand="0" w:noVBand="1"/>
      </w:tblPr>
      <w:tblGrid>
        <w:gridCol w:w="1766"/>
        <w:gridCol w:w="2106"/>
        <w:gridCol w:w="2106"/>
        <w:gridCol w:w="2310"/>
        <w:gridCol w:w="1560"/>
      </w:tblGrid>
      <w:tr w:rsidR="00A423C3" w14:paraId="003BDE71" w14:textId="77777777" w:rsidTr="00916311">
        <w:trPr>
          <w:cantSplit/>
          <w:tblHeader/>
          <w:jc w:val="center"/>
        </w:trPr>
        <w:tc>
          <w:tcPr>
            <w:tcW w:w="897" w:type="pct"/>
            <w:shd w:val="clear" w:color="auto" w:fill="D9E2F3"/>
            <w:tcMar>
              <w:top w:w="90" w:type="dxa"/>
              <w:left w:w="100" w:type="dxa"/>
              <w:bottom w:w="90" w:type="dxa"/>
              <w:right w:w="100" w:type="dxa"/>
            </w:tcMar>
            <w:vAlign w:val="center"/>
          </w:tcPr>
          <w:p w14:paraId="67760039" w14:textId="77777777" w:rsidR="00A423C3" w:rsidRDefault="00000000">
            <w:pPr>
              <w:spacing w:after="0" w:line="240" w:lineRule="auto"/>
              <w:jc w:val="center"/>
            </w:pPr>
            <w:r>
              <w:rPr>
                <w:b/>
                <w:sz w:val="16"/>
              </w:rPr>
              <w:t>Architecture or readout</w:t>
            </w:r>
          </w:p>
        </w:tc>
        <w:tc>
          <w:tcPr>
            <w:tcW w:w="1069" w:type="pct"/>
            <w:shd w:val="clear" w:color="auto" w:fill="D9E2F3"/>
            <w:tcMar>
              <w:top w:w="90" w:type="dxa"/>
              <w:left w:w="100" w:type="dxa"/>
              <w:bottom w:w="90" w:type="dxa"/>
              <w:right w:w="100" w:type="dxa"/>
            </w:tcMar>
            <w:vAlign w:val="center"/>
          </w:tcPr>
          <w:p w14:paraId="34F366B8" w14:textId="77777777" w:rsidR="00A423C3" w:rsidRDefault="00000000">
            <w:pPr>
              <w:spacing w:after="0" w:line="240" w:lineRule="auto"/>
              <w:jc w:val="center"/>
            </w:pPr>
            <w:r>
              <w:rPr>
                <w:b/>
                <w:sz w:val="16"/>
              </w:rPr>
              <w:t>Functional advantage</w:t>
            </w:r>
          </w:p>
        </w:tc>
        <w:tc>
          <w:tcPr>
            <w:tcW w:w="1069" w:type="pct"/>
            <w:shd w:val="clear" w:color="auto" w:fill="D9E2F3"/>
            <w:tcMar>
              <w:top w:w="90" w:type="dxa"/>
              <w:left w:w="100" w:type="dxa"/>
              <w:bottom w:w="90" w:type="dxa"/>
              <w:right w:w="100" w:type="dxa"/>
            </w:tcMar>
            <w:vAlign w:val="center"/>
          </w:tcPr>
          <w:p w14:paraId="78B87CC7" w14:textId="77777777" w:rsidR="00A423C3" w:rsidRDefault="00000000">
            <w:pPr>
              <w:spacing w:after="0" w:line="240" w:lineRule="auto"/>
              <w:jc w:val="center"/>
            </w:pPr>
            <w:r>
              <w:rPr>
                <w:b/>
                <w:sz w:val="16"/>
              </w:rPr>
              <w:t>Principal trade-off</w:t>
            </w:r>
          </w:p>
        </w:tc>
        <w:tc>
          <w:tcPr>
            <w:tcW w:w="1173" w:type="pct"/>
            <w:shd w:val="clear" w:color="auto" w:fill="D9E2F3"/>
            <w:tcMar>
              <w:top w:w="90" w:type="dxa"/>
              <w:left w:w="100" w:type="dxa"/>
              <w:bottom w:w="90" w:type="dxa"/>
              <w:right w:w="100" w:type="dxa"/>
            </w:tcMar>
            <w:vAlign w:val="center"/>
          </w:tcPr>
          <w:p w14:paraId="5897D9A0" w14:textId="77777777" w:rsidR="00A423C3" w:rsidRDefault="00000000">
            <w:pPr>
              <w:spacing w:after="0" w:line="240" w:lineRule="auto"/>
              <w:jc w:val="center"/>
            </w:pPr>
            <w:r>
              <w:rPr>
                <w:b/>
                <w:sz w:val="16"/>
              </w:rPr>
              <w:t>Translational implication</w:t>
            </w:r>
          </w:p>
        </w:tc>
        <w:tc>
          <w:tcPr>
            <w:tcW w:w="793" w:type="pct"/>
            <w:shd w:val="clear" w:color="auto" w:fill="D9E2F3"/>
            <w:tcMar>
              <w:top w:w="90" w:type="dxa"/>
              <w:left w:w="100" w:type="dxa"/>
              <w:bottom w:w="90" w:type="dxa"/>
              <w:right w:w="100" w:type="dxa"/>
            </w:tcMar>
            <w:vAlign w:val="center"/>
          </w:tcPr>
          <w:p w14:paraId="5484A85D" w14:textId="77777777" w:rsidR="00A423C3" w:rsidRDefault="00000000">
            <w:pPr>
              <w:spacing w:after="0" w:line="240" w:lineRule="auto"/>
              <w:jc w:val="center"/>
            </w:pPr>
            <w:r>
              <w:rPr>
                <w:b/>
                <w:sz w:val="16"/>
              </w:rPr>
              <w:t>Supporting references</w:t>
            </w:r>
          </w:p>
        </w:tc>
      </w:tr>
      <w:tr w:rsidR="00A423C3" w14:paraId="5EF388A2" w14:textId="77777777" w:rsidTr="00916311">
        <w:trPr>
          <w:cantSplit/>
          <w:jc w:val="center"/>
        </w:trPr>
        <w:tc>
          <w:tcPr>
            <w:tcW w:w="897" w:type="pct"/>
            <w:tcMar>
              <w:top w:w="70" w:type="dxa"/>
              <w:left w:w="90" w:type="dxa"/>
              <w:bottom w:w="70" w:type="dxa"/>
              <w:right w:w="90" w:type="dxa"/>
            </w:tcMar>
            <w:vAlign w:val="center"/>
          </w:tcPr>
          <w:p w14:paraId="13D142AF" w14:textId="77777777" w:rsidR="00A423C3" w:rsidRDefault="00000000">
            <w:pPr>
              <w:spacing w:after="0" w:line="240" w:lineRule="auto"/>
              <w:jc w:val="left"/>
            </w:pPr>
            <w:r>
              <w:rPr>
                <w:sz w:val="15"/>
              </w:rPr>
              <w:t>Cas12a</w:t>
            </w:r>
          </w:p>
        </w:tc>
        <w:tc>
          <w:tcPr>
            <w:tcW w:w="1069" w:type="pct"/>
            <w:tcMar>
              <w:top w:w="70" w:type="dxa"/>
              <w:left w:w="90" w:type="dxa"/>
              <w:bottom w:w="70" w:type="dxa"/>
              <w:right w:w="90" w:type="dxa"/>
            </w:tcMar>
            <w:vAlign w:val="center"/>
          </w:tcPr>
          <w:p w14:paraId="5DF7FECD" w14:textId="77777777" w:rsidR="00A423C3" w:rsidRDefault="00000000">
            <w:pPr>
              <w:spacing w:after="0" w:line="240" w:lineRule="auto"/>
              <w:jc w:val="left"/>
            </w:pPr>
            <w:r>
              <w:rPr>
                <w:sz w:val="15"/>
              </w:rPr>
              <w:t>DNA/amplicon recognition with strong ssDNA collateral cleavage; mature reporter ecosystem</w:t>
            </w:r>
          </w:p>
        </w:tc>
        <w:tc>
          <w:tcPr>
            <w:tcW w:w="1069" w:type="pct"/>
            <w:tcMar>
              <w:top w:w="70" w:type="dxa"/>
              <w:left w:w="90" w:type="dxa"/>
              <w:bottom w:w="70" w:type="dxa"/>
              <w:right w:w="90" w:type="dxa"/>
            </w:tcMar>
            <w:vAlign w:val="center"/>
          </w:tcPr>
          <w:p w14:paraId="0DF6F4C5" w14:textId="77777777" w:rsidR="00A423C3" w:rsidRDefault="00000000">
            <w:pPr>
              <w:spacing w:after="0" w:line="240" w:lineRule="auto"/>
              <w:jc w:val="left"/>
            </w:pPr>
            <w:r>
              <w:rPr>
                <w:sz w:val="15"/>
              </w:rPr>
              <w:t>PAM and mismatch constraints; usually requires amplification for low-abundance foods</w:t>
            </w:r>
          </w:p>
        </w:tc>
        <w:tc>
          <w:tcPr>
            <w:tcW w:w="1173" w:type="pct"/>
            <w:tcMar>
              <w:top w:w="70" w:type="dxa"/>
              <w:left w:w="90" w:type="dxa"/>
              <w:bottom w:w="70" w:type="dxa"/>
              <w:right w:w="90" w:type="dxa"/>
            </w:tcMar>
            <w:vAlign w:val="center"/>
          </w:tcPr>
          <w:p w14:paraId="5618DDA4" w14:textId="77777777" w:rsidR="00A423C3" w:rsidRDefault="00000000">
            <w:pPr>
              <w:spacing w:after="0" w:line="240" w:lineRule="auto"/>
              <w:jc w:val="left"/>
            </w:pPr>
            <w:r>
              <w:rPr>
                <w:sz w:val="15"/>
              </w:rPr>
              <w:t>Currently the best-supported food-specific effector, but performance remains workflow dependent</w:t>
            </w:r>
          </w:p>
        </w:tc>
        <w:tc>
          <w:tcPr>
            <w:tcW w:w="793" w:type="pct"/>
            <w:tcMar>
              <w:top w:w="70" w:type="dxa"/>
              <w:left w:w="90" w:type="dxa"/>
              <w:bottom w:w="70" w:type="dxa"/>
              <w:right w:w="90" w:type="dxa"/>
            </w:tcMar>
            <w:vAlign w:val="center"/>
          </w:tcPr>
          <w:p w14:paraId="12FBBFA3" w14:textId="77777777" w:rsidR="00A423C3" w:rsidRDefault="00000000">
            <w:pPr>
              <w:spacing w:after="0" w:line="240" w:lineRule="auto"/>
              <w:jc w:val="left"/>
            </w:pPr>
            <w:r>
              <w:rPr>
                <w:sz w:val="15"/>
              </w:rPr>
              <w:t>Chen et al. (2018); Li et al. (2022)</w:t>
            </w:r>
          </w:p>
        </w:tc>
      </w:tr>
      <w:tr w:rsidR="00A423C3" w14:paraId="7EE93EB9" w14:textId="77777777" w:rsidTr="00916311">
        <w:trPr>
          <w:cantSplit/>
          <w:jc w:val="center"/>
        </w:trPr>
        <w:tc>
          <w:tcPr>
            <w:tcW w:w="897" w:type="pct"/>
            <w:tcMar>
              <w:top w:w="70" w:type="dxa"/>
              <w:left w:w="90" w:type="dxa"/>
              <w:bottom w:w="70" w:type="dxa"/>
              <w:right w:w="90" w:type="dxa"/>
            </w:tcMar>
            <w:vAlign w:val="center"/>
          </w:tcPr>
          <w:p w14:paraId="3FCDA670" w14:textId="77777777" w:rsidR="00A423C3" w:rsidRDefault="00000000">
            <w:pPr>
              <w:spacing w:after="0" w:line="240" w:lineRule="auto"/>
              <w:jc w:val="left"/>
            </w:pPr>
            <w:r>
              <w:rPr>
                <w:sz w:val="15"/>
              </w:rPr>
              <w:t>Cas13a</w:t>
            </w:r>
          </w:p>
        </w:tc>
        <w:tc>
          <w:tcPr>
            <w:tcW w:w="1069" w:type="pct"/>
            <w:tcMar>
              <w:top w:w="70" w:type="dxa"/>
              <w:left w:w="90" w:type="dxa"/>
              <w:bottom w:w="70" w:type="dxa"/>
              <w:right w:w="90" w:type="dxa"/>
            </w:tcMar>
            <w:vAlign w:val="center"/>
          </w:tcPr>
          <w:p w14:paraId="4F76ECA1" w14:textId="77777777" w:rsidR="00A423C3" w:rsidRDefault="00000000">
            <w:pPr>
              <w:spacing w:after="0" w:line="240" w:lineRule="auto"/>
              <w:jc w:val="left"/>
            </w:pPr>
            <w:r>
              <w:rPr>
                <w:sz w:val="15"/>
              </w:rPr>
              <w:t>RNA recognition and collateral RNA cleavage; useful for RNA targets or transcribed amplicons</w:t>
            </w:r>
          </w:p>
        </w:tc>
        <w:tc>
          <w:tcPr>
            <w:tcW w:w="1069" w:type="pct"/>
            <w:tcMar>
              <w:top w:w="70" w:type="dxa"/>
              <w:left w:w="90" w:type="dxa"/>
              <w:bottom w:w="70" w:type="dxa"/>
              <w:right w:w="90" w:type="dxa"/>
            </w:tcMar>
            <w:vAlign w:val="center"/>
          </w:tcPr>
          <w:p w14:paraId="2060C371" w14:textId="77777777" w:rsidR="00A423C3" w:rsidRDefault="00000000">
            <w:pPr>
              <w:spacing w:after="0" w:line="240" w:lineRule="auto"/>
              <w:jc w:val="left"/>
            </w:pPr>
            <w:r>
              <w:rPr>
                <w:sz w:val="15"/>
              </w:rPr>
              <w:t>Often requires reverse transcription/transcription or staged chemistry; fewer food-matrix validations</w:t>
            </w:r>
          </w:p>
        </w:tc>
        <w:tc>
          <w:tcPr>
            <w:tcW w:w="1173" w:type="pct"/>
            <w:tcMar>
              <w:top w:w="70" w:type="dxa"/>
              <w:left w:w="90" w:type="dxa"/>
              <w:bottom w:w="70" w:type="dxa"/>
              <w:right w:w="90" w:type="dxa"/>
            </w:tcMar>
            <w:vAlign w:val="center"/>
          </w:tcPr>
          <w:p w14:paraId="3B368F8E" w14:textId="77777777" w:rsidR="00A423C3" w:rsidRDefault="00000000">
            <w:pPr>
              <w:spacing w:after="0" w:line="240" w:lineRule="auto"/>
              <w:jc w:val="left"/>
            </w:pPr>
            <w:r>
              <w:rPr>
                <w:sz w:val="15"/>
              </w:rPr>
              <w:t>Useful for RNA viruses and alternative multiplex channels</w:t>
            </w:r>
          </w:p>
        </w:tc>
        <w:tc>
          <w:tcPr>
            <w:tcW w:w="793" w:type="pct"/>
            <w:tcMar>
              <w:top w:w="70" w:type="dxa"/>
              <w:left w:w="90" w:type="dxa"/>
              <w:bottom w:w="70" w:type="dxa"/>
              <w:right w:w="90" w:type="dxa"/>
            </w:tcMar>
            <w:vAlign w:val="center"/>
          </w:tcPr>
          <w:p w14:paraId="372E1BB2" w14:textId="77777777" w:rsidR="00A423C3" w:rsidRDefault="00000000">
            <w:pPr>
              <w:spacing w:after="0" w:line="240" w:lineRule="auto"/>
              <w:jc w:val="left"/>
            </w:pPr>
            <w:r>
              <w:rPr>
                <w:sz w:val="15"/>
              </w:rPr>
              <w:t xml:space="preserve">An et al. (2021); </w:t>
            </w:r>
            <w:proofErr w:type="spellStart"/>
            <w:r>
              <w:rPr>
                <w:sz w:val="15"/>
              </w:rPr>
              <w:t>Gootenberg</w:t>
            </w:r>
            <w:proofErr w:type="spellEnd"/>
            <w:r>
              <w:rPr>
                <w:sz w:val="15"/>
              </w:rPr>
              <w:t xml:space="preserve"> et al. (2017)</w:t>
            </w:r>
          </w:p>
        </w:tc>
      </w:tr>
      <w:tr w:rsidR="00A423C3" w14:paraId="42B7B1A0" w14:textId="77777777" w:rsidTr="00916311">
        <w:trPr>
          <w:cantSplit/>
          <w:jc w:val="center"/>
        </w:trPr>
        <w:tc>
          <w:tcPr>
            <w:tcW w:w="897" w:type="pct"/>
            <w:tcMar>
              <w:top w:w="70" w:type="dxa"/>
              <w:left w:w="90" w:type="dxa"/>
              <w:bottom w:w="70" w:type="dxa"/>
              <w:right w:w="90" w:type="dxa"/>
            </w:tcMar>
            <w:vAlign w:val="center"/>
          </w:tcPr>
          <w:p w14:paraId="55182ED9" w14:textId="77777777" w:rsidR="00A423C3" w:rsidRDefault="00000000">
            <w:pPr>
              <w:spacing w:after="0" w:line="240" w:lineRule="auto"/>
              <w:jc w:val="left"/>
            </w:pPr>
            <w:r>
              <w:rPr>
                <w:sz w:val="15"/>
              </w:rPr>
              <w:t>Cas12b</w:t>
            </w:r>
          </w:p>
        </w:tc>
        <w:tc>
          <w:tcPr>
            <w:tcW w:w="1069" w:type="pct"/>
            <w:tcMar>
              <w:top w:w="70" w:type="dxa"/>
              <w:left w:w="90" w:type="dxa"/>
              <w:bottom w:w="70" w:type="dxa"/>
              <w:right w:w="90" w:type="dxa"/>
            </w:tcMar>
            <w:vAlign w:val="center"/>
          </w:tcPr>
          <w:p w14:paraId="1BCA2D8D" w14:textId="77777777" w:rsidR="00A423C3" w:rsidRDefault="00000000">
            <w:pPr>
              <w:spacing w:after="0" w:line="240" w:lineRule="auto"/>
              <w:jc w:val="left"/>
            </w:pPr>
            <w:r>
              <w:rPr>
                <w:sz w:val="15"/>
              </w:rPr>
              <w:t>Higher-temperature compatibility can align with LAMP-type amplification</w:t>
            </w:r>
          </w:p>
        </w:tc>
        <w:tc>
          <w:tcPr>
            <w:tcW w:w="1069" w:type="pct"/>
            <w:tcMar>
              <w:top w:w="70" w:type="dxa"/>
              <w:left w:w="90" w:type="dxa"/>
              <w:bottom w:w="70" w:type="dxa"/>
              <w:right w:w="90" w:type="dxa"/>
            </w:tcMar>
            <w:vAlign w:val="center"/>
          </w:tcPr>
          <w:p w14:paraId="36423139" w14:textId="77777777" w:rsidR="00A423C3" w:rsidRDefault="00000000">
            <w:pPr>
              <w:spacing w:after="0" w:line="240" w:lineRule="auto"/>
              <w:jc w:val="left"/>
            </w:pPr>
            <w:r>
              <w:rPr>
                <w:sz w:val="15"/>
              </w:rPr>
              <w:t>Smaller food evidence base; guide/PAM constraints</w:t>
            </w:r>
          </w:p>
        </w:tc>
        <w:tc>
          <w:tcPr>
            <w:tcW w:w="1173" w:type="pct"/>
            <w:tcMar>
              <w:top w:w="70" w:type="dxa"/>
              <w:left w:w="90" w:type="dxa"/>
              <w:bottom w:w="70" w:type="dxa"/>
              <w:right w:w="90" w:type="dxa"/>
            </w:tcMar>
            <w:vAlign w:val="center"/>
          </w:tcPr>
          <w:p w14:paraId="2467179F" w14:textId="77777777" w:rsidR="00A423C3" w:rsidRDefault="00000000">
            <w:pPr>
              <w:spacing w:after="0" w:line="240" w:lineRule="auto"/>
              <w:jc w:val="left"/>
            </w:pPr>
            <w:r>
              <w:rPr>
                <w:sz w:val="15"/>
              </w:rPr>
              <w:t>Promising for thermally integrated one-pot assays where chemistry is compatible</w:t>
            </w:r>
          </w:p>
        </w:tc>
        <w:tc>
          <w:tcPr>
            <w:tcW w:w="793" w:type="pct"/>
            <w:tcMar>
              <w:top w:w="70" w:type="dxa"/>
              <w:left w:w="90" w:type="dxa"/>
              <w:bottom w:w="70" w:type="dxa"/>
              <w:right w:w="90" w:type="dxa"/>
            </w:tcMar>
            <w:vAlign w:val="center"/>
          </w:tcPr>
          <w:p w14:paraId="22020648" w14:textId="77777777" w:rsidR="00A423C3" w:rsidRDefault="00000000">
            <w:pPr>
              <w:spacing w:after="0" w:line="240" w:lineRule="auto"/>
              <w:jc w:val="left"/>
            </w:pPr>
            <w:r>
              <w:rPr>
                <w:sz w:val="15"/>
              </w:rPr>
              <w:t>Huang et al. (2021)</w:t>
            </w:r>
          </w:p>
        </w:tc>
      </w:tr>
      <w:tr w:rsidR="00A423C3" w14:paraId="24DC776D" w14:textId="77777777" w:rsidTr="00916311">
        <w:trPr>
          <w:cantSplit/>
          <w:jc w:val="center"/>
        </w:trPr>
        <w:tc>
          <w:tcPr>
            <w:tcW w:w="897" w:type="pct"/>
            <w:tcMar>
              <w:top w:w="70" w:type="dxa"/>
              <w:left w:w="90" w:type="dxa"/>
              <w:bottom w:w="70" w:type="dxa"/>
              <w:right w:w="90" w:type="dxa"/>
            </w:tcMar>
            <w:vAlign w:val="center"/>
          </w:tcPr>
          <w:p w14:paraId="1C262D2E" w14:textId="77777777" w:rsidR="00A423C3" w:rsidRDefault="00000000">
            <w:pPr>
              <w:spacing w:after="0" w:line="240" w:lineRule="auto"/>
              <w:jc w:val="left"/>
            </w:pPr>
            <w:r>
              <w:rPr>
                <w:sz w:val="15"/>
              </w:rPr>
              <w:t>Alternative / miniature effectors</w:t>
            </w:r>
          </w:p>
        </w:tc>
        <w:tc>
          <w:tcPr>
            <w:tcW w:w="1069" w:type="pct"/>
            <w:tcMar>
              <w:top w:w="70" w:type="dxa"/>
              <w:left w:w="90" w:type="dxa"/>
              <w:bottom w:w="70" w:type="dxa"/>
              <w:right w:w="90" w:type="dxa"/>
            </w:tcMar>
            <w:vAlign w:val="center"/>
          </w:tcPr>
          <w:p w14:paraId="7FA00052" w14:textId="77777777" w:rsidR="00A423C3" w:rsidRDefault="00000000">
            <w:pPr>
              <w:spacing w:after="0" w:line="240" w:lineRule="auto"/>
              <w:jc w:val="left"/>
            </w:pPr>
            <w:r>
              <w:rPr>
                <w:sz w:val="15"/>
              </w:rPr>
              <w:t>Potentially expands target rules and device integration</w:t>
            </w:r>
          </w:p>
        </w:tc>
        <w:tc>
          <w:tcPr>
            <w:tcW w:w="1069" w:type="pct"/>
            <w:tcMar>
              <w:top w:w="70" w:type="dxa"/>
              <w:left w:w="90" w:type="dxa"/>
              <w:bottom w:w="70" w:type="dxa"/>
              <w:right w:w="90" w:type="dxa"/>
            </w:tcMar>
            <w:vAlign w:val="center"/>
          </w:tcPr>
          <w:p w14:paraId="383935FC" w14:textId="77777777" w:rsidR="00A423C3" w:rsidRDefault="00000000">
            <w:pPr>
              <w:spacing w:after="0" w:line="240" w:lineRule="auto"/>
              <w:jc w:val="left"/>
            </w:pPr>
            <w:r>
              <w:rPr>
                <w:sz w:val="15"/>
              </w:rPr>
              <w:t>Limited food validation and less mature reagent ecosystem</w:t>
            </w:r>
          </w:p>
        </w:tc>
        <w:tc>
          <w:tcPr>
            <w:tcW w:w="1173" w:type="pct"/>
            <w:tcMar>
              <w:top w:w="70" w:type="dxa"/>
              <w:left w:w="90" w:type="dxa"/>
              <w:bottom w:w="70" w:type="dxa"/>
              <w:right w:w="90" w:type="dxa"/>
            </w:tcMar>
            <w:vAlign w:val="center"/>
          </w:tcPr>
          <w:p w14:paraId="05D8E97B" w14:textId="77777777" w:rsidR="00A423C3" w:rsidRDefault="00000000">
            <w:pPr>
              <w:spacing w:after="0" w:line="240" w:lineRule="auto"/>
              <w:jc w:val="left"/>
            </w:pPr>
            <w:r>
              <w:rPr>
                <w:sz w:val="15"/>
              </w:rPr>
              <w:t>Research opportunity rather than established routine choice</w:t>
            </w:r>
          </w:p>
        </w:tc>
        <w:tc>
          <w:tcPr>
            <w:tcW w:w="793" w:type="pct"/>
            <w:tcMar>
              <w:top w:w="70" w:type="dxa"/>
              <w:left w:w="90" w:type="dxa"/>
              <w:bottom w:w="70" w:type="dxa"/>
              <w:right w:w="90" w:type="dxa"/>
            </w:tcMar>
            <w:vAlign w:val="center"/>
          </w:tcPr>
          <w:p w14:paraId="6D81BA7E" w14:textId="77777777" w:rsidR="00A423C3" w:rsidRDefault="00000000">
            <w:pPr>
              <w:spacing w:after="0" w:line="240" w:lineRule="auto"/>
              <w:jc w:val="left"/>
            </w:pPr>
            <w:r>
              <w:rPr>
                <w:sz w:val="15"/>
              </w:rPr>
              <w:t>Harrington et al. (2018); Zhou et al. (2024)</w:t>
            </w:r>
          </w:p>
        </w:tc>
      </w:tr>
      <w:tr w:rsidR="00A423C3" w14:paraId="429845AC" w14:textId="77777777" w:rsidTr="00916311">
        <w:trPr>
          <w:cantSplit/>
          <w:jc w:val="center"/>
        </w:trPr>
        <w:tc>
          <w:tcPr>
            <w:tcW w:w="897" w:type="pct"/>
            <w:tcMar>
              <w:top w:w="70" w:type="dxa"/>
              <w:left w:w="90" w:type="dxa"/>
              <w:bottom w:w="70" w:type="dxa"/>
              <w:right w:w="90" w:type="dxa"/>
            </w:tcMar>
            <w:vAlign w:val="center"/>
          </w:tcPr>
          <w:p w14:paraId="38DE499E" w14:textId="77777777" w:rsidR="00A423C3" w:rsidRDefault="00000000">
            <w:pPr>
              <w:spacing w:after="0" w:line="240" w:lineRule="auto"/>
              <w:jc w:val="left"/>
            </w:pPr>
            <w:r>
              <w:rPr>
                <w:sz w:val="15"/>
              </w:rPr>
              <w:t>One-pot amplification + CRISPR</w:t>
            </w:r>
          </w:p>
        </w:tc>
        <w:tc>
          <w:tcPr>
            <w:tcW w:w="1069" w:type="pct"/>
            <w:tcMar>
              <w:top w:w="70" w:type="dxa"/>
              <w:left w:w="90" w:type="dxa"/>
              <w:bottom w:w="70" w:type="dxa"/>
              <w:right w:w="90" w:type="dxa"/>
            </w:tcMar>
            <w:vAlign w:val="center"/>
          </w:tcPr>
          <w:p w14:paraId="42BB1501" w14:textId="77777777" w:rsidR="00A423C3" w:rsidRDefault="00000000">
            <w:pPr>
              <w:spacing w:after="0" w:line="240" w:lineRule="auto"/>
              <w:jc w:val="left"/>
            </w:pPr>
            <w:r>
              <w:rPr>
                <w:sz w:val="15"/>
              </w:rPr>
              <w:t>Closed vessel reduces transfer and amplicon contamination</w:t>
            </w:r>
          </w:p>
        </w:tc>
        <w:tc>
          <w:tcPr>
            <w:tcW w:w="1069" w:type="pct"/>
            <w:tcMar>
              <w:top w:w="70" w:type="dxa"/>
              <w:left w:w="90" w:type="dxa"/>
              <w:bottom w:w="70" w:type="dxa"/>
              <w:right w:w="90" w:type="dxa"/>
            </w:tcMar>
            <w:vAlign w:val="center"/>
          </w:tcPr>
          <w:p w14:paraId="1E21A2B4" w14:textId="77777777" w:rsidR="00A423C3" w:rsidRDefault="00000000">
            <w:pPr>
              <w:spacing w:after="0" w:line="240" w:lineRule="auto"/>
              <w:jc w:val="left"/>
            </w:pPr>
            <w:r>
              <w:rPr>
                <w:sz w:val="15"/>
              </w:rPr>
              <w:t>Shared temperature/buffer conditions may reduce sensitivity or reaction efficiency</w:t>
            </w:r>
          </w:p>
        </w:tc>
        <w:tc>
          <w:tcPr>
            <w:tcW w:w="1173" w:type="pct"/>
            <w:tcMar>
              <w:top w:w="70" w:type="dxa"/>
              <w:left w:w="90" w:type="dxa"/>
              <w:bottom w:w="70" w:type="dxa"/>
              <w:right w:w="90" w:type="dxa"/>
            </w:tcMar>
            <w:vAlign w:val="center"/>
          </w:tcPr>
          <w:p w14:paraId="0B6B96FB" w14:textId="77777777" w:rsidR="00A423C3" w:rsidRDefault="00000000">
            <w:pPr>
              <w:spacing w:after="0" w:line="240" w:lineRule="auto"/>
              <w:jc w:val="left"/>
            </w:pPr>
            <w:r>
              <w:rPr>
                <w:sz w:val="15"/>
              </w:rPr>
              <w:t>Judge against matched sequential assay using method-level outcomes</w:t>
            </w:r>
          </w:p>
        </w:tc>
        <w:tc>
          <w:tcPr>
            <w:tcW w:w="793" w:type="pct"/>
            <w:tcMar>
              <w:top w:w="70" w:type="dxa"/>
              <w:left w:w="90" w:type="dxa"/>
              <w:bottom w:w="70" w:type="dxa"/>
              <w:right w:w="90" w:type="dxa"/>
            </w:tcMar>
            <w:vAlign w:val="center"/>
          </w:tcPr>
          <w:p w14:paraId="398BC884" w14:textId="77777777" w:rsidR="00A423C3" w:rsidRDefault="00000000">
            <w:pPr>
              <w:spacing w:after="0" w:line="240" w:lineRule="auto"/>
              <w:jc w:val="left"/>
            </w:pPr>
            <w:r>
              <w:rPr>
                <w:sz w:val="15"/>
              </w:rPr>
              <w:t>An et al. (2021); Wang et al. (2024); Xiao et al. (2023)</w:t>
            </w:r>
          </w:p>
        </w:tc>
      </w:tr>
      <w:tr w:rsidR="00A423C3" w14:paraId="11A8E4A7" w14:textId="77777777" w:rsidTr="00916311">
        <w:trPr>
          <w:cantSplit/>
          <w:jc w:val="center"/>
        </w:trPr>
        <w:tc>
          <w:tcPr>
            <w:tcW w:w="897" w:type="pct"/>
            <w:tcMar>
              <w:top w:w="70" w:type="dxa"/>
              <w:left w:w="90" w:type="dxa"/>
              <w:bottom w:w="70" w:type="dxa"/>
              <w:right w:w="90" w:type="dxa"/>
            </w:tcMar>
            <w:vAlign w:val="center"/>
          </w:tcPr>
          <w:p w14:paraId="66B5A987" w14:textId="77777777" w:rsidR="00A423C3" w:rsidRDefault="00000000">
            <w:pPr>
              <w:spacing w:after="0" w:line="240" w:lineRule="auto"/>
              <w:jc w:val="left"/>
            </w:pPr>
            <w:r>
              <w:rPr>
                <w:sz w:val="15"/>
              </w:rPr>
              <w:t>Fluorescence</w:t>
            </w:r>
          </w:p>
        </w:tc>
        <w:tc>
          <w:tcPr>
            <w:tcW w:w="1069" w:type="pct"/>
            <w:tcMar>
              <w:top w:w="70" w:type="dxa"/>
              <w:left w:w="90" w:type="dxa"/>
              <w:bottom w:w="70" w:type="dxa"/>
              <w:right w:w="90" w:type="dxa"/>
            </w:tcMar>
            <w:vAlign w:val="center"/>
          </w:tcPr>
          <w:p w14:paraId="62359C46" w14:textId="77777777" w:rsidR="00A423C3" w:rsidRDefault="00000000">
            <w:pPr>
              <w:spacing w:after="0" w:line="240" w:lineRule="auto"/>
              <w:jc w:val="left"/>
            </w:pPr>
            <w:r>
              <w:rPr>
                <w:sz w:val="15"/>
              </w:rPr>
              <w:t>Sensitive kinetic or endpoint signal; portable optics possible</w:t>
            </w:r>
          </w:p>
        </w:tc>
        <w:tc>
          <w:tcPr>
            <w:tcW w:w="1069" w:type="pct"/>
            <w:tcMar>
              <w:top w:w="70" w:type="dxa"/>
              <w:left w:w="90" w:type="dxa"/>
              <w:bottom w:w="70" w:type="dxa"/>
              <w:right w:w="90" w:type="dxa"/>
            </w:tcMar>
            <w:vAlign w:val="center"/>
          </w:tcPr>
          <w:p w14:paraId="3DB9096A" w14:textId="77777777" w:rsidR="00A423C3" w:rsidRDefault="00000000">
            <w:pPr>
              <w:spacing w:after="0" w:line="240" w:lineRule="auto"/>
              <w:jc w:val="left"/>
            </w:pPr>
            <w:r>
              <w:rPr>
                <w:sz w:val="15"/>
              </w:rPr>
              <w:t xml:space="preserve">Detector/calibration required; crude sample </w:t>
            </w:r>
            <w:proofErr w:type="spellStart"/>
            <w:r>
              <w:rPr>
                <w:sz w:val="15"/>
              </w:rPr>
              <w:t>colour</w:t>
            </w:r>
            <w:proofErr w:type="spellEnd"/>
            <w:r>
              <w:rPr>
                <w:sz w:val="15"/>
              </w:rPr>
              <w:t xml:space="preserve"> or turbidity can interfere</w:t>
            </w:r>
          </w:p>
        </w:tc>
        <w:tc>
          <w:tcPr>
            <w:tcW w:w="1173" w:type="pct"/>
            <w:tcMar>
              <w:top w:w="70" w:type="dxa"/>
              <w:left w:w="90" w:type="dxa"/>
              <w:bottom w:w="70" w:type="dxa"/>
              <w:right w:w="90" w:type="dxa"/>
            </w:tcMar>
            <w:vAlign w:val="center"/>
          </w:tcPr>
          <w:p w14:paraId="7EAAF521" w14:textId="77777777" w:rsidR="00A423C3" w:rsidRDefault="00000000">
            <w:pPr>
              <w:spacing w:after="0" w:line="240" w:lineRule="auto"/>
              <w:jc w:val="left"/>
            </w:pPr>
            <w:r>
              <w:rPr>
                <w:sz w:val="15"/>
              </w:rPr>
              <w:t>Strong option for laboratory and near-site testing when objective thresholds are available</w:t>
            </w:r>
          </w:p>
        </w:tc>
        <w:tc>
          <w:tcPr>
            <w:tcW w:w="793" w:type="pct"/>
            <w:tcMar>
              <w:top w:w="70" w:type="dxa"/>
              <w:left w:w="90" w:type="dxa"/>
              <w:bottom w:w="70" w:type="dxa"/>
              <w:right w:w="90" w:type="dxa"/>
            </w:tcMar>
            <w:vAlign w:val="center"/>
          </w:tcPr>
          <w:p w14:paraId="7F8AFA15" w14:textId="77777777" w:rsidR="00A423C3" w:rsidRDefault="00000000">
            <w:pPr>
              <w:spacing w:after="0" w:line="240" w:lineRule="auto"/>
              <w:jc w:val="left"/>
            </w:pPr>
            <w:r>
              <w:rPr>
                <w:sz w:val="15"/>
              </w:rPr>
              <w:t>Liu et al. (2021); Qian et al. (2022)</w:t>
            </w:r>
          </w:p>
        </w:tc>
      </w:tr>
      <w:tr w:rsidR="00A423C3" w14:paraId="5FFF6769" w14:textId="77777777" w:rsidTr="00916311">
        <w:trPr>
          <w:cantSplit/>
          <w:jc w:val="center"/>
        </w:trPr>
        <w:tc>
          <w:tcPr>
            <w:tcW w:w="897" w:type="pct"/>
            <w:tcMar>
              <w:top w:w="70" w:type="dxa"/>
              <w:left w:w="90" w:type="dxa"/>
              <w:bottom w:w="70" w:type="dxa"/>
              <w:right w:w="90" w:type="dxa"/>
            </w:tcMar>
            <w:vAlign w:val="center"/>
          </w:tcPr>
          <w:p w14:paraId="1758993C" w14:textId="77777777" w:rsidR="00A423C3" w:rsidRDefault="00000000">
            <w:pPr>
              <w:spacing w:after="0" w:line="240" w:lineRule="auto"/>
              <w:jc w:val="left"/>
            </w:pPr>
            <w:r>
              <w:rPr>
                <w:sz w:val="15"/>
              </w:rPr>
              <w:t>Lateral flow</w:t>
            </w:r>
          </w:p>
        </w:tc>
        <w:tc>
          <w:tcPr>
            <w:tcW w:w="1069" w:type="pct"/>
            <w:tcMar>
              <w:top w:w="70" w:type="dxa"/>
              <w:left w:w="90" w:type="dxa"/>
              <w:bottom w:w="70" w:type="dxa"/>
              <w:right w:w="90" w:type="dxa"/>
            </w:tcMar>
            <w:vAlign w:val="center"/>
          </w:tcPr>
          <w:p w14:paraId="3CFB5FF9" w14:textId="77777777" w:rsidR="00A423C3" w:rsidRDefault="00000000">
            <w:pPr>
              <w:spacing w:after="0" w:line="240" w:lineRule="auto"/>
              <w:jc w:val="left"/>
            </w:pPr>
            <w:r>
              <w:rPr>
                <w:sz w:val="15"/>
              </w:rPr>
              <w:t>Equipment-light visual endpoint</w:t>
            </w:r>
          </w:p>
        </w:tc>
        <w:tc>
          <w:tcPr>
            <w:tcW w:w="1069" w:type="pct"/>
            <w:tcMar>
              <w:top w:w="70" w:type="dxa"/>
              <w:left w:w="90" w:type="dxa"/>
              <w:bottom w:w="70" w:type="dxa"/>
              <w:right w:w="90" w:type="dxa"/>
            </w:tcMar>
            <w:vAlign w:val="center"/>
          </w:tcPr>
          <w:p w14:paraId="129DB0BF" w14:textId="77777777" w:rsidR="00A423C3" w:rsidRDefault="00000000">
            <w:pPr>
              <w:spacing w:after="0" w:line="240" w:lineRule="auto"/>
              <w:jc w:val="left"/>
            </w:pPr>
            <w:r>
              <w:rPr>
                <w:sz w:val="15"/>
              </w:rPr>
              <w:t>Usually semi-quantitative; band interpretation and strip lots can vary</w:t>
            </w:r>
          </w:p>
        </w:tc>
        <w:tc>
          <w:tcPr>
            <w:tcW w:w="1173" w:type="pct"/>
            <w:tcMar>
              <w:top w:w="70" w:type="dxa"/>
              <w:left w:w="90" w:type="dxa"/>
              <w:bottom w:w="70" w:type="dxa"/>
              <w:right w:w="90" w:type="dxa"/>
            </w:tcMar>
            <w:vAlign w:val="center"/>
          </w:tcPr>
          <w:p w14:paraId="46924855" w14:textId="77777777" w:rsidR="00A423C3" w:rsidRDefault="00000000">
            <w:pPr>
              <w:spacing w:after="0" w:line="240" w:lineRule="auto"/>
              <w:jc w:val="left"/>
            </w:pPr>
            <w:r>
              <w:rPr>
                <w:sz w:val="15"/>
              </w:rPr>
              <w:t>Useful for field screening if threshold interpretation and controls are validated</w:t>
            </w:r>
          </w:p>
        </w:tc>
        <w:tc>
          <w:tcPr>
            <w:tcW w:w="793" w:type="pct"/>
            <w:tcMar>
              <w:top w:w="70" w:type="dxa"/>
              <w:left w:w="90" w:type="dxa"/>
              <w:bottom w:w="70" w:type="dxa"/>
              <w:right w:w="90" w:type="dxa"/>
            </w:tcMar>
            <w:vAlign w:val="center"/>
          </w:tcPr>
          <w:p w14:paraId="74EDC083" w14:textId="77777777" w:rsidR="00A423C3" w:rsidRDefault="00000000">
            <w:pPr>
              <w:spacing w:after="0" w:line="240" w:lineRule="auto"/>
              <w:jc w:val="left"/>
            </w:pPr>
            <w:r>
              <w:rPr>
                <w:sz w:val="15"/>
              </w:rPr>
              <w:t xml:space="preserve">Gou et al. (2025); </w:t>
            </w:r>
            <w:proofErr w:type="spellStart"/>
            <w:r>
              <w:rPr>
                <w:sz w:val="15"/>
              </w:rPr>
              <w:t>Safenkova</w:t>
            </w:r>
            <w:proofErr w:type="spellEnd"/>
            <w:r>
              <w:rPr>
                <w:sz w:val="15"/>
              </w:rPr>
              <w:t xml:space="preserve"> et al. (2026)</w:t>
            </w:r>
          </w:p>
        </w:tc>
      </w:tr>
      <w:tr w:rsidR="00A423C3" w14:paraId="2BD6C05C" w14:textId="77777777" w:rsidTr="00916311">
        <w:trPr>
          <w:cantSplit/>
          <w:jc w:val="center"/>
        </w:trPr>
        <w:tc>
          <w:tcPr>
            <w:tcW w:w="897" w:type="pct"/>
            <w:tcMar>
              <w:top w:w="70" w:type="dxa"/>
              <w:left w:w="90" w:type="dxa"/>
              <w:bottom w:w="70" w:type="dxa"/>
              <w:right w:w="90" w:type="dxa"/>
            </w:tcMar>
            <w:vAlign w:val="center"/>
          </w:tcPr>
          <w:p w14:paraId="642F10DE" w14:textId="77777777" w:rsidR="00A423C3" w:rsidRDefault="00000000">
            <w:pPr>
              <w:spacing w:after="0" w:line="240" w:lineRule="auto"/>
              <w:jc w:val="left"/>
            </w:pPr>
            <w:r>
              <w:rPr>
                <w:sz w:val="15"/>
              </w:rPr>
              <w:t>Colorimetric</w:t>
            </w:r>
          </w:p>
        </w:tc>
        <w:tc>
          <w:tcPr>
            <w:tcW w:w="1069" w:type="pct"/>
            <w:tcMar>
              <w:top w:w="70" w:type="dxa"/>
              <w:left w:w="90" w:type="dxa"/>
              <w:bottom w:w="70" w:type="dxa"/>
              <w:right w:w="90" w:type="dxa"/>
            </w:tcMar>
            <w:vAlign w:val="center"/>
          </w:tcPr>
          <w:p w14:paraId="7CA6F9CC" w14:textId="77777777" w:rsidR="00A423C3" w:rsidRDefault="00000000">
            <w:pPr>
              <w:spacing w:after="0" w:line="240" w:lineRule="auto"/>
              <w:jc w:val="left"/>
            </w:pPr>
            <w:r>
              <w:rPr>
                <w:sz w:val="15"/>
              </w:rPr>
              <w:t>Direct visual interpretation without a fluorimeter</w:t>
            </w:r>
          </w:p>
        </w:tc>
        <w:tc>
          <w:tcPr>
            <w:tcW w:w="1069" w:type="pct"/>
            <w:tcMar>
              <w:top w:w="70" w:type="dxa"/>
              <w:left w:w="90" w:type="dxa"/>
              <w:bottom w:w="70" w:type="dxa"/>
              <w:right w:w="90" w:type="dxa"/>
            </w:tcMar>
            <w:vAlign w:val="center"/>
          </w:tcPr>
          <w:p w14:paraId="2CCA0F8E" w14:textId="77777777" w:rsidR="00A423C3" w:rsidRDefault="00000000">
            <w:pPr>
              <w:spacing w:after="0" w:line="240" w:lineRule="auto"/>
              <w:jc w:val="left"/>
            </w:pPr>
            <w:r>
              <w:rPr>
                <w:sz w:val="15"/>
              </w:rPr>
              <w:t xml:space="preserve">Matrix </w:t>
            </w:r>
            <w:proofErr w:type="spellStart"/>
            <w:r>
              <w:rPr>
                <w:sz w:val="15"/>
              </w:rPr>
              <w:t>colour</w:t>
            </w:r>
            <w:proofErr w:type="spellEnd"/>
            <w:r>
              <w:rPr>
                <w:sz w:val="15"/>
              </w:rPr>
              <w:t>, lighting and subjective thresholds can affect reproducibility</w:t>
            </w:r>
          </w:p>
        </w:tc>
        <w:tc>
          <w:tcPr>
            <w:tcW w:w="1173" w:type="pct"/>
            <w:tcMar>
              <w:top w:w="70" w:type="dxa"/>
              <w:left w:w="90" w:type="dxa"/>
              <w:bottom w:w="70" w:type="dxa"/>
              <w:right w:w="90" w:type="dxa"/>
            </w:tcMar>
            <w:vAlign w:val="center"/>
          </w:tcPr>
          <w:p w14:paraId="5EC38B95" w14:textId="77777777" w:rsidR="00A423C3" w:rsidRDefault="00000000">
            <w:pPr>
              <w:spacing w:after="0" w:line="240" w:lineRule="auto"/>
              <w:jc w:val="left"/>
            </w:pPr>
            <w:r>
              <w:rPr>
                <w:sz w:val="15"/>
              </w:rPr>
              <w:t>Best when signal contrast remains robust in intended food extracts</w:t>
            </w:r>
          </w:p>
        </w:tc>
        <w:tc>
          <w:tcPr>
            <w:tcW w:w="793" w:type="pct"/>
            <w:tcMar>
              <w:top w:w="70" w:type="dxa"/>
              <w:left w:w="90" w:type="dxa"/>
              <w:bottom w:w="70" w:type="dxa"/>
              <w:right w:w="90" w:type="dxa"/>
            </w:tcMar>
            <w:vAlign w:val="center"/>
          </w:tcPr>
          <w:p w14:paraId="0ECEBA89" w14:textId="77777777" w:rsidR="00A423C3" w:rsidRDefault="00000000">
            <w:pPr>
              <w:spacing w:after="0" w:line="240" w:lineRule="auto"/>
              <w:jc w:val="left"/>
            </w:pPr>
            <w:r>
              <w:rPr>
                <w:sz w:val="15"/>
              </w:rPr>
              <w:t>Chen et al. (2021)</w:t>
            </w:r>
          </w:p>
        </w:tc>
      </w:tr>
      <w:tr w:rsidR="00A423C3" w14:paraId="1E5A28D5" w14:textId="77777777" w:rsidTr="00916311">
        <w:trPr>
          <w:cantSplit/>
          <w:jc w:val="center"/>
        </w:trPr>
        <w:tc>
          <w:tcPr>
            <w:tcW w:w="897" w:type="pct"/>
            <w:tcMar>
              <w:top w:w="70" w:type="dxa"/>
              <w:left w:w="90" w:type="dxa"/>
              <w:bottom w:w="70" w:type="dxa"/>
              <w:right w:w="90" w:type="dxa"/>
            </w:tcMar>
            <w:vAlign w:val="center"/>
          </w:tcPr>
          <w:p w14:paraId="689E51CD" w14:textId="77777777" w:rsidR="00A423C3" w:rsidRDefault="00000000">
            <w:pPr>
              <w:spacing w:after="0" w:line="240" w:lineRule="auto"/>
              <w:jc w:val="left"/>
            </w:pPr>
            <w:r>
              <w:rPr>
                <w:sz w:val="15"/>
              </w:rPr>
              <w:t>Electrochemical / multimodal</w:t>
            </w:r>
          </w:p>
        </w:tc>
        <w:tc>
          <w:tcPr>
            <w:tcW w:w="1069" w:type="pct"/>
            <w:tcMar>
              <w:top w:w="70" w:type="dxa"/>
              <w:left w:w="90" w:type="dxa"/>
              <w:bottom w:w="70" w:type="dxa"/>
              <w:right w:w="90" w:type="dxa"/>
            </w:tcMar>
            <w:vAlign w:val="center"/>
          </w:tcPr>
          <w:p w14:paraId="1CB51126" w14:textId="77777777" w:rsidR="00A423C3" w:rsidRDefault="00000000">
            <w:pPr>
              <w:spacing w:after="0" w:line="240" w:lineRule="auto"/>
              <w:jc w:val="left"/>
            </w:pPr>
            <w:r>
              <w:rPr>
                <w:sz w:val="15"/>
              </w:rPr>
              <w:t>Compact electrical quantification or multiple signal channels</w:t>
            </w:r>
          </w:p>
        </w:tc>
        <w:tc>
          <w:tcPr>
            <w:tcW w:w="1069" w:type="pct"/>
            <w:tcMar>
              <w:top w:w="70" w:type="dxa"/>
              <w:left w:w="90" w:type="dxa"/>
              <w:bottom w:w="70" w:type="dxa"/>
              <w:right w:w="90" w:type="dxa"/>
            </w:tcMar>
            <w:vAlign w:val="center"/>
          </w:tcPr>
          <w:p w14:paraId="695F92F4" w14:textId="77777777" w:rsidR="00A423C3" w:rsidRDefault="00000000">
            <w:pPr>
              <w:spacing w:after="0" w:line="240" w:lineRule="auto"/>
              <w:jc w:val="left"/>
            </w:pPr>
            <w:r>
              <w:rPr>
                <w:sz w:val="15"/>
              </w:rPr>
              <w:t>Electrode/nanomaterial manufacture, fouling and lot consistency add complexity</w:t>
            </w:r>
          </w:p>
        </w:tc>
        <w:tc>
          <w:tcPr>
            <w:tcW w:w="1173" w:type="pct"/>
            <w:tcMar>
              <w:top w:w="70" w:type="dxa"/>
              <w:left w:w="90" w:type="dxa"/>
              <w:bottom w:w="70" w:type="dxa"/>
              <w:right w:w="90" w:type="dxa"/>
            </w:tcMar>
            <w:vAlign w:val="center"/>
          </w:tcPr>
          <w:p w14:paraId="129584AB" w14:textId="77777777" w:rsidR="00A423C3" w:rsidRDefault="00000000">
            <w:pPr>
              <w:spacing w:after="0" w:line="240" w:lineRule="auto"/>
              <w:jc w:val="left"/>
            </w:pPr>
            <w:r>
              <w:rPr>
                <w:sz w:val="15"/>
              </w:rPr>
              <w:t>Potentially powerful, but manufacturing validation may dominate translation</w:t>
            </w:r>
          </w:p>
        </w:tc>
        <w:tc>
          <w:tcPr>
            <w:tcW w:w="793" w:type="pct"/>
            <w:tcMar>
              <w:top w:w="70" w:type="dxa"/>
              <w:left w:w="90" w:type="dxa"/>
              <w:bottom w:w="70" w:type="dxa"/>
              <w:right w:w="90" w:type="dxa"/>
            </w:tcMar>
            <w:vAlign w:val="center"/>
          </w:tcPr>
          <w:p w14:paraId="0D0F486D" w14:textId="77777777" w:rsidR="00A423C3" w:rsidRDefault="00000000">
            <w:pPr>
              <w:spacing w:after="0" w:line="240" w:lineRule="auto"/>
              <w:jc w:val="left"/>
            </w:pPr>
            <w:r>
              <w:rPr>
                <w:sz w:val="15"/>
              </w:rPr>
              <w:t>Li et al. (2021); Wang et al. (2025)</w:t>
            </w:r>
          </w:p>
        </w:tc>
      </w:tr>
      <w:tr w:rsidR="00A423C3" w14:paraId="2A75B21D" w14:textId="77777777" w:rsidTr="00916311">
        <w:trPr>
          <w:cantSplit/>
          <w:jc w:val="center"/>
        </w:trPr>
        <w:tc>
          <w:tcPr>
            <w:tcW w:w="897" w:type="pct"/>
            <w:tcMar>
              <w:top w:w="70" w:type="dxa"/>
              <w:left w:w="90" w:type="dxa"/>
              <w:bottom w:w="70" w:type="dxa"/>
              <w:right w:w="90" w:type="dxa"/>
            </w:tcMar>
            <w:vAlign w:val="center"/>
          </w:tcPr>
          <w:p w14:paraId="03DD45CE" w14:textId="77777777" w:rsidR="00A423C3" w:rsidRDefault="00000000">
            <w:pPr>
              <w:spacing w:after="0" w:line="240" w:lineRule="auto"/>
              <w:jc w:val="left"/>
            </w:pPr>
            <w:r>
              <w:rPr>
                <w:sz w:val="15"/>
              </w:rPr>
              <w:t>Digital CRISPR</w:t>
            </w:r>
          </w:p>
        </w:tc>
        <w:tc>
          <w:tcPr>
            <w:tcW w:w="1069" w:type="pct"/>
            <w:tcMar>
              <w:top w:w="70" w:type="dxa"/>
              <w:left w:w="90" w:type="dxa"/>
              <w:bottom w:w="70" w:type="dxa"/>
              <w:right w:w="90" w:type="dxa"/>
            </w:tcMar>
            <w:vAlign w:val="center"/>
          </w:tcPr>
          <w:p w14:paraId="5ACB9BD1" w14:textId="77777777" w:rsidR="00A423C3" w:rsidRDefault="00000000">
            <w:pPr>
              <w:spacing w:after="0" w:line="240" w:lineRule="auto"/>
              <w:jc w:val="left"/>
            </w:pPr>
            <w:r>
              <w:rPr>
                <w:sz w:val="15"/>
              </w:rPr>
              <w:t>Partitioning supports rapid counting and can integrate viability pretreatment</w:t>
            </w:r>
          </w:p>
        </w:tc>
        <w:tc>
          <w:tcPr>
            <w:tcW w:w="1069" w:type="pct"/>
            <w:tcMar>
              <w:top w:w="70" w:type="dxa"/>
              <w:left w:w="90" w:type="dxa"/>
              <w:bottom w:w="70" w:type="dxa"/>
              <w:right w:w="90" w:type="dxa"/>
            </w:tcMar>
            <w:vAlign w:val="center"/>
          </w:tcPr>
          <w:p w14:paraId="502592AB" w14:textId="77777777" w:rsidR="00A423C3" w:rsidRDefault="00000000">
            <w:pPr>
              <w:spacing w:after="0" w:line="240" w:lineRule="auto"/>
              <w:jc w:val="left"/>
            </w:pPr>
            <w:r>
              <w:rPr>
                <w:sz w:val="15"/>
              </w:rPr>
              <w:t>Microfluidic/device complexity and finite partition number</w:t>
            </w:r>
          </w:p>
        </w:tc>
        <w:tc>
          <w:tcPr>
            <w:tcW w:w="1173" w:type="pct"/>
            <w:tcMar>
              <w:top w:w="70" w:type="dxa"/>
              <w:left w:w="90" w:type="dxa"/>
              <w:bottom w:w="70" w:type="dxa"/>
              <w:right w:w="90" w:type="dxa"/>
            </w:tcMar>
            <w:vAlign w:val="center"/>
          </w:tcPr>
          <w:p w14:paraId="4C78799F" w14:textId="77777777" w:rsidR="00A423C3" w:rsidRDefault="00000000">
            <w:pPr>
              <w:spacing w:after="0" w:line="240" w:lineRule="auto"/>
              <w:jc w:val="left"/>
            </w:pPr>
            <w:r>
              <w:rPr>
                <w:sz w:val="15"/>
              </w:rPr>
              <w:t xml:space="preserve">Most compelling where Cas recognition adds information beyond conventional </w:t>
            </w:r>
            <w:proofErr w:type="spellStart"/>
            <w:r>
              <w:rPr>
                <w:sz w:val="15"/>
              </w:rPr>
              <w:t>dPCR</w:t>
            </w:r>
            <w:proofErr w:type="spellEnd"/>
          </w:p>
        </w:tc>
        <w:tc>
          <w:tcPr>
            <w:tcW w:w="793" w:type="pct"/>
            <w:tcMar>
              <w:top w:w="70" w:type="dxa"/>
              <w:left w:w="90" w:type="dxa"/>
              <w:bottom w:w="70" w:type="dxa"/>
              <w:right w:w="90" w:type="dxa"/>
            </w:tcMar>
            <w:vAlign w:val="center"/>
          </w:tcPr>
          <w:p w14:paraId="44DE97E3" w14:textId="77777777" w:rsidR="00A423C3" w:rsidRDefault="00000000">
            <w:pPr>
              <w:spacing w:after="0" w:line="240" w:lineRule="auto"/>
              <w:jc w:val="left"/>
            </w:pPr>
            <w:r>
              <w:rPr>
                <w:sz w:val="15"/>
              </w:rPr>
              <w:t>Yin et al. (2024)</w:t>
            </w:r>
          </w:p>
        </w:tc>
      </w:tr>
    </w:tbl>
    <w:p w14:paraId="003EC36D" w14:textId="77777777" w:rsidR="00A423C3" w:rsidRDefault="00000000">
      <w:pPr>
        <w:spacing w:before="60" w:after="160"/>
      </w:pPr>
      <w:r>
        <w:rPr>
          <w:i/>
          <w:sz w:val="17"/>
        </w:rPr>
        <w:t xml:space="preserve">Note. </w:t>
      </w:r>
      <w:proofErr w:type="spellStart"/>
      <w:r>
        <w:rPr>
          <w:sz w:val="17"/>
        </w:rPr>
        <w:t>dPCR</w:t>
      </w:r>
      <w:proofErr w:type="spellEnd"/>
      <w:r>
        <w:rPr>
          <w:sz w:val="17"/>
        </w:rPr>
        <w:t xml:space="preserve"> = digital polymerase chain reaction; LAMP = loop-mediated isothermal amplification; PAM = protospacer-adjacent motif; ssDNA = single-stranded DNA.</w:t>
      </w:r>
    </w:p>
    <w:p w14:paraId="02DBEB9E" w14:textId="77777777" w:rsidR="00A423C3" w:rsidRDefault="00000000">
      <w:pPr>
        <w:pStyle w:val="Heading1"/>
      </w:pPr>
      <w:r>
        <w:rPr>
          <w:rFonts w:ascii="Times New Roman" w:hAnsi="Times New Roman"/>
          <w:b w:val="0"/>
        </w:rPr>
        <w:t>6. Evidence Across Major Foodborne Pathogens and Matrices</w:t>
      </w:r>
    </w:p>
    <w:p w14:paraId="49EAB6A9" w14:textId="77777777" w:rsidR="00A423C3" w:rsidRDefault="00000000">
      <w:pPr>
        <w:pStyle w:val="Heading2"/>
      </w:pPr>
      <w:r>
        <w:rPr>
          <w:rFonts w:ascii="Times New Roman" w:hAnsi="Times New Roman"/>
          <w:b w:val="0"/>
        </w:rPr>
        <w:t>6.1 Bacterial targets: strong analytical signals, uneven real-sample evidence</w:t>
      </w:r>
    </w:p>
    <w:p w14:paraId="4C6E4454" w14:textId="77777777" w:rsidR="00A423C3" w:rsidRDefault="00000000">
      <w:r>
        <w:t xml:space="preserve">The bacterial CRISPR literature is broad enough to show that the core detection </w:t>
      </w:r>
      <w:proofErr w:type="gramStart"/>
      <w:r>
        <w:t>principle</w:t>
      </w:r>
      <w:proofErr w:type="gramEnd"/>
      <w:r>
        <w:t xml:space="preserve"> transfers across organisms, yet the maturity of evidence differs substantially between targets. </w:t>
      </w:r>
      <w:r>
        <w:rPr>
          <w:i/>
        </w:rPr>
        <w:t>L. monocytogenes</w:t>
      </w:r>
      <w:r>
        <w:t xml:space="preserve"> is among the better represented organisms because food-safety decisions often require sensitive presence/absence testing and because several studies have moved beyond purified template experiments. The electrochemical RAA-</w:t>
      </w:r>
      <w:r>
        <w:lastRenderedPageBreak/>
        <w:t xml:space="preserve">Cas12a assay of Li et al. (2021) detected </w:t>
      </w:r>
      <w:r>
        <w:rPr>
          <w:i/>
        </w:rPr>
        <w:t>L. monocytogenes</w:t>
      </w:r>
      <w:r>
        <w:t xml:space="preserve"> in pure culture and examined spiked and natural enoki mushroom samples. Xiao et al. (2023) used a one-step RPA-Cas12a architecture and tested spiked pork together with natural meat samples. </w:t>
      </w:r>
      <w:proofErr w:type="spellStart"/>
      <w:r>
        <w:t>Safenkova</w:t>
      </w:r>
      <w:proofErr w:type="spellEnd"/>
      <w:r>
        <w:t xml:space="preserve"> et al. (2026) later combined LAMP, Cas12a and a redesigned lateral-flow probe, reporting very low reaction-level and cell-level detection thresholds in buffer and spiked milk. Collectively, these studies support the feasibility of multiple readouts and integrated formats, but they do not yet establish a single </w:t>
      </w:r>
      <w:proofErr w:type="spellStart"/>
      <w:r>
        <w:t>standardised</w:t>
      </w:r>
      <w:proofErr w:type="spellEnd"/>
      <w:r>
        <w:t xml:space="preserve"> method transferable across dairy, meat, produce and ready-to-eat foods.</w:t>
      </w:r>
    </w:p>
    <w:p w14:paraId="3D40275A" w14:textId="77777777" w:rsidR="00A423C3" w:rsidRDefault="00000000">
      <w:r>
        <w:t xml:space="preserve">For </w:t>
      </w:r>
      <w:r>
        <w:rPr>
          <w:i/>
        </w:rPr>
        <w:t>E. coli</w:t>
      </w:r>
      <w:r>
        <w:t xml:space="preserve"> O157:H7, a recurring design goal has been to combine concentration or isothermal amplification with Cas12a. Lee and Oh (2022) used filtration to improve target recovery from romaine lettuce and reported low CFU-per-gram detection without microbial pre-enrichment. Wang et al. (2024) developed a LAMP-Cas12a method with a one-pot option; in milk, a low initial inoculum required culture before detection. Yin et al. (2024) moved beyond presence/absence by combining PMA with digital CRISPR microfluidics to suppress dead-cell interference and provide rapid partition-based measurement. These studies answer different questions and should not be ranked by their reported limits alone. Filtration addresses sampling and concentration, one-pot LAMP-Cas12a addresses workflow containment, and PMA-digital CRISPR addresses viability interpretation and quantification.</w:t>
      </w:r>
    </w:p>
    <w:p w14:paraId="6132838E" w14:textId="77777777" w:rsidR="00A423C3" w:rsidRDefault="00000000">
      <w:r>
        <w:rPr>
          <w:i/>
        </w:rPr>
        <w:t>Salmonella</w:t>
      </w:r>
      <w:r>
        <w:t xml:space="preserve"> studies illustrate similar diversity. Cai et al. (2021) combined a bio-barcode immunoassay, RPA and Cas12a to achieve visually readable single-digit detection in a spiked milk model. An et al. (2021) showed that a Cas13a system could be configured as either a faster one-tube workflow or a more sensitive two-step assay, demonstrating an architecture trade-off that is relevant beyond the organism tested. The more recent phage-Cas12a study by </w:t>
      </w:r>
      <w:proofErr w:type="spellStart"/>
      <w:r>
        <w:t>Wisuthiphaet</w:t>
      </w:r>
      <w:proofErr w:type="spellEnd"/>
      <w:r>
        <w:t xml:space="preserve"> et al. (2026) used phage replication rather than conventional target amplification to link signal to viable </w:t>
      </w:r>
      <w:r>
        <w:rPr>
          <w:i/>
        </w:rPr>
        <w:t>E. coli</w:t>
      </w:r>
      <w:r>
        <w:t xml:space="preserve"> in fresh-produce homogenate; although it did not target </w:t>
      </w:r>
      <w:r>
        <w:rPr>
          <w:i/>
        </w:rPr>
        <w:t>Salmonella</w:t>
      </w:r>
      <w:r>
        <w:t xml:space="preserve">, it points towards a viability strategy that could, in principle, be adapted to other bacteria if suitable phages and host-range performance are established. For </w:t>
      </w:r>
      <w:r>
        <w:rPr>
          <w:i/>
        </w:rPr>
        <w:t>Salmonella</w:t>
      </w:r>
      <w:r>
        <w:t xml:space="preserve"> specifically, the evidence base remains dominated by spiked matrices and analytical </w:t>
      </w:r>
      <w:proofErr w:type="spellStart"/>
      <w:r>
        <w:t>optimisation</w:t>
      </w:r>
      <w:proofErr w:type="spellEnd"/>
      <w:r>
        <w:t xml:space="preserve"> rather than large prospective sets of naturally contaminated foods.</w:t>
      </w:r>
    </w:p>
    <w:p w14:paraId="69EDD2F3" w14:textId="77777777" w:rsidR="00A423C3" w:rsidRDefault="00000000">
      <w:r>
        <w:t xml:space="preserve">Other organisms widen the matrix and effector evidence. Huang et al. (2021) used a Cas12b workflow for </w:t>
      </w:r>
      <w:r>
        <w:rPr>
          <w:i/>
        </w:rPr>
        <w:t xml:space="preserve">C. </w:t>
      </w:r>
      <w:proofErr w:type="spellStart"/>
      <w:r>
        <w:rPr>
          <w:i/>
        </w:rPr>
        <w:t>jejuni</w:t>
      </w:r>
      <w:proofErr w:type="spellEnd"/>
      <w:r>
        <w:t xml:space="preserve"> and grounded target selection in comparative genomic signatures, an important strength because inclusivity and exclusivity depend on natural sequence diversity. Chen et al. (2021) demonstrated a G-quadruplex </w:t>
      </w:r>
      <w:proofErr w:type="spellStart"/>
      <w:r>
        <w:t>colour</w:t>
      </w:r>
      <w:proofErr w:type="spellEnd"/>
      <w:r>
        <w:t xml:space="preserve"> readout for </w:t>
      </w:r>
      <w:r>
        <w:rPr>
          <w:i/>
        </w:rPr>
        <w:t>V. parahaemolyticus</w:t>
      </w:r>
      <w:r>
        <w:t xml:space="preserve"> and reported a materially different detection threshold in spiked shrimp than in pure culture, illustrating matrix effects directly. Jiang et al. (2022) also coupled RPA with Cas12a for visual </w:t>
      </w:r>
      <w:r>
        <w:rPr>
          <w:i/>
        </w:rPr>
        <w:t>V. parahaemolyticus</w:t>
      </w:r>
      <w:r>
        <w:t xml:space="preserve"> detection in spiked shrimp. Ma et al. (2024) integrated rapid immunomagnetic enrichment with single-step RPA-Cas12a for </w:t>
      </w:r>
      <w:r>
        <w:rPr>
          <w:i/>
        </w:rPr>
        <w:t>S. aureus</w:t>
      </w:r>
      <w:r>
        <w:t xml:space="preserve"> and tested several matrix types. Together, these studies show that high CRISPR specificity does not remove the need to engineer organism recovery, matrix tolerance and target selection.</w:t>
      </w:r>
    </w:p>
    <w:p w14:paraId="63C2917C" w14:textId="77777777" w:rsidR="00A423C3" w:rsidRDefault="00000000">
      <w:r>
        <w:t xml:space="preserve">The evidence for real-food performance remains methodologically uneven. 'Real sample' can mean a naturally purchased but intentionally spiked food, a naturally contaminated specimen, a blinded panel, or an archived sample previously </w:t>
      </w:r>
      <w:proofErr w:type="spellStart"/>
      <w:r>
        <w:t>characterised</w:t>
      </w:r>
      <w:proofErr w:type="spellEnd"/>
      <w:r>
        <w:t xml:space="preserve"> by another method. These categories provide different levels of external validity. Spiked foods are essential for controlled sensitivity experiments but can overestimate performance if inoculated cells are more accessible than naturally stressed or matrix-associated organisms. Natural samples improve realism but may contain too few positives to estimate sensitivity precisely. The strongest translation studies would combine controlled spiking across low concentrations with a sufficiently large prospective natural-sample series, pre-specified interpretation thresholds and comparison against </w:t>
      </w:r>
      <w:proofErr w:type="spellStart"/>
      <w:r>
        <w:t>recognised</w:t>
      </w:r>
      <w:proofErr w:type="spellEnd"/>
      <w:r>
        <w:t xml:space="preserve"> reference procedures.</w:t>
      </w:r>
    </w:p>
    <w:p w14:paraId="3A5440C0" w14:textId="77777777" w:rsidR="00A423C3" w:rsidRDefault="00000000">
      <w:pPr>
        <w:pStyle w:val="Heading2"/>
      </w:pPr>
      <w:r>
        <w:rPr>
          <w:rFonts w:ascii="Times New Roman" w:hAnsi="Times New Roman"/>
          <w:b w:val="0"/>
        </w:rPr>
        <w:lastRenderedPageBreak/>
        <w:t>6.2 Viral targets and the challenge of low-abundance RNA</w:t>
      </w:r>
    </w:p>
    <w:p w14:paraId="4D44E582" w14:textId="77777777" w:rsidR="00A423C3" w:rsidRDefault="00000000">
      <w:r>
        <w:t>Foodborne viruses present a different analytical problem because culture is not routinely available for many targets and the relevant analyte is RNA. Reverse transcription must therefore precede DNA-targeting Cas12a workflows, or an RNA-responsive effector such as Cas13 can be used. Human norovirus has attracted particular attention because rapid molecular detection is important in foods and environmental samples. Qian et al. (2022) combined reverse transcription RAA with Cas12a for genogroup-specific detection and demonstrated fluorescence and lateral-flow readouts. Hu et al. (2024) developed another Cas12a-based GII norovirus method with fluorescence and lateral-flow interpretation. These studies support rapid viral nucleic-acid sensing but were not principally designed around diverse food matrices, so they provide stronger evidence for assay chemistry than for routine food testing.</w:t>
      </w:r>
    </w:p>
    <w:p w14:paraId="67258B4F" w14:textId="77777777" w:rsidR="00A423C3" w:rsidRDefault="00000000">
      <w:r>
        <w:t>Food-focused norovirus studies begin to close that gap. Gou et al. (2025) coupled reverse transcription LAMP with Cas12-mediated detection of GI and GII norovirus and evaluated several food substrates, reporting low tens of copies per reaction under the study conditions. Wang et al. (2025) developed a three-mode hydrogel/nanomaterial platform for ultrasensitive norovirus detection. The latter is analytically inventive, but its complexity illustrates a recurring tension in next-generation biosensing. A femtomolar-scale signal can be valuable in controlled experiments, yet food surveillance requires robust extraction from large samples, inhibition control, stable reagents, threshold reproducibility and practical quality assurance. The more components a sensor requires, the more opportunities arise for variability between laboratories and manufacturing lots.</w:t>
      </w:r>
    </w:p>
    <w:p w14:paraId="265E42CC" w14:textId="77777777" w:rsidR="00A423C3" w:rsidRDefault="00000000">
      <w:r>
        <w:t>Viral assays also expose the ambiguity of molecular positivity. RNA detection can indicate the presence of viral genomic material without proving infectivity. For viruses that cannot be readily propagated in routine testing, infectivity surrogates and genome-copy measurements need cautious interpretation. CRISPR does not resolve this limitation by itself. The appropriate validation question is therefore not whether Cas12a can detect a very small quantity of amplified viral nucleic acid, but whether the complete method reliably detects concentrations relevant to the intended food-safety decision across representative foods and environmental samples.</w:t>
      </w:r>
    </w:p>
    <w:p w14:paraId="09355192" w14:textId="77777777" w:rsidR="00A423C3" w:rsidRDefault="00000000">
      <w:pPr>
        <w:pStyle w:val="Heading2"/>
      </w:pPr>
      <w:r>
        <w:rPr>
          <w:rFonts w:ascii="Times New Roman" w:hAnsi="Times New Roman"/>
          <w:b w:val="0"/>
        </w:rPr>
        <w:t>6.3 What the representative studies collectively establish</w:t>
      </w:r>
    </w:p>
    <w:p w14:paraId="5D871020" w14:textId="77777777" w:rsidR="00A423C3" w:rsidRDefault="00000000">
      <w:r>
        <w:t>Across bacterial and viral targets, the most secure conclusion is that CRISPR-based recognition can add a rapid, programmable specificity layer to amplified nucleic-acid detection. Evidence is strongest for Cas12a paired with RPA, RAA or LAMP, and several studies demonstrate useful performance in actual food matrices rather than buffer alone. Evidence is weaker for broad claims of universal portability, absolute quantification, viability, high-order multiplexing or equivalence to reference methods across food categories. A further limitation is concentration of research in a small number of model pathogens and in experimentally contaminated foods, which can obscure strain diversity and low-level natural contamination.</w:t>
      </w:r>
    </w:p>
    <w:p w14:paraId="21827D69" w14:textId="77777777" w:rsidR="00A423C3" w:rsidRDefault="00000000">
      <w:r>
        <w:t xml:space="preserve">Table 4 therefore presents representative studies as evidence of specific capabilities rather than as a league table of detection limits. The reported thresholds are retained in their original unit and context where possible, and the critical-interpretation column identifies why direct numerical comparison would be misleading. This approach is necessary because an assay reporting copies per reaction, an assay reporting CFU per </w:t>
      </w:r>
      <w:proofErr w:type="spellStart"/>
      <w:r>
        <w:t>millilitre</w:t>
      </w:r>
      <w:proofErr w:type="spellEnd"/>
      <w:r>
        <w:t xml:space="preserve"> after enrichment and an assay reporting CFU per gram after filtration are measuring different points in the analytical chain.</w:t>
      </w:r>
    </w:p>
    <w:p w14:paraId="2611DA32" w14:textId="77777777" w:rsidR="00A423C3" w:rsidRDefault="00000000">
      <w:pPr>
        <w:pStyle w:val="TableCaption"/>
      </w:pPr>
      <w:r>
        <w:rPr>
          <w:b w:val="0"/>
        </w:rPr>
        <w:t>Table 4. Representative CRISPR-based foodborne-pathogen detection studies and the level of performance they support</w:t>
      </w:r>
    </w:p>
    <w:tbl>
      <w:tblPr>
        <w:tblStyle w:val="TableGrid"/>
        <w:tblW w:w="5000" w:type="pct"/>
        <w:jc w:val="center"/>
        <w:tblLook w:val="04A0" w:firstRow="1" w:lastRow="0" w:firstColumn="1" w:lastColumn="0" w:noHBand="0" w:noVBand="1"/>
      </w:tblPr>
      <w:tblGrid>
        <w:gridCol w:w="1835"/>
        <w:gridCol w:w="1971"/>
        <w:gridCol w:w="2308"/>
        <w:gridCol w:w="2444"/>
        <w:gridCol w:w="1290"/>
      </w:tblGrid>
      <w:tr w:rsidR="00A423C3" w14:paraId="3AE12304" w14:textId="77777777" w:rsidTr="00916311">
        <w:trPr>
          <w:cantSplit/>
          <w:tblHeader/>
          <w:jc w:val="center"/>
        </w:trPr>
        <w:tc>
          <w:tcPr>
            <w:tcW w:w="931" w:type="pct"/>
            <w:shd w:val="clear" w:color="auto" w:fill="D9E2F3"/>
            <w:tcMar>
              <w:top w:w="90" w:type="dxa"/>
              <w:left w:w="100" w:type="dxa"/>
              <w:bottom w:w="90" w:type="dxa"/>
              <w:right w:w="100" w:type="dxa"/>
            </w:tcMar>
            <w:vAlign w:val="center"/>
          </w:tcPr>
          <w:p w14:paraId="15EC7AB8" w14:textId="77777777" w:rsidR="00A423C3" w:rsidRDefault="00000000">
            <w:pPr>
              <w:spacing w:after="0" w:line="240" w:lineRule="auto"/>
              <w:jc w:val="center"/>
            </w:pPr>
            <w:r>
              <w:rPr>
                <w:b/>
                <w:sz w:val="16"/>
              </w:rPr>
              <w:t>Target and matrix</w:t>
            </w:r>
          </w:p>
        </w:tc>
        <w:tc>
          <w:tcPr>
            <w:tcW w:w="1000" w:type="pct"/>
            <w:shd w:val="clear" w:color="auto" w:fill="D9E2F3"/>
            <w:tcMar>
              <w:top w:w="90" w:type="dxa"/>
              <w:left w:w="100" w:type="dxa"/>
              <w:bottom w:w="90" w:type="dxa"/>
              <w:right w:w="100" w:type="dxa"/>
            </w:tcMar>
            <w:vAlign w:val="center"/>
          </w:tcPr>
          <w:p w14:paraId="2C2CB46B" w14:textId="77777777" w:rsidR="00A423C3" w:rsidRDefault="00000000">
            <w:pPr>
              <w:spacing w:after="0" w:line="240" w:lineRule="auto"/>
              <w:jc w:val="center"/>
            </w:pPr>
            <w:r>
              <w:rPr>
                <w:b/>
                <w:sz w:val="16"/>
              </w:rPr>
              <w:t>Architecture / readout</w:t>
            </w:r>
          </w:p>
        </w:tc>
        <w:tc>
          <w:tcPr>
            <w:tcW w:w="1172" w:type="pct"/>
            <w:shd w:val="clear" w:color="auto" w:fill="D9E2F3"/>
            <w:tcMar>
              <w:top w:w="90" w:type="dxa"/>
              <w:left w:w="100" w:type="dxa"/>
              <w:bottom w:w="90" w:type="dxa"/>
              <w:right w:w="100" w:type="dxa"/>
            </w:tcMar>
            <w:vAlign w:val="center"/>
          </w:tcPr>
          <w:p w14:paraId="4A1242F7" w14:textId="77777777" w:rsidR="00A423C3" w:rsidRDefault="00000000">
            <w:pPr>
              <w:spacing w:after="0" w:line="240" w:lineRule="auto"/>
              <w:jc w:val="center"/>
            </w:pPr>
            <w:r>
              <w:rPr>
                <w:b/>
                <w:sz w:val="16"/>
              </w:rPr>
              <w:t>Reported performance in study context</w:t>
            </w:r>
          </w:p>
        </w:tc>
        <w:tc>
          <w:tcPr>
            <w:tcW w:w="1241" w:type="pct"/>
            <w:shd w:val="clear" w:color="auto" w:fill="D9E2F3"/>
            <w:tcMar>
              <w:top w:w="90" w:type="dxa"/>
              <w:left w:w="100" w:type="dxa"/>
              <w:bottom w:w="90" w:type="dxa"/>
              <w:right w:w="100" w:type="dxa"/>
            </w:tcMar>
            <w:vAlign w:val="center"/>
          </w:tcPr>
          <w:p w14:paraId="399FCC42" w14:textId="77777777" w:rsidR="00A423C3" w:rsidRDefault="00000000">
            <w:pPr>
              <w:spacing w:after="0" w:line="240" w:lineRule="auto"/>
              <w:jc w:val="center"/>
            </w:pPr>
            <w:r>
              <w:rPr>
                <w:b/>
                <w:sz w:val="16"/>
              </w:rPr>
              <w:t>Critical interpretation</w:t>
            </w:r>
          </w:p>
        </w:tc>
        <w:tc>
          <w:tcPr>
            <w:tcW w:w="655" w:type="pct"/>
            <w:shd w:val="clear" w:color="auto" w:fill="D9E2F3"/>
            <w:tcMar>
              <w:top w:w="90" w:type="dxa"/>
              <w:left w:w="100" w:type="dxa"/>
              <w:bottom w:w="90" w:type="dxa"/>
              <w:right w:w="100" w:type="dxa"/>
            </w:tcMar>
            <w:vAlign w:val="center"/>
          </w:tcPr>
          <w:p w14:paraId="426BC13D" w14:textId="77777777" w:rsidR="00A423C3" w:rsidRDefault="00000000">
            <w:pPr>
              <w:spacing w:after="0" w:line="240" w:lineRule="auto"/>
              <w:jc w:val="center"/>
            </w:pPr>
            <w:r>
              <w:rPr>
                <w:b/>
                <w:sz w:val="16"/>
              </w:rPr>
              <w:t>Supporting references</w:t>
            </w:r>
          </w:p>
        </w:tc>
      </w:tr>
      <w:tr w:rsidR="00A423C3" w14:paraId="38B44589" w14:textId="77777777" w:rsidTr="00916311">
        <w:trPr>
          <w:cantSplit/>
          <w:jc w:val="center"/>
        </w:trPr>
        <w:tc>
          <w:tcPr>
            <w:tcW w:w="931" w:type="pct"/>
            <w:tcMar>
              <w:top w:w="70" w:type="dxa"/>
              <w:left w:w="90" w:type="dxa"/>
              <w:bottom w:w="70" w:type="dxa"/>
              <w:right w:w="90" w:type="dxa"/>
            </w:tcMar>
            <w:vAlign w:val="center"/>
          </w:tcPr>
          <w:p w14:paraId="6A0932D5" w14:textId="77777777" w:rsidR="00A423C3" w:rsidRDefault="00000000">
            <w:pPr>
              <w:spacing w:after="0" w:line="240" w:lineRule="auto"/>
              <w:jc w:val="left"/>
            </w:pPr>
            <w:r>
              <w:rPr>
                <w:sz w:val="15"/>
              </w:rPr>
              <w:lastRenderedPageBreak/>
              <w:t>Food-safety targets; analytical templates</w:t>
            </w:r>
          </w:p>
        </w:tc>
        <w:tc>
          <w:tcPr>
            <w:tcW w:w="1000" w:type="pct"/>
            <w:tcMar>
              <w:top w:w="70" w:type="dxa"/>
              <w:left w:w="90" w:type="dxa"/>
              <w:bottom w:w="70" w:type="dxa"/>
              <w:right w:w="90" w:type="dxa"/>
            </w:tcMar>
            <w:vAlign w:val="center"/>
          </w:tcPr>
          <w:p w14:paraId="7DF0022C" w14:textId="77777777" w:rsidR="00A423C3" w:rsidRDefault="00000000">
            <w:pPr>
              <w:spacing w:after="0" w:line="240" w:lineRule="auto"/>
              <w:jc w:val="left"/>
            </w:pPr>
            <w:r>
              <w:rPr>
                <w:sz w:val="15"/>
              </w:rPr>
              <w:t>RPA-Cas12a; fluorescence</w:t>
            </w:r>
          </w:p>
        </w:tc>
        <w:tc>
          <w:tcPr>
            <w:tcW w:w="1172" w:type="pct"/>
            <w:tcMar>
              <w:top w:w="70" w:type="dxa"/>
              <w:left w:w="90" w:type="dxa"/>
              <w:bottom w:w="70" w:type="dxa"/>
              <w:right w:w="90" w:type="dxa"/>
            </w:tcMar>
            <w:vAlign w:val="center"/>
          </w:tcPr>
          <w:p w14:paraId="7B90484B" w14:textId="77777777" w:rsidR="00A423C3" w:rsidRDefault="00000000">
            <w:pPr>
              <w:spacing w:after="0" w:line="240" w:lineRule="auto"/>
              <w:jc w:val="left"/>
            </w:pPr>
            <w:r>
              <w:rPr>
                <w:sz w:val="15"/>
              </w:rPr>
              <w:t>Target-gene detection down to 10 copies; approximately 45 min at 37 C</w:t>
            </w:r>
          </w:p>
        </w:tc>
        <w:tc>
          <w:tcPr>
            <w:tcW w:w="1241" w:type="pct"/>
            <w:tcMar>
              <w:top w:w="70" w:type="dxa"/>
              <w:left w:w="90" w:type="dxa"/>
              <w:bottom w:w="70" w:type="dxa"/>
              <w:right w:w="90" w:type="dxa"/>
            </w:tcMar>
            <w:vAlign w:val="center"/>
          </w:tcPr>
          <w:p w14:paraId="69325E41" w14:textId="77777777" w:rsidR="00A423C3" w:rsidRDefault="00000000">
            <w:pPr>
              <w:spacing w:after="0" w:line="240" w:lineRule="auto"/>
              <w:jc w:val="left"/>
            </w:pPr>
            <w:r>
              <w:rPr>
                <w:sz w:val="15"/>
              </w:rPr>
              <w:t>Demonstrates rapid analytical sensitivity; matrix-level performance depends on upstream sample recovery</w:t>
            </w:r>
          </w:p>
        </w:tc>
        <w:tc>
          <w:tcPr>
            <w:tcW w:w="655" w:type="pct"/>
            <w:tcMar>
              <w:top w:w="70" w:type="dxa"/>
              <w:left w:w="90" w:type="dxa"/>
              <w:bottom w:w="70" w:type="dxa"/>
              <w:right w:w="90" w:type="dxa"/>
            </w:tcMar>
            <w:vAlign w:val="center"/>
          </w:tcPr>
          <w:p w14:paraId="4C56CAF0" w14:textId="77777777" w:rsidR="00A423C3" w:rsidRDefault="00000000">
            <w:pPr>
              <w:spacing w:after="0" w:line="240" w:lineRule="auto"/>
              <w:jc w:val="left"/>
            </w:pPr>
            <w:r>
              <w:rPr>
                <w:sz w:val="15"/>
              </w:rPr>
              <w:t>Liu et al. (2021)</w:t>
            </w:r>
          </w:p>
        </w:tc>
      </w:tr>
      <w:tr w:rsidR="00A423C3" w14:paraId="78B2013F" w14:textId="77777777" w:rsidTr="00916311">
        <w:trPr>
          <w:cantSplit/>
          <w:jc w:val="center"/>
        </w:trPr>
        <w:tc>
          <w:tcPr>
            <w:tcW w:w="931" w:type="pct"/>
            <w:tcMar>
              <w:top w:w="70" w:type="dxa"/>
              <w:left w:w="90" w:type="dxa"/>
              <w:bottom w:w="70" w:type="dxa"/>
              <w:right w:w="90" w:type="dxa"/>
            </w:tcMar>
            <w:vAlign w:val="center"/>
          </w:tcPr>
          <w:p w14:paraId="76DC6545" w14:textId="77777777" w:rsidR="00A423C3" w:rsidRDefault="00000000">
            <w:pPr>
              <w:spacing w:after="0" w:line="240" w:lineRule="auto"/>
              <w:jc w:val="left"/>
            </w:pPr>
            <w:r>
              <w:rPr>
                <w:i/>
                <w:sz w:val="15"/>
              </w:rPr>
              <w:t xml:space="preserve">Campylobacter </w:t>
            </w:r>
            <w:proofErr w:type="spellStart"/>
            <w:r>
              <w:rPr>
                <w:i/>
                <w:sz w:val="15"/>
              </w:rPr>
              <w:t>jejuni</w:t>
            </w:r>
            <w:proofErr w:type="spellEnd"/>
            <w:r>
              <w:rPr>
                <w:sz w:val="15"/>
              </w:rPr>
              <w:t>; experimentally contaminated chicken</w:t>
            </w:r>
          </w:p>
        </w:tc>
        <w:tc>
          <w:tcPr>
            <w:tcW w:w="1000" w:type="pct"/>
            <w:tcMar>
              <w:top w:w="70" w:type="dxa"/>
              <w:left w:w="90" w:type="dxa"/>
              <w:bottom w:w="70" w:type="dxa"/>
              <w:right w:w="90" w:type="dxa"/>
            </w:tcMar>
            <w:vAlign w:val="center"/>
          </w:tcPr>
          <w:p w14:paraId="0025F35E" w14:textId="77777777" w:rsidR="00A423C3" w:rsidRDefault="00000000">
            <w:pPr>
              <w:spacing w:after="0" w:line="240" w:lineRule="auto"/>
              <w:jc w:val="left"/>
            </w:pPr>
            <w:r>
              <w:rPr>
                <w:sz w:val="15"/>
              </w:rPr>
              <w:t>Cas12b with genomic-signature target</w:t>
            </w:r>
          </w:p>
        </w:tc>
        <w:tc>
          <w:tcPr>
            <w:tcW w:w="1172" w:type="pct"/>
            <w:tcMar>
              <w:top w:w="70" w:type="dxa"/>
              <w:left w:w="90" w:type="dxa"/>
              <w:bottom w:w="70" w:type="dxa"/>
              <w:right w:w="90" w:type="dxa"/>
            </w:tcMar>
            <w:vAlign w:val="center"/>
          </w:tcPr>
          <w:p w14:paraId="4AF614D2" w14:textId="77777777" w:rsidR="00A423C3" w:rsidRDefault="00000000">
            <w:pPr>
              <w:spacing w:after="0" w:line="240" w:lineRule="auto"/>
              <w:jc w:val="left"/>
            </w:pPr>
            <w:r>
              <w:rPr>
                <w:sz w:val="15"/>
              </w:rPr>
              <w:t>Approximately 40 min; reported detection around 10 CFU/g in contaminated chicken</w:t>
            </w:r>
          </w:p>
        </w:tc>
        <w:tc>
          <w:tcPr>
            <w:tcW w:w="1241" w:type="pct"/>
            <w:tcMar>
              <w:top w:w="70" w:type="dxa"/>
              <w:left w:w="90" w:type="dxa"/>
              <w:bottom w:w="70" w:type="dxa"/>
              <w:right w:w="90" w:type="dxa"/>
            </w:tcMar>
            <w:vAlign w:val="center"/>
          </w:tcPr>
          <w:p w14:paraId="5D89948E" w14:textId="77777777" w:rsidR="00A423C3" w:rsidRDefault="00000000">
            <w:pPr>
              <w:spacing w:after="0" w:line="240" w:lineRule="auto"/>
              <w:jc w:val="left"/>
            </w:pPr>
            <w:r>
              <w:rPr>
                <w:sz w:val="15"/>
              </w:rPr>
              <w:t>Comparative-genomic target selection strengthens inclusivity/exclusivity rationale; broader independent matrix validation is still needed</w:t>
            </w:r>
          </w:p>
        </w:tc>
        <w:tc>
          <w:tcPr>
            <w:tcW w:w="655" w:type="pct"/>
            <w:tcMar>
              <w:top w:w="70" w:type="dxa"/>
              <w:left w:w="90" w:type="dxa"/>
              <w:bottom w:w="70" w:type="dxa"/>
              <w:right w:w="90" w:type="dxa"/>
            </w:tcMar>
            <w:vAlign w:val="center"/>
          </w:tcPr>
          <w:p w14:paraId="0214F2C4" w14:textId="77777777" w:rsidR="00A423C3" w:rsidRDefault="00000000">
            <w:pPr>
              <w:spacing w:after="0" w:line="240" w:lineRule="auto"/>
              <w:jc w:val="left"/>
            </w:pPr>
            <w:r>
              <w:rPr>
                <w:sz w:val="15"/>
              </w:rPr>
              <w:t>Huang et al. (2021)</w:t>
            </w:r>
          </w:p>
        </w:tc>
      </w:tr>
      <w:tr w:rsidR="00A423C3" w14:paraId="47BF04D0" w14:textId="77777777" w:rsidTr="00916311">
        <w:trPr>
          <w:cantSplit/>
          <w:jc w:val="center"/>
        </w:trPr>
        <w:tc>
          <w:tcPr>
            <w:tcW w:w="931" w:type="pct"/>
            <w:tcMar>
              <w:top w:w="70" w:type="dxa"/>
              <w:left w:w="90" w:type="dxa"/>
              <w:bottom w:w="70" w:type="dxa"/>
              <w:right w:w="90" w:type="dxa"/>
            </w:tcMar>
            <w:vAlign w:val="center"/>
          </w:tcPr>
          <w:p w14:paraId="5FE6C8FF" w14:textId="77777777" w:rsidR="00A423C3" w:rsidRDefault="00000000">
            <w:pPr>
              <w:spacing w:after="0" w:line="240" w:lineRule="auto"/>
              <w:jc w:val="left"/>
            </w:pPr>
            <w:r>
              <w:rPr>
                <w:i/>
                <w:sz w:val="15"/>
              </w:rPr>
              <w:t>Salmonella</w:t>
            </w:r>
            <w:r>
              <w:rPr>
                <w:sz w:val="15"/>
              </w:rPr>
              <w:t>; spiked milk</w:t>
            </w:r>
          </w:p>
        </w:tc>
        <w:tc>
          <w:tcPr>
            <w:tcW w:w="1000" w:type="pct"/>
            <w:tcMar>
              <w:top w:w="70" w:type="dxa"/>
              <w:left w:w="90" w:type="dxa"/>
              <w:bottom w:w="70" w:type="dxa"/>
              <w:right w:w="90" w:type="dxa"/>
            </w:tcMar>
            <w:vAlign w:val="center"/>
          </w:tcPr>
          <w:p w14:paraId="33B9B9D3" w14:textId="77777777" w:rsidR="00A423C3" w:rsidRDefault="00000000">
            <w:pPr>
              <w:spacing w:after="0" w:line="240" w:lineRule="auto"/>
              <w:jc w:val="left"/>
            </w:pPr>
            <w:r>
              <w:rPr>
                <w:sz w:val="15"/>
              </w:rPr>
              <w:t>Bio-barcode immunoassay + RPA + Cas12a; visual</w:t>
            </w:r>
          </w:p>
        </w:tc>
        <w:tc>
          <w:tcPr>
            <w:tcW w:w="1172" w:type="pct"/>
            <w:tcMar>
              <w:top w:w="70" w:type="dxa"/>
              <w:left w:w="90" w:type="dxa"/>
              <w:bottom w:w="70" w:type="dxa"/>
              <w:right w:w="90" w:type="dxa"/>
            </w:tcMar>
            <w:vAlign w:val="center"/>
          </w:tcPr>
          <w:p w14:paraId="771AAFA9" w14:textId="77777777" w:rsidR="00A423C3" w:rsidRDefault="00000000">
            <w:pPr>
              <w:spacing w:after="0" w:line="240" w:lineRule="auto"/>
              <w:jc w:val="left"/>
            </w:pPr>
            <w:r>
              <w:rPr>
                <w:sz w:val="15"/>
              </w:rPr>
              <w:t>Single-digit bacterial detection within about 60 min under study conditions</w:t>
            </w:r>
          </w:p>
        </w:tc>
        <w:tc>
          <w:tcPr>
            <w:tcW w:w="1241" w:type="pct"/>
            <w:tcMar>
              <w:top w:w="70" w:type="dxa"/>
              <w:left w:w="90" w:type="dxa"/>
              <w:bottom w:w="70" w:type="dxa"/>
              <w:right w:w="90" w:type="dxa"/>
            </w:tcMar>
            <w:vAlign w:val="center"/>
          </w:tcPr>
          <w:p w14:paraId="55D1E8B2" w14:textId="77777777" w:rsidR="00A423C3" w:rsidRDefault="00000000">
            <w:pPr>
              <w:spacing w:after="0" w:line="240" w:lineRule="auto"/>
              <w:jc w:val="left"/>
            </w:pPr>
            <w:r>
              <w:rPr>
                <w:sz w:val="15"/>
              </w:rPr>
              <w:t>Target capture and amplification are major contributors to method sensitivity; spiked matrix does not establish prospective field accuracy</w:t>
            </w:r>
          </w:p>
        </w:tc>
        <w:tc>
          <w:tcPr>
            <w:tcW w:w="655" w:type="pct"/>
            <w:tcMar>
              <w:top w:w="70" w:type="dxa"/>
              <w:left w:w="90" w:type="dxa"/>
              <w:bottom w:w="70" w:type="dxa"/>
              <w:right w:w="90" w:type="dxa"/>
            </w:tcMar>
            <w:vAlign w:val="center"/>
          </w:tcPr>
          <w:p w14:paraId="70D8C9B4" w14:textId="77777777" w:rsidR="00A423C3" w:rsidRDefault="00000000">
            <w:pPr>
              <w:spacing w:after="0" w:line="240" w:lineRule="auto"/>
              <w:jc w:val="left"/>
            </w:pPr>
            <w:r>
              <w:rPr>
                <w:sz w:val="15"/>
              </w:rPr>
              <w:t>Cai et al. (2021)</w:t>
            </w:r>
          </w:p>
        </w:tc>
      </w:tr>
      <w:tr w:rsidR="00A423C3" w14:paraId="39D437B9" w14:textId="77777777" w:rsidTr="00916311">
        <w:trPr>
          <w:cantSplit/>
          <w:jc w:val="center"/>
        </w:trPr>
        <w:tc>
          <w:tcPr>
            <w:tcW w:w="931" w:type="pct"/>
            <w:tcMar>
              <w:top w:w="70" w:type="dxa"/>
              <w:left w:w="90" w:type="dxa"/>
              <w:bottom w:w="70" w:type="dxa"/>
              <w:right w:w="90" w:type="dxa"/>
            </w:tcMar>
            <w:vAlign w:val="center"/>
          </w:tcPr>
          <w:p w14:paraId="0628744F" w14:textId="77777777" w:rsidR="00A423C3" w:rsidRDefault="00000000">
            <w:pPr>
              <w:spacing w:after="0" w:line="240" w:lineRule="auto"/>
              <w:jc w:val="left"/>
            </w:pPr>
            <w:r>
              <w:rPr>
                <w:i/>
                <w:sz w:val="15"/>
              </w:rPr>
              <w:t>Vibrio parahaemolyticus</w:t>
            </w:r>
            <w:r>
              <w:rPr>
                <w:sz w:val="15"/>
              </w:rPr>
              <w:t>; shrimp</w:t>
            </w:r>
          </w:p>
        </w:tc>
        <w:tc>
          <w:tcPr>
            <w:tcW w:w="1000" w:type="pct"/>
            <w:tcMar>
              <w:top w:w="70" w:type="dxa"/>
              <w:left w:w="90" w:type="dxa"/>
              <w:bottom w:w="70" w:type="dxa"/>
              <w:right w:w="90" w:type="dxa"/>
            </w:tcMar>
            <w:vAlign w:val="center"/>
          </w:tcPr>
          <w:p w14:paraId="5902BEE2" w14:textId="77777777" w:rsidR="00A423C3" w:rsidRDefault="00000000">
            <w:pPr>
              <w:spacing w:after="0" w:line="240" w:lineRule="auto"/>
              <w:jc w:val="left"/>
            </w:pPr>
            <w:r>
              <w:rPr>
                <w:sz w:val="15"/>
              </w:rPr>
              <w:t>LAMP-Cas12a G-quadruplex colorimetric readout</w:t>
            </w:r>
          </w:p>
        </w:tc>
        <w:tc>
          <w:tcPr>
            <w:tcW w:w="1172" w:type="pct"/>
            <w:tcMar>
              <w:top w:w="70" w:type="dxa"/>
              <w:left w:w="90" w:type="dxa"/>
              <w:bottom w:w="70" w:type="dxa"/>
              <w:right w:w="90" w:type="dxa"/>
            </w:tcMar>
            <w:vAlign w:val="center"/>
          </w:tcPr>
          <w:p w14:paraId="5961C92E" w14:textId="77777777" w:rsidR="00A423C3" w:rsidRDefault="00000000">
            <w:pPr>
              <w:spacing w:after="0" w:line="240" w:lineRule="auto"/>
              <w:jc w:val="left"/>
            </w:pPr>
            <w:r>
              <w:rPr>
                <w:sz w:val="15"/>
              </w:rPr>
              <w:t>9.8 CFU/reaction in pure culture; 6.1 x 10^2 CFU/mL in spiked shrimp</w:t>
            </w:r>
          </w:p>
        </w:tc>
        <w:tc>
          <w:tcPr>
            <w:tcW w:w="1241" w:type="pct"/>
            <w:tcMar>
              <w:top w:w="70" w:type="dxa"/>
              <w:left w:w="90" w:type="dxa"/>
              <w:bottom w:w="70" w:type="dxa"/>
              <w:right w:w="90" w:type="dxa"/>
            </w:tcMar>
            <w:vAlign w:val="center"/>
          </w:tcPr>
          <w:p w14:paraId="176FC4D4" w14:textId="77777777" w:rsidR="00A423C3" w:rsidRDefault="00000000">
            <w:pPr>
              <w:spacing w:after="0" w:line="240" w:lineRule="auto"/>
              <w:jc w:val="left"/>
            </w:pPr>
            <w:r>
              <w:rPr>
                <w:sz w:val="15"/>
              </w:rPr>
              <w:t xml:space="preserve">Pure-culture versus food results illustrate matrix-dependent performance and caution against one headline </w:t>
            </w:r>
            <w:proofErr w:type="spellStart"/>
            <w:r>
              <w:rPr>
                <w:sz w:val="15"/>
              </w:rPr>
              <w:t>LoD</w:t>
            </w:r>
            <w:proofErr w:type="spellEnd"/>
          </w:p>
        </w:tc>
        <w:tc>
          <w:tcPr>
            <w:tcW w:w="655" w:type="pct"/>
            <w:tcMar>
              <w:top w:w="70" w:type="dxa"/>
              <w:left w:w="90" w:type="dxa"/>
              <w:bottom w:w="70" w:type="dxa"/>
              <w:right w:w="90" w:type="dxa"/>
            </w:tcMar>
            <w:vAlign w:val="center"/>
          </w:tcPr>
          <w:p w14:paraId="35DEA7B2" w14:textId="77777777" w:rsidR="00A423C3" w:rsidRDefault="00000000">
            <w:pPr>
              <w:spacing w:after="0" w:line="240" w:lineRule="auto"/>
              <w:jc w:val="left"/>
            </w:pPr>
            <w:r>
              <w:rPr>
                <w:sz w:val="15"/>
              </w:rPr>
              <w:t>Chen et al. (2021)</w:t>
            </w:r>
          </w:p>
        </w:tc>
      </w:tr>
      <w:tr w:rsidR="00A423C3" w14:paraId="2583FAAA" w14:textId="77777777" w:rsidTr="00916311">
        <w:trPr>
          <w:cantSplit/>
          <w:jc w:val="center"/>
        </w:trPr>
        <w:tc>
          <w:tcPr>
            <w:tcW w:w="931" w:type="pct"/>
            <w:tcMar>
              <w:top w:w="70" w:type="dxa"/>
              <w:left w:w="90" w:type="dxa"/>
              <w:bottom w:w="70" w:type="dxa"/>
              <w:right w:w="90" w:type="dxa"/>
            </w:tcMar>
            <w:vAlign w:val="center"/>
          </w:tcPr>
          <w:p w14:paraId="1D6A88CE" w14:textId="77777777" w:rsidR="00A423C3" w:rsidRDefault="00000000">
            <w:pPr>
              <w:spacing w:after="0" w:line="240" w:lineRule="auto"/>
              <w:jc w:val="left"/>
            </w:pPr>
            <w:r>
              <w:rPr>
                <w:i/>
                <w:sz w:val="15"/>
              </w:rPr>
              <w:t>Listeria monocytogenes</w:t>
            </w:r>
            <w:r>
              <w:rPr>
                <w:sz w:val="15"/>
              </w:rPr>
              <w:t>; enoki mushroom</w:t>
            </w:r>
          </w:p>
        </w:tc>
        <w:tc>
          <w:tcPr>
            <w:tcW w:w="1000" w:type="pct"/>
            <w:tcMar>
              <w:top w:w="70" w:type="dxa"/>
              <w:left w:w="90" w:type="dxa"/>
              <w:bottom w:w="70" w:type="dxa"/>
              <w:right w:w="90" w:type="dxa"/>
            </w:tcMar>
            <w:vAlign w:val="center"/>
          </w:tcPr>
          <w:p w14:paraId="1B0EFD16" w14:textId="77777777" w:rsidR="00A423C3" w:rsidRDefault="00000000">
            <w:pPr>
              <w:spacing w:after="0" w:line="240" w:lineRule="auto"/>
              <w:jc w:val="left"/>
            </w:pPr>
            <w:r>
              <w:rPr>
                <w:sz w:val="15"/>
              </w:rPr>
              <w:t>RAA-Cas12a electrochemical biosensor</w:t>
            </w:r>
          </w:p>
        </w:tc>
        <w:tc>
          <w:tcPr>
            <w:tcW w:w="1172" w:type="pct"/>
            <w:tcMar>
              <w:top w:w="70" w:type="dxa"/>
              <w:left w:w="90" w:type="dxa"/>
              <w:bottom w:w="70" w:type="dxa"/>
              <w:right w:w="90" w:type="dxa"/>
            </w:tcMar>
            <w:vAlign w:val="center"/>
          </w:tcPr>
          <w:p w14:paraId="290FFBF3" w14:textId="77777777" w:rsidR="00A423C3" w:rsidRDefault="00000000">
            <w:pPr>
              <w:spacing w:after="0" w:line="240" w:lineRule="auto"/>
              <w:jc w:val="left"/>
            </w:pPr>
            <w:r>
              <w:rPr>
                <w:sz w:val="15"/>
              </w:rPr>
              <w:t>26 CFU/mL in pure culture; evaluated in spiked and natural mushroom samples</w:t>
            </w:r>
          </w:p>
        </w:tc>
        <w:tc>
          <w:tcPr>
            <w:tcW w:w="1241" w:type="pct"/>
            <w:tcMar>
              <w:top w:w="70" w:type="dxa"/>
              <w:left w:w="90" w:type="dxa"/>
              <w:bottom w:w="70" w:type="dxa"/>
              <w:right w:w="90" w:type="dxa"/>
            </w:tcMar>
            <w:vAlign w:val="center"/>
          </w:tcPr>
          <w:p w14:paraId="654173A4" w14:textId="77777777" w:rsidR="00A423C3" w:rsidRDefault="00000000">
            <w:pPr>
              <w:spacing w:after="0" w:line="240" w:lineRule="auto"/>
              <w:jc w:val="left"/>
            </w:pPr>
            <w:r>
              <w:rPr>
                <w:sz w:val="15"/>
              </w:rPr>
              <w:t xml:space="preserve">Supports electrochemical feasibility in food, but electrode manufacture and workflow </w:t>
            </w:r>
            <w:proofErr w:type="spellStart"/>
            <w:r>
              <w:rPr>
                <w:sz w:val="15"/>
              </w:rPr>
              <w:t>standardisation</w:t>
            </w:r>
            <w:proofErr w:type="spellEnd"/>
            <w:r>
              <w:rPr>
                <w:sz w:val="15"/>
              </w:rPr>
              <w:t xml:space="preserve"> become part of validation</w:t>
            </w:r>
          </w:p>
        </w:tc>
        <w:tc>
          <w:tcPr>
            <w:tcW w:w="655" w:type="pct"/>
            <w:tcMar>
              <w:top w:w="70" w:type="dxa"/>
              <w:left w:w="90" w:type="dxa"/>
              <w:bottom w:w="70" w:type="dxa"/>
              <w:right w:w="90" w:type="dxa"/>
            </w:tcMar>
            <w:vAlign w:val="center"/>
          </w:tcPr>
          <w:p w14:paraId="1AFE36AB" w14:textId="77777777" w:rsidR="00A423C3" w:rsidRDefault="00000000">
            <w:pPr>
              <w:spacing w:after="0" w:line="240" w:lineRule="auto"/>
              <w:jc w:val="left"/>
            </w:pPr>
            <w:r>
              <w:rPr>
                <w:sz w:val="15"/>
              </w:rPr>
              <w:t>Li et al. (2021)</w:t>
            </w:r>
          </w:p>
        </w:tc>
      </w:tr>
      <w:tr w:rsidR="00A423C3" w14:paraId="274DD9E2" w14:textId="77777777" w:rsidTr="00916311">
        <w:trPr>
          <w:cantSplit/>
          <w:jc w:val="center"/>
        </w:trPr>
        <w:tc>
          <w:tcPr>
            <w:tcW w:w="931" w:type="pct"/>
            <w:tcMar>
              <w:top w:w="70" w:type="dxa"/>
              <w:left w:w="90" w:type="dxa"/>
              <w:bottom w:w="70" w:type="dxa"/>
              <w:right w:w="90" w:type="dxa"/>
            </w:tcMar>
            <w:vAlign w:val="center"/>
          </w:tcPr>
          <w:p w14:paraId="53341C9B" w14:textId="77777777" w:rsidR="00A423C3" w:rsidRDefault="00000000">
            <w:pPr>
              <w:spacing w:after="0" w:line="240" w:lineRule="auto"/>
              <w:jc w:val="left"/>
            </w:pPr>
            <w:r>
              <w:rPr>
                <w:i/>
                <w:sz w:val="15"/>
              </w:rPr>
              <w:t>Escherichia coli</w:t>
            </w:r>
            <w:r>
              <w:rPr>
                <w:sz w:val="15"/>
              </w:rPr>
              <w:t xml:space="preserve"> O157:H7; romaine lettuce</w:t>
            </w:r>
          </w:p>
        </w:tc>
        <w:tc>
          <w:tcPr>
            <w:tcW w:w="1000" w:type="pct"/>
            <w:tcMar>
              <w:top w:w="70" w:type="dxa"/>
              <w:left w:w="90" w:type="dxa"/>
              <w:bottom w:w="70" w:type="dxa"/>
              <w:right w:w="90" w:type="dxa"/>
            </w:tcMar>
            <w:vAlign w:val="center"/>
          </w:tcPr>
          <w:p w14:paraId="113A3FC7" w14:textId="77777777" w:rsidR="00A423C3" w:rsidRDefault="00000000">
            <w:pPr>
              <w:spacing w:after="0" w:line="240" w:lineRule="auto"/>
              <w:jc w:val="left"/>
            </w:pPr>
            <w:r>
              <w:rPr>
                <w:sz w:val="15"/>
              </w:rPr>
              <w:t>Filtration + LAMP-Cas12a; visual</w:t>
            </w:r>
          </w:p>
        </w:tc>
        <w:tc>
          <w:tcPr>
            <w:tcW w:w="1172" w:type="pct"/>
            <w:tcMar>
              <w:top w:w="70" w:type="dxa"/>
              <w:left w:w="90" w:type="dxa"/>
              <w:bottom w:w="70" w:type="dxa"/>
              <w:right w:w="90" w:type="dxa"/>
            </w:tcMar>
            <w:vAlign w:val="center"/>
          </w:tcPr>
          <w:p w14:paraId="02AD6421" w14:textId="77777777" w:rsidR="00A423C3" w:rsidRDefault="00000000">
            <w:pPr>
              <w:spacing w:after="0" w:line="240" w:lineRule="auto"/>
              <w:jc w:val="left"/>
            </w:pPr>
            <w:r>
              <w:rPr>
                <w:sz w:val="15"/>
              </w:rPr>
              <w:t>1.22 CFU/mL pure culture; 4.8 CFU/g in lettuce without microbial pre-enrichment</w:t>
            </w:r>
          </w:p>
        </w:tc>
        <w:tc>
          <w:tcPr>
            <w:tcW w:w="1241" w:type="pct"/>
            <w:tcMar>
              <w:top w:w="70" w:type="dxa"/>
              <w:left w:w="90" w:type="dxa"/>
              <w:bottom w:w="70" w:type="dxa"/>
              <w:right w:w="90" w:type="dxa"/>
            </w:tcMar>
            <w:vAlign w:val="center"/>
          </w:tcPr>
          <w:p w14:paraId="50E6E741" w14:textId="77777777" w:rsidR="00A423C3" w:rsidRDefault="00000000">
            <w:pPr>
              <w:spacing w:after="0" w:line="240" w:lineRule="auto"/>
              <w:jc w:val="left"/>
            </w:pPr>
            <w:r>
              <w:rPr>
                <w:sz w:val="15"/>
              </w:rPr>
              <w:t>Strong evidence that concentration strategy can determine practical sensitivity</w:t>
            </w:r>
          </w:p>
        </w:tc>
        <w:tc>
          <w:tcPr>
            <w:tcW w:w="655" w:type="pct"/>
            <w:tcMar>
              <w:top w:w="70" w:type="dxa"/>
              <w:left w:w="90" w:type="dxa"/>
              <w:bottom w:w="70" w:type="dxa"/>
              <w:right w:w="90" w:type="dxa"/>
            </w:tcMar>
            <w:vAlign w:val="center"/>
          </w:tcPr>
          <w:p w14:paraId="45429B55" w14:textId="77777777" w:rsidR="00A423C3" w:rsidRDefault="00000000">
            <w:pPr>
              <w:spacing w:after="0" w:line="240" w:lineRule="auto"/>
              <w:jc w:val="left"/>
            </w:pPr>
            <w:r>
              <w:rPr>
                <w:sz w:val="15"/>
              </w:rPr>
              <w:t>Lee &amp; Oh (2022)</w:t>
            </w:r>
          </w:p>
        </w:tc>
      </w:tr>
      <w:tr w:rsidR="00A423C3" w14:paraId="5229AF03" w14:textId="77777777" w:rsidTr="00916311">
        <w:trPr>
          <w:cantSplit/>
          <w:jc w:val="center"/>
        </w:trPr>
        <w:tc>
          <w:tcPr>
            <w:tcW w:w="931" w:type="pct"/>
            <w:tcMar>
              <w:top w:w="70" w:type="dxa"/>
              <w:left w:w="90" w:type="dxa"/>
              <w:bottom w:w="70" w:type="dxa"/>
              <w:right w:w="90" w:type="dxa"/>
            </w:tcMar>
            <w:vAlign w:val="center"/>
          </w:tcPr>
          <w:p w14:paraId="70AC69F2" w14:textId="77777777" w:rsidR="00A423C3" w:rsidRDefault="00000000">
            <w:pPr>
              <w:spacing w:after="0" w:line="240" w:lineRule="auto"/>
              <w:jc w:val="left"/>
            </w:pPr>
            <w:r>
              <w:rPr>
                <w:i/>
                <w:sz w:val="15"/>
              </w:rPr>
              <w:t>Vibrio parahaemolyticus</w:t>
            </w:r>
            <w:r>
              <w:rPr>
                <w:sz w:val="15"/>
              </w:rPr>
              <w:t>; spiked shrimp</w:t>
            </w:r>
          </w:p>
        </w:tc>
        <w:tc>
          <w:tcPr>
            <w:tcW w:w="1000" w:type="pct"/>
            <w:tcMar>
              <w:top w:w="70" w:type="dxa"/>
              <w:left w:w="90" w:type="dxa"/>
              <w:bottom w:w="70" w:type="dxa"/>
              <w:right w:w="90" w:type="dxa"/>
            </w:tcMar>
            <w:vAlign w:val="center"/>
          </w:tcPr>
          <w:p w14:paraId="2169679F" w14:textId="77777777" w:rsidR="00A423C3" w:rsidRDefault="00000000">
            <w:pPr>
              <w:spacing w:after="0" w:line="240" w:lineRule="auto"/>
              <w:jc w:val="left"/>
            </w:pPr>
            <w:r>
              <w:rPr>
                <w:sz w:val="15"/>
              </w:rPr>
              <w:t>RPA-Cas12a visual detection</w:t>
            </w:r>
          </w:p>
        </w:tc>
        <w:tc>
          <w:tcPr>
            <w:tcW w:w="1172" w:type="pct"/>
            <w:tcMar>
              <w:top w:w="70" w:type="dxa"/>
              <w:left w:w="90" w:type="dxa"/>
              <w:bottom w:w="70" w:type="dxa"/>
              <w:right w:w="90" w:type="dxa"/>
            </w:tcMar>
            <w:vAlign w:val="center"/>
          </w:tcPr>
          <w:p w14:paraId="63B8F83B" w14:textId="77777777" w:rsidR="00A423C3" w:rsidRDefault="00000000">
            <w:pPr>
              <w:spacing w:after="0" w:line="240" w:lineRule="auto"/>
              <w:jc w:val="left"/>
            </w:pPr>
            <w:r>
              <w:rPr>
                <w:sz w:val="15"/>
              </w:rPr>
              <w:t>Approximately 30 min; 10^2 CFU/g in spiked shrimp</w:t>
            </w:r>
          </w:p>
        </w:tc>
        <w:tc>
          <w:tcPr>
            <w:tcW w:w="1241" w:type="pct"/>
            <w:tcMar>
              <w:top w:w="70" w:type="dxa"/>
              <w:left w:w="90" w:type="dxa"/>
              <w:bottom w:w="70" w:type="dxa"/>
              <w:right w:w="90" w:type="dxa"/>
            </w:tcMar>
            <w:vAlign w:val="center"/>
          </w:tcPr>
          <w:p w14:paraId="4A17D57C" w14:textId="77777777" w:rsidR="00A423C3" w:rsidRDefault="00000000">
            <w:pPr>
              <w:spacing w:after="0" w:line="240" w:lineRule="auto"/>
              <w:jc w:val="left"/>
            </w:pPr>
            <w:r>
              <w:rPr>
                <w:sz w:val="15"/>
              </w:rPr>
              <w:t>Useful rapid matrix demonstration; claims of superiority should be separated from direct multi-site comparative validation</w:t>
            </w:r>
          </w:p>
        </w:tc>
        <w:tc>
          <w:tcPr>
            <w:tcW w:w="655" w:type="pct"/>
            <w:tcMar>
              <w:top w:w="70" w:type="dxa"/>
              <w:left w:w="90" w:type="dxa"/>
              <w:bottom w:w="70" w:type="dxa"/>
              <w:right w:w="90" w:type="dxa"/>
            </w:tcMar>
            <w:vAlign w:val="center"/>
          </w:tcPr>
          <w:p w14:paraId="0F65DF06" w14:textId="77777777" w:rsidR="00A423C3" w:rsidRDefault="00000000">
            <w:pPr>
              <w:spacing w:after="0" w:line="240" w:lineRule="auto"/>
              <w:jc w:val="left"/>
            </w:pPr>
            <w:r>
              <w:rPr>
                <w:sz w:val="15"/>
              </w:rPr>
              <w:t>Jiang et al. (2022)</w:t>
            </w:r>
          </w:p>
        </w:tc>
      </w:tr>
      <w:tr w:rsidR="00A423C3" w14:paraId="0F4FBA92" w14:textId="77777777" w:rsidTr="00916311">
        <w:trPr>
          <w:cantSplit/>
          <w:jc w:val="center"/>
        </w:trPr>
        <w:tc>
          <w:tcPr>
            <w:tcW w:w="931" w:type="pct"/>
            <w:tcMar>
              <w:top w:w="70" w:type="dxa"/>
              <w:left w:w="90" w:type="dxa"/>
              <w:bottom w:w="70" w:type="dxa"/>
              <w:right w:w="90" w:type="dxa"/>
            </w:tcMar>
            <w:vAlign w:val="center"/>
          </w:tcPr>
          <w:p w14:paraId="242BEB05" w14:textId="77777777" w:rsidR="00A423C3" w:rsidRDefault="00000000">
            <w:pPr>
              <w:spacing w:after="0" w:line="240" w:lineRule="auto"/>
              <w:jc w:val="left"/>
            </w:pPr>
            <w:r>
              <w:rPr>
                <w:i/>
                <w:sz w:val="15"/>
              </w:rPr>
              <w:t>Listeria monocytogenes</w:t>
            </w:r>
            <w:r>
              <w:rPr>
                <w:sz w:val="15"/>
              </w:rPr>
              <w:t>; meat</w:t>
            </w:r>
          </w:p>
        </w:tc>
        <w:tc>
          <w:tcPr>
            <w:tcW w:w="1000" w:type="pct"/>
            <w:tcMar>
              <w:top w:w="70" w:type="dxa"/>
              <w:left w:w="90" w:type="dxa"/>
              <w:bottom w:w="70" w:type="dxa"/>
              <w:right w:w="90" w:type="dxa"/>
            </w:tcMar>
            <w:vAlign w:val="center"/>
          </w:tcPr>
          <w:p w14:paraId="43E3EBFE" w14:textId="77777777" w:rsidR="00A423C3" w:rsidRDefault="00000000">
            <w:pPr>
              <w:spacing w:after="0" w:line="240" w:lineRule="auto"/>
              <w:jc w:val="left"/>
            </w:pPr>
            <w:r>
              <w:rPr>
                <w:sz w:val="15"/>
              </w:rPr>
              <w:t>One-step RPA-Cas12a</w:t>
            </w:r>
          </w:p>
        </w:tc>
        <w:tc>
          <w:tcPr>
            <w:tcW w:w="1172" w:type="pct"/>
            <w:tcMar>
              <w:top w:w="70" w:type="dxa"/>
              <w:left w:w="90" w:type="dxa"/>
              <w:bottom w:w="70" w:type="dxa"/>
              <w:right w:w="90" w:type="dxa"/>
            </w:tcMar>
            <w:vAlign w:val="center"/>
          </w:tcPr>
          <w:p w14:paraId="19E14C90" w14:textId="77777777" w:rsidR="00A423C3" w:rsidRDefault="00000000">
            <w:pPr>
              <w:spacing w:after="0" w:line="240" w:lineRule="auto"/>
              <w:jc w:val="left"/>
            </w:pPr>
            <w:r>
              <w:rPr>
                <w:sz w:val="15"/>
              </w:rPr>
              <w:t>Reported 4.4 CFU/g in 25 min; spiked pork and natural meat samples</w:t>
            </w:r>
          </w:p>
        </w:tc>
        <w:tc>
          <w:tcPr>
            <w:tcW w:w="1241" w:type="pct"/>
            <w:tcMar>
              <w:top w:w="70" w:type="dxa"/>
              <w:left w:w="90" w:type="dxa"/>
              <w:bottom w:w="70" w:type="dxa"/>
              <w:right w:w="90" w:type="dxa"/>
            </w:tcMar>
            <w:vAlign w:val="center"/>
          </w:tcPr>
          <w:p w14:paraId="7342E941" w14:textId="77777777" w:rsidR="00A423C3" w:rsidRDefault="00000000">
            <w:pPr>
              <w:spacing w:after="0" w:line="240" w:lineRule="auto"/>
              <w:jc w:val="left"/>
            </w:pPr>
            <w:r>
              <w:rPr>
                <w:sz w:val="15"/>
              </w:rPr>
              <w:t>Closed workflow addresses handling and transfer contamination; natural-sample breadth remains limited</w:t>
            </w:r>
          </w:p>
        </w:tc>
        <w:tc>
          <w:tcPr>
            <w:tcW w:w="655" w:type="pct"/>
            <w:tcMar>
              <w:top w:w="70" w:type="dxa"/>
              <w:left w:w="90" w:type="dxa"/>
              <w:bottom w:w="70" w:type="dxa"/>
              <w:right w:w="90" w:type="dxa"/>
            </w:tcMar>
            <w:vAlign w:val="center"/>
          </w:tcPr>
          <w:p w14:paraId="68FB649D" w14:textId="77777777" w:rsidR="00A423C3" w:rsidRDefault="00000000">
            <w:pPr>
              <w:spacing w:after="0" w:line="240" w:lineRule="auto"/>
              <w:jc w:val="left"/>
            </w:pPr>
            <w:r>
              <w:rPr>
                <w:sz w:val="15"/>
              </w:rPr>
              <w:t>Xiao et al. (2023)</w:t>
            </w:r>
          </w:p>
        </w:tc>
      </w:tr>
      <w:tr w:rsidR="00A423C3" w14:paraId="58300721" w14:textId="77777777" w:rsidTr="00916311">
        <w:trPr>
          <w:cantSplit/>
          <w:jc w:val="center"/>
        </w:trPr>
        <w:tc>
          <w:tcPr>
            <w:tcW w:w="931" w:type="pct"/>
            <w:tcMar>
              <w:top w:w="70" w:type="dxa"/>
              <w:left w:w="90" w:type="dxa"/>
              <w:bottom w:w="70" w:type="dxa"/>
              <w:right w:w="90" w:type="dxa"/>
            </w:tcMar>
            <w:vAlign w:val="center"/>
          </w:tcPr>
          <w:p w14:paraId="00B53D39" w14:textId="77777777" w:rsidR="00A423C3" w:rsidRDefault="00000000">
            <w:pPr>
              <w:spacing w:after="0" w:line="240" w:lineRule="auto"/>
              <w:jc w:val="left"/>
            </w:pPr>
            <w:r>
              <w:rPr>
                <w:i/>
                <w:sz w:val="15"/>
              </w:rPr>
              <w:t>Staphylococcus aureus</w:t>
            </w:r>
            <w:r>
              <w:rPr>
                <w:sz w:val="15"/>
              </w:rPr>
              <w:t>; several foods</w:t>
            </w:r>
          </w:p>
        </w:tc>
        <w:tc>
          <w:tcPr>
            <w:tcW w:w="1000" w:type="pct"/>
            <w:tcMar>
              <w:top w:w="70" w:type="dxa"/>
              <w:left w:w="90" w:type="dxa"/>
              <w:bottom w:w="70" w:type="dxa"/>
              <w:right w:w="90" w:type="dxa"/>
            </w:tcMar>
            <w:vAlign w:val="center"/>
          </w:tcPr>
          <w:p w14:paraId="43FA6070" w14:textId="77777777" w:rsidR="00A423C3" w:rsidRDefault="00000000">
            <w:pPr>
              <w:spacing w:after="0" w:line="240" w:lineRule="auto"/>
              <w:jc w:val="left"/>
            </w:pPr>
            <w:r>
              <w:rPr>
                <w:sz w:val="15"/>
              </w:rPr>
              <w:t>Immunomagnetic enrichment + single-step RPA-Cas12a</w:t>
            </w:r>
          </w:p>
        </w:tc>
        <w:tc>
          <w:tcPr>
            <w:tcW w:w="1172" w:type="pct"/>
            <w:tcMar>
              <w:top w:w="70" w:type="dxa"/>
              <w:left w:w="90" w:type="dxa"/>
              <w:bottom w:w="70" w:type="dxa"/>
              <w:right w:w="90" w:type="dxa"/>
            </w:tcMar>
            <w:vAlign w:val="center"/>
          </w:tcPr>
          <w:p w14:paraId="77529362" w14:textId="77777777" w:rsidR="00A423C3" w:rsidRDefault="00000000">
            <w:pPr>
              <w:spacing w:after="0" w:line="240" w:lineRule="auto"/>
              <w:jc w:val="left"/>
            </w:pPr>
            <w:r>
              <w:rPr>
                <w:sz w:val="15"/>
              </w:rPr>
              <w:t>98% capture in 5 min; 10 CFU/mL within 40 min under study conditions</w:t>
            </w:r>
          </w:p>
        </w:tc>
        <w:tc>
          <w:tcPr>
            <w:tcW w:w="1241" w:type="pct"/>
            <w:tcMar>
              <w:top w:w="70" w:type="dxa"/>
              <w:left w:w="90" w:type="dxa"/>
              <w:bottom w:w="70" w:type="dxa"/>
              <w:right w:w="90" w:type="dxa"/>
            </w:tcMar>
            <w:vAlign w:val="center"/>
          </w:tcPr>
          <w:p w14:paraId="35ED1515" w14:textId="77777777" w:rsidR="00A423C3" w:rsidRDefault="00000000">
            <w:pPr>
              <w:spacing w:after="0" w:line="240" w:lineRule="auto"/>
              <w:jc w:val="left"/>
            </w:pPr>
            <w:r>
              <w:rPr>
                <w:sz w:val="15"/>
              </w:rPr>
              <w:t>Shows direct value of rapid target enrichment; total performance depends on antibody capture reproducibility</w:t>
            </w:r>
          </w:p>
        </w:tc>
        <w:tc>
          <w:tcPr>
            <w:tcW w:w="655" w:type="pct"/>
            <w:tcMar>
              <w:top w:w="70" w:type="dxa"/>
              <w:left w:w="90" w:type="dxa"/>
              <w:bottom w:w="70" w:type="dxa"/>
              <w:right w:w="90" w:type="dxa"/>
            </w:tcMar>
            <w:vAlign w:val="center"/>
          </w:tcPr>
          <w:p w14:paraId="634E917B" w14:textId="77777777" w:rsidR="00A423C3" w:rsidRDefault="00000000">
            <w:pPr>
              <w:spacing w:after="0" w:line="240" w:lineRule="auto"/>
              <w:jc w:val="left"/>
            </w:pPr>
            <w:r>
              <w:rPr>
                <w:sz w:val="15"/>
              </w:rPr>
              <w:t>Ma et al. (2024)</w:t>
            </w:r>
          </w:p>
        </w:tc>
      </w:tr>
      <w:tr w:rsidR="00A423C3" w14:paraId="12A946A2" w14:textId="77777777" w:rsidTr="00916311">
        <w:trPr>
          <w:cantSplit/>
          <w:jc w:val="center"/>
        </w:trPr>
        <w:tc>
          <w:tcPr>
            <w:tcW w:w="931" w:type="pct"/>
            <w:tcMar>
              <w:top w:w="70" w:type="dxa"/>
              <w:left w:w="90" w:type="dxa"/>
              <w:bottom w:w="70" w:type="dxa"/>
              <w:right w:w="90" w:type="dxa"/>
            </w:tcMar>
            <w:vAlign w:val="center"/>
          </w:tcPr>
          <w:p w14:paraId="458E68F6" w14:textId="77777777" w:rsidR="00A423C3" w:rsidRDefault="00000000">
            <w:pPr>
              <w:spacing w:after="0" w:line="240" w:lineRule="auto"/>
              <w:jc w:val="left"/>
            </w:pPr>
            <w:r>
              <w:rPr>
                <w:i/>
                <w:sz w:val="15"/>
              </w:rPr>
              <w:t>E. coli</w:t>
            </w:r>
            <w:r>
              <w:rPr>
                <w:sz w:val="15"/>
              </w:rPr>
              <w:t xml:space="preserve"> O157:H7; milk</w:t>
            </w:r>
          </w:p>
        </w:tc>
        <w:tc>
          <w:tcPr>
            <w:tcW w:w="1000" w:type="pct"/>
            <w:tcMar>
              <w:top w:w="70" w:type="dxa"/>
              <w:left w:w="90" w:type="dxa"/>
              <w:bottom w:w="70" w:type="dxa"/>
              <w:right w:w="90" w:type="dxa"/>
            </w:tcMar>
            <w:vAlign w:val="center"/>
          </w:tcPr>
          <w:p w14:paraId="035D7565" w14:textId="77777777" w:rsidR="00A423C3" w:rsidRDefault="00000000">
            <w:pPr>
              <w:spacing w:after="0" w:line="240" w:lineRule="auto"/>
              <w:jc w:val="left"/>
            </w:pPr>
            <w:r>
              <w:rPr>
                <w:sz w:val="15"/>
              </w:rPr>
              <w:t>LAMP-Cas12a with one-pot option</w:t>
            </w:r>
          </w:p>
        </w:tc>
        <w:tc>
          <w:tcPr>
            <w:tcW w:w="1172" w:type="pct"/>
            <w:tcMar>
              <w:top w:w="70" w:type="dxa"/>
              <w:left w:w="90" w:type="dxa"/>
              <w:bottom w:w="70" w:type="dxa"/>
              <w:right w:w="90" w:type="dxa"/>
            </w:tcMar>
            <w:vAlign w:val="center"/>
          </w:tcPr>
          <w:p w14:paraId="336D56DE" w14:textId="77777777" w:rsidR="00A423C3" w:rsidRDefault="00000000">
            <w:pPr>
              <w:spacing w:after="0" w:line="240" w:lineRule="auto"/>
              <w:jc w:val="left"/>
            </w:pPr>
            <w:r>
              <w:rPr>
                <w:sz w:val="15"/>
              </w:rPr>
              <w:t>9.2 CFU/mL pure culture; low initial milk inoculum detectable after 3 h culture</w:t>
            </w:r>
          </w:p>
        </w:tc>
        <w:tc>
          <w:tcPr>
            <w:tcW w:w="1241" w:type="pct"/>
            <w:tcMar>
              <w:top w:w="70" w:type="dxa"/>
              <w:left w:w="90" w:type="dxa"/>
              <w:bottom w:w="70" w:type="dxa"/>
              <w:right w:w="90" w:type="dxa"/>
            </w:tcMar>
            <w:vAlign w:val="center"/>
          </w:tcPr>
          <w:p w14:paraId="04AA5ED0" w14:textId="77777777" w:rsidR="00A423C3" w:rsidRDefault="00000000">
            <w:pPr>
              <w:spacing w:after="0" w:line="240" w:lineRule="auto"/>
              <w:jc w:val="left"/>
            </w:pPr>
            <w:r>
              <w:rPr>
                <w:sz w:val="15"/>
              </w:rPr>
              <w:t>Separates rapid reaction performance from sample-level enrichment requirement</w:t>
            </w:r>
          </w:p>
        </w:tc>
        <w:tc>
          <w:tcPr>
            <w:tcW w:w="655" w:type="pct"/>
            <w:tcMar>
              <w:top w:w="70" w:type="dxa"/>
              <w:left w:w="90" w:type="dxa"/>
              <w:bottom w:w="70" w:type="dxa"/>
              <w:right w:w="90" w:type="dxa"/>
            </w:tcMar>
            <w:vAlign w:val="center"/>
          </w:tcPr>
          <w:p w14:paraId="17041513" w14:textId="77777777" w:rsidR="00A423C3" w:rsidRDefault="00000000">
            <w:pPr>
              <w:spacing w:after="0" w:line="240" w:lineRule="auto"/>
              <w:jc w:val="left"/>
            </w:pPr>
            <w:r>
              <w:rPr>
                <w:sz w:val="15"/>
              </w:rPr>
              <w:t>Wang et al. (2024)</w:t>
            </w:r>
          </w:p>
        </w:tc>
      </w:tr>
      <w:tr w:rsidR="00A423C3" w14:paraId="175E3735" w14:textId="77777777" w:rsidTr="00916311">
        <w:trPr>
          <w:cantSplit/>
          <w:jc w:val="center"/>
        </w:trPr>
        <w:tc>
          <w:tcPr>
            <w:tcW w:w="931" w:type="pct"/>
            <w:tcMar>
              <w:top w:w="70" w:type="dxa"/>
              <w:left w:w="90" w:type="dxa"/>
              <w:bottom w:w="70" w:type="dxa"/>
              <w:right w:w="90" w:type="dxa"/>
            </w:tcMar>
            <w:vAlign w:val="center"/>
          </w:tcPr>
          <w:p w14:paraId="03076855" w14:textId="77777777" w:rsidR="00A423C3" w:rsidRDefault="00000000">
            <w:pPr>
              <w:spacing w:after="0" w:line="240" w:lineRule="auto"/>
              <w:jc w:val="left"/>
            </w:pPr>
            <w:r>
              <w:rPr>
                <w:i/>
                <w:sz w:val="15"/>
              </w:rPr>
              <w:t>E. coli</w:t>
            </w:r>
            <w:r>
              <w:rPr>
                <w:sz w:val="15"/>
              </w:rPr>
              <w:t xml:space="preserve"> O157:H7; microfluidic assay</w:t>
            </w:r>
          </w:p>
        </w:tc>
        <w:tc>
          <w:tcPr>
            <w:tcW w:w="1000" w:type="pct"/>
            <w:tcMar>
              <w:top w:w="70" w:type="dxa"/>
              <w:left w:w="90" w:type="dxa"/>
              <w:bottom w:w="70" w:type="dxa"/>
              <w:right w:w="90" w:type="dxa"/>
            </w:tcMar>
            <w:vAlign w:val="center"/>
          </w:tcPr>
          <w:p w14:paraId="4E3A3030" w14:textId="77777777" w:rsidR="00A423C3" w:rsidRDefault="00000000">
            <w:pPr>
              <w:spacing w:after="0" w:line="240" w:lineRule="auto"/>
              <w:jc w:val="left"/>
            </w:pPr>
            <w:r>
              <w:rPr>
                <w:sz w:val="15"/>
              </w:rPr>
              <w:t>PMA-assisted digital CRISPR</w:t>
            </w:r>
          </w:p>
        </w:tc>
        <w:tc>
          <w:tcPr>
            <w:tcW w:w="1172" w:type="pct"/>
            <w:tcMar>
              <w:top w:w="70" w:type="dxa"/>
              <w:left w:w="90" w:type="dxa"/>
              <w:bottom w:w="70" w:type="dxa"/>
              <w:right w:w="90" w:type="dxa"/>
            </w:tcMar>
            <w:vAlign w:val="center"/>
          </w:tcPr>
          <w:p w14:paraId="29577AD5" w14:textId="77777777" w:rsidR="00A423C3" w:rsidRDefault="00000000">
            <w:pPr>
              <w:spacing w:after="0" w:line="240" w:lineRule="auto"/>
              <w:jc w:val="left"/>
            </w:pPr>
            <w:r>
              <w:rPr>
                <w:sz w:val="15"/>
              </w:rPr>
              <w:t>3.6 x 10^1 CFU/mL within 30 min; reported suppression of 99% dead-cell interference</w:t>
            </w:r>
          </w:p>
        </w:tc>
        <w:tc>
          <w:tcPr>
            <w:tcW w:w="1241" w:type="pct"/>
            <w:tcMar>
              <w:top w:w="70" w:type="dxa"/>
              <w:left w:w="90" w:type="dxa"/>
              <w:bottom w:w="70" w:type="dxa"/>
              <w:right w:w="90" w:type="dxa"/>
            </w:tcMar>
            <w:vAlign w:val="center"/>
          </w:tcPr>
          <w:p w14:paraId="1C0FFC3F" w14:textId="77777777" w:rsidR="00A423C3" w:rsidRDefault="00000000">
            <w:pPr>
              <w:spacing w:after="0" w:line="240" w:lineRule="auto"/>
              <w:jc w:val="left"/>
            </w:pPr>
            <w:r>
              <w:rPr>
                <w:sz w:val="15"/>
              </w:rPr>
              <w:t>Promising viability-aware quantification, but injury-state and broader matrix validation are needed</w:t>
            </w:r>
          </w:p>
        </w:tc>
        <w:tc>
          <w:tcPr>
            <w:tcW w:w="655" w:type="pct"/>
            <w:tcMar>
              <w:top w:w="70" w:type="dxa"/>
              <w:left w:w="90" w:type="dxa"/>
              <w:bottom w:w="70" w:type="dxa"/>
              <w:right w:w="90" w:type="dxa"/>
            </w:tcMar>
            <w:vAlign w:val="center"/>
          </w:tcPr>
          <w:p w14:paraId="2C4CBF93" w14:textId="77777777" w:rsidR="00A423C3" w:rsidRDefault="00000000">
            <w:pPr>
              <w:spacing w:after="0" w:line="240" w:lineRule="auto"/>
              <w:jc w:val="left"/>
            </w:pPr>
            <w:r>
              <w:rPr>
                <w:sz w:val="15"/>
              </w:rPr>
              <w:t>Yin et al. (2024)</w:t>
            </w:r>
          </w:p>
        </w:tc>
      </w:tr>
      <w:tr w:rsidR="00A423C3" w14:paraId="1C224B35" w14:textId="77777777" w:rsidTr="00916311">
        <w:trPr>
          <w:cantSplit/>
          <w:jc w:val="center"/>
        </w:trPr>
        <w:tc>
          <w:tcPr>
            <w:tcW w:w="931" w:type="pct"/>
            <w:tcMar>
              <w:top w:w="70" w:type="dxa"/>
              <w:left w:w="90" w:type="dxa"/>
              <w:bottom w:w="70" w:type="dxa"/>
              <w:right w:w="90" w:type="dxa"/>
            </w:tcMar>
            <w:vAlign w:val="center"/>
          </w:tcPr>
          <w:p w14:paraId="1478A6B3" w14:textId="77777777" w:rsidR="00A423C3" w:rsidRDefault="00000000">
            <w:pPr>
              <w:spacing w:after="0" w:line="240" w:lineRule="auto"/>
              <w:jc w:val="left"/>
            </w:pPr>
            <w:r>
              <w:rPr>
                <w:sz w:val="15"/>
              </w:rPr>
              <w:t>Norovirus GI/GII; multiple food substrates</w:t>
            </w:r>
          </w:p>
        </w:tc>
        <w:tc>
          <w:tcPr>
            <w:tcW w:w="1000" w:type="pct"/>
            <w:tcMar>
              <w:top w:w="70" w:type="dxa"/>
              <w:left w:w="90" w:type="dxa"/>
              <w:bottom w:w="70" w:type="dxa"/>
              <w:right w:w="90" w:type="dxa"/>
            </w:tcMar>
            <w:vAlign w:val="center"/>
          </w:tcPr>
          <w:p w14:paraId="739FEE93" w14:textId="77777777" w:rsidR="00A423C3" w:rsidRDefault="00000000">
            <w:pPr>
              <w:spacing w:after="0" w:line="240" w:lineRule="auto"/>
              <w:jc w:val="left"/>
            </w:pPr>
            <w:r>
              <w:rPr>
                <w:sz w:val="15"/>
              </w:rPr>
              <w:t>RT-LAMP + Cas12; fluorescence/visual</w:t>
            </w:r>
          </w:p>
        </w:tc>
        <w:tc>
          <w:tcPr>
            <w:tcW w:w="1172" w:type="pct"/>
            <w:tcMar>
              <w:top w:w="70" w:type="dxa"/>
              <w:left w:w="90" w:type="dxa"/>
              <w:bottom w:w="70" w:type="dxa"/>
              <w:right w:w="90" w:type="dxa"/>
            </w:tcMar>
            <w:vAlign w:val="center"/>
          </w:tcPr>
          <w:p w14:paraId="59907D87" w14:textId="77777777" w:rsidR="00A423C3" w:rsidRDefault="00000000">
            <w:pPr>
              <w:spacing w:after="0" w:line="240" w:lineRule="auto"/>
              <w:jc w:val="left"/>
            </w:pPr>
            <w:r>
              <w:rPr>
                <w:sz w:val="15"/>
              </w:rPr>
              <w:t>32.8 and 22.8 copies/reaction for GI and GII; qualitative testing across three food substrates</w:t>
            </w:r>
          </w:p>
        </w:tc>
        <w:tc>
          <w:tcPr>
            <w:tcW w:w="1241" w:type="pct"/>
            <w:tcMar>
              <w:top w:w="70" w:type="dxa"/>
              <w:left w:w="90" w:type="dxa"/>
              <w:bottom w:w="70" w:type="dxa"/>
              <w:right w:w="90" w:type="dxa"/>
            </w:tcMar>
            <w:vAlign w:val="center"/>
          </w:tcPr>
          <w:p w14:paraId="172C9543" w14:textId="77777777" w:rsidR="00A423C3" w:rsidRDefault="00000000">
            <w:pPr>
              <w:spacing w:after="0" w:line="240" w:lineRule="auto"/>
              <w:jc w:val="left"/>
            </w:pPr>
            <w:r>
              <w:rPr>
                <w:sz w:val="15"/>
              </w:rPr>
              <w:t>Food-focused viral validation is stronger than buffer-only chemistry, but copy detection does not establish infectivity</w:t>
            </w:r>
          </w:p>
        </w:tc>
        <w:tc>
          <w:tcPr>
            <w:tcW w:w="655" w:type="pct"/>
            <w:tcMar>
              <w:top w:w="70" w:type="dxa"/>
              <w:left w:w="90" w:type="dxa"/>
              <w:bottom w:w="70" w:type="dxa"/>
              <w:right w:w="90" w:type="dxa"/>
            </w:tcMar>
            <w:vAlign w:val="center"/>
          </w:tcPr>
          <w:p w14:paraId="2466F06D" w14:textId="77777777" w:rsidR="00A423C3" w:rsidRDefault="00000000">
            <w:pPr>
              <w:spacing w:after="0" w:line="240" w:lineRule="auto"/>
              <w:jc w:val="left"/>
            </w:pPr>
            <w:r>
              <w:rPr>
                <w:sz w:val="15"/>
              </w:rPr>
              <w:t>Gou et al. (2025)</w:t>
            </w:r>
          </w:p>
        </w:tc>
      </w:tr>
      <w:tr w:rsidR="00A423C3" w14:paraId="5E06B07A" w14:textId="77777777" w:rsidTr="00916311">
        <w:trPr>
          <w:cantSplit/>
          <w:jc w:val="center"/>
        </w:trPr>
        <w:tc>
          <w:tcPr>
            <w:tcW w:w="931" w:type="pct"/>
            <w:tcMar>
              <w:top w:w="70" w:type="dxa"/>
              <w:left w:w="90" w:type="dxa"/>
              <w:bottom w:w="70" w:type="dxa"/>
              <w:right w:w="90" w:type="dxa"/>
            </w:tcMar>
            <w:vAlign w:val="center"/>
          </w:tcPr>
          <w:p w14:paraId="6AAC0046" w14:textId="77777777" w:rsidR="00A423C3" w:rsidRDefault="00000000">
            <w:pPr>
              <w:spacing w:after="0" w:line="240" w:lineRule="auto"/>
              <w:jc w:val="left"/>
            </w:pPr>
            <w:r>
              <w:rPr>
                <w:i/>
                <w:sz w:val="15"/>
              </w:rPr>
              <w:t>L. monocytogenes</w:t>
            </w:r>
            <w:r>
              <w:rPr>
                <w:sz w:val="15"/>
              </w:rPr>
              <w:t>; spiked milk</w:t>
            </w:r>
          </w:p>
        </w:tc>
        <w:tc>
          <w:tcPr>
            <w:tcW w:w="1000" w:type="pct"/>
            <w:tcMar>
              <w:top w:w="70" w:type="dxa"/>
              <w:left w:w="90" w:type="dxa"/>
              <w:bottom w:w="70" w:type="dxa"/>
              <w:right w:w="90" w:type="dxa"/>
            </w:tcMar>
            <w:vAlign w:val="center"/>
          </w:tcPr>
          <w:p w14:paraId="63937D55" w14:textId="77777777" w:rsidR="00A423C3" w:rsidRDefault="00000000">
            <w:pPr>
              <w:spacing w:after="0" w:line="240" w:lineRule="auto"/>
              <w:jc w:val="left"/>
            </w:pPr>
            <w:r>
              <w:rPr>
                <w:sz w:val="15"/>
              </w:rPr>
              <w:t>LAMP-Cas12a with enhanced lateral-flow probe</w:t>
            </w:r>
          </w:p>
        </w:tc>
        <w:tc>
          <w:tcPr>
            <w:tcW w:w="1172" w:type="pct"/>
            <w:tcMar>
              <w:top w:w="70" w:type="dxa"/>
              <w:left w:w="90" w:type="dxa"/>
              <w:bottom w:w="70" w:type="dxa"/>
              <w:right w:w="90" w:type="dxa"/>
            </w:tcMar>
            <w:vAlign w:val="center"/>
          </w:tcPr>
          <w:p w14:paraId="2C3C020B" w14:textId="77777777" w:rsidR="00A423C3" w:rsidRDefault="00000000">
            <w:pPr>
              <w:spacing w:after="0" w:line="240" w:lineRule="auto"/>
              <w:jc w:val="left"/>
            </w:pPr>
            <w:r>
              <w:rPr>
                <w:sz w:val="15"/>
              </w:rPr>
              <w:t>0.9 copies/reaction; cell detection after thermal lysis; about 80 min</w:t>
            </w:r>
          </w:p>
        </w:tc>
        <w:tc>
          <w:tcPr>
            <w:tcW w:w="1241" w:type="pct"/>
            <w:tcMar>
              <w:top w:w="70" w:type="dxa"/>
              <w:left w:w="90" w:type="dxa"/>
              <w:bottom w:w="70" w:type="dxa"/>
              <w:right w:w="90" w:type="dxa"/>
            </w:tcMar>
            <w:vAlign w:val="center"/>
          </w:tcPr>
          <w:p w14:paraId="15272382" w14:textId="77777777" w:rsidR="00A423C3" w:rsidRDefault="00000000">
            <w:pPr>
              <w:spacing w:after="0" w:line="240" w:lineRule="auto"/>
              <w:jc w:val="left"/>
            </w:pPr>
            <w:r>
              <w:rPr>
                <w:sz w:val="15"/>
              </w:rPr>
              <w:t xml:space="preserve">Shows that probe engineering can improve equipment-free readout, but very low reaction-level values should not be equated with original-food method </w:t>
            </w:r>
            <w:proofErr w:type="spellStart"/>
            <w:r>
              <w:rPr>
                <w:sz w:val="15"/>
              </w:rPr>
              <w:t>LoD</w:t>
            </w:r>
            <w:proofErr w:type="spellEnd"/>
          </w:p>
        </w:tc>
        <w:tc>
          <w:tcPr>
            <w:tcW w:w="655" w:type="pct"/>
            <w:tcMar>
              <w:top w:w="70" w:type="dxa"/>
              <w:left w:w="90" w:type="dxa"/>
              <w:bottom w:w="70" w:type="dxa"/>
              <w:right w:w="90" w:type="dxa"/>
            </w:tcMar>
            <w:vAlign w:val="center"/>
          </w:tcPr>
          <w:p w14:paraId="1989FEF5" w14:textId="77777777" w:rsidR="00A423C3" w:rsidRDefault="00000000">
            <w:pPr>
              <w:spacing w:after="0" w:line="240" w:lineRule="auto"/>
              <w:jc w:val="left"/>
            </w:pPr>
            <w:proofErr w:type="spellStart"/>
            <w:r>
              <w:rPr>
                <w:sz w:val="15"/>
              </w:rPr>
              <w:t>Safenkova</w:t>
            </w:r>
            <w:proofErr w:type="spellEnd"/>
            <w:r>
              <w:rPr>
                <w:sz w:val="15"/>
              </w:rPr>
              <w:t xml:space="preserve"> et al. (2026)</w:t>
            </w:r>
          </w:p>
        </w:tc>
      </w:tr>
      <w:tr w:rsidR="00A423C3" w14:paraId="7DC53441" w14:textId="77777777" w:rsidTr="00916311">
        <w:trPr>
          <w:cantSplit/>
          <w:jc w:val="center"/>
        </w:trPr>
        <w:tc>
          <w:tcPr>
            <w:tcW w:w="931" w:type="pct"/>
            <w:tcMar>
              <w:top w:w="70" w:type="dxa"/>
              <w:left w:w="90" w:type="dxa"/>
              <w:bottom w:w="70" w:type="dxa"/>
              <w:right w:w="90" w:type="dxa"/>
            </w:tcMar>
            <w:vAlign w:val="center"/>
          </w:tcPr>
          <w:p w14:paraId="41AD305B" w14:textId="77777777" w:rsidR="00A423C3" w:rsidRDefault="00000000">
            <w:pPr>
              <w:spacing w:after="0" w:line="240" w:lineRule="auto"/>
              <w:jc w:val="left"/>
            </w:pPr>
            <w:r>
              <w:rPr>
                <w:sz w:val="15"/>
              </w:rPr>
              <w:t xml:space="preserve">Viable </w:t>
            </w:r>
            <w:r>
              <w:rPr>
                <w:i/>
                <w:sz w:val="15"/>
              </w:rPr>
              <w:t>E. coli</w:t>
            </w:r>
            <w:r>
              <w:rPr>
                <w:sz w:val="15"/>
              </w:rPr>
              <w:t>; spinach homogenate</w:t>
            </w:r>
          </w:p>
        </w:tc>
        <w:tc>
          <w:tcPr>
            <w:tcW w:w="1000" w:type="pct"/>
            <w:tcMar>
              <w:top w:w="70" w:type="dxa"/>
              <w:left w:w="90" w:type="dxa"/>
              <w:bottom w:w="70" w:type="dxa"/>
              <w:right w:w="90" w:type="dxa"/>
            </w:tcMar>
            <w:vAlign w:val="center"/>
          </w:tcPr>
          <w:p w14:paraId="2C24EC73" w14:textId="77777777" w:rsidR="00A423C3" w:rsidRDefault="00000000">
            <w:pPr>
              <w:spacing w:after="0" w:line="240" w:lineRule="auto"/>
              <w:jc w:val="left"/>
            </w:pPr>
            <w:r>
              <w:rPr>
                <w:sz w:val="15"/>
              </w:rPr>
              <w:t>Phage T7 amplification + Cas12a</w:t>
            </w:r>
          </w:p>
        </w:tc>
        <w:tc>
          <w:tcPr>
            <w:tcW w:w="1172" w:type="pct"/>
            <w:tcMar>
              <w:top w:w="70" w:type="dxa"/>
              <w:left w:w="90" w:type="dxa"/>
              <w:bottom w:w="70" w:type="dxa"/>
              <w:right w:w="90" w:type="dxa"/>
            </w:tcMar>
            <w:vAlign w:val="center"/>
          </w:tcPr>
          <w:p w14:paraId="1F8FC601" w14:textId="77777777" w:rsidR="00A423C3" w:rsidRDefault="00000000">
            <w:pPr>
              <w:spacing w:after="0" w:line="240" w:lineRule="auto"/>
              <w:jc w:val="left"/>
            </w:pPr>
            <w:r>
              <w:rPr>
                <w:sz w:val="15"/>
              </w:rPr>
              <w:t>1 CFU/mL in broth; 10^2 CFU/mL in spinach; 8 h 15 min</w:t>
            </w:r>
          </w:p>
        </w:tc>
        <w:tc>
          <w:tcPr>
            <w:tcW w:w="1241" w:type="pct"/>
            <w:tcMar>
              <w:top w:w="70" w:type="dxa"/>
              <w:left w:w="90" w:type="dxa"/>
              <w:bottom w:w="70" w:type="dxa"/>
              <w:right w:w="90" w:type="dxa"/>
            </w:tcMar>
            <w:vAlign w:val="center"/>
          </w:tcPr>
          <w:p w14:paraId="69ABE01D" w14:textId="77777777" w:rsidR="00A423C3" w:rsidRDefault="00000000">
            <w:pPr>
              <w:spacing w:after="0" w:line="240" w:lineRule="auto"/>
              <w:jc w:val="left"/>
            </w:pPr>
            <w:r>
              <w:rPr>
                <w:sz w:val="15"/>
              </w:rPr>
              <w:t>Biological amplification creates viability selectivity but sacrifices speed and depends on phage-host range</w:t>
            </w:r>
          </w:p>
        </w:tc>
        <w:tc>
          <w:tcPr>
            <w:tcW w:w="655" w:type="pct"/>
            <w:tcMar>
              <w:top w:w="70" w:type="dxa"/>
              <w:left w:w="90" w:type="dxa"/>
              <w:bottom w:w="70" w:type="dxa"/>
              <w:right w:w="90" w:type="dxa"/>
            </w:tcMar>
            <w:vAlign w:val="center"/>
          </w:tcPr>
          <w:p w14:paraId="01C1AAE1" w14:textId="77777777" w:rsidR="00A423C3" w:rsidRDefault="00000000">
            <w:pPr>
              <w:spacing w:after="0" w:line="240" w:lineRule="auto"/>
              <w:jc w:val="left"/>
            </w:pPr>
            <w:proofErr w:type="spellStart"/>
            <w:r>
              <w:rPr>
                <w:sz w:val="15"/>
              </w:rPr>
              <w:t>Wisuthiphaet</w:t>
            </w:r>
            <w:proofErr w:type="spellEnd"/>
            <w:r>
              <w:rPr>
                <w:sz w:val="15"/>
              </w:rPr>
              <w:t xml:space="preserve"> et al. (2026)</w:t>
            </w:r>
          </w:p>
        </w:tc>
      </w:tr>
    </w:tbl>
    <w:p w14:paraId="11729C80" w14:textId="77777777" w:rsidR="00A423C3" w:rsidRDefault="00000000">
      <w:pPr>
        <w:spacing w:before="60" w:after="160"/>
      </w:pPr>
      <w:r>
        <w:rPr>
          <w:i/>
          <w:sz w:val="17"/>
        </w:rPr>
        <w:t xml:space="preserve">Note. </w:t>
      </w:r>
      <w:r>
        <w:rPr>
          <w:sz w:val="17"/>
        </w:rPr>
        <w:t xml:space="preserve">CFU = colony-forming units; LAMP = loop-mediated isothermal amplification; </w:t>
      </w:r>
      <w:proofErr w:type="spellStart"/>
      <w:r>
        <w:rPr>
          <w:sz w:val="17"/>
        </w:rPr>
        <w:t>LoD</w:t>
      </w:r>
      <w:proofErr w:type="spellEnd"/>
      <w:r>
        <w:rPr>
          <w:sz w:val="17"/>
        </w:rPr>
        <w:t xml:space="preserve"> = limit of detection; PMA = propidium </w:t>
      </w:r>
      <w:proofErr w:type="spellStart"/>
      <w:r>
        <w:rPr>
          <w:sz w:val="17"/>
        </w:rPr>
        <w:t>monoazide</w:t>
      </w:r>
      <w:proofErr w:type="spellEnd"/>
      <w:r>
        <w:rPr>
          <w:sz w:val="17"/>
        </w:rPr>
        <w:t>; RAA = recombinase-aided amplification; RPA = recombinase polymerase amplification; RT-LAMP = reverse-transcription LAMP. Reported values are study-specific and are not directly comparable across different sample inputs, enrichments or units.</w:t>
      </w:r>
    </w:p>
    <w:p w14:paraId="74EAA0DB" w14:textId="77777777" w:rsidR="00A423C3" w:rsidRDefault="00000000">
      <w:pPr>
        <w:pStyle w:val="Heading1"/>
      </w:pPr>
      <w:r>
        <w:rPr>
          <w:rFonts w:ascii="Times New Roman" w:hAnsi="Times New Roman"/>
          <w:b w:val="0"/>
        </w:rPr>
        <w:lastRenderedPageBreak/>
        <w:t>7. Comparative Performance, Robustness and Multiplexing</w:t>
      </w:r>
    </w:p>
    <w:p w14:paraId="6829E0E6" w14:textId="77777777" w:rsidR="00A423C3" w:rsidRDefault="00000000">
      <w:pPr>
        <w:pStyle w:val="Heading2"/>
      </w:pPr>
      <w:r>
        <w:rPr>
          <w:rFonts w:ascii="Times New Roman" w:hAnsi="Times New Roman"/>
          <w:b w:val="0"/>
        </w:rPr>
        <w:t>7.1 Why reported limits of detection cannot be compared naively</w:t>
      </w:r>
    </w:p>
    <w:p w14:paraId="29A5D4C3" w14:textId="77777777" w:rsidR="00A423C3" w:rsidRDefault="00000000">
      <w:r>
        <w:t>The limit of detection (</w:t>
      </w:r>
      <w:proofErr w:type="spellStart"/>
      <w:r>
        <w:t>LoD</w:t>
      </w:r>
      <w:proofErr w:type="spellEnd"/>
      <w:r>
        <w:t xml:space="preserve">) is often used as the primary performance headline for CRISPR biosensors, but the term covers several non-equivalent quantities. A purified-template </w:t>
      </w:r>
      <w:proofErr w:type="spellStart"/>
      <w:r>
        <w:t>LoD</w:t>
      </w:r>
      <w:proofErr w:type="spellEnd"/>
      <w:r>
        <w:t xml:space="preserve"> estimates the smallest nucleic-acid input that produces a signal under controlled conditions. A pure-culture </w:t>
      </w:r>
      <w:proofErr w:type="spellStart"/>
      <w:r>
        <w:t>LoD</w:t>
      </w:r>
      <w:proofErr w:type="spellEnd"/>
      <w:r>
        <w:t xml:space="preserve"> adds lysis and biological conversion between cells and target copies. A matrix </w:t>
      </w:r>
      <w:proofErr w:type="spellStart"/>
      <w:r>
        <w:t>LoD</w:t>
      </w:r>
      <w:proofErr w:type="spellEnd"/>
      <w:r>
        <w:t xml:space="preserve"> incorporates extraction losses and inhibition. An initial-contamination threshold after enrichment includes biological amplification. A method-level probability-of-detection limit additionally depends on sample mass, subsampling and replicate design. These values cannot be placed on one numerical axis without reconstructing the entire workflow.</w:t>
      </w:r>
    </w:p>
    <w:p w14:paraId="59E00452" w14:textId="77777777" w:rsidR="00A423C3" w:rsidRDefault="00000000">
      <w:r>
        <w:t>The literature provides concrete examples. Li et al. (2021) reported both an extremely low DNA concentration and a CFU-per-</w:t>
      </w:r>
      <w:proofErr w:type="spellStart"/>
      <w:r>
        <w:t>millilitre</w:t>
      </w:r>
      <w:proofErr w:type="spellEnd"/>
      <w:r>
        <w:t xml:space="preserve"> threshold for </w:t>
      </w:r>
      <w:r>
        <w:rPr>
          <w:i/>
        </w:rPr>
        <w:t>L. monocytogenes</w:t>
      </w:r>
      <w:r>
        <w:t xml:space="preserve">, whereas Lee and Oh (2022) expressed food performance in CFU per gram after filtration. Wang et al. (2024) reported a pure-culture threshold and separately described detection of a low initial contamination level in milk after culture. </w:t>
      </w:r>
      <w:proofErr w:type="spellStart"/>
      <w:r>
        <w:t>Safenkova</w:t>
      </w:r>
      <w:proofErr w:type="spellEnd"/>
      <w:r>
        <w:t xml:space="preserve"> et al. (2026) reported copies per reaction, cells per reaction and spiked-milk performance within the same study. These multiple endpoints are informative when clearly separated; they become misleading when only the smallest number is extracted into a cross-study comparison.</w:t>
      </w:r>
    </w:p>
    <w:p w14:paraId="0212A292" w14:textId="77777777" w:rsidR="00A423C3" w:rsidRDefault="00000000">
      <w:r>
        <w:t xml:space="preserve">A more defensible reporting framework would distinguish at least four levels: analytical </w:t>
      </w:r>
      <w:proofErr w:type="spellStart"/>
      <w:r>
        <w:t>LoD</w:t>
      </w:r>
      <w:proofErr w:type="spellEnd"/>
      <w:r>
        <w:t xml:space="preserve"> for purified target; process </w:t>
      </w:r>
      <w:proofErr w:type="spellStart"/>
      <w:r>
        <w:t>LoD</w:t>
      </w:r>
      <w:proofErr w:type="spellEnd"/>
      <w:r>
        <w:t xml:space="preserve"> after specified lysis/extraction; matrix </w:t>
      </w:r>
      <w:proofErr w:type="spellStart"/>
      <w:r>
        <w:t>LoD</w:t>
      </w:r>
      <w:proofErr w:type="spellEnd"/>
      <w:r>
        <w:t xml:space="preserve"> using a defined sample mass or volume; and initial contamination detectable after a specified enrichment or concentration procedure. Where sufficient replicate data are available, a probability-based </w:t>
      </w:r>
      <w:proofErr w:type="spellStart"/>
      <w:r>
        <w:t>LoD</w:t>
      </w:r>
      <w:proofErr w:type="spellEnd"/>
      <w:r>
        <w:t xml:space="preserve"> such as the concentration detected with 95% probability is more informative than a lowest-observed positive dilution. The denominator also matters. A result in CFU/mL of final extract cannot be interpreted as CFU/g of original food unless all dilution and recovery steps are reported. This reporting discipline would make incremental improvements in Cas chemistry easier to separate from gains produced by larger sample inputs or more efficient concentration.</w:t>
      </w:r>
    </w:p>
    <w:p w14:paraId="1FF37A48" w14:textId="77777777" w:rsidR="00A423C3" w:rsidRDefault="00000000">
      <w:pPr>
        <w:pStyle w:val="Heading2"/>
      </w:pPr>
      <w:r>
        <w:rPr>
          <w:rFonts w:ascii="Times New Roman" w:hAnsi="Times New Roman"/>
          <w:b w:val="0"/>
        </w:rPr>
        <w:t>7.2 Specificity, sequence diversity and false results</w:t>
      </w:r>
    </w:p>
    <w:p w14:paraId="5AA6DB52" w14:textId="77777777" w:rsidR="00A423C3" w:rsidRDefault="00000000">
      <w:r>
        <w:t xml:space="preserve">CRISPR specificity is a function of the whole assay, not of guide RNA alone. Primer pairs, guide sequence, target conservation, protospacer-adjacent motif availability and reporter threshold collectively shape inclusivity and exclusivity. Huang et al. (2021) strengthened their </w:t>
      </w:r>
      <w:r>
        <w:rPr>
          <w:i/>
        </w:rPr>
        <w:t xml:space="preserve">C. </w:t>
      </w:r>
      <w:proofErr w:type="spellStart"/>
      <w:r>
        <w:rPr>
          <w:i/>
        </w:rPr>
        <w:t>jejuni</w:t>
      </w:r>
      <w:proofErr w:type="spellEnd"/>
      <w:r>
        <w:t xml:space="preserve"> assay by selecting genomic signatures through large-scale sequence comparison. This type of in-silico population analysis should become routine for foodborne targets with substantial genomic diversity. A guide designed against a laboratory reference strain may appear perfectly specific in a small organism panel yet fail to detect a divergent lineage encountered in surveillance.</w:t>
      </w:r>
    </w:p>
    <w:p w14:paraId="4E38CE5A" w14:textId="77777777" w:rsidR="00A423C3" w:rsidRDefault="00000000">
      <w:r>
        <w:t xml:space="preserve">False positives can arise from non-specific amplification, amplicon carryover, contamination during tube transfer or thresholding of weak visual signals. A CRISPR recognition step can reduce false positives generated by non-specific LAMP products, but it cannot eliminate contamination with a genuine target amplicon. This is one reason closed-tube one-pot designs are attractive. False negatives can arise from matrix inhibition, insufficient sample input, sequence variation, inefficient guide-target kinetics or target damage during processing. The balance between these errors depends on intended use. A high-throughput screening assay may be designed to </w:t>
      </w:r>
      <w:proofErr w:type="spellStart"/>
      <w:r>
        <w:t>minimise</w:t>
      </w:r>
      <w:proofErr w:type="spellEnd"/>
      <w:r>
        <w:t xml:space="preserve"> false negatives and accept confirmatory testing, whereas a release decision may demand a more stringent false-positive profile.</w:t>
      </w:r>
    </w:p>
    <w:p w14:paraId="74512C4F" w14:textId="77777777" w:rsidR="00A423C3" w:rsidRDefault="00000000">
      <w:r>
        <w:t xml:space="preserve">Internal controls are consequently essential. A field-deployable CRISPR assay should ideally contain process controls that reveal failed lysis or extraction, amplification controls that distinguish true negatives from inhibited reactions, and readout controls that confirm reporter integrity. Many academic studies focus on a </w:t>
      </w:r>
      <w:r>
        <w:lastRenderedPageBreak/>
        <w:t>target-positive and no-template control but do not implement a full process-control scheme suitable for routine quality assurance. This gap is more consequential than small differences in fluorescence intensity because an apparently negative on-site test without an inhibition control may be uninterpretable.</w:t>
      </w:r>
    </w:p>
    <w:p w14:paraId="691DB5D4" w14:textId="77777777" w:rsidR="00A423C3" w:rsidRDefault="00000000">
      <w:pPr>
        <w:pStyle w:val="Heading2"/>
      </w:pPr>
      <w:r>
        <w:rPr>
          <w:rFonts w:ascii="Times New Roman" w:hAnsi="Times New Roman"/>
          <w:b w:val="0"/>
        </w:rPr>
        <w:t>7.3 Multiplexing: the unresolved throughput problem</w:t>
      </w:r>
    </w:p>
    <w:p w14:paraId="33D56BD8" w14:textId="77777777" w:rsidR="00A423C3" w:rsidRDefault="00000000">
      <w:r>
        <w:t>Food testing rarely concerns one organism in isolation. A processing facility may need to screen for multiple bacterial pathogens, virulence determinants or serotype markers, while viral testing may require genogroup discrimination. Conventional multiplex qPCR can exploit spectrally separated probes, but CRISPR collateral cleavage creates a channel-sharing problem because an activated effector may cleave any compatible reporter in the same compartment. Multiplexing therefore requires orthogonal effectors with different substrate preferences, spatial separation, distinct reporters or logic that maps groups of targets to separate compartments.</w:t>
      </w:r>
    </w:p>
    <w:p w14:paraId="1D97118A" w14:textId="77777777" w:rsidR="00A423C3" w:rsidRDefault="00000000">
      <w:proofErr w:type="spellStart"/>
      <w:r>
        <w:t>Gootenberg</w:t>
      </w:r>
      <w:proofErr w:type="spellEnd"/>
      <w:r>
        <w:t xml:space="preserve"> et al. (2018) demonstrated orthogonal use of Cas13, Cas12a and Csm6 in a multiplexed diagnostic framework, establishing a mechanistic route to multiple channels. Guan et al. (2025) later showed that mismatch-tolerance </w:t>
      </w:r>
      <w:proofErr w:type="spellStart"/>
      <w:r>
        <w:t>behaviour</w:t>
      </w:r>
      <w:proofErr w:type="spellEnd"/>
      <w:r>
        <w:t xml:space="preserve"> in Cas12a could be deliberately exploited to build approximate and precise detection modes within a multiplexed paper-based format. Although the latter study concerned human papillomavirus rather than foodborne pathogens, it illustrates a transferable design principle: multiplexing can be achieved by engineering recognition logic rather than simply adding more guide RNAs to one collateral-cleavage reaction. Food-specific translation will require testing against mixed microbial communities and concentration imbalances, because a highly abundant target can dominate shared amplification or reporter resources.</w:t>
      </w:r>
    </w:p>
    <w:p w14:paraId="4788AD54" w14:textId="77777777" w:rsidR="00A423C3" w:rsidRDefault="00000000">
      <w:r>
        <w:t xml:space="preserve">Spatial partitioning is another route. Digital CRISPR distributes reactions into many small compartments, allowing target-specific counting and potentially reducing cross-talk when compartments are assigned to different guides. Yin et al. (2024) demonstrated the value of microwell confinement for rapid </w:t>
      </w:r>
      <w:r>
        <w:rPr>
          <w:i/>
        </w:rPr>
        <w:t>E. coli</w:t>
      </w:r>
      <w:r>
        <w:t xml:space="preserve"> O157:H7 measurement. Microfluidic multiplexing could extend this principle to multiple pathogens, but channel design, sample splitting and device manufacture reduce the simplicity often claimed for CRISPR. There is therefore a realistic trade-off between multiplex breadth and the minimal-instrument ethos of many point-of-use assays.</w:t>
      </w:r>
    </w:p>
    <w:p w14:paraId="616E5352" w14:textId="77777777" w:rsidR="00A423C3" w:rsidRDefault="00000000">
      <w:pPr>
        <w:pStyle w:val="Heading2"/>
      </w:pPr>
      <w:r>
        <w:rPr>
          <w:rFonts w:ascii="Times New Roman" w:hAnsi="Times New Roman"/>
          <w:b w:val="0"/>
        </w:rPr>
        <w:t xml:space="preserve">7.4 Robustness should displace nominal sensitivity as the dominant </w:t>
      </w:r>
      <w:proofErr w:type="spellStart"/>
      <w:r>
        <w:rPr>
          <w:rFonts w:ascii="Times New Roman" w:hAnsi="Times New Roman"/>
          <w:b w:val="0"/>
        </w:rPr>
        <w:t>optimisation</w:t>
      </w:r>
      <w:proofErr w:type="spellEnd"/>
      <w:r>
        <w:rPr>
          <w:rFonts w:ascii="Times New Roman" w:hAnsi="Times New Roman"/>
          <w:b w:val="0"/>
        </w:rPr>
        <w:t xml:space="preserve"> target</w:t>
      </w:r>
    </w:p>
    <w:p w14:paraId="607F4887" w14:textId="77777777" w:rsidR="00A423C3" w:rsidRDefault="00000000">
      <w:r>
        <w:t>As analytical LoDs move into single-copy or low-CFU territory, further gains may yield limited practical benefit unless robustness improves. An assay that detects one copy in purified buffer but fails unpredictably in high-fat foods is less useful than a method with a higher analytical threshold and stable recovery across matrices. Robustness should include tolerance to food chemistry, variation in incubation temperature, operator handling, reagent age, device calibration and differences between target strains. It should also include resistance to environmental contamination in facilities where amplified nucleic acid may accumulate over time.</w:t>
      </w:r>
    </w:p>
    <w:p w14:paraId="0E0E57C9" w14:textId="77777777" w:rsidR="00A423C3" w:rsidRDefault="00000000">
      <w:r>
        <w:t>This shift in emphasis has implications for research design. Studies should compare the complete workflow against a prespecified reference method over relevant concentration ranges, include near-threshold replicates, report invalid results, and test multiple lots or operators where feasible. They should also separate precision of the analytical reaction from uncertainty introduced by sampling and recovery. Such evidence is relatively uncommon in the current CRISPR food literature, which means confidence in broad deployment claims remains lower than confidence in the underlying molecular mechanism.</w:t>
      </w:r>
    </w:p>
    <w:p w14:paraId="574A6D58" w14:textId="77777777" w:rsidR="00A423C3" w:rsidRDefault="00000000">
      <w:pPr>
        <w:pStyle w:val="Heading1"/>
      </w:pPr>
      <w:r>
        <w:rPr>
          <w:rFonts w:ascii="Times New Roman" w:hAnsi="Times New Roman"/>
          <w:b w:val="0"/>
        </w:rPr>
        <w:lastRenderedPageBreak/>
        <w:t>8. Translation into Food-Safety Surveillance and Routine Testing</w:t>
      </w:r>
    </w:p>
    <w:p w14:paraId="5D51B311" w14:textId="77777777" w:rsidR="00A423C3" w:rsidRDefault="00000000">
      <w:pPr>
        <w:pStyle w:val="Heading2"/>
      </w:pPr>
      <w:r>
        <w:rPr>
          <w:rFonts w:ascii="Times New Roman" w:hAnsi="Times New Roman"/>
          <w:b w:val="0"/>
        </w:rPr>
        <w:t>8.1 A tiered rather than replacement model</w:t>
      </w:r>
    </w:p>
    <w:p w14:paraId="224F74CF" w14:textId="77777777" w:rsidR="00A423C3" w:rsidRDefault="00000000">
      <w:r>
        <w:t xml:space="preserve">The strongest translational argument for CRISPR is not that it will replace culture, qPCR, </w:t>
      </w:r>
      <w:proofErr w:type="spellStart"/>
      <w:r>
        <w:t>dPCR</w:t>
      </w:r>
      <w:proofErr w:type="spellEnd"/>
      <w:r>
        <w:t xml:space="preserve"> or sequencing, but that it can shorten targeted decisions within a tiered workflow. A rapid Cas12a assay can screen an enriched or concentrated sample for a defined pathogen at the production site or regional laboratory. A positive result can then be confirmed or quantified by qPCR/</w:t>
      </w:r>
      <w:proofErr w:type="spellStart"/>
      <w:r>
        <w:t>dPCR</w:t>
      </w:r>
      <w:proofErr w:type="spellEnd"/>
      <w:r>
        <w:t xml:space="preserve">, linked to culture when a viable isolate is required, and escalated to WGS when strain resolution, source attribution or resistance </w:t>
      </w:r>
      <w:proofErr w:type="spellStart"/>
      <w:r>
        <w:t>characterisation</w:t>
      </w:r>
      <w:proofErr w:type="spellEnd"/>
      <w:r>
        <w:t xml:space="preserve"> is needed. When the causal agent is uncertain or a broad genomic profile is required, metagenomic sequencing can precede or complement targeted confirmation. Lin et al. (2022) provides an empirical example of layered metagenomic, culture and WGS methods during an outbreak rather than reliance on a single platform.</w:t>
      </w:r>
    </w:p>
    <w:p w14:paraId="5D40F6AC" w14:textId="77777777" w:rsidR="00A423C3" w:rsidRDefault="00000000">
      <w:r>
        <w:t xml:space="preserve">This architecture also resolves an apparent tension between rapid testing and epidemiological surveillance. CRISPR can reduce the time to a target-specific screening result, but a binary positive signal contains little information about relatedness between cases or food isolates. WGS supplies that relationship information, and evidence from national surveillance shows that increased genomic resolution can change cluster detection and response (Morton et al., 2024). </w:t>
      </w:r>
      <w:proofErr w:type="spellStart"/>
      <w:r>
        <w:t>Schadron</w:t>
      </w:r>
      <w:proofErr w:type="spellEnd"/>
      <w:r>
        <w:t xml:space="preserve"> et al. (2024) cautions, however, that genomic similarity still requires metadata and biological interpretation. The same principle applies to CRISPR: a molecular result becomes actionable only when embedded in sampling context, food history and an explicit response pathway.</w:t>
      </w:r>
    </w:p>
    <w:p w14:paraId="20441DA5" w14:textId="77777777" w:rsidR="00A423C3" w:rsidRDefault="00000000">
      <w:r>
        <w:t xml:space="preserve">The division of </w:t>
      </w:r>
      <w:proofErr w:type="spellStart"/>
      <w:r>
        <w:t>labour</w:t>
      </w:r>
      <w:proofErr w:type="spellEnd"/>
      <w:r>
        <w:t xml:space="preserve"> is particularly important for viability and regulation. A DNA-positive CRISPR screen may be intentionally conservative in a hazard-monitoring context, yet a regulatory or root-cause investigation may require recovery of a viable organism. The appropriate response is not to force every rapid assay to perform every function. Instead, the laboratory should define the decision threshold, acceptable uncertainty and confirmatory path before choosing the technology. In this model, CRISPR earns a place when its faster targeted recognition changes a decision earlier than established methods without creating unacceptable ambiguity.</w:t>
      </w:r>
    </w:p>
    <w:p w14:paraId="703211C3" w14:textId="77777777" w:rsidR="00A423C3" w:rsidRDefault="00000000">
      <w:pPr>
        <w:pStyle w:val="Heading2"/>
      </w:pPr>
      <w:r>
        <w:rPr>
          <w:rFonts w:ascii="Times New Roman" w:hAnsi="Times New Roman"/>
          <w:b w:val="0"/>
        </w:rPr>
        <w:t>8.2 Validation priorities for routine implementation</w:t>
      </w:r>
    </w:p>
    <w:p w14:paraId="4BE06957" w14:textId="77777777" w:rsidR="00A423C3" w:rsidRDefault="00000000">
      <w:r>
        <w:t xml:space="preserve">Routine implementation requires evidence at the method level. Analytical specificity should include genomic inclusivity analysis and experimental testing of near </w:t>
      </w:r>
      <w:proofErr w:type="spellStart"/>
      <w:r>
        <w:t>neighbours</w:t>
      </w:r>
      <w:proofErr w:type="spellEnd"/>
      <w:r>
        <w:t>. Sensitivity should be reported against a defined original sample input and should distinguish no-enrichment from post-enrichment performance. Matrix validation should cover representative categories rather than one convenient food. Recovery efficiency should be measured for concentration methods such as filtration or immunomagnetic separation. If the intended claim concerns viable organisms, the viability mechanism must be challenged with relevant injured and dead-cell states rather than a single heat-killed control.</w:t>
      </w:r>
    </w:p>
    <w:p w14:paraId="7B36000D" w14:textId="77777777" w:rsidR="00A423C3" w:rsidRDefault="00000000">
      <w:r>
        <w:t xml:space="preserve">Prospective natural-sample validation is the most important missing step for many platforms. Spiking experiments can define analytical </w:t>
      </w:r>
      <w:proofErr w:type="spellStart"/>
      <w:r>
        <w:t>behaviour</w:t>
      </w:r>
      <w:proofErr w:type="spellEnd"/>
      <w:r>
        <w:t xml:space="preserve">, but they do not reproduce the physiological state, spatial distribution or microbial ecology of naturally contaminated foods. A mature method should therefore be tested in blinded prospective samples with a reference procedure, and discordant results should be investigated rather than simply excluded. Inter-laboratory evaluation is equally important because portable systems are often intended for </w:t>
      </w:r>
      <w:proofErr w:type="spellStart"/>
      <w:r>
        <w:t>decentralised</w:t>
      </w:r>
      <w:proofErr w:type="spellEnd"/>
      <w:r>
        <w:t xml:space="preserve"> use, where operator experience, ambient temperature and reagent handling vary more than in a development laboratory.</w:t>
      </w:r>
    </w:p>
    <w:p w14:paraId="61ACDD92" w14:textId="77777777" w:rsidR="00A423C3" w:rsidRDefault="00000000">
      <w:r>
        <w:t xml:space="preserve">Reagent stability and contamination control require explicit qualification. Cas proteins, guide RNAs, polymerases and reporters can have different storage requirements, and cold-chain dependence can </w:t>
      </w:r>
      <w:r>
        <w:lastRenderedPageBreak/>
        <w:t xml:space="preserve">undermine deployment claims. </w:t>
      </w:r>
      <w:proofErr w:type="spellStart"/>
      <w:r>
        <w:t>Lyophilisation</w:t>
      </w:r>
      <w:proofErr w:type="spellEnd"/>
      <w:r>
        <w:t xml:space="preserve"> and sealed cartridges may improve stability, but must be evaluated over realistic temperature and humidity conditions. One-pot designs can reduce amplicon carryover, yet they need reaction-level controls to detect inhibition. Lateral-flow devices need lot consistency and objective interpretation near the cut-off. Electrochemical devices require electrode reproducibility and calibration. These are manufacturing and quality-system questions rather than molecular-biology questions, but they determine whether the assay can move beyond a research prototype.</w:t>
      </w:r>
    </w:p>
    <w:p w14:paraId="3FBD04C7" w14:textId="77777777" w:rsidR="00A423C3" w:rsidRDefault="00000000">
      <w:r>
        <w:t xml:space="preserve">Cost should likewise be evaluated per actionable result, not per reaction. A low reagent cost can be offset by failed tests, repeat testing, enrichment </w:t>
      </w:r>
      <w:proofErr w:type="spellStart"/>
      <w:r>
        <w:t>labour</w:t>
      </w:r>
      <w:proofErr w:type="spellEnd"/>
      <w:r>
        <w:t xml:space="preserve"> or the need for confirmatory methods. Conversely, a more expensive rapid screen may be justified if earlier release of uncontaminated product or earlier containment of a positive lot has material operational value. Economic comparisons should therefore include sample preparation, </w:t>
      </w:r>
      <w:proofErr w:type="spellStart"/>
      <w:r>
        <w:t>labour</w:t>
      </w:r>
      <w:proofErr w:type="spellEnd"/>
      <w:r>
        <w:t>, instrumentation, quality-control materials, invalid rates, confirmation and information value. Similar reasoning applies to sequencing: WGS may be more expensive than a targeted test but can answer several surveillance questions simultaneously.</w:t>
      </w:r>
    </w:p>
    <w:p w14:paraId="516D1EDC" w14:textId="77777777" w:rsidR="00A423C3" w:rsidRDefault="00000000">
      <w:r>
        <w:t xml:space="preserve">Table 5 translates these considerations into a minimum evidence package for method progression. The emphasis is deliberately on decision-quality validation rather than on another record-low </w:t>
      </w:r>
      <w:proofErr w:type="spellStart"/>
      <w:r>
        <w:t>LoD</w:t>
      </w:r>
      <w:proofErr w:type="spellEnd"/>
      <w:r>
        <w:t>. This reframing aligns CRISPR development with the standards expected of routine microbiological methods and provides a clearer basis for determining when a prototype is ready for comparative, inter-laboratory or regulatory evaluation.</w:t>
      </w:r>
    </w:p>
    <w:p w14:paraId="6245AC38" w14:textId="77777777" w:rsidR="00A423C3" w:rsidRDefault="00000000">
      <w:pPr>
        <w:pStyle w:val="TableCaption"/>
      </w:pPr>
      <w:r>
        <w:rPr>
          <w:b w:val="0"/>
        </w:rPr>
        <w:t>Table 5. Minimum evidence package for progression of CRISPR food diagnostics from prototype to routine testing</w:t>
      </w:r>
    </w:p>
    <w:tbl>
      <w:tblPr>
        <w:tblStyle w:val="TableGrid"/>
        <w:tblW w:w="5000" w:type="pct"/>
        <w:jc w:val="center"/>
        <w:tblLook w:val="04A0" w:firstRow="1" w:lastRow="0" w:firstColumn="1" w:lastColumn="0" w:noHBand="0" w:noVBand="1"/>
      </w:tblPr>
      <w:tblGrid>
        <w:gridCol w:w="1699"/>
        <w:gridCol w:w="2378"/>
        <w:gridCol w:w="2173"/>
        <w:gridCol w:w="2172"/>
        <w:gridCol w:w="1426"/>
      </w:tblGrid>
      <w:tr w:rsidR="00A423C3" w14:paraId="3BC3D281" w14:textId="77777777" w:rsidTr="00916311">
        <w:trPr>
          <w:cantSplit/>
          <w:tblHeader/>
          <w:jc w:val="center"/>
        </w:trPr>
        <w:tc>
          <w:tcPr>
            <w:tcW w:w="862" w:type="pct"/>
            <w:shd w:val="clear" w:color="auto" w:fill="D9E2F3"/>
            <w:tcMar>
              <w:top w:w="90" w:type="dxa"/>
              <w:left w:w="100" w:type="dxa"/>
              <w:bottom w:w="90" w:type="dxa"/>
              <w:right w:w="100" w:type="dxa"/>
            </w:tcMar>
            <w:vAlign w:val="center"/>
          </w:tcPr>
          <w:p w14:paraId="25ECD96E" w14:textId="77777777" w:rsidR="00A423C3" w:rsidRDefault="00000000">
            <w:pPr>
              <w:spacing w:after="0" w:line="240" w:lineRule="auto"/>
              <w:jc w:val="center"/>
            </w:pPr>
            <w:r>
              <w:rPr>
                <w:b/>
                <w:sz w:val="16"/>
              </w:rPr>
              <w:t>Validation domain</w:t>
            </w:r>
          </w:p>
        </w:tc>
        <w:tc>
          <w:tcPr>
            <w:tcW w:w="1207" w:type="pct"/>
            <w:shd w:val="clear" w:color="auto" w:fill="D9E2F3"/>
            <w:tcMar>
              <w:top w:w="90" w:type="dxa"/>
              <w:left w:w="100" w:type="dxa"/>
              <w:bottom w:w="90" w:type="dxa"/>
              <w:right w:w="100" w:type="dxa"/>
            </w:tcMar>
            <w:vAlign w:val="center"/>
          </w:tcPr>
          <w:p w14:paraId="0A5E18D2" w14:textId="77777777" w:rsidR="00A423C3" w:rsidRDefault="00000000">
            <w:pPr>
              <w:spacing w:after="0" w:line="240" w:lineRule="auto"/>
              <w:jc w:val="center"/>
            </w:pPr>
            <w:r>
              <w:rPr>
                <w:b/>
                <w:sz w:val="16"/>
              </w:rPr>
              <w:t>Evidence needed</w:t>
            </w:r>
          </w:p>
        </w:tc>
        <w:tc>
          <w:tcPr>
            <w:tcW w:w="1103" w:type="pct"/>
            <w:shd w:val="clear" w:color="auto" w:fill="D9E2F3"/>
            <w:tcMar>
              <w:top w:w="90" w:type="dxa"/>
              <w:left w:w="100" w:type="dxa"/>
              <w:bottom w:w="90" w:type="dxa"/>
              <w:right w:w="100" w:type="dxa"/>
            </w:tcMar>
            <w:vAlign w:val="center"/>
          </w:tcPr>
          <w:p w14:paraId="56EAEB2E" w14:textId="77777777" w:rsidR="00A423C3" w:rsidRDefault="00000000">
            <w:pPr>
              <w:spacing w:after="0" w:line="240" w:lineRule="auto"/>
              <w:jc w:val="center"/>
            </w:pPr>
            <w:r>
              <w:rPr>
                <w:b/>
                <w:sz w:val="16"/>
              </w:rPr>
              <w:t>Why it matters</w:t>
            </w:r>
          </w:p>
        </w:tc>
        <w:tc>
          <w:tcPr>
            <w:tcW w:w="1103" w:type="pct"/>
            <w:shd w:val="clear" w:color="auto" w:fill="D9E2F3"/>
            <w:tcMar>
              <w:top w:w="90" w:type="dxa"/>
              <w:left w:w="100" w:type="dxa"/>
              <w:bottom w:w="90" w:type="dxa"/>
              <w:right w:w="100" w:type="dxa"/>
            </w:tcMar>
            <w:vAlign w:val="center"/>
          </w:tcPr>
          <w:p w14:paraId="0D4D3B13" w14:textId="77777777" w:rsidR="00A423C3" w:rsidRDefault="00000000">
            <w:pPr>
              <w:spacing w:after="0" w:line="240" w:lineRule="auto"/>
              <w:jc w:val="center"/>
            </w:pPr>
            <w:r>
              <w:rPr>
                <w:b/>
                <w:sz w:val="16"/>
              </w:rPr>
              <w:t>Preferred reporting endpoint</w:t>
            </w:r>
          </w:p>
        </w:tc>
        <w:tc>
          <w:tcPr>
            <w:tcW w:w="724" w:type="pct"/>
            <w:shd w:val="clear" w:color="auto" w:fill="D9E2F3"/>
            <w:tcMar>
              <w:top w:w="90" w:type="dxa"/>
              <w:left w:w="100" w:type="dxa"/>
              <w:bottom w:w="90" w:type="dxa"/>
              <w:right w:w="100" w:type="dxa"/>
            </w:tcMar>
            <w:vAlign w:val="center"/>
          </w:tcPr>
          <w:p w14:paraId="66E008F0" w14:textId="77777777" w:rsidR="00A423C3" w:rsidRDefault="00000000">
            <w:pPr>
              <w:spacing w:after="0" w:line="240" w:lineRule="auto"/>
              <w:jc w:val="center"/>
            </w:pPr>
            <w:r>
              <w:rPr>
                <w:b/>
                <w:sz w:val="16"/>
              </w:rPr>
              <w:t>Supporting references</w:t>
            </w:r>
          </w:p>
        </w:tc>
      </w:tr>
      <w:tr w:rsidR="00A423C3" w14:paraId="3477FE72" w14:textId="77777777" w:rsidTr="00916311">
        <w:trPr>
          <w:cantSplit/>
          <w:jc w:val="center"/>
        </w:trPr>
        <w:tc>
          <w:tcPr>
            <w:tcW w:w="862" w:type="pct"/>
            <w:tcMar>
              <w:top w:w="70" w:type="dxa"/>
              <w:left w:w="90" w:type="dxa"/>
              <w:bottom w:w="70" w:type="dxa"/>
              <w:right w:w="90" w:type="dxa"/>
            </w:tcMar>
            <w:vAlign w:val="center"/>
          </w:tcPr>
          <w:p w14:paraId="626F673E" w14:textId="77777777" w:rsidR="00A423C3" w:rsidRDefault="00000000">
            <w:pPr>
              <w:spacing w:after="0" w:line="240" w:lineRule="auto"/>
              <w:jc w:val="left"/>
            </w:pPr>
            <w:r>
              <w:rPr>
                <w:sz w:val="15"/>
              </w:rPr>
              <w:t>Analytical sensitivity</w:t>
            </w:r>
          </w:p>
        </w:tc>
        <w:tc>
          <w:tcPr>
            <w:tcW w:w="1207" w:type="pct"/>
            <w:tcMar>
              <w:top w:w="70" w:type="dxa"/>
              <w:left w:w="90" w:type="dxa"/>
              <w:bottom w:w="70" w:type="dxa"/>
              <w:right w:w="90" w:type="dxa"/>
            </w:tcMar>
            <w:vAlign w:val="center"/>
          </w:tcPr>
          <w:p w14:paraId="66D8A131" w14:textId="77777777" w:rsidR="00A423C3" w:rsidRDefault="00000000">
            <w:pPr>
              <w:spacing w:after="0" w:line="240" w:lineRule="auto"/>
              <w:jc w:val="left"/>
            </w:pPr>
            <w:r>
              <w:rPr>
                <w:sz w:val="15"/>
              </w:rPr>
              <w:t>Replicate dilution series near the decision threshold; purified target clearly separated from cell-based testing</w:t>
            </w:r>
          </w:p>
        </w:tc>
        <w:tc>
          <w:tcPr>
            <w:tcW w:w="1103" w:type="pct"/>
            <w:tcMar>
              <w:top w:w="70" w:type="dxa"/>
              <w:left w:w="90" w:type="dxa"/>
              <w:bottom w:w="70" w:type="dxa"/>
              <w:right w:w="90" w:type="dxa"/>
            </w:tcMar>
            <w:vAlign w:val="center"/>
          </w:tcPr>
          <w:p w14:paraId="1FACD5AE" w14:textId="77777777" w:rsidR="00A423C3" w:rsidRDefault="00000000">
            <w:pPr>
              <w:spacing w:after="0" w:line="240" w:lineRule="auto"/>
              <w:jc w:val="left"/>
            </w:pPr>
            <w:r>
              <w:rPr>
                <w:sz w:val="15"/>
              </w:rPr>
              <w:t xml:space="preserve">Prevents a lowest-observed positive from being treated as a universal method </w:t>
            </w:r>
            <w:proofErr w:type="spellStart"/>
            <w:r>
              <w:rPr>
                <w:sz w:val="15"/>
              </w:rPr>
              <w:t>LoD</w:t>
            </w:r>
            <w:proofErr w:type="spellEnd"/>
          </w:p>
        </w:tc>
        <w:tc>
          <w:tcPr>
            <w:tcW w:w="1103" w:type="pct"/>
            <w:tcMar>
              <w:top w:w="70" w:type="dxa"/>
              <w:left w:w="90" w:type="dxa"/>
              <w:bottom w:w="70" w:type="dxa"/>
              <w:right w:w="90" w:type="dxa"/>
            </w:tcMar>
            <w:vAlign w:val="center"/>
          </w:tcPr>
          <w:p w14:paraId="448E37DF" w14:textId="77777777" w:rsidR="00A423C3" w:rsidRDefault="00000000">
            <w:pPr>
              <w:spacing w:after="0" w:line="240" w:lineRule="auto"/>
              <w:jc w:val="left"/>
            </w:pPr>
            <w:r>
              <w:rPr>
                <w:sz w:val="15"/>
              </w:rPr>
              <w:t xml:space="preserve">Probability-based </w:t>
            </w:r>
            <w:proofErr w:type="spellStart"/>
            <w:r>
              <w:rPr>
                <w:sz w:val="15"/>
              </w:rPr>
              <w:t>LoD</w:t>
            </w:r>
            <w:proofErr w:type="spellEnd"/>
            <w:r>
              <w:rPr>
                <w:sz w:val="15"/>
              </w:rPr>
              <w:t xml:space="preserve"> where feasible, with reaction volume and target units</w:t>
            </w:r>
          </w:p>
        </w:tc>
        <w:tc>
          <w:tcPr>
            <w:tcW w:w="724" w:type="pct"/>
            <w:tcMar>
              <w:top w:w="70" w:type="dxa"/>
              <w:left w:w="90" w:type="dxa"/>
              <w:bottom w:w="70" w:type="dxa"/>
              <w:right w:w="90" w:type="dxa"/>
            </w:tcMar>
            <w:vAlign w:val="center"/>
          </w:tcPr>
          <w:p w14:paraId="1F0240AD" w14:textId="77777777" w:rsidR="00A423C3" w:rsidRDefault="00000000">
            <w:pPr>
              <w:spacing w:after="0" w:line="240" w:lineRule="auto"/>
              <w:jc w:val="left"/>
            </w:pPr>
            <w:r>
              <w:rPr>
                <w:sz w:val="15"/>
              </w:rPr>
              <w:t>Li et al. (2022); Yang et al. (2026)</w:t>
            </w:r>
          </w:p>
        </w:tc>
      </w:tr>
      <w:tr w:rsidR="00A423C3" w14:paraId="2AD22E63" w14:textId="77777777" w:rsidTr="00916311">
        <w:trPr>
          <w:cantSplit/>
          <w:jc w:val="center"/>
        </w:trPr>
        <w:tc>
          <w:tcPr>
            <w:tcW w:w="862" w:type="pct"/>
            <w:tcMar>
              <w:top w:w="70" w:type="dxa"/>
              <w:left w:w="90" w:type="dxa"/>
              <w:bottom w:w="70" w:type="dxa"/>
              <w:right w:w="90" w:type="dxa"/>
            </w:tcMar>
            <w:vAlign w:val="center"/>
          </w:tcPr>
          <w:p w14:paraId="7A692DD5" w14:textId="77777777" w:rsidR="00A423C3" w:rsidRDefault="00000000">
            <w:pPr>
              <w:spacing w:after="0" w:line="240" w:lineRule="auto"/>
              <w:jc w:val="left"/>
            </w:pPr>
            <w:r>
              <w:rPr>
                <w:sz w:val="15"/>
              </w:rPr>
              <w:t>Inclusivity / exclusivity</w:t>
            </w:r>
          </w:p>
        </w:tc>
        <w:tc>
          <w:tcPr>
            <w:tcW w:w="1207" w:type="pct"/>
            <w:tcMar>
              <w:top w:w="70" w:type="dxa"/>
              <w:left w:w="90" w:type="dxa"/>
              <w:bottom w:w="70" w:type="dxa"/>
              <w:right w:w="90" w:type="dxa"/>
            </w:tcMar>
            <w:vAlign w:val="center"/>
          </w:tcPr>
          <w:p w14:paraId="30103D17" w14:textId="77777777" w:rsidR="00A423C3" w:rsidRDefault="00000000">
            <w:pPr>
              <w:spacing w:after="0" w:line="240" w:lineRule="auto"/>
              <w:jc w:val="left"/>
            </w:pPr>
            <w:r>
              <w:rPr>
                <w:sz w:val="15"/>
              </w:rPr>
              <w:t>Large contemporary sequence set plus near-</w:t>
            </w:r>
            <w:proofErr w:type="spellStart"/>
            <w:r>
              <w:rPr>
                <w:sz w:val="15"/>
              </w:rPr>
              <w:t>neighbour</w:t>
            </w:r>
            <w:proofErr w:type="spellEnd"/>
            <w:r>
              <w:rPr>
                <w:sz w:val="15"/>
              </w:rPr>
              <w:t xml:space="preserve"> organism panel</w:t>
            </w:r>
          </w:p>
        </w:tc>
        <w:tc>
          <w:tcPr>
            <w:tcW w:w="1103" w:type="pct"/>
            <w:tcMar>
              <w:top w:w="70" w:type="dxa"/>
              <w:left w:w="90" w:type="dxa"/>
              <w:bottom w:w="70" w:type="dxa"/>
              <w:right w:w="90" w:type="dxa"/>
            </w:tcMar>
            <w:vAlign w:val="center"/>
          </w:tcPr>
          <w:p w14:paraId="7A0466CE" w14:textId="77777777" w:rsidR="00A423C3" w:rsidRDefault="00000000">
            <w:pPr>
              <w:spacing w:after="0" w:line="240" w:lineRule="auto"/>
              <w:jc w:val="left"/>
            </w:pPr>
            <w:r>
              <w:rPr>
                <w:sz w:val="15"/>
              </w:rPr>
              <w:t>Guide and primer performance depend on natural variation and mismatch position</w:t>
            </w:r>
          </w:p>
        </w:tc>
        <w:tc>
          <w:tcPr>
            <w:tcW w:w="1103" w:type="pct"/>
            <w:tcMar>
              <w:top w:w="70" w:type="dxa"/>
              <w:left w:w="90" w:type="dxa"/>
              <w:bottom w:w="70" w:type="dxa"/>
              <w:right w:w="90" w:type="dxa"/>
            </w:tcMar>
            <w:vAlign w:val="center"/>
          </w:tcPr>
          <w:p w14:paraId="15E8E9AB" w14:textId="77777777" w:rsidR="00A423C3" w:rsidRDefault="00000000">
            <w:pPr>
              <w:spacing w:after="0" w:line="240" w:lineRule="auto"/>
              <w:jc w:val="left"/>
            </w:pPr>
            <w:r>
              <w:rPr>
                <w:sz w:val="15"/>
              </w:rPr>
              <w:t>Coverage of intended target population and defined cross-reactivity panel</w:t>
            </w:r>
          </w:p>
        </w:tc>
        <w:tc>
          <w:tcPr>
            <w:tcW w:w="724" w:type="pct"/>
            <w:tcMar>
              <w:top w:w="70" w:type="dxa"/>
              <w:left w:w="90" w:type="dxa"/>
              <w:bottom w:w="70" w:type="dxa"/>
              <w:right w:w="90" w:type="dxa"/>
            </w:tcMar>
            <w:vAlign w:val="center"/>
          </w:tcPr>
          <w:p w14:paraId="23591047" w14:textId="77777777" w:rsidR="00A423C3" w:rsidRDefault="00000000">
            <w:pPr>
              <w:spacing w:after="0" w:line="240" w:lineRule="auto"/>
              <w:jc w:val="left"/>
            </w:pPr>
            <w:r>
              <w:rPr>
                <w:sz w:val="15"/>
              </w:rPr>
              <w:t>Guan et al. (2025); Huang et al. (2021)</w:t>
            </w:r>
          </w:p>
        </w:tc>
      </w:tr>
      <w:tr w:rsidR="00A423C3" w14:paraId="29CD3CA9" w14:textId="77777777" w:rsidTr="00916311">
        <w:trPr>
          <w:cantSplit/>
          <w:jc w:val="center"/>
        </w:trPr>
        <w:tc>
          <w:tcPr>
            <w:tcW w:w="862" w:type="pct"/>
            <w:tcMar>
              <w:top w:w="70" w:type="dxa"/>
              <w:left w:w="90" w:type="dxa"/>
              <w:bottom w:w="70" w:type="dxa"/>
              <w:right w:w="90" w:type="dxa"/>
            </w:tcMar>
            <w:vAlign w:val="center"/>
          </w:tcPr>
          <w:p w14:paraId="5C4A6773" w14:textId="77777777" w:rsidR="00A423C3" w:rsidRDefault="00000000">
            <w:pPr>
              <w:spacing w:after="0" w:line="240" w:lineRule="auto"/>
              <w:jc w:val="left"/>
            </w:pPr>
            <w:r>
              <w:rPr>
                <w:sz w:val="15"/>
              </w:rPr>
              <w:t>Matrix and recovery</w:t>
            </w:r>
          </w:p>
        </w:tc>
        <w:tc>
          <w:tcPr>
            <w:tcW w:w="1207" w:type="pct"/>
            <w:tcMar>
              <w:top w:w="70" w:type="dxa"/>
              <w:left w:w="90" w:type="dxa"/>
              <w:bottom w:w="70" w:type="dxa"/>
              <w:right w:w="90" w:type="dxa"/>
            </w:tcMar>
            <w:vAlign w:val="center"/>
          </w:tcPr>
          <w:p w14:paraId="2D6F9EAA" w14:textId="77777777" w:rsidR="00A423C3" w:rsidRDefault="00000000">
            <w:pPr>
              <w:spacing w:after="0" w:line="240" w:lineRule="auto"/>
              <w:jc w:val="left"/>
            </w:pPr>
            <w:r>
              <w:rPr>
                <w:sz w:val="15"/>
              </w:rPr>
              <w:t>Diverse representative foods; known original sample mass/volume; measured concentration or extraction recovery</w:t>
            </w:r>
          </w:p>
        </w:tc>
        <w:tc>
          <w:tcPr>
            <w:tcW w:w="1103" w:type="pct"/>
            <w:tcMar>
              <w:top w:w="70" w:type="dxa"/>
              <w:left w:w="90" w:type="dxa"/>
              <w:bottom w:w="70" w:type="dxa"/>
              <w:right w:w="90" w:type="dxa"/>
            </w:tcMar>
            <w:vAlign w:val="center"/>
          </w:tcPr>
          <w:p w14:paraId="2E26AB36" w14:textId="77777777" w:rsidR="00A423C3" w:rsidRDefault="00000000">
            <w:pPr>
              <w:spacing w:after="0" w:line="240" w:lineRule="auto"/>
              <w:jc w:val="left"/>
            </w:pPr>
            <w:r>
              <w:rPr>
                <w:sz w:val="15"/>
              </w:rPr>
              <w:t>Food chemistry and subsampling can dominate method sensitivity</w:t>
            </w:r>
          </w:p>
        </w:tc>
        <w:tc>
          <w:tcPr>
            <w:tcW w:w="1103" w:type="pct"/>
            <w:tcMar>
              <w:top w:w="70" w:type="dxa"/>
              <w:left w:w="90" w:type="dxa"/>
              <w:bottom w:w="70" w:type="dxa"/>
              <w:right w:w="90" w:type="dxa"/>
            </w:tcMar>
            <w:vAlign w:val="center"/>
          </w:tcPr>
          <w:p w14:paraId="1C830D16" w14:textId="77777777" w:rsidR="00A423C3" w:rsidRDefault="00000000">
            <w:pPr>
              <w:spacing w:after="0" w:line="240" w:lineRule="auto"/>
              <w:jc w:val="left"/>
            </w:pPr>
            <w:r>
              <w:rPr>
                <w:sz w:val="15"/>
              </w:rPr>
              <w:t>Matrix-specific probability of detection, recovery and invalid rate</w:t>
            </w:r>
          </w:p>
        </w:tc>
        <w:tc>
          <w:tcPr>
            <w:tcW w:w="724" w:type="pct"/>
            <w:tcMar>
              <w:top w:w="70" w:type="dxa"/>
              <w:left w:w="90" w:type="dxa"/>
              <w:bottom w:w="70" w:type="dxa"/>
              <w:right w:w="90" w:type="dxa"/>
            </w:tcMar>
            <w:vAlign w:val="center"/>
          </w:tcPr>
          <w:p w14:paraId="6A99CFFE" w14:textId="77777777" w:rsidR="00A423C3" w:rsidRDefault="00000000">
            <w:pPr>
              <w:spacing w:after="0" w:line="240" w:lineRule="auto"/>
              <w:jc w:val="left"/>
            </w:pPr>
            <w:r>
              <w:rPr>
                <w:sz w:val="15"/>
              </w:rPr>
              <w:t>Lee &amp; Oh (2022); Ma et al. (2024)</w:t>
            </w:r>
          </w:p>
        </w:tc>
      </w:tr>
      <w:tr w:rsidR="00A423C3" w14:paraId="0DB3711C" w14:textId="77777777" w:rsidTr="00916311">
        <w:trPr>
          <w:cantSplit/>
          <w:jc w:val="center"/>
        </w:trPr>
        <w:tc>
          <w:tcPr>
            <w:tcW w:w="862" w:type="pct"/>
            <w:tcMar>
              <w:top w:w="70" w:type="dxa"/>
              <w:left w:w="90" w:type="dxa"/>
              <w:bottom w:w="70" w:type="dxa"/>
              <w:right w:w="90" w:type="dxa"/>
            </w:tcMar>
            <w:vAlign w:val="center"/>
          </w:tcPr>
          <w:p w14:paraId="419CDCC3" w14:textId="77777777" w:rsidR="00A423C3" w:rsidRDefault="00000000">
            <w:pPr>
              <w:spacing w:after="0" w:line="240" w:lineRule="auto"/>
              <w:jc w:val="left"/>
            </w:pPr>
            <w:r>
              <w:rPr>
                <w:sz w:val="15"/>
              </w:rPr>
              <w:t>Viability claim</w:t>
            </w:r>
          </w:p>
        </w:tc>
        <w:tc>
          <w:tcPr>
            <w:tcW w:w="1207" w:type="pct"/>
            <w:tcMar>
              <w:top w:w="70" w:type="dxa"/>
              <w:left w:w="90" w:type="dxa"/>
              <w:bottom w:w="70" w:type="dxa"/>
              <w:right w:w="90" w:type="dxa"/>
            </w:tcMar>
            <w:vAlign w:val="center"/>
          </w:tcPr>
          <w:p w14:paraId="39CDF59D" w14:textId="77777777" w:rsidR="00A423C3" w:rsidRDefault="00000000">
            <w:pPr>
              <w:spacing w:after="0" w:line="240" w:lineRule="auto"/>
              <w:jc w:val="left"/>
            </w:pPr>
            <w:r>
              <w:rPr>
                <w:sz w:val="15"/>
              </w:rPr>
              <w:t>Relevant dead and injured-cell states; comparison with culture or biological reference</w:t>
            </w:r>
          </w:p>
        </w:tc>
        <w:tc>
          <w:tcPr>
            <w:tcW w:w="1103" w:type="pct"/>
            <w:tcMar>
              <w:top w:w="70" w:type="dxa"/>
              <w:left w:w="90" w:type="dxa"/>
              <w:bottom w:w="70" w:type="dxa"/>
              <w:right w:w="90" w:type="dxa"/>
            </w:tcMar>
            <w:vAlign w:val="center"/>
          </w:tcPr>
          <w:p w14:paraId="2D545A88" w14:textId="77777777" w:rsidR="00A423C3" w:rsidRDefault="00000000">
            <w:pPr>
              <w:spacing w:after="0" w:line="240" w:lineRule="auto"/>
              <w:jc w:val="left"/>
            </w:pPr>
            <w:r>
              <w:rPr>
                <w:sz w:val="15"/>
              </w:rPr>
              <w:t>DNA positivity is not synonymous with viable hazard</w:t>
            </w:r>
          </w:p>
        </w:tc>
        <w:tc>
          <w:tcPr>
            <w:tcW w:w="1103" w:type="pct"/>
            <w:tcMar>
              <w:top w:w="70" w:type="dxa"/>
              <w:left w:w="90" w:type="dxa"/>
              <w:bottom w:w="70" w:type="dxa"/>
              <w:right w:w="90" w:type="dxa"/>
            </w:tcMar>
            <w:vAlign w:val="center"/>
          </w:tcPr>
          <w:p w14:paraId="1821ECB9" w14:textId="77777777" w:rsidR="00A423C3" w:rsidRDefault="00000000">
            <w:pPr>
              <w:spacing w:after="0" w:line="240" w:lineRule="auto"/>
              <w:jc w:val="left"/>
            </w:pPr>
            <w:r>
              <w:rPr>
                <w:sz w:val="15"/>
              </w:rPr>
              <w:t>False-positive/false-negative classification across stress conditions</w:t>
            </w:r>
          </w:p>
        </w:tc>
        <w:tc>
          <w:tcPr>
            <w:tcW w:w="724" w:type="pct"/>
            <w:tcMar>
              <w:top w:w="70" w:type="dxa"/>
              <w:left w:w="90" w:type="dxa"/>
              <w:bottom w:w="70" w:type="dxa"/>
              <w:right w:w="90" w:type="dxa"/>
            </w:tcMar>
            <w:vAlign w:val="center"/>
          </w:tcPr>
          <w:p w14:paraId="68833C76" w14:textId="77777777" w:rsidR="00A423C3" w:rsidRDefault="00000000">
            <w:pPr>
              <w:spacing w:after="0" w:line="240" w:lineRule="auto"/>
              <w:jc w:val="left"/>
            </w:pPr>
            <w:proofErr w:type="spellStart"/>
            <w:r>
              <w:rPr>
                <w:sz w:val="15"/>
              </w:rPr>
              <w:t>Wisuthiphaet</w:t>
            </w:r>
            <w:proofErr w:type="spellEnd"/>
            <w:r>
              <w:rPr>
                <w:sz w:val="15"/>
              </w:rPr>
              <w:t xml:space="preserve"> et al. (2026); Yin et al. (2024)</w:t>
            </w:r>
          </w:p>
        </w:tc>
      </w:tr>
      <w:tr w:rsidR="00A423C3" w14:paraId="1B31425B" w14:textId="77777777" w:rsidTr="00916311">
        <w:trPr>
          <w:cantSplit/>
          <w:jc w:val="center"/>
        </w:trPr>
        <w:tc>
          <w:tcPr>
            <w:tcW w:w="862" w:type="pct"/>
            <w:tcMar>
              <w:top w:w="70" w:type="dxa"/>
              <w:left w:w="90" w:type="dxa"/>
              <w:bottom w:w="70" w:type="dxa"/>
              <w:right w:w="90" w:type="dxa"/>
            </w:tcMar>
            <w:vAlign w:val="center"/>
          </w:tcPr>
          <w:p w14:paraId="3806E469" w14:textId="77777777" w:rsidR="00A423C3" w:rsidRDefault="00000000">
            <w:pPr>
              <w:spacing w:after="0" w:line="240" w:lineRule="auto"/>
              <w:jc w:val="left"/>
            </w:pPr>
            <w:r>
              <w:rPr>
                <w:sz w:val="15"/>
              </w:rPr>
              <w:t>Process controls</w:t>
            </w:r>
          </w:p>
        </w:tc>
        <w:tc>
          <w:tcPr>
            <w:tcW w:w="1207" w:type="pct"/>
            <w:tcMar>
              <w:top w:w="70" w:type="dxa"/>
              <w:left w:w="90" w:type="dxa"/>
              <w:bottom w:w="70" w:type="dxa"/>
              <w:right w:w="90" w:type="dxa"/>
            </w:tcMar>
            <w:vAlign w:val="center"/>
          </w:tcPr>
          <w:p w14:paraId="7B75748C" w14:textId="77777777" w:rsidR="00A423C3" w:rsidRDefault="00000000">
            <w:pPr>
              <w:spacing w:after="0" w:line="240" w:lineRule="auto"/>
              <w:jc w:val="left"/>
            </w:pPr>
            <w:r>
              <w:rPr>
                <w:sz w:val="15"/>
              </w:rPr>
              <w:t>Extraction, amplification and readout controls embedded in the complete workflow</w:t>
            </w:r>
          </w:p>
        </w:tc>
        <w:tc>
          <w:tcPr>
            <w:tcW w:w="1103" w:type="pct"/>
            <w:tcMar>
              <w:top w:w="70" w:type="dxa"/>
              <w:left w:w="90" w:type="dxa"/>
              <w:bottom w:w="70" w:type="dxa"/>
              <w:right w:w="90" w:type="dxa"/>
            </w:tcMar>
            <w:vAlign w:val="center"/>
          </w:tcPr>
          <w:p w14:paraId="640507FB" w14:textId="77777777" w:rsidR="00A423C3" w:rsidRDefault="00000000">
            <w:pPr>
              <w:spacing w:after="0" w:line="240" w:lineRule="auto"/>
              <w:jc w:val="left"/>
            </w:pPr>
            <w:r>
              <w:rPr>
                <w:sz w:val="15"/>
              </w:rPr>
              <w:t>Distinguishes true negatives from inhibition or reagent failure</w:t>
            </w:r>
          </w:p>
        </w:tc>
        <w:tc>
          <w:tcPr>
            <w:tcW w:w="1103" w:type="pct"/>
            <w:tcMar>
              <w:top w:w="70" w:type="dxa"/>
              <w:left w:w="90" w:type="dxa"/>
              <w:bottom w:w="70" w:type="dxa"/>
              <w:right w:w="90" w:type="dxa"/>
            </w:tcMar>
            <w:vAlign w:val="center"/>
          </w:tcPr>
          <w:p w14:paraId="30102265" w14:textId="77777777" w:rsidR="00A423C3" w:rsidRDefault="00000000">
            <w:pPr>
              <w:spacing w:after="0" w:line="240" w:lineRule="auto"/>
              <w:jc w:val="left"/>
            </w:pPr>
            <w:r>
              <w:rPr>
                <w:sz w:val="15"/>
              </w:rPr>
              <w:t>Invalid-test rate and control acceptance criteria</w:t>
            </w:r>
          </w:p>
        </w:tc>
        <w:tc>
          <w:tcPr>
            <w:tcW w:w="724" w:type="pct"/>
            <w:tcMar>
              <w:top w:w="70" w:type="dxa"/>
              <w:left w:w="90" w:type="dxa"/>
              <w:bottom w:w="70" w:type="dxa"/>
              <w:right w:w="90" w:type="dxa"/>
            </w:tcMar>
            <w:vAlign w:val="center"/>
          </w:tcPr>
          <w:p w14:paraId="760439FB" w14:textId="77777777" w:rsidR="00A423C3" w:rsidRDefault="00000000">
            <w:pPr>
              <w:spacing w:after="0" w:line="240" w:lineRule="auto"/>
              <w:jc w:val="left"/>
            </w:pPr>
            <w:r>
              <w:rPr>
                <w:sz w:val="15"/>
              </w:rPr>
              <w:t>Lu et al. (2024); Xie et al. (2024)</w:t>
            </w:r>
          </w:p>
        </w:tc>
      </w:tr>
      <w:tr w:rsidR="00A423C3" w14:paraId="7D1125C3" w14:textId="77777777" w:rsidTr="00916311">
        <w:trPr>
          <w:cantSplit/>
          <w:jc w:val="center"/>
        </w:trPr>
        <w:tc>
          <w:tcPr>
            <w:tcW w:w="862" w:type="pct"/>
            <w:tcMar>
              <w:top w:w="70" w:type="dxa"/>
              <w:left w:w="90" w:type="dxa"/>
              <w:bottom w:w="70" w:type="dxa"/>
              <w:right w:w="90" w:type="dxa"/>
            </w:tcMar>
            <w:vAlign w:val="center"/>
          </w:tcPr>
          <w:p w14:paraId="4BCB4D63" w14:textId="77777777" w:rsidR="00A423C3" w:rsidRDefault="00000000">
            <w:pPr>
              <w:spacing w:after="0" w:line="240" w:lineRule="auto"/>
              <w:jc w:val="left"/>
            </w:pPr>
            <w:r>
              <w:rPr>
                <w:sz w:val="15"/>
              </w:rPr>
              <w:t>Contamination control</w:t>
            </w:r>
          </w:p>
        </w:tc>
        <w:tc>
          <w:tcPr>
            <w:tcW w:w="1207" w:type="pct"/>
            <w:tcMar>
              <w:top w:w="70" w:type="dxa"/>
              <w:left w:w="90" w:type="dxa"/>
              <w:bottom w:w="70" w:type="dxa"/>
              <w:right w:w="90" w:type="dxa"/>
            </w:tcMar>
            <w:vAlign w:val="center"/>
          </w:tcPr>
          <w:p w14:paraId="5164AEDF" w14:textId="77777777" w:rsidR="00A423C3" w:rsidRDefault="00000000">
            <w:pPr>
              <w:spacing w:after="0" w:line="240" w:lineRule="auto"/>
              <w:jc w:val="left"/>
            </w:pPr>
            <w:r>
              <w:rPr>
                <w:sz w:val="15"/>
              </w:rPr>
              <w:t>Repeated high-copy challenge; closed-tube comparison; environmental monitoring where appropriate</w:t>
            </w:r>
          </w:p>
        </w:tc>
        <w:tc>
          <w:tcPr>
            <w:tcW w:w="1103" w:type="pct"/>
            <w:tcMar>
              <w:top w:w="70" w:type="dxa"/>
              <w:left w:w="90" w:type="dxa"/>
              <w:bottom w:w="70" w:type="dxa"/>
              <w:right w:w="90" w:type="dxa"/>
            </w:tcMar>
            <w:vAlign w:val="center"/>
          </w:tcPr>
          <w:p w14:paraId="1E958E09" w14:textId="77777777" w:rsidR="00A423C3" w:rsidRDefault="00000000">
            <w:pPr>
              <w:spacing w:after="0" w:line="240" w:lineRule="auto"/>
              <w:jc w:val="left"/>
            </w:pPr>
            <w:r>
              <w:rPr>
                <w:sz w:val="15"/>
              </w:rPr>
              <w:t>Amplification products can cause persistent false positives</w:t>
            </w:r>
          </w:p>
        </w:tc>
        <w:tc>
          <w:tcPr>
            <w:tcW w:w="1103" w:type="pct"/>
            <w:tcMar>
              <w:top w:w="70" w:type="dxa"/>
              <w:left w:w="90" w:type="dxa"/>
              <w:bottom w:w="70" w:type="dxa"/>
              <w:right w:w="90" w:type="dxa"/>
            </w:tcMar>
            <w:vAlign w:val="center"/>
          </w:tcPr>
          <w:p w14:paraId="6A76ADC2" w14:textId="77777777" w:rsidR="00A423C3" w:rsidRDefault="00000000">
            <w:pPr>
              <w:spacing w:after="0" w:line="240" w:lineRule="auto"/>
              <w:jc w:val="left"/>
            </w:pPr>
            <w:r>
              <w:rPr>
                <w:sz w:val="15"/>
              </w:rPr>
              <w:t>Carryover event rate and false-positive rate under stress testing</w:t>
            </w:r>
          </w:p>
        </w:tc>
        <w:tc>
          <w:tcPr>
            <w:tcW w:w="724" w:type="pct"/>
            <w:tcMar>
              <w:top w:w="70" w:type="dxa"/>
              <w:left w:w="90" w:type="dxa"/>
              <w:bottom w:w="70" w:type="dxa"/>
              <w:right w:w="90" w:type="dxa"/>
            </w:tcMar>
            <w:vAlign w:val="center"/>
          </w:tcPr>
          <w:p w14:paraId="65F4D80C" w14:textId="77777777" w:rsidR="00A423C3" w:rsidRDefault="00000000">
            <w:pPr>
              <w:spacing w:after="0" w:line="240" w:lineRule="auto"/>
              <w:jc w:val="left"/>
            </w:pPr>
            <w:r>
              <w:rPr>
                <w:sz w:val="15"/>
              </w:rPr>
              <w:t>An et al. (2021); Xiao et al. (2023)</w:t>
            </w:r>
          </w:p>
        </w:tc>
      </w:tr>
      <w:tr w:rsidR="00A423C3" w14:paraId="35581232" w14:textId="77777777" w:rsidTr="00916311">
        <w:trPr>
          <w:cantSplit/>
          <w:jc w:val="center"/>
        </w:trPr>
        <w:tc>
          <w:tcPr>
            <w:tcW w:w="862" w:type="pct"/>
            <w:tcMar>
              <w:top w:w="70" w:type="dxa"/>
              <w:left w:w="90" w:type="dxa"/>
              <w:bottom w:w="70" w:type="dxa"/>
              <w:right w:w="90" w:type="dxa"/>
            </w:tcMar>
            <w:vAlign w:val="center"/>
          </w:tcPr>
          <w:p w14:paraId="15E2AF24" w14:textId="77777777" w:rsidR="00A423C3" w:rsidRDefault="00000000">
            <w:pPr>
              <w:spacing w:after="0" w:line="240" w:lineRule="auto"/>
              <w:jc w:val="left"/>
            </w:pPr>
            <w:r>
              <w:rPr>
                <w:sz w:val="15"/>
              </w:rPr>
              <w:t>Prospective natural samples</w:t>
            </w:r>
          </w:p>
        </w:tc>
        <w:tc>
          <w:tcPr>
            <w:tcW w:w="1207" w:type="pct"/>
            <w:tcMar>
              <w:top w:w="70" w:type="dxa"/>
              <w:left w:w="90" w:type="dxa"/>
              <w:bottom w:w="70" w:type="dxa"/>
              <w:right w:w="90" w:type="dxa"/>
            </w:tcMar>
            <w:vAlign w:val="center"/>
          </w:tcPr>
          <w:p w14:paraId="3465B0F3" w14:textId="77777777" w:rsidR="00A423C3" w:rsidRDefault="00000000">
            <w:pPr>
              <w:spacing w:after="0" w:line="240" w:lineRule="auto"/>
              <w:jc w:val="left"/>
            </w:pPr>
            <w:r>
              <w:rPr>
                <w:sz w:val="15"/>
              </w:rPr>
              <w:t xml:space="preserve">Blinded testing against </w:t>
            </w:r>
            <w:proofErr w:type="spellStart"/>
            <w:r>
              <w:rPr>
                <w:sz w:val="15"/>
              </w:rPr>
              <w:t>recognised</w:t>
            </w:r>
            <w:proofErr w:type="spellEnd"/>
            <w:r>
              <w:rPr>
                <w:sz w:val="15"/>
              </w:rPr>
              <w:t xml:space="preserve"> reference procedures with discordance analysis</w:t>
            </w:r>
          </w:p>
        </w:tc>
        <w:tc>
          <w:tcPr>
            <w:tcW w:w="1103" w:type="pct"/>
            <w:tcMar>
              <w:top w:w="70" w:type="dxa"/>
              <w:left w:w="90" w:type="dxa"/>
              <w:bottom w:w="70" w:type="dxa"/>
              <w:right w:w="90" w:type="dxa"/>
            </w:tcMar>
            <w:vAlign w:val="center"/>
          </w:tcPr>
          <w:p w14:paraId="3C422EF2" w14:textId="77777777" w:rsidR="00A423C3" w:rsidRDefault="00000000">
            <w:pPr>
              <w:spacing w:after="0" w:line="240" w:lineRule="auto"/>
              <w:jc w:val="left"/>
            </w:pPr>
            <w:r>
              <w:rPr>
                <w:sz w:val="15"/>
              </w:rPr>
              <w:t>Spiked samples may not reproduce natural physiological state or spatial distribution</w:t>
            </w:r>
          </w:p>
        </w:tc>
        <w:tc>
          <w:tcPr>
            <w:tcW w:w="1103" w:type="pct"/>
            <w:tcMar>
              <w:top w:w="70" w:type="dxa"/>
              <w:left w:w="90" w:type="dxa"/>
              <w:bottom w:w="70" w:type="dxa"/>
              <w:right w:w="90" w:type="dxa"/>
            </w:tcMar>
            <w:vAlign w:val="center"/>
          </w:tcPr>
          <w:p w14:paraId="520FDD7E" w14:textId="77777777" w:rsidR="00A423C3" w:rsidRDefault="00000000">
            <w:pPr>
              <w:spacing w:after="0" w:line="240" w:lineRule="auto"/>
              <w:jc w:val="left"/>
            </w:pPr>
            <w:r>
              <w:rPr>
                <w:sz w:val="15"/>
              </w:rPr>
              <w:t>Agreement with reference method, including confidence intervals when sample size permits</w:t>
            </w:r>
          </w:p>
        </w:tc>
        <w:tc>
          <w:tcPr>
            <w:tcW w:w="724" w:type="pct"/>
            <w:tcMar>
              <w:top w:w="70" w:type="dxa"/>
              <w:left w:w="90" w:type="dxa"/>
              <w:bottom w:w="70" w:type="dxa"/>
              <w:right w:w="90" w:type="dxa"/>
            </w:tcMar>
            <w:vAlign w:val="center"/>
          </w:tcPr>
          <w:p w14:paraId="45B113F9" w14:textId="77777777" w:rsidR="00A423C3" w:rsidRDefault="00000000">
            <w:pPr>
              <w:spacing w:after="0" w:line="240" w:lineRule="auto"/>
              <w:jc w:val="left"/>
            </w:pPr>
            <w:r>
              <w:rPr>
                <w:sz w:val="15"/>
              </w:rPr>
              <w:t>Li et al. (2021); Xiao et al. (2023)</w:t>
            </w:r>
          </w:p>
        </w:tc>
      </w:tr>
      <w:tr w:rsidR="00A423C3" w14:paraId="40EF7A85" w14:textId="77777777" w:rsidTr="00916311">
        <w:trPr>
          <w:cantSplit/>
          <w:jc w:val="center"/>
        </w:trPr>
        <w:tc>
          <w:tcPr>
            <w:tcW w:w="862" w:type="pct"/>
            <w:tcMar>
              <w:top w:w="70" w:type="dxa"/>
              <w:left w:w="90" w:type="dxa"/>
              <w:bottom w:w="70" w:type="dxa"/>
              <w:right w:w="90" w:type="dxa"/>
            </w:tcMar>
            <w:vAlign w:val="center"/>
          </w:tcPr>
          <w:p w14:paraId="0EBEE0BC" w14:textId="77777777" w:rsidR="00A423C3" w:rsidRDefault="00000000">
            <w:pPr>
              <w:spacing w:after="0" w:line="240" w:lineRule="auto"/>
              <w:jc w:val="left"/>
            </w:pPr>
            <w:r>
              <w:rPr>
                <w:sz w:val="15"/>
              </w:rPr>
              <w:t>Reproducibility</w:t>
            </w:r>
          </w:p>
        </w:tc>
        <w:tc>
          <w:tcPr>
            <w:tcW w:w="1207" w:type="pct"/>
            <w:tcMar>
              <w:top w:w="70" w:type="dxa"/>
              <w:left w:w="90" w:type="dxa"/>
              <w:bottom w:w="70" w:type="dxa"/>
              <w:right w:w="90" w:type="dxa"/>
            </w:tcMar>
            <w:vAlign w:val="center"/>
          </w:tcPr>
          <w:p w14:paraId="4BC0343C" w14:textId="77777777" w:rsidR="00A423C3" w:rsidRDefault="00000000">
            <w:pPr>
              <w:spacing w:after="0" w:line="240" w:lineRule="auto"/>
              <w:jc w:val="left"/>
            </w:pPr>
            <w:r>
              <w:rPr>
                <w:sz w:val="15"/>
              </w:rPr>
              <w:t>Multiple operators, days, reagent lots and preferably laboratories</w:t>
            </w:r>
          </w:p>
        </w:tc>
        <w:tc>
          <w:tcPr>
            <w:tcW w:w="1103" w:type="pct"/>
            <w:tcMar>
              <w:top w:w="70" w:type="dxa"/>
              <w:left w:w="90" w:type="dxa"/>
              <w:bottom w:w="70" w:type="dxa"/>
              <w:right w:w="90" w:type="dxa"/>
            </w:tcMar>
            <w:vAlign w:val="center"/>
          </w:tcPr>
          <w:p w14:paraId="27A0B485" w14:textId="77777777" w:rsidR="00A423C3" w:rsidRDefault="00000000">
            <w:pPr>
              <w:spacing w:after="0" w:line="240" w:lineRule="auto"/>
              <w:jc w:val="left"/>
            </w:pPr>
            <w:r>
              <w:rPr>
                <w:sz w:val="15"/>
              </w:rPr>
              <w:t>Prototype performance may not transfer across users and sites</w:t>
            </w:r>
          </w:p>
        </w:tc>
        <w:tc>
          <w:tcPr>
            <w:tcW w:w="1103" w:type="pct"/>
            <w:tcMar>
              <w:top w:w="70" w:type="dxa"/>
              <w:left w:w="90" w:type="dxa"/>
              <w:bottom w:w="70" w:type="dxa"/>
              <w:right w:w="90" w:type="dxa"/>
            </w:tcMar>
            <w:vAlign w:val="center"/>
          </w:tcPr>
          <w:p w14:paraId="5B3A1A2C" w14:textId="77777777" w:rsidR="00A423C3" w:rsidRDefault="00000000">
            <w:pPr>
              <w:spacing w:after="0" w:line="240" w:lineRule="auto"/>
              <w:jc w:val="left"/>
            </w:pPr>
            <w:r>
              <w:rPr>
                <w:sz w:val="15"/>
              </w:rPr>
              <w:t>Between-run/site variance, invalid rate and threshold stability</w:t>
            </w:r>
          </w:p>
        </w:tc>
        <w:tc>
          <w:tcPr>
            <w:tcW w:w="724" w:type="pct"/>
            <w:tcMar>
              <w:top w:w="70" w:type="dxa"/>
              <w:left w:w="90" w:type="dxa"/>
              <w:bottom w:w="70" w:type="dxa"/>
              <w:right w:w="90" w:type="dxa"/>
            </w:tcMar>
            <w:vAlign w:val="center"/>
          </w:tcPr>
          <w:p w14:paraId="5F0AEB3D" w14:textId="77777777" w:rsidR="00A423C3" w:rsidRDefault="00000000">
            <w:pPr>
              <w:spacing w:after="0" w:line="240" w:lineRule="auto"/>
              <w:jc w:val="left"/>
            </w:pPr>
            <w:r>
              <w:rPr>
                <w:sz w:val="15"/>
              </w:rPr>
              <w:t>Liberty et al. (2025); Yang et al. (2026)</w:t>
            </w:r>
          </w:p>
        </w:tc>
      </w:tr>
      <w:tr w:rsidR="00A423C3" w14:paraId="3DB2DA1A" w14:textId="77777777" w:rsidTr="00916311">
        <w:trPr>
          <w:cantSplit/>
          <w:jc w:val="center"/>
        </w:trPr>
        <w:tc>
          <w:tcPr>
            <w:tcW w:w="862" w:type="pct"/>
            <w:tcMar>
              <w:top w:w="70" w:type="dxa"/>
              <w:left w:w="90" w:type="dxa"/>
              <w:bottom w:w="70" w:type="dxa"/>
              <w:right w:w="90" w:type="dxa"/>
            </w:tcMar>
            <w:vAlign w:val="center"/>
          </w:tcPr>
          <w:p w14:paraId="3E3C27B8" w14:textId="77777777" w:rsidR="00A423C3" w:rsidRDefault="00000000">
            <w:pPr>
              <w:spacing w:after="0" w:line="240" w:lineRule="auto"/>
              <w:jc w:val="left"/>
            </w:pPr>
            <w:r>
              <w:rPr>
                <w:sz w:val="15"/>
              </w:rPr>
              <w:t>Stability and field usability</w:t>
            </w:r>
          </w:p>
        </w:tc>
        <w:tc>
          <w:tcPr>
            <w:tcW w:w="1207" w:type="pct"/>
            <w:tcMar>
              <w:top w:w="70" w:type="dxa"/>
              <w:left w:w="90" w:type="dxa"/>
              <w:bottom w:w="70" w:type="dxa"/>
              <w:right w:w="90" w:type="dxa"/>
            </w:tcMar>
            <w:vAlign w:val="center"/>
          </w:tcPr>
          <w:p w14:paraId="24CC8ACC" w14:textId="77777777" w:rsidR="00A423C3" w:rsidRDefault="00000000">
            <w:pPr>
              <w:spacing w:after="0" w:line="240" w:lineRule="auto"/>
              <w:jc w:val="left"/>
            </w:pPr>
            <w:r>
              <w:rPr>
                <w:sz w:val="15"/>
              </w:rPr>
              <w:t>Storage challenge, transport conditions, portable instrument calibration and objective endpoint reading</w:t>
            </w:r>
          </w:p>
        </w:tc>
        <w:tc>
          <w:tcPr>
            <w:tcW w:w="1103" w:type="pct"/>
            <w:tcMar>
              <w:top w:w="70" w:type="dxa"/>
              <w:left w:w="90" w:type="dxa"/>
              <w:bottom w:w="70" w:type="dxa"/>
              <w:right w:w="90" w:type="dxa"/>
            </w:tcMar>
            <w:vAlign w:val="center"/>
          </w:tcPr>
          <w:p w14:paraId="55F57C7D" w14:textId="77777777" w:rsidR="00A423C3" w:rsidRDefault="00000000">
            <w:pPr>
              <w:spacing w:after="0" w:line="240" w:lineRule="auto"/>
              <w:jc w:val="left"/>
            </w:pPr>
            <w:r>
              <w:rPr>
                <w:sz w:val="15"/>
              </w:rPr>
              <w:t>Cold-chain or readout fragility can negate portability</w:t>
            </w:r>
          </w:p>
        </w:tc>
        <w:tc>
          <w:tcPr>
            <w:tcW w:w="1103" w:type="pct"/>
            <w:tcMar>
              <w:top w:w="70" w:type="dxa"/>
              <w:left w:w="90" w:type="dxa"/>
              <w:bottom w:w="70" w:type="dxa"/>
              <w:right w:w="90" w:type="dxa"/>
            </w:tcMar>
            <w:vAlign w:val="center"/>
          </w:tcPr>
          <w:p w14:paraId="45B5B315" w14:textId="77777777" w:rsidR="00A423C3" w:rsidRDefault="00000000">
            <w:pPr>
              <w:spacing w:after="0" w:line="240" w:lineRule="auto"/>
              <w:jc w:val="left"/>
            </w:pPr>
            <w:r>
              <w:rPr>
                <w:sz w:val="15"/>
              </w:rPr>
              <w:t>Shelf-life, operating range, hands-on time and repeat rate</w:t>
            </w:r>
          </w:p>
        </w:tc>
        <w:tc>
          <w:tcPr>
            <w:tcW w:w="724" w:type="pct"/>
            <w:tcMar>
              <w:top w:w="70" w:type="dxa"/>
              <w:left w:w="90" w:type="dxa"/>
              <w:bottom w:w="70" w:type="dxa"/>
              <w:right w:w="90" w:type="dxa"/>
            </w:tcMar>
            <w:vAlign w:val="center"/>
          </w:tcPr>
          <w:p w14:paraId="66A40724" w14:textId="77777777" w:rsidR="00A423C3" w:rsidRDefault="00000000">
            <w:pPr>
              <w:spacing w:after="0" w:line="240" w:lineRule="auto"/>
              <w:jc w:val="left"/>
            </w:pPr>
            <w:proofErr w:type="spellStart"/>
            <w:r>
              <w:rPr>
                <w:sz w:val="15"/>
              </w:rPr>
              <w:t>Safenkova</w:t>
            </w:r>
            <w:proofErr w:type="spellEnd"/>
            <w:r>
              <w:rPr>
                <w:sz w:val="15"/>
              </w:rPr>
              <w:t xml:space="preserve"> et al. (2026); Xie et al. (2024)</w:t>
            </w:r>
          </w:p>
        </w:tc>
      </w:tr>
      <w:tr w:rsidR="00A423C3" w14:paraId="7AF3B16D" w14:textId="77777777" w:rsidTr="00916311">
        <w:trPr>
          <w:cantSplit/>
          <w:jc w:val="center"/>
        </w:trPr>
        <w:tc>
          <w:tcPr>
            <w:tcW w:w="862" w:type="pct"/>
            <w:tcMar>
              <w:top w:w="70" w:type="dxa"/>
              <w:left w:w="90" w:type="dxa"/>
              <w:bottom w:w="70" w:type="dxa"/>
              <w:right w:w="90" w:type="dxa"/>
            </w:tcMar>
            <w:vAlign w:val="center"/>
          </w:tcPr>
          <w:p w14:paraId="1165F21D" w14:textId="77777777" w:rsidR="00A423C3" w:rsidRDefault="00000000">
            <w:pPr>
              <w:spacing w:after="0" w:line="240" w:lineRule="auto"/>
              <w:jc w:val="left"/>
            </w:pPr>
            <w:r>
              <w:rPr>
                <w:sz w:val="15"/>
              </w:rPr>
              <w:lastRenderedPageBreak/>
              <w:t>Interoperability</w:t>
            </w:r>
          </w:p>
        </w:tc>
        <w:tc>
          <w:tcPr>
            <w:tcW w:w="1207" w:type="pct"/>
            <w:tcMar>
              <w:top w:w="70" w:type="dxa"/>
              <w:left w:w="90" w:type="dxa"/>
              <w:bottom w:w="70" w:type="dxa"/>
              <w:right w:w="90" w:type="dxa"/>
            </w:tcMar>
            <w:vAlign w:val="center"/>
          </w:tcPr>
          <w:p w14:paraId="0F05EDC6" w14:textId="77777777" w:rsidR="00A423C3" w:rsidRDefault="00000000">
            <w:pPr>
              <w:spacing w:after="0" w:line="240" w:lineRule="auto"/>
              <w:jc w:val="left"/>
            </w:pPr>
            <w:r>
              <w:rPr>
                <w:sz w:val="15"/>
              </w:rPr>
              <w:t xml:space="preserve">Defined escalation pathway to culture, </w:t>
            </w:r>
            <w:proofErr w:type="spellStart"/>
            <w:r>
              <w:rPr>
                <w:sz w:val="15"/>
              </w:rPr>
              <w:t>dPCR</w:t>
            </w:r>
            <w:proofErr w:type="spellEnd"/>
            <w:r>
              <w:rPr>
                <w:sz w:val="15"/>
              </w:rPr>
              <w:t>, WGS or metagenomics</w:t>
            </w:r>
          </w:p>
        </w:tc>
        <w:tc>
          <w:tcPr>
            <w:tcW w:w="1103" w:type="pct"/>
            <w:tcMar>
              <w:top w:w="70" w:type="dxa"/>
              <w:left w:w="90" w:type="dxa"/>
              <w:bottom w:w="70" w:type="dxa"/>
              <w:right w:w="90" w:type="dxa"/>
            </w:tcMar>
            <w:vAlign w:val="center"/>
          </w:tcPr>
          <w:p w14:paraId="717F70FC" w14:textId="77777777" w:rsidR="00A423C3" w:rsidRDefault="00000000">
            <w:pPr>
              <w:spacing w:after="0" w:line="240" w:lineRule="auto"/>
              <w:jc w:val="left"/>
            </w:pPr>
            <w:r>
              <w:rPr>
                <w:sz w:val="15"/>
              </w:rPr>
              <w:t>Rapid screening alone may not provide viability, quantification or epidemiological resolution</w:t>
            </w:r>
          </w:p>
        </w:tc>
        <w:tc>
          <w:tcPr>
            <w:tcW w:w="1103" w:type="pct"/>
            <w:tcMar>
              <w:top w:w="70" w:type="dxa"/>
              <w:left w:w="90" w:type="dxa"/>
              <w:bottom w:w="70" w:type="dxa"/>
              <w:right w:w="90" w:type="dxa"/>
            </w:tcMar>
            <w:vAlign w:val="center"/>
          </w:tcPr>
          <w:p w14:paraId="411E6C42" w14:textId="77777777" w:rsidR="00A423C3" w:rsidRDefault="00000000">
            <w:pPr>
              <w:spacing w:after="0" w:line="240" w:lineRule="auto"/>
              <w:jc w:val="left"/>
            </w:pPr>
            <w:r>
              <w:rPr>
                <w:sz w:val="15"/>
              </w:rPr>
              <w:t>Time to actionable result across the complete decision pathway</w:t>
            </w:r>
          </w:p>
        </w:tc>
        <w:tc>
          <w:tcPr>
            <w:tcW w:w="724" w:type="pct"/>
            <w:tcMar>
              <w:top w:w="70" w:type="dxa"/>
              <w:left w:w="90" w:type="dxa"/>
              <w:bottom w:w="70" w:type="dxa"/>
              <w:right w:w="90" w:type="dxa"/>
            </w:tcMar>
            <w:vAlign w:val="center"/>
          </w:tcPr>
          <w:p w14:paraId="472BEB6E" w14:textId="77777777" w:rsidR="00A423C3" w:rsidRDefault="00000000">
            <w:pPr>
              <w:spacing w:after="0" w:line="240" w:lineRule="auto"/>
              <w:jc w:val="left"/>
            </w:pPr>
            <w:r>
              <w:rPr>
                <w:sz w:val="15"/>
              </w:rPr>
              <w:t xml:space="preserve">Lin et al. (2022); Morton et al. (2024); </w:t>
            </w:r>
            <w:proofErr w:type="spellStart"/>
            <w:r>
              <w:rPr>
                <w:sz w:val="15"/>
              </w:rPr>
              <w:t>Schadron</w:t>
            </w:r>
            <w:proofErr w:type="spellEnd"/>
            <w:r>
              <w:rPr>
                <w:sz w:val="15"/>
              </w:rPr>
              <w:t xml:space="preserve"> et al. (2024)</w:t>
            </w:r>
          </w:p>
        </w:tc>
      </w:tr>
    </w:tbl>
    <w:p w14:paraId="71EA93F6" w14:textId="77777777" w:rsidR="00A423C3" w:rsidRDefault="00000000">
      <w:pPr>
        <w:spacing w:before="60" w:after="160"/>
      </w:pPr>
      <w:r>
        <w:rPr>
          <w:i/>
          <w:sz w:val="17"/>
        </w:rPr>
        <w:t xml:space="preserve">Note. </w:t>
      </w:r>
      <w:proofErr w:type="spellStart"/>
      <w:r>
        <w:rPr>
          <w:sz w:val="17"/>
        </w:rPr>
        <w:t>dPCR</w:t>
      </w:r>
      <w:proofErr w:type="spellEnd"/>
      <w:r>
        <w:rPr>
          <w:sz w:val="17"/>
        </w:rPr>
        <w:t xml:space="preserve"> = digital polymerase chain reaction; </w:t>
      </w:r>
      <w:proofErr w:type="spellStart"/>
      <w:r>
        <w:rPr>
          <w:sz w:val="17"/>
        </w:rPr>
        <w:t>LoD</w:t>
      </w:r>
      <w:proofErr w:type="spellEnd"/>
      <w:r>
        <w:rPr>
          <w:sz w:val="17"/>
        </w:rPr>
        <w:t xml:space="preserve"> = limit of detection; WGS = whole-genome sequencing.</w:t>
      </w:r>
    </w:p>
    <w:p w14:paraId="4F3B3DD3" w14:textId="77777777" w:rsidR="00A423C3" w:rsidRDefault="00000000">
      <w:pPr>
        <w:pStyle w:val="Heading1"/>
      </w:pPr>
      <w:r>
        <w:rPr>
          <w:rFonts w:ascii="Times New Roman" w:hAnsi="Times New Roman"/>
          <w:b w:val="0"/>
        </w:rPr>
        <w:t>9. Future Directions</w:t>
      </w:r>
    </w:p>
    <w:p w14:paraId="2EBFB26D" w14:textId="77777777" w:rsidR="00A423C3" w:rsidRDefault="00000000">
      <w:r>
        <w:t xml:space="preserve">The most immediate research priority is to move sensitivity assessment from reaction-level </w:t>
      </w:r>
      <w:proofErr w:type="spellStart"/>
      <w:r>
        <w:t>optimisation</w:t>
      </w:r>
      <w:proofErr w:type="spellEnd"/>
      <w:r>
        <w:t xml:space="preserve"> to probability-of-detection studies of complete food workflows. Current literature frequently demonstrates impressive performance using purified nucleic acid or deliberately inoculated foods, but the relation between those conditions and sparse, heterogeneous natural contamination remains uncertain (Li et al., 2022; Lu et al., 2024; Yang et al., 2026). Future studies should define the original food mass or volume, target-recovery fraction, extraction yield, enrichment history and final reaction input, and should use sufficient replicates around the decision threshold to estimate the concentration detected with a stated probability. The relevant comparison should be a prespecified reference method applied to the same samples. Such studies would reveal whether a new guide, reporter or signal-amplification strategy improves the overall probability of detecting contaminated food rather than only the fluorescence produced by a purified target.</w:t>
      </w:r>
    </w:p>
    <w:p w14:paraId="0B2CD339" w14:textId="77777777" w:rsidR="00A423C3" w:rsidRDefault="00000000">
      <w:r>
        <w:t xml:space="preserve">A second immediate priority is matrix-general validation. Single-matrix </w:t>
      </w:r>
      <w:proofErr w:type="spellStart"/>
      <w:r>
        <w:t>optimisation</w:t>
      </w:r>
      <w:proofErr w:type="spellEnd"/>
      <w:r>
        <w:t xml:space="preserve"> is understandable during method development, but it is insufficient for claims of broad food applicability. The contrast between pure-culture and food-matrix performance in studies of </w:t>
      </w:r>
      <w:r>
        <w:rPr>
          <w:i/>
        </w:rPr>
        <w:t>V. parahaemolyticus</w:t>
      </w:r>
      <w:r>
        <w:t xml:space="preserve">, </w:t>
      </w:r>
      <w:r>
        <w:rPr>
          <w:i/>
        </w:rPr>
        <w:t>E. coli</w:t>
      </w:r>
      <w:r>
        <w:t xml:space="preserve"> O157:H7 and </w:t>
      </w:r>
      <w:r>
        <w:rPr>
          <w:i/>
        </w:rPr>
        <w:t>L. monocytogenes</w:t>
      </w:r>
      <w:r>
        <w:t xml:space="preserve"> shows that recovery and inhibition can alter the practical detection threshold (Chen et al., 2021; Lee &amp; Oh, 2022; </w:t>
      </w:r>
      <w:proofErr w:type="spellStart"/>
      <w:r>
        <w:t>Safenkova</w:t>
      </w:r>
      <w:proofErr w:type="spellEnd"/>
      <w:r>
        <w:t xml:space="preserve"> et al., 2026). Comparative studies should therefore use deliberately diverse foods that represent high fat, high protein, high polysaccharide, acidic, pigmented and particulate matrices, as well as environmental swabs where relevant. The outcome should include invalid-test frequency, recovery, </w:t>
      </w:r>
      <w:proofErr w:type="spellStart"/>
      <w:r>
        <w:t>LoD</w:t>
      </w:r>
      <w:proofErr w:type="spellEnd"/>
      <w:r>
        <w:t xml:space="preserve"> under each matrix condition and the effectiveness of internal process controls. A method that remains stable across such challenges would provide stronger evidence of translational value than another order-of-magnitude gain in buffer sensitivity.</w:t>
      </w:r>
    </w:p>
    <w:p w14:paraId="51AFDA18" w14:textId="77777777" w:rsidR="00A423C3" w:rsidRDefault="00000000">
      <w:r>
        <w:t xml:space="preserve">Viability discrimination should become a defined development track rather than an optional add-on. PMA-assisted digital CRISPR and phage-coupled Cas12a demonstrate two plausible routes, but neither can yet be assumed to </w:t>
      </w:r>
      <w:proofErr w:type="spellStart"/>
      <w:r>
        <w:t>generalise</w:t>
      </w:r>
      <w:proofErr w:type="spellEnd"/>
      <w:r>
        <w:t xml:space="preserve"> across organisms and food-processing stresses (</w:t>
      </w:r>
      <w:proofErr w:type="spellStart"/>
      <w:r>
        <w:t>Wisuthiphaet</w:t>
      </w:r>
      <w:proofErr w:type="spellEnd"/>
      <w:r>
        <w:t xml:space="preserve"> et al., 2026; Yin et al., 2024). PMA-based studies should include cells exposed to heat, acid, </w:t>
      </w:r>
      <w:proofErr w:type="spellStart"/>
      <w:r>
        <w:t>sanitiser</w:t>
      </w:r>
      <w:proofErr w:type="spellEnd"/>
      <w:r>
        <w:t xml:space="preserve">, desiccation and refrigeration injury and compare molecular classification with culture and, where appropriate, resuscitation. Phage-based strategies should </w:t>
      </w:r>
      <w:proofErr w:type="spellStart"/>
      <w:r>
        <w:t>characterise</w:t>
      </w:r>
      <w:proofErr w:type="spellEnd"/>
      <w:r>
        <w:t xml:space="preserve"> host-range coverage across contemporary pathogenic lineages, resistance to phage infection and the effect of competing microbiota. Longer term, viability-informed molecular detection may combine short biological enrichment with target-specific CRISPR to achieve an operational compromise between culture certainty and molecular speed.</w:t>
      </w:r>
    </w:p>
    <w:p w14:paraId="624EA0E2" w14:textId="77777777" w:rsidR="00A423C3" w:rsidRDefault="00000000">
      <w:r>
        <w:t>Multiplexing is another priority because routine food testing rarely justifies a separate device for every target. Mechanistic work has shown that orthogonal Cas systems, spatial partitioning and deliberately engineered specificity profiles can expand multiplex capacity (</w:t>
      </w:r>
      <w:proofErr w:type="spellStart"/>
      <w:r>
        <w:t>Gootenberg</w:t>
      </w:r>
      <w:proofErr w:type="spellEnd"/>
      <w:r>
        <w:t xml:space="preserve"> et al., 2018; Guan et al., 2025). Food-specific multiplex studies should now move beyond equimolar synthetic targets and challenge assays with mixed organisms at highly unequal concentrations, naturally variable target sequences and inhibitor-rich matrices. The most informative outcomes will be per-target sensitivity and specificity in mixed samples, cross-channel interference, competition during shared amplification and the frequency of partial or invalid </w:t>
      </w:r>
      <w:r>
        <w:lastRenderedPageBreak/>
        <w:t xml:space="preserve">panels. Microfluidic or paper-based </w:t>
      </w:r>
      <w:proofErr w:type="spellStart"/>
      <w:r>
        <w:t>compartmentalisation</w:t>
      </w:r>
      <w:proofErr w:type="spellEnd"/>
      <w:r>
        <w:t xml:space="preserve"> may be preferable to forcing high-order multiplexing into a homogeneous collateral-cleavage reaction.</w:t>
      </w:r>
    </w:p>
    <w:p w14:paraId="7D7EF9F4" w14:textId="77777777" w:rsidR="00A423C3" w:rsidRDefault="00000000">
      <w:r>
        <w:t xml:space="preserve">One-pot chemistry merits continued development, but </w:t>
      </w:r>
      <w:proofErr w:type="spellStart"/>
      <w:r>
        <w:t>optimisation</w:t>
      </w:r>
      <w:proofErr w:type="spellEnd"/>
      <w:r>
        <w:t xml:space="preserve"> should explicitly quantify the trade-off between workflow containment and biochemical performance. Sequential assays allow each stage to be tuned independently, while sealed assays reduce manual transfer and amplicon contamination. The one-tube versus two-step differences reported in Cas13a detection and the successful one-pot Cas12a examples for foodborne bacteria show that no universal architecture can be assumed (An et al., 2021; Wang et al., 2024; Xiao et al., 2023). Future work should compare matched one-pot and sequential versions using the same targets and matrices, reporting not only </w:t>
      </w:r>
      <w:proofErr w:type="spellStart"/>
      <w:r>
        <w:t>LoD</w:t>
      </w:r>
      <w:proofErr w:type="spellEnd"/>
      <w:r>
        <w:t xml:space="preserve"> but false-positive rate after repeated high-copy testing, operator time, contamination events, invalid reactions and robustness to temperature variation. This would convert 'one-pot' from a convenience label into an evidence-based design choice.</w:t>
      </w:r>
    </w:p>
    <w:p w14:paraId="0B480F83" w14:textId="77777777" w:rsidR="00A423C3" w:rsidRDefault="00000000">
      <w:r>
        <w:t xml:space="preserve">Digital CRISPR should be evaluated against </w:t>
      </w:r>
      <w:proofErr w:type="spellStart"/>
      <w:r>
        <w:t>dPCR</w:t>
      </w:r>
      <w:proofErr w:type="spellEnd"/>
      <w:r>
        <w:t xml:space="preserve"> rather than against analogue CRISPR alone. Partitioned Cas systems may offer rapid absolute-style counting and opportunities for viability integration, but </w:t>
      </w:r>
      <w:proofErr w:type="spellStart"/>
      <w:r>
        <w:t>dPCR</w:t>
      </w:r>
      <w:proofErr w:type="spellEnd"/>
      <w:r>
        <w:t xml:space="preserve"> already provides mature quantification principles and has demonstrated food applications for </w:t>
      </w:r>
      <w:r>
        <w:rPr>
          <w:i/>
        </w:rPr>
        <w:t>L. monocytogenes</w:t>
      </w:r>
      <w:r>
        <w:t xml:space="preserve"> and </w:t>
      </w:r>
      <w:r>
        <w:rPr>
          <w:i/>
        </w:rPr>
        <w:t>Salmonella</w:t>
      </w:r>
      <w:r>
        <w:t xml:space="preserve"> (Liang et al., 2026; Witte et al., 2016). Head-to-head studies should use identical extracts and report precision, dynamic range, inhibitor tolerance, cost, hands-on time and agreement with culture or reference enumeration. Digital CRISPR will be most compelling where Cas recognition adds information that digital amplification cannot easily provide, for example rapid guide-programmable discrimination, integrated viability logic or multiplexed partitioning without a large optical platform.</w:t>
      </w:r>
    </w:p>
    <w:p w14:paraId="6687D075" w14:textId="77777777" w:rsidR="00A423C3" w:rsidRDefault="00000000">
      <w:r>
        <w:t xml:space="preserve">Sequencing integration is a longer-term systems priority. WGS has already demonstrated value for surveillance and outbreak resolution, while metagenomic and nanopore workflows can detect broader organism and resistance signatures directly from complex samples (Lee et al., 2024; Morton et al., 2024; </w:t>
      </w:r>
      <w:proofErr w:type="spellStart"/>
      <w:r>
        <w:t>Schadron</w:t>
      </w:r>
      <w:proofErr w:type="spellEnd"/>
      <w:r>
        <w:t xml:space="preserve"> et al., 2024). Rather than positioning rapid CRISPR assays against these technologies, future surveillance systems should define trigger points for escalation. A CRISPR-positive screening result could initiate culture and WGS, while unexplained outbreaks or discordant targeted tests could trigger metagenomic analysis. Shared digital records could link the initial screening result, sample metadata, isolate genome and epidemiological investigation. The research need is implementation evaluation: whether such integrated pathways shorten containment, improve source resolution or reduce unnecessary sequencing compared with current practice.</w:t>
      </w:r>
    </w:p>
    <w:p w14:paraId="0354F75E" w14:textId="77777777" w:rsidR="00A423C3" w:rsidRDefault="00000000">
      <w:r>
        <w:t xml:space="preserve">Finally, translation requires multi-site evidence and manufacturing realism. Food CRISPR studies should increasingly include independent laboratories, multiple reagent lots, blinded sample sets and stability testing under anticipated storage conditions. Readout-specific sources of variation must be incorporated: strip lots and visual thresholds for lateral flow, electrode manufacture for electrochemical sensors, illumination and image analysis for colorimetric devices, and optical calibration for fluorescence. Reviews published up to the search end date consistently identify </w:t>
      </w:r>
      <w:proofErr w:type="spellStart"/>
      <w:r>
        <w:t>standardisation</w:t>
      </w:r>
      <w:proofErr w:type="spellEnd"/>
      <w:r>
        <w:t xml:space="preserve"> and real-world deployment as unresolved issues (Azhar et al., 2026; Liberty et al., 2025; Xie et al., 2024; Yang et al., 2026). The next phase of the field should therefore be measured less by the novelty of a Cas-reporter combination and more by reproducibility, transferability and the demonstrable value of the result within an operational food-safety pathway.</w:t>
      </w:r>
    </w:p>
    <w:p w14:paraId="6DA282F9" w14:textId="77777777" w:rsidR="00A423C3" w:rsidRDefault="00000000">
      <w:pPr>
        <w:pStyle w:val="Heading1"/>
      </w:pPr>
      <w:r>
        <w:rPr>
          <w:rFonts w:ascii="Times New Roman" w:hAnsi="Times New Roman"/>
          <w:b w:val="0"/>
        </w:rPr>
        <w:t>10. Conclusions</w:t>
      </w:r>
    </w:p>
    <w:p w14:paraId="0E8782A6" w14:textId="77777777" w:rsidR="00A423C3" w:rsidRDefault="00000000">
      <w:r>
        <w:t xml:space="preserve">CRISPR-associated diagnostics have established a credible role in the next generation of foodborne-pathogen testing, particularly as programmable specificity layers coupled to rapid isothermal amplification. The evidence is strongest for Cas12a-based detection of defined bacterial and viral targets, with multiple studies demonstrating low analytical thresholds, portable readouts and successful testing in selected food matrices. Cas13, Cas12b, digital partitioning, viability pretreatments, phage amplification and electrochemical or </w:t>
      </w:r>
      <w:r>
        <w:lastRenderedPageBreak/>
        <w:t>multimodal readouts broaden the technology base, but these approaches are less uniformly validated for routine food use.</w:t>
      </w:r>
    </w:p>
    <w:p w14:paraId="7FABCBFB" w14:textId="77777777" w:rsidR="00A423C3" w:rsidRDefault="00000000">
      <w:r>
        <w:t>The central finding of this review is that the practical performance of CRISPR food diagnostics is governed by the entire sample-to-result chain. Sampling, target recovery, enrichment, lysis, matrix inhibition and the biological meaning of the target can dominate the probability that a contaminated food generates an actionable result. Reported detection limits are therefore not directly comparable unless the original sample input, enrichment history, recovery process, measurement unit and positivity criterion are aligned. As a consequence, progressively lower reaction-level detection limits should not be interpreted as equivalent to progressively better food-safety methods.</w:t>
      </w:r>
    </w:p>
    <w:p w14:paraId="7CBD466E" w14:textId="77777777" w:rsidR="00A423C3" w:rsidRDefault="00000000">
      <w:r>
        <w:t xml:space="preserve">CRISPR also does not displace the complementary strengths of other molecular platforms. Digital PCR provides a stronger basis for absolute nucleic-acid quantification, culture remains important when viable isolate recovery is required, whole-genome sequencing supplies strain-level epidemiological resolution, and metagenomic or nanopore sequencing can interrogate broader microbial and resistance contexts. A tiered architecture is therefore the most defensible near-term model: fit-for-purpose sample preparation and enrichment feed rapid CRISPR screening, while confirmation, quantification, viability assessment and genomic </w:t>
      </w:r>
      <w:proofErr w:type="spellStart"/>
      <w:r>
        <w:t>characterisation</w:t>
      </w:r>
      <w:proofErr w:type="spellEnd"/>
      <w:r>
        <w:t xml:space="preserve"> are selected according to the decision required.</w:t>
      </w:r>
    </w:p>
    <w:p w14:paraId="0443D9AF" w14:textId="77777777" w:rsidR="00A423C3" w:rsidRDefault="00000000">
      <w:r>
        <w:t>The field is now mature enough for its principal benchmark to change. Demonstrating collateral-cleavage sensitivity in a prototype is no longer sufficient evidence of translational readiness. Progress should be judged by matrix-spanning robustness, probability-based method detection limits, prospective natural-sample validation, internal controls, contamination resistance, multiplex performance, inter-laboratory reproducibility, reagent stability and clear integration with confirmatory and surveillance workflows. Under those conditions, CRISPR can contribute meaningful speed and programmability without being asked to replace technologies designed for different diagnostic questions.</w:t>
      </w:r>
    </w:p>
    <w:p w14:paraId="3A02BB75" w14:textId="77777777" w:rsidR="00A423C3" w:rsidRDefault="00000000">
      <w:pPr>
        <w:pStyle w:val="Heading1"/>
      </w:pPr>
      <w:r>
        <w:rPr>
          <w:rFonts w:ascii="Times New Roman" w:hAnsi="Times New Roman"/>
          <w:b w:val="0"/>
        </w:rPr>
        <w:t>11. Limitations</w:t>
      </w:r>
    </w:p>
    <w:p w14:paraId="15DE49C7" w14:textId="77777777" w:rsidR="00A423C3" w:rsidRDefault="00000000">
      <w:r>
        <w:t>As a critical narrative review, this work is intrinsically subject to selection and interpretive bias despite the use of a transparent search framework, explicit eligibility logic and structured critical appraisal. The literature was searched across multiple accessible scholarly sources, but the review did not use a prospectively registered systematic-review protocol or a complete database-export workflow capable of supporting exhaustive record counts. English-language selection may have under-represented relevant research published in other languages, and some rapidly developing assay concepts may have appeared after the specified search end date.</w:t>
      </w:r>
    </w:p>
    <w:p w14:paraId="0BC11BB5" w14:textId="77777777" w:rsidR="00A423C3" w:rsidRDefault="00000000">
      <w:r>
        <w:t xml:space="preserve">The evidence base itself imposes further limitations on the synthesis. CRISPR food-detection studies vary substantially in target organisms, food matrices, sample input, enrichment, extraction, amplification, readout and definition of the detection limit. Many studies use spiked samples, limited numbers of naturally contaminated foods or laboratory strains, which restricts confidence in </w:t>
      </w:r>
      <w:proofErr w:type="spellStart"/>
      <w:r>
        <w:t>generalisability</w:t>
      </w:r>
      <w:proofErr w:type="spellEnd"/>
      <w:r>
        <w:t xml:space="preserve"> across supply chains and microbial populations. Direct quantitative comparison was therefore inappropriate for much of the literature, and no meta-analysis was attempted. Sequencing studies address different outcomes from rapid targeted assays, so their comparison in this review is functional rather than based on a common diagnostic-accuracy endpoint.</w:t>
      </w:r>
    </w:p>
    <w:p w14:paraId="0A509C04" w14:textId="77777777" w:rsidR="00A423C3" w:rsidRDefault="00000000">
      <w:r>
        <w:t xml:space="preserve">The field is also evolving quickly. Online-first publications available by the search end date were included when their bibliographic identity could be verified, but long-term reproducibility, commercial-scale manufacture and regulatory performance data remain sparse for many CRISPR formats. Consequently, conclusions about translational readiness are necessarily more cautious than conclusions about analytical </w:t>
      </w:r>
      <w:r>
        <w:lastRenderedPageBreak/>
        <w:t>feasibility. The review should be read as a critical appraisal of the verified evidence available within the defined period rather than as an exhaustive inventory of every molecular sensor or sequencing implementation.</w:t>
      </w:r>
    </w:p>
    <w:p w14:paraId="5FF8F9D6" w14:textId="77777777" w:rsidR="00A14773" w:rsidRDefault="00A14773" w:rsidP="00A14773">
      <w:pPr>
        <w:spacing w:after="0" w:line="240" w:lineRule="auto"/>
        <w:rPr>
          <w:rFonts w:cs="Times New Roman"/>
          <w:b/>
        </w:rPr>
      </w:pPr>
      <w:r w:rsidRPr="000839CE">
        <w:rPr>
          <w:rFonts w:cs="Times New Roman"/>
          <w:b/>
        </w:rPr>
        <w:t>Declaration of AI Use</w:t>
      </w:r>
    </w:p>
    <w:p w14:paraId="6D9571D0" w14:textId="77777777" w:rsidR="00A14773" w:rsidRDefault="00A14773" w:rsidP="00A14773">
      <w:pPr>
        <w:spacing w:after="0" w:line="240" w:lineRule="auto"/>
        <w:rPr>
          <w:rFonts w:cs="Times New Roman"/>
          <w:b/>
        </w:rPr>
      </w:pPr>
    </w:p>
    <w:p w14:paraId="193C280F" w14:textId="77777777" w:rsidR="00A14773" w:rsidRDefault="00A14773" w:rsidP="00A14773">
      <w:pPr>
        <w:spacing w:after="0" w:line="240" w:lineRule="auto"/>
        <w:rPr>
          <w:rFonts w:cs="Times New Roman"/>
          <w:b/>
        </w:rPr>
      </w:pPr>
    </w:p>
    <w:p w14:paraId="33D985B7" w14:textId="77777777" w:rsidR="00A14773" w:rsidRDefault="00A14773" w:rsidP="00A14773">
      <w:pPr>
        <w:spacing w:after="0" w:line="240" w:lineRule="auto"/>
        <w:rPr>
          <w:rFonts w:cs="Times New Roman"/>
          <w:b/>
        </w:rPr>
      </w:pPr>
    </w:p>
    <w:p w14:paraId="3AEB9526" w14:textId="77777777" w:rsidR="00A14773" w:rsidRPr="002D08AC" w:rsidRDefault="00A14773" w:rsidP="00A14773">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A42CE81" w14:textId="77777777" w:rsidR="00A14773" w:rsidRDefault="00A14773"/>
    <w:p w14:paraId="517DEDD7" w14:textId="77777777" w:rsidR="00A423C3" w:rsidRDefault="00000000">
      <w:pPr>
        <w:pStyle w:val="Heading1"/>
      </w:pPr>
      <w:r>
        <w:rPr>
          <w:rFonts w:ascii="Times New Roman" w:hAnsi="Times New Roman"/>
          <w:b w:val="0"/>
        </w:rPr>
        <w:t>References</w:t>
      </w:r>
    </w:p>
    <w:p w14:paraId="671A2745" w14:textId="5AB4B4EA" w:rsidR="00A423C3" w:rsidRDefault="00000000">
      <w:pPr>
        <w:spacing w:after="100" w:line="240" w:lineRule="auto"/>
        <w:ind w:left="360" w:hanging="360"/>
      </w:pPr>
      <w:r>
        <w:rPr>
          <w:sz w:val="20"/>
        </w:rPr>
        <w:t xml:space="preserve">An, B., Zhang, H., Su, X., Guo, Y., Wu, T., Ge, Y., Zhu, F., &amp; Cui, L. (2021). Rapid and sensitive detection of </w:t>
      </w:r>
      <w:r>
        <w:rPr>
          <w:i/>
          <w:sz w:val="20"/>
        </w:rPr>
        <w:t>Salmonella</w:t>
      </w:r>
      <w:r>
        <w:rPr>
          <w:sz w:val="20"/>
        </w:rPr>
        <w:t xml:space="preserve"> spp. using CRISPR-Cas13a combined with recombinase polymerase amplification. </w:t>
      </w:r>
      <w:r>
        <w:rPr>
          <w:i/>
          <w:sz w:val="20"/>
        </w:rPr>
        <w:t>Frontiers in Microbiology</w:t>
      </w:r>
      <w:r>
        <w:rPr>
          <w:sz w:val="20"/>
        </w:rPr>
        <w:t xml:space="preserve">, </w:t>
      </w:r>
      <w:r>
        <w:rPr>
          <w:i/>
          <w:sz w:val="20"/>
        </w:rPr>
        <w:t>12</w:t>
      </w:r>
      <w:r>
        <w:rPr>
          <w:sz w:val="20"/>
        </w:rPr>
        <w:t xml:space="preserve">, 732426. </w:t>
      </w:r>
      <w:r>
        <w:rPr>
          <w:color w:val="0563C1"/>
          <w:u w:val="single"/>
        </w:rPr>
        <w:t>https://doi.org/10.3389/fmicb.2021.732426</w:t>
      </w:r>
    </w:p>
    <w:p w14:paraId="71617DEC" w14:textId="7D7CC5D9" w:rsidR="00A423C3" w:rsidRDefault="00000000">
      <w:pPr>
        <w:spacing w:after="100" w:line="240" w:lineRule="auto"/>
        <w:ind w:left="360" w:hanging="360"/>
      </w:pPr>
      <w:r>
        <w:rPr>
          <w:sz w:val="20"/>
        </w:rPr>
        <w:t xml:space="preserve">Azhar, F., Mazhari, B. B. Z., Ibrahim, M. N., Alanazi, A., &amp; Islam, F. (2026). CRISPR-based tools in food safety and microbiology: Applications for pathogen detection and control. </w:t>
      </w:r>
      <w:r>
        <w:rPr>
          <w:i/>
          <w:sz w:val="20"/>
        </w:rPr>
        <w:t>Archives of Microbiology</w:t>
      </w:r>
      <w:r>
        <w:rPr>
          <w:sz w:val="20"/>
        </w:rPr>
        <w:t xml:space="preserve">, </w:t>
      </w:r>
      <w:r>
        <w:rPr>
          <w:i/>
          <w:sz w:val="20"/>
        </w:rPr>
        <w:t>208</w:t>
      </w:r>
      <w:r>
        <w:rPr>
          <w:sz w:val="20"/>
        </w:rPr>
        <w:t xml:space="preserve">(7), 347. </w:t>
      </w:r>
      <w:r>
        <w:rPr>
          <w:color w:val="0563C1"/>
          <w:u w:val="single"/>
        </w:rPr>
        <w:t>https://doi.org/10.1007/s00203-026-04919-1</w:t>
      </w:r>
    </w:p>
    <w:p w14:paraId="4428AA3D" w14:textId="5A89A8CC" w:rsidR="00A423C3" w:rsidRDefault="00000000">
      <w:pPr>
        <w:spacing w:after="100" w:line="240" w:lineRule="auto"/>
        <w:ind w:left="360" w:hanging="360"/>
      </w:pPr>
      <w:proofErr w:type="spellStart"/>
      <w:r>
        <w:rPr>
          <w:sz w:val="20"/>
        </w:rPr>
        <w:t>Baethge</w:t>
      </w:r>
      <w:proofErr w:type="spellEnd"/>
      <w:r>
        <w:rPr>
          <w:sz w:val="20"/>
        </w:rPr>
        <w:t xml:space="preserve">, C., Goldbeck-Wood, S., &amp; Mertens, S. (2019). SANRA—a scale for the quality assessment of narrative review articles. </w:t>
      </w:r>
      <w:r>
        <w:rPr>
          <w:i/>
          <w:sz w:val="20"/>
        </w:rPr>
        <w:t>Research Integrity and Peer Review</w:t>
      </w:r>
      <w:r>
        <w:rPr>
          <w:sz w:val="20"/>
        </w:rPr>
        <w:t xml:space="preserve">, </w:t>
      </w:r>
      <w:r>
        <w:rPr>
          <w:i/>
          <w:sz w:val="20"/>
        </w:rPr>
        <w:t>4</w:t>
      </w:r>
      <w:r>
        <w:rPr>
          <w:sz w:val="20"/>
        </w:rPr>
        <w:t xml:space="preserve">, 5. </w:t>
      </w:r>
      <w:r>
        <w:rPr>
          <w:color w:val="0563C1"/>
          <w:u w:val="single"/>
        </w:rPr>
        <w:t>https://doi.org/10.1186/s41073-019-0064-8</w:t>
      </w:r>
    </w:p>
    <w:p w14:paraId="6717C864" w14:textId="2D15BE0E" w:rsidR="00A423C3" w:rsidRDefault="00000000">
      <w:pPr>
        <w:spacing w:after="100" w:line="240" w:lineRule="auto"/>
        <w:ind w:left="360" w:hanging="360"/>
      </w:pPr>
      <w:r>
        <w:rPr>
          <w:sz w:val="20"/>
        </w:rPr>
        <w:t xml:space="preserve">Cai, Q., Wang, R., Qiao, Z., &amp; Yang, W. (2021). Single-digit </w:t>
      </w:r>
      <w:r>
        <w:rPr>
          <w:i/>
          <w:sz w:val="20"/>
        </w:rPr>
        <w:t>Salmonella</w:t>
      </w:r>
      <w:r>
        <w:rPr>
          <w:sz w:val="20"/>
        </w:rPr>
        <w:t xml:space="preserve"> detection with the naked eye using bio-barcode immunoassay coupled with recombinase polymerase amplification and a CRISPR-Cas12a system. </w:t>
      </w:r>
      <w:r>
        <w:rPr>
          <w:i/>
          <w:sz w:val="20"/>
        </w:rPr>
        <w:t>Analyst</w:t>
      </w:r>
      <w:r>
        <w:rPr>
          <w:sz w:val="20"/>
        </w:rPr>
        <w:t xml:space="preserve">, </w:t>
      </w:r>
      <w:r>
        <w:rPr>
          <w:i/>
          <w:sz w:val="20"/>
        </w:rPr>
        <w:t>146</w:t>
      </w:r>
      <w:r>
        <w:rPr>
          <w:sz w:val="20"/>
        </w:rPr>
        <w:t xml:space="preserve">(17), 5271–5279. </w:t>
      </w:r>
      <w:r>
        <w:rPr>
          <w:color w:val="0563C1"/>
          <w:u w:val="single"/>
        </w:rPr>
        <w:t>https://doi.org/10.1039/D1AN00717C</w:t>
      </w:r>
    </w:p>
    <w:p w14:paraId="166F8331" w14:textId="72D2CFCC" w:rsidR="00A423C3" w:rsidRDefault="00000000">
      <w:pPr>
        <w:spacing w:after="100" w:line="240" w:lineRule="auto"/>
        <w:ind w:left="360" w:hanging="360"/>
      </w:pPr>
      <w:r>
        <w:rPr>
          <w:sz w:val="20"/>
        </w:rPr>
        <w:t xml:space="preserve">Chen, J. S., Ma, E., Harrington, L. B., Da Costa, M., Tian, X., Palefsky, J. M., &amp; Doudna, J. A. (2018). CRISPR-Cas12a target binding unleashes indiscriminate single-stranded DNase activity. </w:t>
      </w:r>
      <w:r>
        <w:rPr>
          <w:i/>
          <w:sz w:val="20"/>
        </w:rPr>
        <w:t>Science</w:t>
      </w:r>
      <w:r>
        <w:rPr>
          <w:sz w:val="20"/>
        </w:rPr>
        <w:t xml:space="preserve">, </w:t>
      </w:r>
      <w:r>
        <w:rPr>
          <w:i/>
          <w:sz w:val="20"/>
        </w:rPr>
        <w:t>360</w:t>
      </w:r>
      <w:r>
        <w:rPr>
          <w:sz w:val="20"/>
        </w:rPr>
        <w:t xml:space="preserve">(6387), 436–439. </w:t>
      </w:r>
      <w:r>
        <w:rPr>
          <w:color w:val="0563C1"/>
          <w:u w:val="single"/>
        </w:rPr>
        <w:t>https://doi.org/10.1126/science.aar6245</w:t>
      </w:r>
    </w:p>
    <w:p w14:paraId="4F08A0A1" w14:textId="2246F39D" w:rsidR="00A423C3" w:rsidRDefault="00000000">
      <w:pPr>
        <w:spacing w:after="100" w:line="240" w:lineRule="auto"/>
        <w:ind w:left="360" w:hanging="360"/>
      </w:pPr>
      <w:r>
        <w:rPr>
          <w:sz w:val="20"/>
        </w:rPr>
        <w:t xml:space="preserve">Chen, X., Wang, L., He, F., Chen, G., Bai, L., He, K., Zhang, F., &amp; Xu, X. (2021). Label-free colorimetric method for detection of </w:t>
      </w:r>
      <w:r>
        <w:rPr>
          <w:i/>
          <w:sz w:val="20"/>
        </w:rPr>
        <w:t>Vibrio parahaemolyticus</w:t>
      </w:r>
      <w:r>
        <w:rPr>
          <w:sz w:val="20"/>
        </w:rPr>
        <w:t xml:space="preserve"> by trimming the G-quadruplex </w:t>
      </w:r>
      <w:proofErr w:type="spellStart"/>
      <w:r>
        <w:rPr>
          <w:sz w:val="20"/>
        </w:rPr>
        <w:t>DNAzyme</w:t>
      </w:r>
      <w:proofErr w:type="spellEnd"/>
      <w:r>
        <w:rPr>
          <w:sz w:val="20"/>
        </w:rPr>
        <w:t xml:space="preserve"> with CRISPR/Cas12a. </w:t>
      </w:r>
      <w:r>
        <w:rPr>
          <w:i/>
          <w:sz w:val="20"/>
        </w:rPr>
        <w:t>Analytical Chemistry</w:t>
      </w:r>
      <w:r>
        <w:rPr>
          <w:sz w:val="20"/>
        </w:rPr>
        <w:t xml:space="preserve">, </w:t>
      </w:r>
      <w:r>
        <w:rPr>
          <w:i/>
          <w:sz w:val="20"/>
        </w:rPr>
        <w:t>93</w:t>
      </w:r>
      <w:r>
        <w:rPr>
          <w:sz w:val="20"/>
        </w:rPr>
        <w:t xml:space="preserve">(42), 14300–14306. </w:t>
      </w:r>
      <w:r>
        <w:rPr>
          <w:color w:val="0563C1"/>
          <w:u w:val="single"/>
        </w:rPr>
        <w:t>https://doi.org/10.1021/acs.analchem.1c03468</w:t>
      </w:r>
    </w:p>
    <w:p w14:paraId="19071250" w14:textId="59C2385F" w:rsidR="00A423C3" w:rsidRDefault="00000000">
      <w:pPr>
        <w:spacing w:after="100" w:line="240" w:lineRule="auto"/>
        <w:ind w:left="360" w:hanging="360"/>
      </w:pPr>
      <w:proofErr w:type="spellStart"/>
      <w:r>
        <w:rPr>
          <w:sz w:val="20"/>
        </w:rPr>
        <w:t>Gootenberg</w:t>
      </w:r>
      <w:proofErr w:type="spellEnd"/>
      <w:r>
        <w:rPr>
          <w:sz w:val="20"/>
        </w:rPr>
        <w:t xml:space="preserve">, J. S., Abudayyeh, O. O., Kellner, M. J., Joung, J., Collins, J. J., &amp; Zhang, F. (2018). Multiplexed and portable nucleic acid detection platform with Cas13, Cas12a, and Csm6. </w:t>
      </w:r>
      <w:r>
        <w:rPr>
          <w:i/>
          <w:sz w:val="20"/>
        </w:rPr>
        <w:t>Science</w:t>
      </w:r>
      <w:r>
        <w:rPr>
          <w:sz w:val="20"/>
        </w:rPr>
        <w:t xml:space="preserve">, </w:t>
      </w:r>
      <w:r>
        <w:rPr>
          <w:i/>
          <w:sz w:val="20"/>
        </w:rPr>
        <w:t>360</w:t>
      </w:r>
      <w:r>
        <w:rPr>
          <w:sz w:val="20"/>
        </w:rPr>
        <w:t xml:space="preserve">(6387), 439–444. </w:t>
      </w:r>
      <w:r>
        <w:rPr>
          <w:color w:val="0563C1"/>
          <w:u w:val="single"/>
        </w:rPr>
        <w:t>https://doi.org/10.1126/science.aaq0179</w:t>
      </w:r>
    </w:p>
    <w:p w14:paraId="3F564807" w14:textId="48371CBC" w:rsidR="00A423C3" w:rsidRDefault="00000000">
      <w:pPr>
        <w:spacing w:after="100" w:line="240" w:lineRule="auto"/>
        <w:ind w:left="360" w:hanging="360"/>
      </w:pPr>
      <w:proofErr w:type="spellStart"/>
      <w:r>
        <w:rPr>
          <w:sz w:val="20"/>
        </w:rPr>
        <w:t>Gootenberg</w:t>
      </w:r>
      <w:proofErr w:type="spellEnd"/>
      <w:r>
        <w:rPr>
          <w:sz w:val="20"/>
        </w:rPr>
        <w:t xml:space="preserve">, J. S., Abudayyeh, O. O., Lee, J. W., </w:t>
      </w:r>
      <w:proofErr w:type="spellStart"/>
      <w:r>
        <w:rPr>
          <w:sz w:val="20"/>
        </w:rPr>
        <w:t>Essletzbichler</w:t>
      </w:r>
      <w:proofErr w:type="spellEnd"/>
      <w:r>
        <w:rPr>
          <w:sz w:val="20"/>
        </w:rPr>
        <w:t xml:space="preserve">, P., Dy, A. J., Joung, J., Verdine, V., Donghia, N., Daringer, N. M., Freije, C. A., Myhrvold, C., Bhattacharyya, R. P., Livny, J., Regev, A., Koonin, E. V., Hung, D. T., Sabeti, P. C., Collins, J. J., &amp; Zhang, F. (2017). Nucleic acid detection with CRISPR-Cas13a/C2c2. </w:t>
      </w:r>
      <w:r>
        <w:rPr>
          <w:i/>
          <w:sz w:val="20"/>
        </w:rPr>
        <w:t>Science</w:t>
      </w:r>
      <w:r>
        <w:rPr>
          <w:sz w:val="20"/>
        </w:rPr>
        <w:t xml:space="preserve">, </w:t>
      </w:r>
      <w:r>
        <w:rPr>
          <w:i/>
          <w:sz w:val="20"/>
        </w:rPr>
        <w:t>356</w:t>
      </w:r>
      <w:r>
        <w:rPr>
          <w:sz w:val="20"/>
        </w:rPr>
        <w:t xml:space="preserve">(6336), 438–442. </w:t>
      </w:r>
      <w:r>
        <w:rPr>
          <w:color w:val="0563C1"/>
          <w:u w:val="single"/>
        </w:rPr>
        <w:t>https://doi.org/10.1126/science.aam9321</w:t>
      </w:r>
    </w:p>
    <w:p w14:paraId="6C15FA86" w14:textId="6019CA0A" w:rsidR="00A423C3" w:rsidRDefault="00000000">
      <w:pPr>
        <w:spacing w:after="100" w:line="240" w:lineRule="auto"/>
        <w:ind w:left="360" w:hanging="360"/>
      </w:pPr>
      <w:r>
        <w:rPr>
          <w:sz w:val="20"/>
        </w:rPr>
        <w:t xml:space="preserve">Gou, S., Liu, Y., Li, Q., Qiu, L., Liu, Z., &amp; Zhao, Y. (2025). CRISPR/Cas12-mediated detection of GI and GII Norovirus in different food samples. </w:t>
      </w:r>
      <w:r>
        <w:rPr>
          <w:i/>
          <w:sz w:val="20"/>
        </w:rPr>
        <w:t>Journal of Food Science</w:t>
      </w:r>
      <w:r>
        <w:rPr>
          <w:sz w:val="20"/>
        </w:rPr>
        <w:t xml:space="preserve">, </w:t>
      </w:r>
      <w:r>
        <w:rPr>
          <w:i/>
          <w:sz w:val="20"/>
        </w:rPr>
        <w:t>90</w:t>
      </w:r>
      <w:r>
        <w:rPr>
          <w:sz w:val="20"/>
        </w:rPr>
        <w:t xml:space="preserve">(3), e70160. </w:t>
      </w:r>
      <w:r>
        <w:rPr>
          <w:color w:val="0563C1"/>
          <w:u w:val="single"/>
        </w:rPr>
        <w:t>https://doi.org/10.1111/1750-3841.70160</w:t>
      </w:r>
    </w:p>
    <w:p w14:paraId="2238D98C" w14:textId="39982FC4" w:rsidR="00A423C3" w:rsidRDefault="00000000">
      <w:pPr>
        <w:spacing w:after="100" w:line="240" w:lineRule="auto"/>
        <w:ind w:left="360" w:hanging="360"/>
      </w:pPr>
      <w:r>
        <w:rPr>
          <w:sz w:val="20"/>
        </w:rPr>
        <w:t xml:space="preserve">Green, B. N., Johnson, C. D., &amp; Adams, A. (2006). Writing narrative literature reviews for peer-reviewed journals: Secrets of the trade. </w:t>
      </w:r>
      <w:r>
        <w:rPr>
          <w:i/>
          <w:sz w:val="20"/>
        </w:rPr>
        <w:t>Journal of Chiropractic Medicine</w:t>
      </w:r>
      <w:r>
        <w:rPr>
          <w:sz w:val="20"/>
        </w:rPr>
        <w:t xml:space="preserve">, </w:t>
      </w:r>
      <w:r>
        <w:rPr>
          <w:i/>
          <w:sz w:val="20"/>
        </w:rPr>
        <w:t>5</w:t>
      </w:r>
      <w:r>
        <w:rPr>
          <w:sz w:val="20"/>
        </w:rPr>
        <w:t xml:space="preserve">(3), 101–117. </w:t>
      </w:r>
      <w:r>
        <w:rPr>
          <w:color w:val="0563C1"/>
          <w:u w:val="single"/>
        </w:rPr>
        <w:t>https://doi.org/10.1016/S0899-3467(07)60142-6</w:t>
      </w:r>
    </w:p>
    <w:p w14:paraId="79FE94DD" w14:textId="6EA04A84" w:rsidR="00A423C3" w:rsidRDefault="00000000">
      <w:pPr>
        <w:spacing w:after="100" w:line="240" w:lineRule="auto"/>
        <w:ind w:left="360" w:hanging="360"/>
      </w:pPr>
      <w:r>
        <w:rPr>
          <w:sz w:val="20"/>
        </w:rPr>
        <w:t xml:space="preserve">Guan, X., Yang, R., Zhang, J., Moon, J., Hou, C., Guo, C., Avery, L., Scarola, D., Roberts, D. S., </w:t>
      </w:r>
      <w:proofErr w:type="spellStart"/>
      <w:r>
        <w:rPr>
          <w:sz w:val="20"/>
        </w:rPr>
        <w:t>LaSala</w:t>
      </w:r>
      <w:proofErr w:type="spellEnd"/>
      <w:r>
        <w:rPr>
          <w:sz w:val="20"/>
        </w:rPr>
        <w:t xml:space="preserve">, R., &amp; Liu, C. (2025). Programmable multiplexed nucleic acid detection by harnessing specificity defect of CRISPR-Cas12a. </w:t>
      </w:r>
      <w:r>
        <w:rPr>
          <w:i/>
          <w:sz w:val="20"/>
        </w:rPr>
        <w:t>Advanced Science</w:t>
      </w:r>
      <w:r>
        <w:rPr>
          <w:sz w:val="20"/>
        </w:rPr>
        <w:t xml:space="preserve">, </w:t>
      </w:r>
      <w:r>
        <w:rPr>
          <w:i/>
          <w:sz w:val="20"/>
        </w:rPr>
        <w:t>12</w:t>
      </w:r>
      <w:r>
        <w:rPr>
          <w:sz w:val="20"/>
        </w:rPr>
        <w:t xml:space="preserve">(4), e2411021. </w:t>
      </w:r>
      <w:r>
        <w:rPr>
          <w:color w:val="0563C1"/>
          <w:u w:val="single"/>
        </w:rPr>
        <w:t>https://doi.org/10.1002/advs.202411021</w:t>
      </w:r>
    </w:p>
    <w:p w14:paraId="36A1EDA7" w14:textId="1C7F6846" w:rsidR="00A423C3" w:rsidRDefault="00000000">
      <w:pPr>
        <w:spacing w:after="100" w:line="240" w:lineRule="auto"/>
        <w:ind w:left="360" w:hanging="360"/>
      </w:pPr>
      <w:r>
        <w:rPr>
          <w:sz w:val="20"/>
        </w:rPr>
        <w:lastRenderedPageBreak/>
        <w:t xml:space="preserve">Harrington, L. B., Burstein, D., Chen, J. S., Paez-Espino, D., Ma, E., Witte, I. P., Cofsky, J. C., </w:t>
      </w:r>
      <w:proofErr w:type="spellStart"/>
      <w:r>
        <w:rPr>
          <w:sz w:val="20"/>
        </w:rPr>
        <w:t>Kyrpides</w:t>
      </w:r>
      <w:proofErr w:type="spellEnd"/>
      <w:r>
        <w:rPr>
          <w:sz w:val="20"/>
        </w:rPr>
        <w:t xml:space="preserve">, N. C., Banfield, J. F., &amp; Doudna, J. A. (2018). Programmed DNA destruction by miniature CRISPR-Cas14 enzymes. </w:t>
      </w:r>
      <w:r>
        <w:rPr>
          <w:i/>
          <w:sz w:val="20"/>
        </w:rPr>
        <w:t>Science</w:t>
      </w:r>
      <w:r>
        <w:rPr>
          <w:sz w:val="20"/>
        </w:rPr>
        <w:t xml:space="preserve">, </w:t>
      </w:r>
      <w:r>
        <w:rPr>
          <w:i/>
          <w:sz w:val="20"/>
        </w:rPr>
        <w:t>362</w:t>
      </w:r>
      <w:r>
        <w:rPr>
          <w:sz w:val="20"/>
        </w:rPr>
        <w:t xml:space="preserve">(6416), 839–842. </w:t>
      </w:r>
      <w:r>
        <w:rPr>
          <w:color w:val="0563C1"/>
          <w:u w:val="single"/>
        </w:rPr>
        <w:t>https://doi.org/10.1126/science.aav4294</w:t>
      </w:r>
    </w:p>
    <w:p w14:paraId="7D26F3CF" w14:textId="1318DDE1" w:rsidR="00A423C3" w:rsidRDefault="00000000">
      <w:pPr>
        <w:spacing w:after="100" w:line="240" w:lineRule="auto"/>
        <w:ind w:left="360" w:hanging="360"/>
      </w:pPr>
      <w:r>
        <w:rPr>
          <w:sz w:val="20"/>
        </w:rPr>
        <w:t xml:space="preserve">Hu, X., He, P., Jiang, T., &amp; Shen, J. (2024). Development and evaluation of a rapid GII norovirus detection method based on CRISPR-Cas12a. </w:t>
      </w:r>
      <w:r>
        <w:rPr>
          <w:i/>
          <w:sz w:val="20"/>
        </w:rPr>
        <w:t>Polish Journal of Microbiology</w:t>
      </w:r>
      <w:r>
        <w:rPr>
          <w:sz w:val="20"/>
        </w:rPr>
        <w:t xml:space="preserve">, </w:t>
      </w:r>
      <w:r>
        <w:rPr>
          <w:i/>
          <w:sz w:val="20"/>
        </w:rPr>
        <w:t>73</w:t>
      </w:r>
      <w:r>
        <w:rPr>
          <w:sz w:val="20"/>
        </w:rPr>
        <w:t xml:space="preserve">(1), 89–97. </w:t>
      </w:r>
      <w:r>
        <w:rPr>
          <w:color w:val="0563C1"/>
          <w:u w:val="single"/>
        </w:rPr>
        <w:t>https://doi.org/10.33073/pjm-2024-009</w:t>
      </w:r>
    </w:p>
    <w:p w14:paraId="5A644BBA" w14:textId="5075903B" w:rsidR="00A423C3" w:rsidRDefault="00000000">
      <w:pPr>
        <w:spacing w:after="100" w:line="240" w:lineRule="auto"/>
        <w:ind w:left="360" w:hanging="360"/>
      </w:pPr>
      <w:r>
        <w:rPr>
          <w:sz w:val="20"/>
        </w:rPr>
        <w:t xml:space="preserve">Huang, Y., Gu, D., Xue, H., Yu, J., Tang, Y., Huang, J., Zhang, Y., &amp; Jiao, X. (2021). Rapid and accurate </w:t>
      </w:r>
      <w:r>
        <w:rPr>
          <w:i/>
          <w:sz w:val="20"/>
        </w:rPr>
        <w:t xml:space="preserve">Campylobacter </w:t>
      </w:r>
      <w:proofErr w:type="spellStart"/>
      <w:r>
        <w:rPr>
          <w:i/>
          <w:sz w:val="20"/>
        </w:rPr>
        <w:t>jejuni</w:t>
      </w:r>
      <w:proofErr w:type="spellEnd"/>
      <w:r>
        <w:rPr>
          <w:sz w:val="20"/>
        </w:rPr>
        <w:t xml:space="preserve"> detection with CRISPR-Cas12b based on newly identified </w:t>
      </w:r>
      <w:r>
        <w:rPr>
          <w:i/>
          <w:sz w:val="20"/>
        </w:rPr>
        <w:t xml:space="preserve">Campylobacter </w:t>
      </w:r>
      <w:proofErr w:type="spellStart"/>
      <w:r>
        <w:rPr>
          <w:i/>
          <w:sz w:val="20"/>
        </w:rPr>
        <w:t>jejuni</w:t>
      </w:r>
      <w:proofErr w:type="spellEnd"/>
      <w:r>
        <w:rPr>
          <w:sz w:val="20"/>
        </w:rPr>
        <w:t xml:space="preserve">-specific and -conserved genomic signatures. </w:t>
      </w:r>
      <w:r>
        <w:rPr>
          <w:i/>
          <w:sz w:val="20"/>
        </w:rPr>
        <w:t>Frontiers in Microbiology</w:t>
      </w:r>
      <w:r>
        <w:rPr>
          <w:sz w:val="20"/>
        </w:rPr>
        <w:t xml:space="preserve">, </w:t>
      </w:r>
      <w:r>
        <w:rPr>
          <w:i/>
          <w:sz w:val="20"/>
        </w:rPr>
        <w:t>12</w:t>
      </w:r>
      <w:r>
        <w:rPr>
          <w:sz w:val="20"/>
        </w:rPr>
        <w:t xml:space="preserve">, 649010. </w:t>
      </w:r>
      <w:r>
        <w:rPr>
          <w:color w:val="0563C1"/>
          <w:u w:val="single"/>
        </w:rPr>
        <w:t>https://doi.org/10.3389/fmicb.2021.649010</w:t>
      </w:r>
    </w:p>
    <w:p w14:paraId="54B9FE67" w14:textId="387DE968" w:rsidR="00A423C3" w:rsidRDefault="00000000">
      <w:pPr>
        <w:spacing w:after="100" w:line="240" w:lineRule="auto"/>
        <w:ind w:left="360" w:hanging="360"/>
      </w:pPr>
      <w:r>
        <w:rPr>
          <w:sz w:val="20"/>
        </w:rPr>
        <w:t xml:space="preserve">Jiang, H. J., Tan, R., Jin, M., Yin, J., Gao, Z. X., Li, H. B., Shi, D. Y., Zhou, S. Q., Chen, T. J., Yang, D., &amp; Li, J. W. (2022). Visual detection of </w:t>
      </w:r>
      <w:r>
        <w:rPr>
          <w:i/>
          <w:sz w:val="20"/>
        </w:rPr>
        <w:t>Vibrio parahaemolyticus</w:t>
      </w:r>
      <w:r>
        <w:rPr>
          <w:sz w:val="20"/>
        </w:rPr>
        <w:t xml:space="preserve"> using combined CRISPR/Cas12a and recombinase polymerase amplification. </w:t>
      </w:r>
      <w:r>
        <w:rPr>
          <w:i/>
          <w:sz w:val="20"/>
        </w:rPr>
        <w:t>Biomedical and Environmental Sciences</w:t>
      </w:r>
      <w:r>
        <w:rPr>
          <w:sz w:val="20"/>
        </w:rPr>
        <w:t xml:space="preserve">, </w:t>
      </w:r>
      <w:r>
        <w:rPr>
          <w:i/>
          <w:sz w:val="20"/>
        </w:rPr>
        <w:t>35</w:t>
      </w:r>
      <w:r>
        <w:rPr>
          <w:sz w:val="20"/>
        </w:rPr>
        <w:t xml:space="preserve">(6), 518–527. </w:t>
      </w:r>
      <w:r>
        <w:rPr>
          <w:color w:val="0563C1"/>
          <w:u w:val="single"/>
        </w:rPr>
        <w:t>https://doi.org/10.3967/bes2022.069</w:t>
      </w:r>
    </w:p>
    <w:p w14:paraId="7E619B78" w14:textId="5FFFE163" w:rsidR="00A423C3" w:rsidRDefault="00000000">
      <w:pPr>
        <w:spacing w:after="100" w:line="240" w:lineRule="auto"/>
        <w:ind w:left="360" w:hanging="360"/>
      </w:pPr>
      <w:r>
        <w:rPr>
          <w:sz w:val="20"/>
        </w:rPr>
        <w:t xml:space="preserve">Lee, A. W.-T., Ng, I. C.-F., Wong, E. Y.-K., Wong, I. T.-F., Sze, R. P.-P., Chan, K.-Y., So, T.-Y., Zhang, Z., Fung, S. K.-Y., Wong, S. C.-Y., Tam, W.-Y., Lao, H.-Y., Lee, L.-K., Leung, J. S.-L., Chan, C. T.-M., Ng, T. T.-L., Zhang, J., Chow, F. W.-N., Leung, P. H.-M., &amp; Siu, G. K.-H. (2024). Comprehensive identification of pathogenic microbes and antimicrobial resistance genes in food products using nanopore sequencing-based metagenomics. </w:t>
      </w:r>
      <w:r>
        <w:rPr>
          <w:i/>
          <w:sz w:val="20"/>
        </w:rPr>
        <w:t>Food Microbiology</w:t>
      </w:r>
      <w:r>
        <w:rPr>
          <w:sz w:val="20"/>
        </w:rPr>
        <w:t xml:space="preserve">, </w:t>
      </w:r>
      <w:r>
        <w:rPr>
          <w:i/>
          <w:sz w:val="20"/>
        </w:rPr>
        <w:t>121</w:t>
      </w:r>
      <w:r>
        <w:rPr>
          <w:sz w:val="20"/>
        </w:rPr>
        <w:t xml:space="preserve">, 104493. </w:t>
      </w:r>
      <w:r>
        <w:rPr>
          <w:color w:val="0563C1"/>
          <w:u w:val="single"/>
        </w:rPr>
        <w:t>https://doi.org/10.1016/j.fm.2024.104493</w:t>
      </w:r>
    </w:p>
    <w:p w14:paraId="01963393" w14:textId="7CC02131" w:rsidR="00A423C3" w:rsidRDefault="00000000">
      <w:pPr>
        <w:spacing w:after="100" w:line="240" w:lineRule="auto"/>
        <w:ind w:left="360" w:hanging="360"/>
      </w:pPr>
      <w:r>
        <w:rPr>
          <w:sz w:val="20"/>
        </w:rPr>
        <w:t xml:space="preserve">Lee, S.-Y., &amp; Oh, S.-W. (2022). Filtration-based LAMP-CRISPR/Cas12a system for the rapid, sensitive and visualized detection of </w:t>
      </w:r>
      <w:r>
        <w:rPr>
          <w:i/>
          <w:sz w:val="20"/>
        </w:rPr>
        <w:t>Escherichia coli</w:t>
      </w:r>
      <w:r>
        <w:rPr>
          <w:sz w:val="20"/>
        </w:rPr>
        <w:t xml:space="preserve"> O157:H7. </w:t>
      </w:r>
      <w:proofErr w:type="spellStart"/>
      <w:r>
        <w:rPr>
          <w:i/>
          <w:sz w:val="20"/>
        </w:rPr>
        <w:t>Talanta</w:t>
      </w:r>
      <w:proofErr w:type="spellEnd"/>
      <w:r>
        <w:rPr>
          <w:sz w:val="20"/>
        </w:rPr>
        <w:t xml:space="preserve">, </w:t>
      </w:r>
      <w:r>
        <w:rPr>
          <w:i/>
          <w:sz w:val="20"/>
        </w:rPr>
        <w:t>241</w:t>
      </w:r>
      <w:r>
        <w:rPr>
          <w:sz w:val="20"/>
        </w:rPr>
        <w:t xml:space="preserve">, 123186. </w:t>
      </w:r>
      <w:r>
        <w:rPr>
          <w:color w:val="0563C1"/>
          <w:u w:val="single"/>
        </w:rPr>
        <w:t>https://doi.org/10.1016/j.talanta.2021.123186</w:t>
      </w:r>
    </w:p>
    <w:p w14:paraId="7A452DF2" w14:textId="0BCBFBCA" w:rsidR="00A423C3" w:rsidRDefault="00000000">
      <w:pPr>
        <w:spacing w:after="100" w:line="240" w:lineRule="auto"/>
        <w:ind w:left="360" w:hanging="360"/>
      </w:pPr>
      <w:r>
        <w:rPr>
          <w:sz w:val="20"/>
        </w:rPr>
        <w:t xml:space="preserve">Li, F., Ye, Q., Chen, M., Zhou, B., Zhang, J., Pang, R., Xue, L., Wang, J., Zeng, H., Wu, S., Zhang, Y., Ding, Y., &amp; Wu, Q. (2021). An ultrasensitive CRISPR/Cas12a based electrochemical biosensor for </w:t>
      </w:r>
      <w:r>
        <w:rPr>
          <w:i/>
          <w:sz w:val="20"/>
        </w:rPr>
        <w:t>Listeria monocytogenes</w:t>
      </w:r>
      <w:r>
        <w:rPr>
          <w:sz w:val="20"/>
        </w:rPr>
        <w:t xml:space="preserve"> detection. </w:t>
      </w:r>
      <w:r>
        <w:rPr>
          <w:i/>
          <w:sz w:val="20"/>
        </w:rPr>
        <w:t>Biosensors and Bioelectronics</w:t>
      </w:r>
      <w:r>
        <w:rPr>
          <w:sz w:val="20"/>
        </w:rPr>
        <w:t xml:space="preserve">, </w:t>
      </w:r>
      <w:r>
        <w:rPr>
          <w:i/>
          <w:sz w:val="20"/>
        </w:rPr>
        <w:t>179</w:t>
      </w:r>
      <w:r>
        <w:rPr>
          <w:sz w:val="20"/>
        </w:rPr>
        <w:t xml:space="preserve">, 113073. </w:t>
      </w:r>
      <w:r>
        <w:rPr>
          <w:color w:val="0563C1"/>
          <w:u w:val="single"/>
        </w:rPr>
        <w:t>https://doi.org/10.1016/j.bios.2021.113073</w:t>
      </w:r>
    </w:p>
    <w:p w14:paraId="4B0088D0" w14:textId="0D77C200" w:rsidR="00A423C3" w:rsidRDefault="00000000">
      <w:pPr>
        <w:spacing w:after="100" w:line="240" w:lineRule="auto"/>
        <w:ind w:left="360" w:hanging="360"/>
      </w:pPr>
      <w:r>
        <w:rPr>
          <w:sz w:val="20"/>
        </w:rPr>
        <w:t xml:space="preserve">Li, Y., Man, S., Ye, S., Liu, G., &amp; Ma, L. (2022). CRISPR-Cas-based detection for food safety problems: Current status, challenges, and opportunities. </w:t>
      </w:r>
      <w:r>
        <w:rPr>
          <w:i/>
          <w:sz w:val="20"/>
        </w:rPr>
        <w:t>Comprehensive Reviews in Food Science and Food Safety</w:t>
      </w:r>
      <w:r>
        <w:rPr>
          <w:sz w:val="20"/>
        </w:rPr>
        <w:t xml:space="preserve">, </w:t>
      </w:r>
      <w:r>
        <w:rPr>
          <w:i/>
          <w:sz w:val="20"/>
        </w:rPr>
        <w:t>21</w:t>
      </w:r>
      <w:r>
        <w:rPr>
          <w:sz w:val="20"/>
        </w:rPr>
        <w:t xml:space="preserve">(4), 3770–3798. </w:t>
      </w:r>
      <w:r>
        <w:rPr>
          <w:color w:val="0563C1"/>
          <w:u w:val="single"/>
        </w:rPr>
        <w:t>https://doi.org/10.1111/1541-4337.13000</w:t>
      </w:r>
    </w:p>
    <w:p w14:paraId="6E8D6827" w14:textId="0917C2D6" w:rsidR="00A423C3" w:rsidRDefault="00000000">
      <w:pPr>
        <w:spacing w:after="100" w:line="240" w:lineRule="auto"/>
        <w:ind w:left="360" w:hanging="360"/>
      </w:pPr>
      <w:r>
        <w:rPr>
          <w:sz w:val="20"/>
        </w:rPr>
        <w:t xml:space="preserve">Liang, Y., Liu, Y., Liu, X., Ding, J., Shi, T., Dong, Q., Chen, M., Wu, H., &amp; Zhang, H. (2026). Droplet digital polymerase chain reaction assay for quantifying </w:t>
      </w:r>
      <w:r>
        <w:rPr>
          <w:i/>
          <w:sz w:val="20"/>
        </w:rPr>
        <w:t>Salmonella</w:t>
      </w:r>
      <w:r>
        <w:rPr>
          <w:sz w:val="20"/>
        </w:rPr>
        <w:t xml:space="preserve"> in meat samples. </w:t>
      </w:r>
      <w:r>
        <w:rPr>
          <w:i/>
          <w:sz w:val="20"/>
        </w:rPr>
        <w:t>Foods</w:t>
      </w:r>
      <w:r>
        <w:rPr>
          <w:sz w:val="20"/>
        </w:rPr>
        <w:t xml:space="preserve">, </w:t>
      </w:r>
      <w:r>
        <w:rPr>
          <w:i/>
          <w:sz w:val="20"/>
        </w:rPr>
        <w:t>15</w:t>
      </w:r>
      <w:r>
        <w:rPr>
          <w:sz w:val="20"/>
        </w:rPr>
        <w:t xml:space="preserve">(2), 337. </w:t>
      </w:r>
      <w:r>
        <w:rPr>
          <w:color w:val="0563C1"/>
          <w:u w:val="single"/>
        </w:rPr>
        <w:t>https://doi.org/10.3390/foods15020337</w:t>
      </w:r>
    </w:p>
    <w:p w14:paraId="41E1A325" w14:textId="57E35F99" w:rsidR="00A423C3" w:rsidRDefault="00000000">
      <w:pPr>
        <w:spacing w:after="100" w:line="240" w:lineRule="auto"/>
        <w:ind w:left="360" w:hanging="360"/>
      </w:pPr>
      <w:r>
        <w:rPr>
          <w:sz w:val="20"/>
        </w:rPr>
        <w:t xml:space="preserve">Liberty, J. T., Bromage, S., Peter, E., </w:t>
      </w:r>
      <w:proofErr w:type="spellStart"/>
      <w:r>
        <w:rPr>
          <w:sz w:val="20"/>
        </w:rPr>
        <w:t>Ihedioha</w:t>
      </w:r>
      <w:proofErr w:type="spellEnd"/>
      <w:r>
        <w:rPr>
          <w:sz w:val="20"/>
        </w:rPr>
        <w:t xml:space="preserve">, O. C., Alsalman, F. B., &amp; Odogwu, T. S. (2025). CRISPR revolution: Unleashing precision pathogen detection to safeguard public health and food safety. </w:t>
      </w:r>
      <w:r>
        <w:rPr>
          <w:i/>
          <w:sz w:val="20"/>
        </w:rPr>
        <w:t>Methods</w:t>
      </w:r>
      <w:r>
        <w:rPr>
          <w:sz w:val="20"/>
        </w:rPr>
        <w:t xml:space="preserve">, </w:t>
      </w:r>
      <w:r>
        <w:rPr>
          <w:i/>
          <w:sz w:val="20"/>
        </w:rPr>
        <w:t>240</w:t>
      </w:r>
      <w:r>
        <w:rPr>
          <w:sz w:val="20"/>
        </w:rPr>
        <w:t xml:space="preserve">, 180–194. </w:t>
      </w:r>
      <w:r>
        <w:rPr>
          <w:color w:val="0563C1"/>
          <w:u w:val="single"/>
        </w:rPr>
        <w:t>https://doi.org/10.1016/j.ymeth.2025.04.018</w:t>
      </w:r>
    </w:p>
    <w:p w14:paraId="083C8967" w14:textId="3DC5D692" w:rsidR="00A423C3" w:rsidRDefault="00000000">
      <w:pPr>
        <w:spacing w:after="100" w:line="240" w:lineRule="auto"/>
        <w:ind w:left="360" w:hanging="360"/>
      </w:pPr>
      <w:r>
        <w:rPr>
          <w:sz w:val="20"/>
        </w:rPr>
        <w:t xml:space="preserve">Lin, Y., Yang, L., Qiu, S., Yang, C., Wang, K., Li, J., Jia, L., Li, P., &amp; Song, H. (2022). Rapid identification and source tracing of a </w:t>
      </w:r>
      <w:r>
        <w:rPr>
          <w:i/>
          <w:sz w:val="20"/>
        </w:rPr>
        <w:t>Salmonella</w:t>
      </w:r>
      <w:r>
        <w:rPr>
          <w:sz w:val="20"/>
        </w:rPr>
        <w:t xml:space="preserve"> Typhimurium outbreak in China by metagenomic and whole-genome sequencing. </w:t>
      </w:r>
      <w:r>
        <w:rPr>
          <w:i/>
          <w:sz w:val="20"/>
        </w:rPr>
        <w:t>Foodborne Pathogens and Disease</w:t>
      </w:r>
      <w:r>
        <w:rPr>
          <w:sz w:val="20"/>
        </w:rPr>
        <w:t xml:space="preserve">, </w:t>
      </w:r>
      <w:r>
        <w:rPr>
          <w:i/>
          <w:sz w:val="20"/>
        </w:rPr>
        <w:t>19</w:t>
      </w:r>
      <w:r>
        <w:rPr>
          <w:sz w:val="20"/>
        </w:rPr>
        <w:t xml:space="preserve">(4), 259–265. </w:t>
      </w:r>
      <w:r>
        <w:rPr>
          <w:color w:val="0563C1"/>
          <w:u w:val="single"/>
        </w:rPr>
        <w:t>https://doi.org/10.1089/fpd.2021.0072</w:t>
      </w:r>
    </w:p>
    <w:p w14:paraId="156FE86C" w14:textId="04C85031" w:rsidR="00A423C3" w:rsidRDefault="00000000">
      <w:pPr>
        <w:spacing w:after="100" w:line="240" w:lineRule="auto"/>
        <w:ind w:left="360" w:hanging="360"/>
      </w:pPr>
      <w:r>
        <w:rPr>
          <w:sz w:val="20"/>
        </w:rPr>
        <w:t xml:space="preserve">Liu, H., Wang, J., Zeng, H., Liu, X., Jiang, W., Wang, Y., Ouyang, W., &amp; Tang, X. (2021). RPA-Cas12a-FS: A frontline nucleic acid rapid detection system for food safety based on CRISPR-Cas12a combined with recombinase polymerase amplification. </w:t>
      </w:r>
      <w:r>
        <w:rPr>
          <w:i/>
          <w:sz w:val="20"/>
        </w:rPr>
        <w:t>Food Chemistry</w:t>
      </w:r>
      <w:r>
        <w:rPr>
          <w:sz w:val="20"/>
        </w:rPr>
        <w:t xml:space="preserve">, </w:t>
      </w:r>
      <w:r>
        <w:rPr>
          <w:i/>
          <w:sz w:val="20"/>
        </w:rPr>
        <w:t>334</w:t>
      </w:r>
      <w:r>
        <w:rPr>
          <w:sz w:val="20"/>
        </w:rPr>
        <w:t xml:space="preserve">, 127608. </w:t>
      </w:r>
      <w:r>
        <w:rPr>
          <w:color w:val="0563C1"/>
          <w:u w:val="single"/>
        </w:rPr>
        <w:t>https://doi.org/10.1016/j.foodchem.2020.127608</w:t>
      </w:r>
    </w:p>
    <w:p w14:paraId="01342CF6" w14:textId="7E82EB68" w:rsidR="00A423C3" w:rsidRDefault="00000000">
      <w:pPr>
        <w:spacing w:after="100" w:line="240" w:lineRule="auto"/>
        <w:ind w:left="360" w:hanging="360"/>
      </w:pPr>
      <w:r>
        <w:rPr>
          <w:sz w:val="20"/>
        </w:rPr>
        <w:t xml:space="preserve">Lu, Y., Yang, H., Bai, J., He, Q., &amp; Deng, R. (2024). CRISPR-Cas based molecular diagnostics for foodborne pathogens. </w:t>
      </w:r>
      <w:r>
        <w:rPr>
          <w:i/>
          <w:sz w:val="20"/>
        </w:rPr>
        <w:t>Critical Reviews in Food Science and Nutrition</w:t>
      </w:r>
      <w:r>
        <w:rPr>
          <w:sz w:val="20"/>
        </w:rPr>
        <w:t xml:space="preserve">, </w:t>
      </w:r>
      <w:r>
        <w:rPr>
          <w:i/>
          <w:sz w:val="20"/>
        </w:rPr>
        <w:t>64</w:t>
      </w:r>
      <w:r>
        <w:rPr>
          <w:sz w:val="20"/>
        </w:rPr>
        <w:t xml:space="preserve">(16), 5269–5289. </w:t>
      </w:r>
      <w:r>
        <w:rPr>
          <w:color w:val="0563C1"/>
          <w:u w:val="single"/>
        </w:rPr>
        <w:t>https://doi.org/10.1080/10408398.2022.2153792</w:t>
      </w:r>
    </w:p>
    <w:p w14:paraId="49AD95E9" w14:textId="1A5DDD23" w:rsidR="00A423C3" w:rsidRDefault="00000000">
      <w:pPr>
        <w:spacing w:after="100" w:line="240" w:lineRule="auto"/>
        <w:ind w:left="360" w:hanging="360"/>
      </w:pPr>
      <w:r>
        <w:rPr>
          <w:sz w:val="20"/>
        </w:rPr>
        <w:t xml:space="preserve">Ma, Y., Wei, H., Wang, Y., Cheng, X., Chen, H., Yang, X., Zhang, H., Rong, Z., &amp; Wang, S. (2024). Efficient magnetic enrichment cascade single-step RPA-CRISPR/Cas12a assay for rapid and ultrasensitive detection of </w:t>
      </w:r>
      <w:r>
        <w:rPr>
          <w:i/>
          <w:sz w:val="20"/>
        </w:rPr>
        <w:t>Staphylococcus aureus</w:t>
      </w:r>
      <w:r>
        <w:rPr>
          <w:sz w:val="20"/>
        </w:rPr>
        <w:t xml:space="preserve"> in food samples. </w:t>
      </w:r>
      <w:r>
        <w:rPr>
          <w:i/>
          <w:sz w:val="20"/>
        </w:rPr>
        <w:t>Journal of Hazardous Materials</w:t>
      </w:r>
      <w:r>
        <w:rPr>
          <w:sz w:val="20"/>
        </w:rPr>
        <w:t xml:space="preserve">, </w:t>
      </w:r>
      <w:r>
        <w:rPr>
          <w:i/>
          <w:sz w:val="20"/>
        </w:rPr>
        <w:t>465</w:t>
      </w:r>
      <w:r>
        <w:rPr>
          <w:sz w:val="20"/>
        </w:rPr>
        <w:t xml:space="preserve">, 133494. </w:t>
      </w:r>
      <w:r>
        <w:rPr>
          <w:color w:val="0563C1"/>
          <w:u w:val="single"/>
        </w:rPr>
        <w:t>https://doi.org/10.1016/j.jhazmat.2024.133494</w:t>
      </w:r>
    </w:p>
    <w:p w14:paraId="235CDC7F" w14:textId="53253D6E" w:rsidR="00A423C3" w:rsidRDefault="00000000">
      <w:pPr>
        <w:spacing w:after="100" w:line="240" w:lineRule="auto"/>
        <w:ind w:left="360" w:hanging="360"/>
      </w:pPr>
      <w:r>
        <w:rPr>
          <w:sz w:val="20"/>
        </w:rPr>
        <w:t xml:space="preserve">Morton, V., Kandar, R., Kearney, A., Hamel, M., &amp; Nadon, C. (2024). Transition to whole genome sequencing surveillance: The impact on national outbreak detection and response for </w:t>
      </w:r>
      <w:r>
        <w:rPr>
          <w:i/>
          <w:sz w:val="20"/>
        </w:rPr>
        <w:t>Listeria monocytogenes</w:t>
      </w:r>
      <w:r>
        <w:rPr>
          <w:sz w:val="20"/>
        </w:rPr>
        <w:t xml:space="preserve">, </w:t>
      </w:r>
      <w:r>
        <w:rPr>
          <w:i/>
          <w:sz w:val="20"/>
        </w:rPr>
        <w:t>Salmonella</w:t>
      </w:r>
      <w:r>
        <w:rPr>
          <w:sz w:val="20"/>
        </w:rPr>
        <w:t xml:space="preserve">, Shiga toxin-producing </w:t>
      </w:r>
      <w:r>
        <w:rPr>
          <w:i/>
          <w:sz w:val="20"/>
        </w:rPr>
        <w:t>Escherichia coli</w:t>
      </w:r>
      <w:r>
        <w:rPr>
          <w:sz w:val="20"/>
        </w:rPr>
        <w:t xml:space="preserve">, and </w:t>
      </w:r>
      <w:r>
        <w:rPr>
          <w:i/>
          <w:sz w:val="20"/>
        </w:rPr>
        <w:t>Shigella</w:t>
      </w:r>
      <w:r>
        <w:rPr>
          <w:sz w:val="20"/>
        </w:rPr>
        <w:t xml:space="preserve"> clusters in Canada, 2015-2021. </w:t>
      </w:r>
      <w:r>
        <w:rPr>
          <w:i/>
          <w:sz w:val="20"/>
        </w:rPr>
        <w:t>Foodborne Pathogens and Disease</w:t>
      </w:r>
      <w:r>
        <w:rPr>
          <w:sz w:val="20"/>
        </w:rPr>
        <w:t xml:space="preserve">, </w:t>
      </w:r>
      <w:r>
        <w:rPr>
          <w:i/>
          <w:sz w:val="20"/>
        </w:rPr>
        <w:t>21</w:t>
      </w:r>
      <w:r>
        <w:rPr>
          <w:sz w:val="20"/>
        </w:rPr>
        <w:t xml:space="preserve">(11), 689–697. </w:t>
      </w:r>
      <w:r>
        <w:rPr>
          <w:color w:val="0563C1"/>
          <w:u w:val="single"/>
        </w:rPr>
        <w:t>https://doi.org/10.1089/fpd.2024.0041</w:t>
      </w:r>
    </w:p>
    <w:p w14:paraId="3C83B2B4" w14:textId="6D6F5ABB" w:rsidR="00A423C3" w:rsidRDefault="00000000">
      <w:pPr>
        <w:spacing w:after="100" w:line="240" w:lineRule="auto"/>
        <w:ind w:left="360" w:hanging="360"/>
      </w:pPr>
      <w:r>
        <w:rPr>
          <w:sz w:val="20"/>
        </w:rPr>
        <w:lastRenderedPageBreak/>
        <w:t xml:space="preserve">Qian, W., Huang, J., Wang, T., Fan, C., Kang, J., Zhang, Q., Li, Y., &amp; Chen, S. (2022). Ultrasensitive and visual detection of human norovirus genotype GII.4 or GII.17 using CRISPR-Cas12a assay. </w:t>
      </w:r>
      <w:r>
        <w:rPr>
          <w:i/>
          <w:sz w:val="20"/>
        </w:rPr>
        <w:t>Virology Journal</w:t>
      </w:r>
      <w:r>
        <w:rPr>
          <w:sz w:val="20"/>
        </w:rPr>
        <w:t xml:space="preserve">, </w:t>
      </w:r>
      <w:r>
        <w:rPr>
          <w:i/>
          <w:sz w:val="20"/>
        </w:rPr>
        <w:t>19</w:t>
      </w:r>
      <w:r>
        <w:rPr>
          <w:sz w:val="20"/>
        </w:rPr>
        <w:t xml:space="preserve">(1), 150. </w:t>
      </w:r>
      <w:r>
        <w:rPr>
          <w:color w:val="0563C1"/>
          <w:u w:val="single"/>
        </w:rPr>
        <w:t>https://doi.org/10.1186/s12985-022-01878-z</w:t>
      </w:r>
    </w:p>
    <w:p w14:paraId="236B7092" w14:textId="7459D0BC" w:rsidR="00A423C3" w:rsidRDefault="00000000">
      <w:pPr>
        <w:spacing w:after="100" w:line="240" w:lineRule="auto"/>
        <w:ind w:left="360" w:hanging="360"/>
      </w:pPr>
      <w:proofErr w:type="spellStart"/>
      <w:r>
        <w:rPr>
          <w:sz w:val="20"/>
        </w:rPr>
        <w:t>Safenkova</w:t>
      </w:r>
      <w:proofErr w:type="spellEnd"/>
      <w:r>
        <w:rPr>
          <w:sz w:val="20"/>
        </w:rPr>
        <w:t xml:space="preserve">, I. V., </w:t>
      </w:r>
      <w:proofErr w:type="spellStart"/>
      <w:r>
        <w:rPr>
          <w:sz w:val="20"/>
        </w:rPr>
        <w:t>Kamionskaya</w:t>
      </w:r>
      <w:proofErr w:type="spellEnd"/>
      <w:r>
        <w:rPr>
          <w:sz w:val="20"/>
        </w:rPr>
        <w:t xml:space="preserve">, M. V., Serchenya, T. S., Sviridov, O. V., Dzantiev, B. B., &amp; Zherdev, A. V. (2026). CRISPR/Cas12a and fork-shaped probe enhance LAMP-LFT integration for equipment-free detection of </w:t>
      </w:r>
      <w:r>
        <w:rPr>
          <w:i/>
          <w:sz w:val="20"/>
        </w:rPr>
        <w:t>Listeria monocytogenes</w:t>
      </w:r>
      <w:r>
        <w:rPr>
          <w:sz w:val="20"/>
        </w:rPr>
        <w:t xml:space="preserve">. </w:t>
      </w:r>
      <w:r>
        <w:rPr>
          <w:i/>
          <w:sz w:val="20"/>
        </w:rPr>
        <w:t>Food Research International</w:t>
      </w:r>
      <w:r>
        <w:rPr>
          <w:sz w:val="20"/>
        </w:rPr>
        <w:t xml:space="preserve">, </w:t>
      </w:r>
      <w:r>
        <w:rPr>
          <w:i/>
          <w:sz w:val="20"/>
        </w:rPr>
        <w:t>230</w:t>
      </w:r>
      <w:r>
        <w:rPr>
          <w:sz w:val="20"/>
        </w:rPr>
        <w:t xml:space="preserve">, 118592. </w:t>
      </w:r>
      <w:r>
        <w:rPr>
          <w:color w:val="0563C1"/>
          <w:u w:val="single"/>
        </w:rPr>
        <w:t>https://doi.org/10.1016/j.foodres.2026.118592</w:t>
      </w:r>
    </w:p>
    <w:p w14:paraId="6BCA47F6" w14:textId="0FB79252" w:rsidR="00A423C3" w:rsidRDefault="00000000">
      <w:pPr>
        <w:spacing w:after="100" w:line="240" w:lineRule="auto"/>
        <w:ind w:left="360" w:hanging="360"/>
      </w:pPr>
      <w:proofErr w:type="spellStart"/>
      <w:r>
        <w:rPr>
          <w:sz w:val="20"/>
        </w:rPr>
        <w:t>Schadron</w:t>
      </w:r>
      <w:proofErr w:type="spellEnd"/>
      <w:r>
        <w:rPr>
          <w:sz w:val="20"/>
        </w:rPr>
        <w:t xml:space="preserve">, T., van den Beld, M., </w:t>
      </w:r>
      <w:proofErr w:type="spellStart"/>
      <w:r>
        <w:rPr>
          <w:sz w:val="20"/>
        </w:rPr>
        <w:t>Mughini</w:t>
      </w:r>
      <w:proofErr w:type="spellEnd"/>
      <w:r>
        <w:rPr>
          <w:sz w:val="20"/>
        </w:rPr>
        <w:t xml:space="preserve">-Gras, L., &amp; Franz, E. (2024). Use of whole genome sequencing for surveillance and control of foodborne diseases: Status quo and quo </w:t>
      </w:r>
      <w:proofErr w:type="spellStart"/>
      <w:r>
        <w:rPr>
          <w:sz w:val="20"/>
        </w:rPr>
        <w:t>vadis</w:t>
      </w:r>
      <w:proofErr w:type="spellEnd"/>
      <w:r>
        <w:rPr>
          <w:sz w:val="20"/>
        </w:rPr>
        <w:t xml:space="preserve">. </w:t>
      </w:r>
      <w:r>
        <w:rPr>
          <w:i/>
          <w:sz w:val="20"/>
        </w:rPr>
        <w:t>Frontiers in Microbiology</w:t>
      </w:r>
      <w:r>
        <w:rPr>
          <w:sz w:val="20"/>
        </w:rPr>
        <w:t xml:space="preserve">, </w:t>
      </w:r>
      <w:r>
        <w:rPr>
          <w:i/>
          <w:sz w:val="20"/>
        </w:rPr>
        <w:t>15</w:t>
      </w:r>
      <w:r>
        <w:rPr>
          <w:sz w:val="20"/>
        </w:rPr>
        <w:t xml:space="preserve">, 1460335. </w:t>
      </w:r>
      <w:r>
        <w:rPr>
          <w:color w:val="0563C1"/>
          <w:u w:val="single"/>
        </w:rPr>
        <w:t>https://doi.org/10.3389/fmicb.2024.1460335</w:t>
      </w:r>
    </w:p>
    <w:p w14:paraId="4A3787AD" w14:textId="53F606FD" w:rsidR="00A423C3" w:rsidRDefault="00000000">
      <w:pPr>
        <w:spacing w:after="100" w:line="240" w:lineRule="auto"/>
        <w:ind w:left="360" w:hanging="360"/>
      </w:pPr>
      <w:r>
        <w:rPr>
          <w:sz w:val="20"/>
        </w:rPr>
        <w:t xml:space="preserve">Shin, J., Miller, M., &amp; Wang, Y.-C. (2022). Recent advances in CRISPR-based systems for the detection of foodborne pathogens. </w:t>
      </w:r>
      <w:r>
        <w:rPr>
          <w:i/>
          <w:sz w:val="20"/>
        </w:rPr>
        <w:t>Comprehensive Reviews in Food Science and Food Safety</w:t>
      </w:r>
      <w:r>
        <w:rPr>
          <w:sz w:val="20"/>
        </w:rPr>
        <w:t xml:space="preserve">, </w:t>
      </w:r>
      <w:r>
        <w:rPr>
          <w:i/>
          <w:sz w:val="20"/>
        </w:rPr>
        <w:t>21</w:t>
      </w:r>
      <w:r>
        <w:rPr>
          <w:sz w:val="20"/>
        </w:rPr>
        <w:t xml:space="preserve">(3), 3010–3029. </w:t>
      </w:r>
      <w:r>
        <w:rPr>
          <w:color w:val="0563C1"/>
          <w:u w:val="single"/>
        </w:rPr>
        <w:t>https://doi.org/10.1111/1541-4337.12956</w:t>
      </w:r>
    </w:p>
    <w:p w14:paraId="4F5CD37C" w14:textId="070F76F5" w:rsidR="00A423C3" w:rsidRDefault="00000000">
      <w:pPr>
        <w:spacing w:after="100" w:line="240" w:lineRule="auto"/>
        <w:ind w:left="360" w:hanging="360"/>
      </w:pPr>
      <w:r>
        <w:rPr>
          <w:sz w:val="20"/>
        </w:rPr>
        <w:t xml:space="preserve">Trinh, T. N. D., &amp; Nam, N. N. (2024). Isothermal amplification-based microfluidic devices for detecting foodborne pathogens: A review. </w:t>
      </w:r>
      <w:r>
        <w:rPr>
          <w:i/>
          <w:sz w:val="20"/>
        </w:rPr>
        <w:t>Analytical Methods</w:t>
      </w:r>
      <w:r>
        <w:rPr>
          <w:sz w:val="20"/>
        </w:rPr>
        <w:t xml:space="preserve">, </w:t>
      </w:r>
      <w:r>
        <w:rPr>
          <w:i/>
          <w:sz w:val="20"/>
        </w:rPr>
        <w:t>16</w:t>
      </w:r>
      <w:r>
        <w:rPr>
          <w:sz w:val="20"/>
        </w:rPr>
        <w:t xml:space="preserve">(8), 1150–1157. </w:t>
      </w:r>
      <w:r>
        <w:rPr>
          <w:color w:val="0563C1"/>
          <w:u w:val="single"/>
        </w:rPr>
        <w:t>https://doi.org/10.1039/D3AY02039H</w:t>
      </w:r>
    </w:p>
    <w:p w14:paraId="372A1B82" w14:textId="3F464B33" w:rsidR="00A423C3" w:rsidRDefault="00000000">
      <w:pPr>
        <w:spacing w:after="100" w:line="240" w:lineRule="auto"/>
        <w:ind w:left="360" w:hanging="360"/>
      </w:pPr>
      <w:r>
        <w:rPr>
          <w:sz w:val="20"/>
        </w:rPr>
        <w:t xml:space="preserve">Wang, W., Sun, J., Gao, Y., Jia, X. X., Ye, Y., Ren, S., Peng, Y., Han, D., Zhou, H., Gao, Z., &amp; Sun, X. (2025). Ultra-sensitive detection of norovirus using a three-in-one CRISPR platform based on a DNA hydrogel and composite functional nanomaterials. </w:t>
      </w:r>
      <w:r>
        <w:rPr>
          <w:i/>
          <w:sz w:val="20"/>
        </w:rPr>
        <w:t>Journal of Hazardous Materials</w:t>
      </w:r>
      <w:r>
        <w:rPr>
          <w:sz w:val="20"/>
        </w:rPr>
        <w:t xml:space="preserve">, </w:t>
      </w:r>
      <w:r>
        <w:rPr>
          <w:i/>
          <w:sz w:val="20"/>
        </w:rPr>
        <w:t>482</w:t>
      </w:r>
      <w:r>
        <w:rPr>
          <w:sz w:val="20"/>
        </w:rPr>
        <w:t xml:space="preserve">, 136523. </w:t>
      </w:r>
      <w:r>
        <w:rPr>
          <w:color w:val="0563C1"/>
          <w:u w:val="single"/>
        </w:rPr>
        <w:t>https://doi.org/10.1016/j.jhazmat.2024.136523</w:t>
      </w:r>
    </w:p>
    <w:p w14:paraId="656E0D6F" w14:textId="5DB2A430" w:rsidR="00A423C3" w:rsidRDefault="00000000">
      <w:pPr>
        <w:spacing w:after="100" w:line="240" w:lineRule="auto"/>
        <w:ind w:left="360" w:hanging="360"/>
      </w:pPr>
      <w:r>
        <w:rPr>
          <w:sz w:val="20"/>
        </w:rPr>
        <w:t xml:space="preserve">Wang, Z., Chen, H., Hu, A., Cui, X., Shi, C., Lu, Z., Meng, F., </w:t>
      </w:r>
      <w:proofErr w:type="spellStart"/>
      <w:r>
        <w:rPr>
          <w:sz w:val="20"/>
        </w:rPr>
        <w:t>Lv</w:t>
      </w:r>
      <w:proofErr w:type="spellEnd"/>
      <w:r>
        <w:rPr>
          <w:sz w:val="20"/>
        </w:rPr>
        <w:t xml:space="preserve">, F., Zhao, H., &amp; Bie, X. (2024). Establishment of LAMP-CRISPR/Cas12a for rapid detection of </w:t>
      </w:r>
      <w:r>
        <w:rPr>
          <w:i/>
          <w:sz w:val="20"/>
        </w:rPr>
        <w:t>Escherichia coli</w:t>
      </w:r>
      <w:r>
        <w:rPr>
          <w:sz w:val="20"/>
        </w:rPr>
        <w:t xml:space="preserve"> O157:H7 and one-pot detection. </w:t>
      </w:r>
      <w:r>
        <w:rPr>
          <w:i/>
          <w:sz w:val="20"/>
        </w:rPr>
        <w:t>Food Microbiology</w:t>
      </w:r>
      <w:r>
        <w:rPr>
          <w:sz w:val="20"/>
        </w:rPr>
        <w:t xml:space="preserve">, </w:t>
      </w:r>
      <w:r>
        <w:rPr>
          <w:i/>
          <w:sz w:val="20"/>
        </w:rPr>
        <w:t>124</w:t>
      </w:r>
      <w:r>
        <w:rPr>
          <w:sz w:val="20"/>
        </w:rPr>
        <w:t xml:space="preserve">, 104622. </w:t>
      </w:r>
      <w:r>
        <w:rPr>
          <w:color w:val="0563C1"/>
          <w:u w:val="single"/>
        </w:rPr>
        <w:t>https://doi.org/10.1016/j.fm.2024.104622</w:t>
      </w:r>
    </w:p>
    <w:p w14:paraId="4A0658E7" w14:textId="1FF8D30E" w:rsidR="00A423C3" w:rsidRDefault="00000000">
      <w:pPr>
        <w:spacing w:after="100" w:line="240" w:lineRule="auto"/>
        <w:ind w:left="360" w:hanging="360"/>
      </w:pPr>
      <w:proofErr w:type="spellStart"/>
      <w:r>
        <w:rPr>
          <w:sz w:val="20"/>
        </w:rPr>
        <w:t>Wisuthiphaet</w:t>
      </w:r>
      <w:proofErr w:type="spellEnd"/>
      <w:r>
        <w:rPr>
          <w:sz w:val="20"/>
        </w:rPr>
        <w:t>, N., El-</w:t>
      </w:r>
      <w:proofErr w:type="spellStart"/>
      <w:r>
        <w:rPr>
          <w:sz w:val="20"/>
        </w:rPr>
        <w:t>Moghazy</w:t>
      </w:r>
      <w:proofErr w:type="spellEnd"/>
      <w:r>
        <w:rPr>
          <w:sz w:val="20"/>
        </w:rPr>
        <w:t xml:space="preserve">, A., &amp; Nitin, N. (2026). Phage amplification-coupled CRISPR/Cas12a system for selective detection of viable </w:t>
      </w:r>
      <w:r>
        <w:rPr>
          <w:i/>
          <w:sz w:val="20"/>
        </w:rPr>
        <w:t>E. coli</w:t>
      </w:r>
      <w:r>
        <w:rPr>
          <w:sz w:val="20"/>
        </w:rPr>
        <w:t xml:space="preserve"> in fresh produce. </w:t>
      </w:r>
      <w:r>
        <w:rPr>
          <w:i/>
          <w:sz w:val="20"/>
        </w:rPr>
        <w:t>Frontiers in Microbiology</w:t>
      </w:r>
      <w:r>
        <w:rPr>
          <w:sz w:val="20"/>
        </w:rPr>
        <w:t xml:space="preserve">, </w:t>
      </w:r>
      <w:r>
        <w:rPr>
          <w:i/>
          <w:sz w:val="20"/>
        </w:rPr>
        <w:t>17</w:t>
      </w:r>
      <w:r>
        <w:rPr>
          <w:sz w:val="20"/>
        </w:rPr>
        <w:t xml:space="preserve">, 1770383. </w:t>
      </w:r>
      <w:r>
        <w:rPr>
          <w:color w:val="0563C1"/>
          <w:u w:val="single"/>
        </w:rPr>
        <w:t>https://doi.org/10.3389/fmicb.2026.1770383</w:t>
      </w:r>
    </w:p>
    <w:p w14:paraId="708D803D" w14:textId="5620E143" w:rsidR="00A423C3" w:rsidRDefault="00000000">
      <w:pPr>
        <w:spacing w:after="100" w:line="240" w:lineRule="auto"/>
        <w:ind w:left="360" w:hanging="360"/>
      </w:pPr>
      <w:r>
        <w:rPr>
          <w:sz w:val="20"/>
        </w:rPr>
        <w:t xml:space="preserve">Witte, A. K., Fister, S., Mester, P., Schoder, D., &amp; </w:t>
      </w:r>
      <w:proofErr w:type="spellStart"/>
      <w:r>
        <w:rPr>
          <w:sz w:val="20"/>
        </w:rPr>
        <w:t>Rossmanith</w:t>
      </w:r>
      <w:proofErr w:type="spellEnd"/>
      <w:r>
        <w:rPr>
          <w:sz w:val="20"/>
        </w:rPr>
        <w:t xml:space="preserve">, P. (2016). Evaluation of the performance of quantitative detection of the </w:t>
      </w:r>
      <w:r>
        <w:rPr>
          <w:i/>
          <w:sz w:val="20"/>
        </w:rPr>
        <w:t>Listeria monocytogenes</w:t>
      </w:r>
      <w:r>
        <w:rPr>
          <w:sz w:val="20"/>
        </w:rPr>
        <w:t xml:space="preserve"> </w:t>
      </w:r>
      <w:proofErr w:type="spellStart"/>
      <w:r>
        <w:rPr>
          <w:sz w:val="20"/>
        </w:rPr>
        <w:t>prfA</w:t>
      </w:r>
      <w:proofErr w:type="spellEnd"/>
      <w:r>
        <w:rPr>
          <w:sz w:val="20"/>
        </w:rPr>
        <w:t xml:space="preserve"> locus with droplet digital PCR. </w:t>
      </w:r>
      <w:r>
        <w:rPr>
          <w:i/>
          <w:sz w:val="20"/>
        </w:rPr>
        <w:t>Analytical and Bioanalytical Chemistry</w:t>
      </w:r>
      <w:r>
        <w:rPr>
          <w:sz w:val="20"/>
        </w:rPr>
        <w:t xml:space="preserve">, </w:t>
      </w:r>
      <w:r>
        <w:rPr>
          <w:i/>
          <w:sz w:val="20"/>
        </w:rPr>
        <w:t>408</w:t>
      </w:r>
      <w:r>
        <w:rPr>
          <w:sz w:val="20"/>
        </w:rPr>
        <w:t xml:space="preserve">(27), 7583–7593. </w:t>
      </w:r>
      <w:r>
        <w:rPr>
          <w:color w:val="0563C1"/>
          <w:u w:val="single"/>
        </w:rPr>
        <w:t>https://doi.org/10.1007/s00216-016-9861-9</w:t>
      </w:r>
    </w:p>
    <w:p w14:paraId="7F7D9AB1" w14:textId="1E6BF2D9" w:rsidR="00A423C3" w:rsidRDefault="00000000">
      <w:pPr>
        <w:spacing w:after="100" w:line="240" w:lineRule="auto"/>
        <w:ind w:left="360" w:hanging="360"/>
      </w:pPr>
      <w:r>
        <w:rPr>
          <w:sz w:val="20"/>
        </w:rPr>
        <w:t xml:space="preserve">Xiao, Y., Ren, H., Wang, H., Zou, D., Liu, Y., Li, H., Hu, P., Li, Y., Liu, Z., &amp; Lu, S. (2023). A rapid and inexpensive nucleic acid detection platform for </w:t>
      </w:r>
      <w:r>
        <w:rPr>
          <w:i/>
          <w:sz w:val="20"/>
        </w:rPr>
        <w:t>Listeria monocytogenes</w:t>
      </w:r>
      <w:r>
        <w:rPr>
          <w:sz w:val="20"/>
        </w:rPr>
        <w:t xml:space="preserve"> based on the CRISPR/Cas12a system. </w:t>
      </w:r>
      <w:proofErr w:type="spellStart"/>
      <w:r>
        <w:rPr>
          <w:i/>
          <w:sz w:val="20"/>
        </w:rPr>
        <w:t>Talanta</w:t>
      </w:r>
      <w:proofErr w:type="spellEnd"/>
      <w:r>
        <w:rPr>
          <w:sz w:val="20"/>
        </w:rPr>
        <w:t xml:space="preserve">, </w:t>
      </w:r>
      <w:r>
        <w:rPr>
          <w:i/>
          <w:sz w:val="20"/>
        </w:rPr>
        <w:t>259</w:t>
      </w:r>
      <w:r>
        <w:rPr>
          <w:sz w:val="20"/>
        </w:rPr>
        <w:t xml:space="preserve">, 124558. </w:t>
      </w:r>
      <w:r>
        <w:rPr>
          <w:color w:val="0563C1"/>
          <w:u w:val="single"/>
        </w:rPr>
        <w:t>https://doi.org/10.1016/j.talanta.2023.124558</w:t>
      </w:r>
    </w:p>
    <w:p w14:paraId="10A4864B" w14:textId="2C93EF0B" w:rsidR="00A423C3" w:rsidRDefault="00000000">
      <w:pPr>
        <w:spacing w:after="100" w:line="240" w:lineRule="auto"/>
        <w:ind w:left="360" w:hanging="360"/>
      </w:pPr>
      <w:r>
        <w:rPr>
          <w:sz w:val="20"/>
        </w:rPr>
        <w:t xml:space="preserve">Xie, S., Yue, Y., &amp; Yang, F. (2024). Recent advances in CRISPR/Cas system-based biosensors for the detection of foodborne pathogenic microorganisms. </w:t>
      </w:r>
      <w:r>
        <w:rPr>
          <w:i/>
          <w:sz w:val="20"/>
        </w:rPr>
        <w:t>Micromachines</w:t>
      </w:r>
      <w:r>
        <w:rPr>
          <w:sz w:val="20"/>
        </w:rPr>
        <w:t xml:space="preserve">, </w:t>
      </w:r>
      <w:r>
        <w:rPr>
          <w:i/>
          <w:sz w:val="20"/>
        </w:rPr>
        <w:t>15</w:t>
      </w:r>
      <w:r>
        <w:rPr>
          <w:sz w:val="20"/>
        </w:rPr>
        <w:t xml:space="preserve">(11), 1329. </w:t>
      </w:r>
      <w:r>
        <w:rPr>
          <w:color w:val="0563C1"/>
          <w:u w:val="single"/>
        </w:rPr>
        <w:t>https://doi.org/10.3390/mi15111329</w:t>
      </w:r>
    </w:p>
    <w:p w14:paraId="12C0A6D1" w14:textId="18447B84" w:rsidR="00A423C3" w:rsidRDefault="00000000">
      <w:pPr>
        <w:spacing w:after="100" w:line="240" w:lineRule="auto"/>
        <w:ind w:left="360" w:hanging="360"/>
      </w:pPr>
      <w:r>
        <w:rPr>
          <w:sz w:val="20"/>
        </w:rPr>
        <w:t xml:space="preserve">Yang, Z., Xiao, S., Chen, X., Li, Y., Bai, W., &amp; Liu, Q. (2026). Recent advances in CRISPR-based detection of foodborne pathogens: Mechanistic foundations, technological advances, and biosensing integration. </w:t>
      </w:r>
      <w:r>
        <w:rPr>
          <w:i/>
          <w:sz w:val="20"/>
        </w:rPr>
        <w:t>Food Microbiology</w:t>
      </w:r>
      <w:r>
        <w:rPr>
          <w:sz w:val="20"/>
        </w:rPr>
        <w:t xml:space="preserve">, </w:t>
      </w:r>
      <w:r>
        <w:rPr>
          <w:i/>
          <w:sz w:val="20"/>
        </w:rPr>
        <w:t>139</w:t>
      </w:r>
      <w:r>
        <w:rPr>
          <w:sz w:val="20"/>
        </w:rPr>
        <w:t xml:space="preserve">, 105144. </w:t>
      </w:r>
      <w:r>
        <w:rPr>
          <w:color w:val="0563C1"/>
          <w:u w:val="single"/>
        </w:rPr>
        <w:t>https://doi.org/10.1016/j.fm.2026.105144</w:t>
      </w:r>
    </w:p>
    <w:p w14:paraId="03CC62EA" w14:textId="4EB9F605" w:rsidR="00A423C3" w:rsidRDefault="00000000">
      <w:pPr>
        <w:spacing w:after="100" w:line="240" w:lineRule="auto"/>
        <w:ind w:left="360" w:hanging="360"/>
      </w:pPr>
      <w:r>
        <w:rPr>
          <w:sz w:val="20"/>
        </w:rPr>
        <w:t xml:space="preserve">Yin, W., Hu, K., Yu, B., Zhang, T., Mei, H., Zhang, B., Zou, Z., Xia, L., Gui, Y., Yin, J., Jin, W., &amp; Mu, Y. (2024). Fast and sensitive detection of viable </w:t>
      </w:r>
      <w:r>
        <w:rPr>
          <w:i/>
          <w:sz w:val="20"/>
        </w:rPr>
        <w:t>Escherichia coli</w:t>
      </w:r>
      <w:r>
        <w:rPr>
          <w:sz w:val="20"/>
        </w:rPr>
        <w:t xml:space="preserve"> O157:H7 using a microwell-confined and propidium </w:t>
      </w:r>
      <w:proofErr w:type="spellStart"/>
      <w:r>
        <w:rPr>
          <w:sz w:val="20"/>
        </w:rPr>
        <w:t>monoazide</w:t>
      </w:r>
      <w:proofErr w:type="spellEnd"/>
      <w:r>
        <w:rPr>
          <w:sz w:val="20"/>
        </w:rPr>
        <w:t xml:space="preserve">-assisted digital CRISPR microfluidic platform. </w:t>
      </w:r>
      <w:r>
        <w:rPr>
          <w:i/>
          <w:sz w:val="20"/>
        </w:rPr>
        <w:t>Lab on a Chip</w:t>
      </w:r>
      <w:r>
        <w:rPr>
          <w:sz w:val="20"/>
        </w:rPr>
        <w:t xml:space="preserve">, </w:t>
      </w:r>
      <w:r>
        <w:rPr>
          <w:i/>
          <w:sz w:val="20"/>
        </w:rPr>
        <w:t>24</w:t>
      </w:r>
      <w:r>
        <w:rPr>
          <w:sz w:val="20"/>
        </w:rPr>
        <w:t xml:space="preserve">(19), 4659–4668. </w:t>
      </w:r>
      <w:r>
        <w:rPr>
          <w:color w:val="0563C1"/>
          <w:u w:val="single"/>
        </w:rPr>
        <w:t>https://doi.org/10.1039/D4LC00672K</w:t>
      </w:r>
    </w:p>
    <w:p w14:paraId="52FB6D52" w14:textId="68902B25" w:rsidR="00A423C3" w:rsidRDefault="00000000">
      <w:pPr>
        <w:spacing w:after="100" w:line="240" w:lineRule="auto"/>
        <w:ind w:left="360" w:hanging="360"/>
      </w:pPr>
      <w:r>
        <w:rPr>
          <w:sz w:val="20"/>
        </w:rPr>
        <w:t xml:space="preserve">Zhou, J., Li, Z., Olajide, J. S., &amp; Wang, G. (2024). CRISPR/Cas-based nucleic acid detection strategies: Trends and challenges. </w:t>
      </w:r>
      <w:proofErr w:type="spellStart"/>
      <w:r>
        <w:rPr>
          <w:i/>
          <w:sz w:val="20"/>
        </w:rPr>
        <w:t>Heliyon</w:t>
      </w:r>
      <w:proofErr w:type="spellEnd"/>
      <w:r>
        <w:rPr>
          <w:sz w:val="20"/>
        </w:rPr>
        <w:t xml:space="preserve">, </w:t>
      </w:r>
      <w:r>
        <w:rPr>
          <w:i/>
          <w:sz w:val="20"/>
        </w:rPr>
        <w:t>10</w:t>
      </w:r>
      <w:r>
        <w:rPr>
          <w:sz w:val="20"/>
        </w:rPr>
        <w:t xml:space="preserve">(4), e26179. </w:t>
      </w:r>
      <w:r>
        <w:rPr>
          <w:color w:val="0563C1"/>
          <w:u w:val="single"/>
        </w:rPr>
        <w:t>https://doi.org/10.1016/j.heliyon.2024.e26179</w:t>
      </w:r>
    </w:p>
    <w:sectPr w:rsidR="00A423C3" w:rsidSect="00034616">
      <w:headerReference w:type="even" r:id="rId8"/>
      <w:headerReference w:type="default" r:id="rId9"/>
      <w:footerReference w:type="even" r:id="rId10"/>
      <w:footerReference w:type="default" r:id="rId11"/>
      <w:headerReference w:type="first" r:id="rId12"/>
      <w:footerReference w:type="first" r:id="rId13"/>
      <w:pgSz w:w="12240" w:h="15840"/>
      <w:pgMar w:top="1224"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CBF78" w14:textId="77777777" w:rsidR="00271A2A" w:rsidRDefault="00271A2A">
      <w:pPr>
        <w:spacing w:after="0" w:line="240" w:lineRule="auto"/>
      </w:pPr>
      <w:r>
        <w:separator/>
      </w:r>
    </w:p>
  </w:endnote>
  <w:endnote w:type="continuationSeparator" w:id="0">
    <w:p w14:paraId="26EEC073" w14:textId="77777777" w:rsidR="00271A2A" w:rsidRDefault="00271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0A65A" w14:textId="77777777" w:rsidR="00CD3EFB" w:rsidRDefault="00CD3E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E731" w14:textId="77777777" w:rsidR="00A423C3" w:rsidRDefault="00000000">
    <w:pPr>
      <w:pStyle w:val="Footer"/>
      <w:jc w:val="center"/>
    </w:pPr>
    <w:r>
      <w:rPr>
        <w:sz w:val="18"/>
      </w:rPr>
      <w:fldChar w:fldCharType="begin"/>
    </w:r>
    <w:r>
      <w:rPr>
        <w:sz w:val="18"/>
      </w:rPr>
      <w:instrText xml:space="preserve"> PAGE </w:instrText>
    </w:r>
    <w:r>
      <w:rPr>
        <w:sz w:val="18"/>
      </w:rPr>
      <w:fldChar w:fldCharType="separate"/>
    </w:r>
    <w:r w:rsidR="00916311">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C69FB" w14:textId="77777777" w:rsidR="00CD3EFB" w:rsidRDefault="00CD3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3F18E" w14:textId="77777777" w:rsidR="00271A2A" w:rsidRDefault="00271A2A">
      <w:pPr>
        <w:spacing w:after="0" w:line="240" w:lineRule="auto"/>
      </w:pPr>
      <w:r>
        <w:separator/>
      </w:r>
    </w:p>
  </w:footnote>
  <w:footnote w:type="continuationSeparator" w:id="0">
    <w:p w14:paraId="5D4AD9D6" w14:textId="77777777" w:rsidR="00271A2A" w:rsidRDefault="00271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C001" w14:textId="1D77E472" w:rsidR="00CD3EFB" w:rsidRDefault="00CD3EFB">
    <w:pPr>
      <w:pStyle w:val="Header"/>
    </w:pPr>
    <w:r>
      <w:rPr>
        <w:noProof/>
      </w:rPr>
      <w:pict w14:anchorId="1D8BF6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63313"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0565A" w14:textId="5F535471" w:rsidR="00CD3EFB" w:rsidRDefault="00CD3EFB">
    <w:pPr>
      <w:pStyle w:val="Header"/>
    </w:pPr>
    <w:r>
      <w:rPr>
        <w:noProof/>
      </w:rPr>
      <w:pict w14:anchorId="6DD354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63314"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4A0A8" w14:textId="3A604752" w:rsidR="00CD3EFB" w:rsidRDefault="00CD3EFB">
    <w:pPr>
      <w:pStyle w:val="Header"/>
    </w:pPr>
    <w:r>
      <w:rPr>
        <w:noProof/>
      </w:rPr>
      <w:pict w14:anchorId="11F68B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63312"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2586360">
    <w:abstractNumId w:val="8"/>
  </w:num>
  <w:num w:numId="2" w16cid:durableId="428546687">
    <w:abstractNumId w:val="6"/>
  </w:num>
  <w:num w:numId="3" w16cid:durableId="1690835997">
    <w:abstractNumId w:val="5"/>
  </w:num>
  <w:num w:numId="4" w16cid:durableId="1475948148">
    <w:abstractNumId w:val="4"/>
  </w:num>
  <w:num w:numId="5" w16cid:durableId="1936397333">
    <w:abstractNumId w:val="7"/>
  </w:num>
  <w:num w:numId="6" w16cid:durableId="1811247918">
    <w:abstractNumId w:val="3"/>
  </w:num>
  <w:num w:numId="7" w16cid:durableId="1533837158">
    <w:abstractNumId w:val="2"/>
  </w:num>
  <w:num w:numId="8" w16cid:durableId="1924796603">
    <w:abstractNumId w:val="1"/>
  </w:num>
  <w:num w:numId="9" w16cid:durableId="668875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1A2A"/>
    <w:rsid w:val="0029639D"/>
    <w:rsid w:val="00326F90"/>
    <w:rsid w:val="003F0587"/>
    <w:rsid w:val="004B32E1"/>
    <w:rsid w:val="006F4466"/>
    <w:rsid w:val="00916311"/>
    <w:rsid w:val="009831FC"/>
    <w:rsid w:val="00A14773"/>
    <w:rsid w:val="00A423C3"/>
    <w:rsid w:val="00AA1D8D"/>
    <w:rsid w:val="00AB0837"/>
    <w:rsid w:val="00B47730"/>
    <w:rsid w:val="00CB0664"/>
    <w:rsid w:val="00CD3EFB"/>
    <w:rsid w:val="00D65027"/>
    <w:rsid w:val="00DB13EC"/>
    <w:rsid w:val="00F251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968C1E"/>
  <w14:defaultImageDpi w14:val="300"/>
  <w15:docId w15:val="{689A72CB-F8A8-413A-B3D8-94D9548C7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F374B"/>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F3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contextualSpacing/>
      <w:jc w:val="center"/>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60" w:after="80"/>
    </w:pPr>
    <w:rPr>
      <w:rFonts w:ascii="Times New Roman" w:hAnsi="Times New Roman"/>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16205</Words>
  <Characters>92375</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CRISPR and Next-Generation Molecular Diagnostics for Foodborne Pathogen Detection</dc:title>
  <dc:subject>Critical narrative review</dc:subject>
  <dc:creator/>
  <cp:keywords/>
  <dc:description/>
  <cp:lastModifiedBy>SDI 1166</cp:lastModifiedBy>
  <cp:revision>5</cp:revision>
  <dcterms:created xsi:type="dcterms:W3CDTF">2013-12-23T23:15:00Z</dcterms:created>
  <dcterms:modified xsi:type="dcterms:W3CDTF">2026-08-21T09:58:00Z</dcterms:modified>
  <cp:category/>
</cp:coreProperties>
</file>