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A3FB6" w14:textId="77777777" w:rsidR="00754C9A" w:rsidRDefault="00754C9A" w:rsidP="00441B6F">
      <w:pPr>
        <w:pStyle w:val="Title"/>
        <w:spacing w:after="0"/>
        <w:jc w:val="both"/>
        <w:rPr>
          <w:rFonts w:ascii="Arial" w:hAnsi="Arial" w:cs="Arial"/>
        </w:rPr>
      </w:pPr>
    </w:p>
    <w:p w14:paraId="6822E954" w14:textId="77777777" w:rsidR="003F2193" w:rsidRDefault="003F2193" w:rsidP="00441B6F">
      <w:pPr>
        <w:pStyle w:val="Author"/>
        <w:spacing w:line="240" w:lineRule="auto"/>
        <w:rPr>
          <w:rFonts w:ascii="Arial" w:hAnsi="Arial" w:cs="Arial"/>
          <w:bCs/>
          <w:iCs/>
          <w:kern w:val="28"/>
          <w:sz w:val="36"/>
        </w:rPr>
      </w:pPr>
      <w:r w:rsidRPr="006D641C">
        <w:rPr>
          <w:rFonts w:ascii="Arial" w:hAnsi="Arial" w:cs="Arial"/>
          <w:bCs/>
          <w:i/>
          <w:iCs/>
          <w:kern w:val="28"/>
          <w:sz w:val="36"/>
          <w:u w:val="single"/>
        </w:rPr>
        <w:t xml:space="preserve">Original Research </w:t>
      </w:r>
      <w:r>
        <w:rPr>
          <w:rFonts w:ascii="Arial" w:hAnsi="Arial" w:cs="Arial"/>
          <w:bCs/>
          <w:i/>
          <w:iCs/>
          <w:kern w:val="28"/>
          <w:sz w:val="36"/>
          <w:u w:val="single"/>
        </w:rPr>
        <w:t>Article</w:t>
      </w:r>
      <w:r w:rsidRPr="0029726B">
        <w:rPr>
          <w:rFonts w:ascii="Arial" w:hAnsi="Arial" w:cs="Arial"/>
          <w:bCs/>
          <w:iCs/>
          <w:kern w:val="28"/>
          <w:sz w:val="36"/>
        </w:rPr>
        <w:t xml:space="preserve"> </w:t>
      </w:r>
    </w:p>
    <w:p w14:paraId="104AF2A0" w14:textId="79525F67" w:rsidR="00163BC4" w:rsidRPr="00163BC4" w:rsidRDefault="0029726B" w:rsidP="00441B6F">
      <w:pPr>
        <w:pStyle w:val="Author"/>
        <w:spacing w:line="240" w:lineRule="auto"/>
        <w:rPr>
          <w:rFonts w:ascii="Arial" w:hAnsi="Arial" w:cs="Arial"/>
          <w:bCs/>
          <w:iCs/>
          <w:kern w:val="28"/>
          <w:sz w:val="36"/>
        </w:rPr>
      </w:pPr>
      <w:r w:rsidRPr="0029726B">
        <w:rPr>
          <w:rFonts w:ascii="Arial" w:hAnsi="Arial" w:cs="Arial"/>
          <w:bCs/>
          <w:iCs/>
          <w:kern w:val="28"/>
          <w:sz w:val="36"/>
        </w:rPr>
        <w:t xml:space="preserve">ROS-Induced Lipid Peroxidation and Upregulated Antioxidant activity in </w:t>
      </w:r>
      <w:r w:rsidRPr="00135BED">
        <w:rPr>
          <w:rFonts w:ascii="Arial" w:hAnsi="Arial" w:cs="Arial"/>
          <w:bCs/>
          <w:i/>
          <w:iCs/>
          <w:kern w:val="28"/>
          <w:sz w:val="36"/>
        </w:rPr>
        <w:t>Lemna minor</w:t>
      </w:r>
      <w:r w:rsidRPr="0029726B">
        <w:rPr>
          <w:rFonts w:ascii="Arial" w:hAnsi="Arial" w:cs="Arial"/>
          <w:bCs/>
          <w:iCs/>
          <w:kern w:val="28"/>
          <w:sz w:val="36"/>
        </w:rPr>
        <w:t xml:space="preserve"> under Heavy Metal and Herbicide Stress</w:t>
      </w:r>
    </w:p>
    <w:p w14:paraId="264A9EDF" w14:textId="77777777" w:rsidR="00A258C3" w:rsidRPr="00790ADA" w:rsidRDefault="00A258C3" w:rsidP="00441B6F">
      <w:pPr>
        <w:pStyle w:val="Author"/>
        <w:spacing w:line="240" w:lineRule="auto"/>
        <w:jc w:val="both"/>
        <w:rPr>
          <w:rFonts w:ascii="Arial" w:hAnsi="Arial" w:cs="Arial"/>
          <w:sz w:val="36"/>
        </w:rPr>
      </w:pPr>
    </w:p>
    <w:p w14:paraId="1FDEBEB4" w14:textId="77777777" w:rsidR="00DE1B75" w:rsidRDefault="00DE1B75" w:rsidP="003D0516">
      <w:pPr>
        <w:pStyle w:val="Affiliation"/>
        <w:spacing w:after="0" w:line="240" w:lineRule="auto"/>
        <w:jc w:val="both"/>
        <w:rPr>
          <w:rFonts w:ascii="Arial" w:hAnsi="Arial" w:cs="Arial"/>
        </w:rPr>
      </w:pPr>
    </w:p>
    <w:p w14:paraId="5D119A62" w14:textId="77777777" w:rsidR="002C57D2" w:rsidRPr="00FB3A86" w:rsidRDefault="002C57D2" w:rsidP="00441B6F">
      <w:pPr>
        <w:pStyle w:val="Affiliation"/>
        <w:spacing w:after="0" w:line="240" w:lineRule="auto"/>
        <w:jc w:val="both"/>
        <w:rPr>
          <w:rFonts w:ascii="Arial" w:hAnsi="Arial" w:cs="Arial"/>
        </w:rPr>
      </w:pPr>
    </w:p>
    <w:p w14:paraId="075C826A" w14:textId="77777777" w:rsidR="00B01FCD" w:rsidRPr="00FB3A86" w:rsidRDefault="006658A9" w:rsidP="00441B6F">
      <w:pPr>
        <w:pStyle w:val="Copyright"/>
        <w:spacing w:after="0" w:line="240" w:lineRule="auto"/>
        <w:jc w:val="both"/>
        <w:rPr>
          <w:rFonts w:ascii="Arial" w:hAnsi="Arial" w:cs="Arial"/>
        </w:rPr>
        <w:sectPr w:rsidR="00B01FCD" w:rsidRPr="00FB3A86" w:rsidSect="00B45506">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424427EC" wp14:editId="4BBC4F64">
                <wp:extent cx="5303520" cy="635"/>
                <wp:effectExtent l="13335" t="15875" r="17145" b="12700"/>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043F355F" id="_x0000_t32" coordsize="21600,21600" o:spt="32" o:oned="t" path="m,l21600,21600e" filled="f">
                <v:path arrowok="t" fillok="f" o:connecttype="none"/>
                <o:lock v:ext="edit" shapetype="t"/>
              </v:shapetype>
              <v:shape id="AutoShape 5"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" strokeweight="1.5pt">
                <w10:anchorlock/>
              </v:shape>
            </w:pict>
          </mc:Fallback>
        </mc:AlternateContent>
      </w:r>
      <w:r w:rsidR="00FB3A86">
        <w:rPr>
          <w:rFonts w:ascii="Arial" w:hAnsi="Arial" w:cs="Arial"/>
        </w:rPr>
        <w:t>.</w:t>
      </w:r>
    </w:p>
    <w:p w14:paraId="0303C3B3" w14:textId="77777777" w:rsidR="00790ADA" w:rsidRPr="00FB3A86"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78480FAA" w14:textId="77777777" w:rsidTr="001E44FE">
        <w:tc>
          <w:tcPr>
            <w:tcW w:w="9576" w:type="dxa"/>
            <w:shd w:val="clear" w:color="auto" w:fill="F2F2F2"/>
          </w:tcPr>
          <w:p w14:paraId="42775D6E" w14:textId="77777777" w:rsidR="00505F06" w:rsidRPr="00BA1B01" w:rsidRDefault="00F844B3" w:rsidP="00441B6F">
            <w:pPr>
              <w:pStyle w:val="Body"/>
              <w:spacing w:after="0"/>
              <w:rPr>
                <w:rFonts w:ascii="Arial" w:eastAsia="Calibri" w:hAnsi="Arial" w:cs="Arial"/>
                <w:szCs w:val="22"/>
              </w:rPr>
            </w:pPr>
            <w:r w:rsidRPr="00F844B3">
              <w:rPr>
                <w:rFonts w:ascii="Arial" w:eastAsia="Calibri" w:hAnsi="Arial" w:cs="Arial"/>
                <w:szCs w:val="22"/>
              </w:rPr>
              <w:t xml:space="preserve">Increase in the concentration of contaminants such as heavy metals and herbicides in aquatic systems through runoff disturb the aquatic ecosystem. The present in vitro study investigates oxidative stress and antioxidant responses in </w:t>
            </w:r>
            <w:r w:rsidRPr="00F844B3">
              <w:rPr>
                <w:rFonts w:ascii="Arial" w:eastAsia="Calibri" w:hAnsi="Arial" w:cs="Arial"/>
                <w:i/>
                <w:szCs w:val="22"/>
              </w:rPr>
              <w:t>Lemna minor</w:t>
            </w:r>
            <w:r w:rsidRPr="00F844B3">
              <w:rPr>
                <w:rFonts w:ascii="Arial" w:eastAsia="Calibri" w:hAnsi="Arial" w:cs="Arial"/>
                <w:szCs w:val="22"/>
              </w:rPr>
              <w:t xml:space="preserve"> after 96 h exposure to graded concentrations of cadmium (Cd) (0, 0.1, 0.5, 1, 1.5 and 2 mg</w:t>
            </w:r>
            <w:r w:rsidR="00A62FEC">
              <w:rPr>
                <w:rFonts w:ascii="Arial" w:eastAsia="Calibri" w:hAnsi="Arial" w:cs="Arial"/>
                <w:szCs w:val="22"/>
              </w:rPr>
              <w:t>/</w:t>
            </w:r>
            <w:r w:rsidRPr="00F844B3">
              <w:rPr>
                <w:rFonts w:ascii="Arial" w:eastAsia="Calibri" w:hAnsi="Arial" w:cs="Arial"/>
                <w:szCs w:val="22"/>
              </w:rPr>
              <w:t>L) and paraquat dichloride (0, 0.5, 1, 1.5, 2 and 2.5 mg</w:t>
            </w:r>
            <w:r w:rsidR="00A62FEC">
              <w:rPr>
                <w:rFonts w:ascii="Arial" w:eastAsia="Calibri" w:hAnsi="Arial" w:cs="Arial"/>
                <w:szCs w:val="22"/>
              </w:rPr>
              <w:t>/</w:t>
            </w:r>
            <w:r w:rsidRPr="00F844B3">
              <w:rPr>
                <w:rFonts w:ascii="Arial" w:eastAsia="Calibri" w:hAnsi="Arial" w:cs="Arial"/>
                <w:szCs w:val="22"/>
              </w:rPr>
              <w:t xml:space="preserve">L). Lipid peroxidation, expressed as malondialdehyde (MDA) equivalents, was increased for both stressors in a dose-dependent manner (cadmium: +42% to +121%; paraquat: +28% to +200%), indicating increased production of reactive oxygen species (ROS). Activities of major antioxidant enzymes such as superoxide dismutase (SOD), </w:t>
            </w:r>
            <w:r w:rsidR="00A62FEC">
              <w:rPr>
                <w:rFonts w:ascii="Arial" w:eastAsia="Calibri" w:hAnsi="Arial" w:cs="Arial"/>
                <w:szCs w:val="22"/>
              </w:rPr>
              <w:t>p</w:t>
            </w:r>
            <w:r w:rsidRPr="00F844B3">
              <w:rPr>
                <w:rFonts w:ascii="Arial" w:eastAsia="Calibri" w:hAnsi="Arial" w:cs="Arial"/>
                <w:szCs w:val="22"/>
              </w:rPr>
              <w:t>eroxidase (POD), ascorbate peroxidase (APX) and glutathione reductase (GR) generally increased with pollutant concentration indicating induced enzymatic</w:t>
            </w:r>
            <w:r>
              <w:rPr>
                <w:rFonts w:ascii="Arial" w:eastAsia="Calibri" w:hAnsi="Arial" w:cs="Arial"/>
                <w:szCs w:val="22"/>
              </w:rPr>
              <w:t xml:space="preserve"> </w:t>
            </w:r>
            <w:r w:rsidRPr="00F844B3">
              <w:rPr>
                <w:rFonts w:ascii="Arial" w:eastAsia="Calibri" w:hAnsi="Arial" w:cs="Arial"/>
                <w:szCs w:val="22"/>
              </w:rPr>
              <w:t>defense. SOD levels were significantly elevated in both cadmium and paraquat while, APX and GR gradually activated during treatment. The CAT activity showed an increase at low to moderate cadmium concentrations and a decrease at the highest cadmium concentration (2 mg</w:t>
            </w:r>
            <w:r w:rsidR="00A62FEC">
              <w:rPr>
                <w:rFonts w:ascii="Arial" w:eastAsia="Calibri" w:hAnsi="Arial" w:cs="Arial"/>
                <w:szCs w:val="22"/>
              </w:rPr>
              <w:t>/</w:t>
            </w:r>
            <w:r w:rsidRPr="00F844B3">
              <w:rPr>
                <w:rFonts w:ascii="Arial" w:eastAsia="Calibri" w:hAnsi="Arial" w:cs="Arial"/>
                <w:szCs w:val="22"/>
              </w:rPr>
              <w:t xml:space="preserve">L) which may indicate the inhibition of the enzyme or the overloading of the scavenging capacity under severe metal stress. Paraquat caused a constant CAT increase. Results overall show that </w:t>
            </w:r>
            <w:r w:rsidRPr="00C84A9C">
              <w:rPr>
                <w:rFonts w:ascii="Arial" w:eastAsia="Calibri" w:hAnsi="Arial" w:cs="Arial"/>
                <w:i/>
                <w:szCs w:val="22"/>
              </w:rPr>
              <w:t>L. minor</w:t>
            </w:r>
            <w:r w:rsidRPr="00F844B3">
              <w:rPr>
                <w:rFonts w:ascii="Arial" w:eastAsia="Calibri" w:hAnsi="Arial" w:cs="Arial"/>
                <w:szCs w:val="22"/>
              </w:rPr>
              <w:t xml:space="preserve"> initiates a coordinated antioxidant response to diminish ROS generated by cadmium and paraquat exposure but very high metal stress may impair some specific defenses. These results suggest the potential of </w:t>
            </w:r>
            <w:r w:rsidRPr="00F844B3">
              <w:rPr>
                <w:rFonts w:ascii="Arial" w:eastAsia="Calibri" w:hAnsi="Arial" w:cs="Arial"/>
                <w:i/>
                <w:szCs w:val="22"/>
              </w:rPr>
              <w:t>L. minor</w:t>
            </w:r>
            <w:r w:rsidRPr="00F844B3">
              <w:rPr>
                <w:rFonts w:ascii="Arial" w:eastAsia="Calibri" w:hAnsi="Arial" w:cs="Arial"/>
                <w:szCs w:val="22"/>
              </w:rPr>
              <w:t xml:space="preserve"> as a bioindicator of oxidative stress induced by pollutants. Furthermore, the antioxidant responses against Cd and paraquat dichloride may guide its use in phytoremediation studies.</w:t>
            </w:r>
          </w:p>
        </w:tc>
      </w:tr>
    </w:tbl>
    <w:p w14:paraId="7F8DE145" w14:textId="77777777" w:rsidR="00636EB2" w:rsidRDefault="00636EB2" w:rsidP="00441B6F">
      <w:pPr>
        <w:pStyle w:val="Body"/>
        <w:spacing w:after="0"/>
        <w:rPr>
          <w:rFonts w:ascii="Arial" w:hAnsi="Arial" w:cs="Arial"/>
          <w:i/>
        </w:rPr>
      </w:pPr>
    </w:p>
    <w:p w14:paraId="0107FF4B" w14:textId="77777777" w:rsidR="0024282C" w:rsidRDefault="00A24E7E" w:rsidP="00441B6F">
      <w:pPr>
        <w:pStyle w:val="Body"/>
        <w:spacing w:after="0"/>
        <w:rPr>
          <w:rFonts w:ascii="Arial" w:hAnsi="Arial" w:cs="Arial"/>
          <w:i/>
          <w:sz w:val="18"/>
        </w:rPr>
      </w:pPr>
      <w:r>
        <w:rPr>
          <w:rFonts w:ascii="Arial" w:hAnsi="Arial" w:cs="Arial"/>
          <w:i/>
        </w:rPr>
        <w:t xml:space="preserve">Keywords: </w:t>
      </w:r>
      <w:r w:rsidR="00F844B3" w:rsidRPr="00F844B3">
        <w:rPr>
          <w:rFonts w:ascii="Arial" w:hAnsi="Arial" w:cs="Arial"/>
          <w:i/>
        </w:rPr>
        <w:t>Lemna minor, Cadmium, Paraquat dichloride, Oxidative stress, Antioxidant enzymes, Bioindicator.</w:t>
      </w:r>
      <w:r w:rsidR="00A62FEC">
        <w:rPr>
          <w:rFonts w:ascii="Arial" w:hAnsi="Arial" w:cs="Arial"/>
          <w:i/>
          <w:sz w:val="18"/>
        </w:rPr>
        <w:t xml:space="preserve"> </w:t>
      </w:r>
    </w:p>
    <w:p w14:paraId="2AD99107" w14:textId="77777777" w:rsidR="00505F06" w:rsidRPr="00A24E7E" w:rsidRDefault="00505F06" w:rsidP="00441B6F">
      <w:pPr>
        <w:pStyle w:val="Body"/>
        <w:spacing w:after="0"/>
        <w:rPr>
          <w:rFonts w:ascii="Arial" w:hAnsi="Arial" w:cs="Arial"/>
          <w:i/>
        </w:rPr>
      </w:pPr>
    </w:p>
    <w:p w14:paraId="779D7688" w14:textId="77777777" w:rsidR="00790ADA" w:rsidRPr="00FB3A86"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6ED94590" w14:textId="77777777" w:rsidR="00790ADA" w:rsidRPr="00FB3A86" w:rsidRDefault="00F844B3" w:rsidP="00441B6F">
      <w:pPr>
        <w:pStyle w:val="Body"/>
        <w:spacing w:after="0"/>
        <w:rPr>
          <w:rFonts w:ascii="Arial" w:hAnsi="Arial" w:cs="Arial"/>
        </w:rPr>
      </w:pPr>
      <w:r w:rsidRPr="00F844B3">
        <w:rPr>
          <w:rFonts w:ascii="Arial" w:hAnsi="Arial" w:cs="Arial"/>
        </w:rPr>
        <w:t xml:space="preserve">Water is crucial for agriculture, industry and human wellbeing. But over the last few decades industrialization, urbanization, discharge of waste water and unchecked agriculture have all led to an over exploitation of natural resources leading to serious water pollution. Heavy metals and pesticides are continuously added by human activities in amounts harmful to human health (Zhang et al. 2009; Ishaq and Khan 2013; Arora et al. 2018). Point source contaminants are generated by industrial activity, such as metal smelting and mining, and nonpoint source pollutants are derived from agricultural runoff, including fertilizers and pesticides (Kumar et al. 2018a). Each pollutant is harmful to plants and animals in its own way, but the problem of heavy metals and pesticides entering water ecosystems is increasing. Flora and fauna assimilate highly toxic heavy metals as lead (Pb), mercury (Hg), arsenic (As), copper (Cu), zinc (Zn) and cadmium (Cd). Heavy metals in soil, aquatic system, and biota are naturally derived via rock degradation, volcanic activity, wildfire, biological processes, and marine salts </w:t>
      </w:r>
      <w:r w:rsidRPr="00F844B3">
        <w:rPr>
          <w:rFonts w:ascii="Arial" w:hAnsi="Arial" w:cs="Arial"/>
        </w:rPr>
        <w:lastRenderedPageBreak/>
        <w:t>from the oceans (Shahzad et al., 2024; Zaynab et al., 2022). However, anthropogenic activities such as mining, industrial processes, agriculture, waste disposal, biosolid addition, pesticide application, coal burning residues and petrochemical compounds have increased the levels of these metals causing great worldwide concern (</w:t>
      </w:r>
      <w:proofErr w:type="spellStart"/>
      <w:r w:rsidRPr="00F844B3">
        <w:rPr>
          <w:rFonts w:ascii="Arial" w:hAnsi="Arial" w:cs="Arial"/>
        </w:rPr>
        <w:t>Wuana</w:t>
      </w:r>
      <w:proofErr w:type="spellEnd"/>
      <w:r w:rsidRPr="00F844B3">
        <w:rPr>
          <w:rFonts w:ascii="Arial" w:hAnsi="Arial" w:cs="Arial"/>
        </w:rPr>
        <w:t xml:space="preserve"> and </w:t>
      </w:r>
      <w:proofErr w:type="spellStart"/>
      <w:r w:rsidRPr="00F844B3">
        <w:rPr>
          <w:rFonts w:ascii="Arial" w:hAnsi="Arial" w:cs="Arial"/>
        </w:rPr>
        <w:t>Okieimen</w:t>
      </w:r>
      <w:proofErr w:type="spellEnd"/>
      <w:r w:rsidRPr="00F844B3">
        <w:rPr>
          <w:rFonts w:ascii="Arial" w:hAnsi="Arial" w:cs="Arial"/>
        </w:rPr>
        <w:t xml:space="preserve">, 2011). The </w:t>
      </w:r>
      <w:proofErr w:type="gramStart"/>
      <w:r w:rsidRPr="00F844B3">
        <w:rPr>
          <w:rFonts w:ascii="Arial" w:hAnsi="Arial" w:cs="Arial"/>
        </w:rPr>
        <w:t>amount</w:t>
      </w:r>
      <w:proofErr w:type="gramEnd"/>
      <w:r w:rsidRPr="00F844B3">
        <w:rPr>
          <w:rFonts w:ascii="Arial" w:hAnsi="Arial" w:cs="Arial"/>
        </w:rPr>
        <w:t xml:space="preserve"> of heavy metals in volcanic rocks or ash varies. Copper, lead and zinc are generally found at quantities of 1.2–47.8 </w:t>
      </w:r>
      <w:proofErr w:type="spellStart"/>
      <w:r w:rsidRPr="00F844B3">
        <w:rPr>
          <w:rFonts w:ascii="Arial" w:hAnsi="Arial" w:cs="Arial"/>
        </w:rPr>
        <w:t>μg</w:t>
      </w:r>
      <w:proofErr w:type="spellEnd"/>
      <w:r w:rsidRPr="00F844B3">
        <w:rPr>
          <w:rFonts w:ascii="Arial" w:hAnsi="Arial" w:cs="Arial"/>
        </w:rPr>
        <w:t xml:space="preserve"> g</w:t>
      </w:r>
      <w:r w:rsidRPr="00F844B3">
        <w:rPr>
          <w:rFonts w:ascii="Arial" w:hAnsi="Arial" w:cs="Arial"/>
          <w:vertAlign w:val="superscript"/>
        </w:rPr>
        <w:t>−1</w:t>
      </w:r>
      <w:r w:rsidRPr="00F844B3">
        <w:rPr>
          <w:rFonts w:ascii="Arial" w:hAnsi="Arial" w:cs="Arial"/>
        </w:rPr>
        <w:t>, 8.4–36 mg kg</w:t>
      </w:r>
      <w:r w:rsidRPr="00F844B3">
        <w:rPr>
          <w:rFonts w:ascii="Arial" w:hAnsi="Arial" w:cs="Arial"/>
          <w:vertAlign w:val="superscript"/>
        </w:rPr>
        <w:t>−1</w:t>
      </w:r>
      <w:r w:rsidRPr="00F844B3">
        <w:rPr>
          <w:rFonts w:ascii="Arial" w:hAnsi="Arial" w:cs="Arial"/>
        </w:rPr>
        <w:t xml:space="preserve"> and 15–73 mg kg</w:t>
      </w:r>
      <w:bookmarkStart w:id="0" w:name="_Hlk236767585"/>
      <w:r w:rsidRPr="00F844B3">
        <w:rPr>
          <w:rFonts w:ascii="Arial" w:hAnsi="Arial" w:cs="Arial"/>
          <w:vertAlign w:val="superscript"/>
        </w:rPr>
        <w:t>−1</w:t>
      </w:r>
      <w:bookmarkEnd w:id="0"/>
      <w:r w:rsidRPr="00F844B3">
        <w:rPr>
          <w:rFonts w:ascii="Arial" w:hAnsi="Arial" w:cs="Arial"/>
        </w:rPr>
        <w:t xml:space="preserve">, respectively. Cadmium concentrations in volcanic rocks are in the range of 0.1-0.5 ppm in oceanic waters (Novoselov et al., 2022; </w:t>
      </w:r>
      <w:proofErr w:type="spellStart"/>
      <w:r w:rsidRPr="00F844B3">
        <w:rPr>
          <w:rFonts w:ascii="Arial" w:hAnsi="Arial" w:cs="Arial"/>
        </w:rPr>
        <w:t>Toress</w:t>
      </w:r>
      <w:proofErr w:type="spellEnd"/>
      <w:r w:rsidRPr="00F844B3">
        <w:rPr>
          <w:rFonts w:ascii="Arial" w:hAnsi="Arial" w:cs="Arial"/>
        </w:rPr>
        <w:t xml:space="preserve"> et al., 2023) spanning from &lt;5 to 110 ng L</w:t>
      </w:r>
      <w:r w:rsidRPr="00F844B3">
        <w:rPr>
          <w:rFonts w:ascii="Arial" w:hAnsi="Arial" w:cs="Arial"/>
          <w:vertAlign w:val="superscript"/>
        </w:rPr>
        <w:t>−1</w:t>
      </w:r>
      <w:r w:rsidRPr="00F844B3">
        <w:rPr>
          <w:rFonts w:ascii="Arial" w:hAnsi="Arial" w:cs="Arial"/>
        </w:rPr>
        <w:t xml:space="preserve">. Anthropogenic sources release higher concentrations of heavy metals since they emit large volumes of these pollutants in more dangerous and mobile forms. This is especially true in aquatic ecosystems where heavy metals can remain for long periods in the form of suspended matter, sediment layers, aquatic vegetation and fish (Kolarova and </w:t>
      </w:r>
      <w:proofErr w:type="spellStart"/>
      <w:r w:rsidRPr="00F844B3">
        <w:rPr>
          <w:rFonts w:ascii="Arial" w:hAnsi="Arial" w:cs="Arial"/>
        </w:rPr>
        <w:t>Napiórkowski</w:t>
      </w:r>
      <w:proofErr w:type="spellEnd"/>
      <w:r w:rsidRPr="00F844B3">
        <w:rPr>
          <w:rFonts w:ascii="Arial" w:hAnsi="Arial" w:cs="Arial"/>
        </w:rPr>
        <w:t>, 2021). Most of the metals introduced into an aquatic system are adsorbed on suspended particles and are precipitated as sediments. Cadmium is the seventh most dangerous material on the ATSDR and EPA list given its well-documented toxicity and high potential for human exposure (ASTDR and EPA, 2024). Bioremediation is a new and eco-friendly decontamination method using microorganisms (</w:t>
      </w:r>
      <w:proofErr w:type="spellStart"/>
      <w:r w:rsidRPr="00F844B3">
        <w:rPr>
          <w:rFonts w:ascii="Arial" w:hAnsi="Arial" w:cs="Arial"/>
        </w:rPr>
        <w:t>Andreazza</w:t>
      </w:r>
      <w:proofErr w:type="spellEnd"/>
      <w:r w:rsidRPr="00F844B3">
        <w:rPr>
          <w:rFonts w:ascii="Arial" w:hAnsi="Arial" w:cs="Arial"/>
        </w:rPr>
        <w:t xml:space="preserve"> et al. 2011) or mainly plants (called phytoremediation) (Afonso et al. 2019; Xin et al. 2020) or using a combination of both methods (Islam et al. 2014) to remove metals from soil and water. Aquatic plants such as </w:t>
      </w:r>
      <w:r w:rsidRPr="00F844B3">
        <w:rPr>
          <w:rFonts w:ascii="Arial" w:hAnsi="Arial" w:cs="Arial"/>
          <w:i/>
        </w:rPr>
        <w:t>Lemna minor</w:t>
      </w:r>
      <w:r w:rsidRPr="00F844B3">
        <w:rPr>
          <w:rFonts w:ascii="Arial" w:hAnsi="Arial" w:cs="Arial"/>
        </w:rPr>
        <w:t xml:space="preserve"> (Jayasri and </w:t>
      </w:r>
      <w:proofErr w:type="spellStart"/>
      <w:r w:rsidRPr="00F844B3">
        <w:rPr>
          <w:rFonts w:ascii="Arial" w:hAnsi="Arial" w:cs="Arial"/>
        </w:rPr>
        <w:t>Suthindhiran</w:t>
      </w:r>
      <w:proofErr w:type="spellEnd"/>
      <w:r w:rsidRPr="00F844B3">
        <w:rPr>
          <w:rFonts w:ascii="Arial" w:hAnsi="Arial" w:cs="Arial"/>
        </w:rPr>
        <w:t xml:space="preserve">, 2017) and </w:t>
      </w:r>
      <w:proofErr w:type="spellStart"/>
      <w:r w:rsidRPr="00F844B3">
        <w:rPr>
          <w:rFonts w:ascii="Arial" w:hAnsi="Arial" w:cs="Arial"/>
        </w:rPr>
        <w:t>Hydrocotyle</w:t>
      </w:r>
      <w:proofErr w:type="spellEnd"/>
      <w:r w:rsidRPr="00F844B3">
        <w:rPr>
          <w:rFonts w:ascii="Arial" w:hAnsi="Arial" w:cs="Arial"/>
        </w:rPr>
        <w:t xml:space="preserve"> </w:t>
      </w:r>
      <w:proofErr w:type="spellStart"/>
      <w:r w:rsidRPr="00F844B3">
        <w:rPr>
          <w:rFonts w:ascii="Arial" w:hAnsi="Arial" w:cs="Arial"/>
        </w:rPr>
        <w:t>ranunculoides</w:t>
      </w:r>
      <w:proofErr w:type="spellEnd"/>
      <w:r w:rsidRPr="00F844B3">
        <w:rPr>
          <w:rFonts w:ascii="Arial" w:hAnsi="Arial" w:cs="Arial"/>
        </w:rPr>
        <w:t xml:space="preserve"> (Demarco et al., 2023) are suitable plant species for phytoremediation. These plants have proved their ability to remove many heavy metals from liquids. Pesticides including endosulfan, dichlorodiphenyltrichloroethane (DDT), </w:t>
      </w:r>
      <w:proofErr w:type="spellStart"/>
      <w:r w:rsidRPr="00F844B3">
        <w:rPr>
          <w:rFonts w:ascii="Arial" w:hAnsi="Arial" w:cs="Arial"/>
        </w:rPr>
        <w:t>mevinphos</w:t>
      </w:r>
      <w:proofErr w:type="spellEnd"/>
      <w:r w:rsidRPr="00F844B3">
        <w:rPr>
          <w:rFonts w:ascii="Arial" w:hAnsi="Arial" w:cs="Arial"/>
        </w:rPr>
        <w:t>, ethion and copper sulfate are very harmful when ingested by flora and fauna (Kumar et al. 2016, 2018b). Duckweeds can help to solve a big modern environmental problem, namely the contamination of the hydrosphere with harmful substances (Ziegler et al. 2016). Duckweeds are macrophytes, which can uptake heavy metals from water. They are used for the removal of heavy metals from aquatic environment (Rai 2009). Cadmium (Cd) pollution is a major global environmental problem due to the rapid industrial development and the extensive use of chemical fertilizers, pesticides and herbicides in agriculture (Folgar et al. 2009). The contaminants indicated above could biomagnify in food and could be harmful to human health (</w:t>
      </w:r>
      <w:proofErr w:type="spellStart"/>
      <w:r w:rsidRPr="00F844B3">
        <w:rPr>
          <w:rFonts w:ascii="Arial" w:hAnsi="Arial" w:cs="Arial"/>
        </w:rPr>
        <w:t>Miretzky</w:t>
      </w:r>
      <w:proofErr w:type="spellEnd"/>
      <w:r w:rsidRPr="00F844B3">
        <w:rPr>
          <w:rFonts w:ascii="Arial" w:hAnsi="Arial" w:cs="Arial"/>
        </w:rPr>
        <w:t xml:space="preserve"> et al. 2004). Metals such as lead (Pb), mercury (Hg) and cadmium (Cd) are not required and are highly toxic even in little amounts (</w:t>
      </w:r>
      <w:proofErr w:type="spellStart"/>
      <w:r w:rsidRPr="00F844B3">
        <w:rPr>
          <w:rFonts w:ascii="Arial" w:hAnsi="Arial" w:cs="Arial"/>
        </w:rPr>
        <w:t>Nagajyoti</w:t>
      </w:r>
      <w:proofErr w:type="spellEnd"/>
      <w:r w:rsidRPr="00F844B3">
        <w:rPr>
          <w:rFonts w:ascii="Arial" w:hAnsi="Arial" w:cs="Arial"/>
        </w:rPr>
        <w:t xml:space="preserve"> et al 2010; Prasad 2011; Chibuike and Obiora 2014; </w:t>
      </w:r>
      <w:proofErr w:type="spellStart"/>
      <w:r w:rsidRPr="00F844B3">
        <w:rPr>
          <w:rFonts w:ascii="Arial" w:hAnsi="Arial" w:cs="Arial"/>
        </w:rPr>
        <w:t>Rezania</w:t>
      </w:r>
      <w:proofErr w:type="spellEnd"/>
      <w:r w:rsidRPr="00F844B3">
        <w:rPr>
          <w:rFonts w:ascii="Arial" w:hAnsi="Arial" w:cs="Arial"/>
        </w:rPr>
        <w:t xml:space="preserve"> et al 2016). Cadmium toxicity leads to oxidative stress, which harms cell membranes and electron transport, disrupts enzyme activity, and interferes with nucleic acids and photosynthesis, ultimately causing reduced development (Sarkar et al. 1998; Lu et al. 2010). Oxidative stress is usually related to the excessive accumulation of reactive oxygen species such as superoxide ion (O</w:t>
      </w:r>
      <w:r w:rsidRPr="00F844B3">
        <w:rPr>
          <w:rFonts w:ascii="Arial" w:hAnsi="Arial" w:cs="Arial"/>
          <w:vertAlign w:val="subscript"/>
        </w:rPr>
        <w:t>2</w:t>
      </w:r>
      <w:r w:rsidRPr="00F844B3">
        <w:rPr>
          <w:rFonts w:ascii="Arial" w:hAnsi="Arial" w:cs="Arial"/>
          <w:vertAlign w:val="superscript"/>
        </w:rPr>
        <w:t>-</w:t>
      </w:r>
      <w:r w:rsidRPr="00F844B3">
        <w:rPr>
          <w:rFonts w:ascii="Arial" w:hAnsi="Arial" w:cs="Arial"/>
        </w:rPr>
        <w:t>), hydrogen peroxide (H</w:t>
      </w:r>
      <w:r w:rsidRPr="00F844B3">
        <w:rPr>
          <w:rFonts w:ascii="Arial" w:hAnsi="Arial" w:cs="Arial"/>
          <w:vertAlign w:val="subscript"/>
        </w:rPr>
        <w:t>2</w:t>
      </w:r>
      <w:r w:rsidRPr="00F844B3">
        <w:rPr>
          <w:rFonts w:ascii="Arial" w:hAnsi="Arial" w:cs="Arial"/>
        </w:rPr>
        <w:t>O</w:t>
      </w:r>
      <w:r w:rsidRPr="00F844B3">
        <w:rPr>
          <w:rFonts w:ascii="Arial" w:hAnsi="Arial" w:cs="Arial"/>
          <w:vertAlign w:val="subscript"/>
        </w:rPr>
        <w:t>2</w:t>
      </w:r>
      <w:r w:rsidRPr="00F844B3">
        <w:rPr>
          <w:rFonts w:ascii="Arial" w:hAnsi="Arial" w:cs="Arial"/>
        </w:rPr>
        <w:t>), and hydroxyl radical (OH</w:t>
      </w:r>
      <w:r w:rsidRPr="00F844B3">
        <w:rPr>
          <w:rFonts w:ascii="Arial" w:hAnsi="Arial" w:cs="Arial"/>
          <w:vertAlign w:val="superscript"/>
        </w:rPr>
        <w:t>-</w:t>
      </w:r>
      <w:r w:rsidRPr="00F844B3">
        <w:rPr>
          <w:rFonts w:ascii="Arial" w:hAnsi="Arial" w:cs="Arial"/>
        </w:rPr>
        <w:t>) which facilitate the conversion of fatty acids into harmful lipid peroxides and endanger the biological membranes (</w:t>
      </w:r>
      <w:proofErr w:type="spellStart"/>
      <w:r w:rsidRPr="00F844B3">
        <w:rPr>
          <w:rFonts w:ascii="Arial" w:hAnsi="Arial" w:cs="Arial"/>
        </w:rPr>
        <w:t>Weckx</w:t>
      </w:r>
      <w:proofErr w:type="spellEnd"/>
      <w:r w:rsidRPr="00F844B3">
        <w:rPr>
          <w:rFonts w:ascii="Arial" w:hAnsi="Arial" w:cs="Arial"/>
        </w:rPr>
        <w:t xml:space="preserve"> et al. 1996; Martín-</w:t>
      </w:r>
      <w:proofErr w:type="spellStart"/>
      <w:r w:rsidRPr="00F844B3">
        <w:rPr>
          <w:rFonts w:ascii="Arial" w:hAnsi="Arial" w:cs="Arial"/>
        </w:rPr>
        <w:t>Closas</w:t>
      </w:r>
      <w:proofErr w:type="spellEnd"/>
      <w:r w:rsidRPr="00F844B3">
        <w:rPr>
          <w:rFonts w:ascii="Arial" w:hAnsi="Arial" w:cs="Arial"/>
        </w:rPr>
        <w:t xml:space="preserve"> et al. 2017; Marron, 2015; Rai et al. 2016). On the other hand, non-radical reactive oxygen species (ROS) such as hypochlorous acid (</w:t>
      </w:r>
      <w:proofErr w:type="spellStart"/>
      <w:r w:rsidRPr="00F844B3">
        <w:rPr>
          <w:rFonts w:ascii="Arial" w:hAnsi="Arial" w:cs="Arial"/>
        </w:rPr>
        <w:t>HOCl</w:t>
      </w:r>
      <w:proofErr w:type="spellEnd"/>
      <w:r w:rsidRPr="00F844B3">
        <w:rPr>
          <w:rFonts w:ascii="Arial" w:hAnsi="Arial" w:cs="Arial"/>
        </w:rPr>
        <w:t>), hydrogen peroxide (H</w:t>
      </w:r>
      <w:r w:rsidRPr="00F844B3">
        <w:rPr>
          <w:rFonts w:ascii="Arial" w:hAnsi="Arial" w:cs="Arial"/>
          <w:vertAlign w:val="subscript"/>
        </w:rPr>
        <w:t>2</w:t>
      </w:r>
      <w:r w:rsidRPr="00F844B3">
        <w:rPr>
          <w:rFonts w:ascii="Arial" w:hAnsi="Arial" w:cs="Arial"/>
        </w:rPr>
        <w:t>O</w:t>
      </w:r>
      <w:r w:rsidRPr="00F844B3">
        <w:rPr>
          <w:rFonts w:ascii="Arial" w:hAnsi="Arial" w:cs="Arial"/>
          <w:vertAlign w:val="subscript"/>
        </w:rPr>
        <w:t>2</w:t>
      </w:r>
      <w:r w:rsidRPr="00F844B3">
        <w:rPr>
          <w:rFonts w:ascii="Arial" w:hAnsi="Arial" w:cs="Arial"/>
        </w:rPr>
        <w:t xml:space="preserve">), singlet oxygen </w:t>
      </w:r>
      <w:r w:rsidRPr="00F844B3">
        <w:rPr>
          <w:rFonts w:ascii="Arial" w:hAnsi="Arial" w:cs="Arial"/>
          <w:vertAlign w:val="superscript"/>
        </w:rPr>
        <w:t>(1</w:t>
      </w:r>
      <w:r w:rsidRPr="00F844B3">
        <w:rPr>
          <w:rFonts w:ascii="Arial" w:hAnsi="Arial" w:cs="Arial"/>
        </w:rPr>
        <w:t>O</w:t>
      </w:r>
      <w:r w:rsidRPr="00F844B3">
        <w:rPr>
          <w:rFonts w:ascii="Arial" w:hAnsi="Arial" w:cs="Arial"/>
          <w:vertAlign w:val="subscript"/>
        </w:rPr>
        <w:t>2</w:t>
      </w:r>
      <w:r w:rsidRPr="00F844B3">
        <w:rPr>
          <w:rFonts w:ascii="Arial" w:hAnsi="Arial" w:cs="Arial"/>
        </w:rPr>
        <w:t xml:space="preserve">) and </w:t>
      </w:r>
      <w:proofErr w:type="spellStart"/>
      <w:r w:rsidRPr="00F844B3">
        <w:rPr>
          <w:rFonts w:ascii="Arial" w:hAnsi="Arial" w:cs="Arial"/>
        </w:rPr>
        <w:t>peroxynitrite</w:t>
      </w:r>
      <w:proofErr w:type="spellEnd"/>
      <w:r w:rsidRPr="00F844B3">
        <w:rPr>
          <w:rFonts w:ascii="Arial" w:hAnsi="Arial" w:cs="Arial"/>
        </w:rPr>
        <w:t xml:space="preserve"> (ONOO</w:t>
      </w:r>
      <w:r w:rsidRPr="00F844B3">
        <w:rPr>
          <w:rFonts w:ascii="Arial" w:hAnsi="Arial" w:cs="Arial"/>
          <w:vertAlign w:val="superscript"/>
        </w:rPr>
        <w:t>-</w:t>
      </w:r>
      <w:r w:rsidRPr="00F844B3">
        <w:rPr>
          <w:rFonts w:ascii="Arial" w:hAnsi="Arial" w:cs="Arial"/>
        </w:rPr>
        <w:t>) are generally stable and have a long half-life. The most reactive type of oxygen species is the superoxide anion (O</w:t>
      </w:r>
      <w:r w:rsidRPr="00F844B3">
        <w:rPr>
          <w:rFonts w:ascii="Arial" w:hAnsi="Arial" w:cs="Arial"/>
          <w:vertAlign w:val="subscript"/>
        </w:rPr>
        <w:t>2</w:t>
      </w:r>
      <w:r w:rsidRPr="00F844B3">
        <w:rPr>
          <w:rFonts w:ascii="Arial" w:hAnsi="Arial" w:cs="Arial"/>
          <w:vertAlign w:val="superscript"/>
        </w:rPr>
        <w:t>-</w:t>
      </w:r>
      <w:r w:rsidRPr="00F844B3">
        <w:rPr>
          <w:rFonts w:ascii="Arial" w:hAnsi="Arial" w:cs="Arial"/>
        </w:rPr>
        <w:t>). Hydrogen peroxide (H</w:t>
      </w:r>
      <w:r w:rsidRPr="00F844B3">
        <w:rPr>
          <w:rFonts w:ascii="Arial" w:hAnsi="Arial" w:cs="Arial"/>
          <w:vertAlign w:val="subscript"/>
        </w:rPr>
        <w:t>2</w:t>
      </w:r>
      <w:r w:rsidRPr="00F844B3">
        <w:rPr>
          <w:rFonts w:ascii="Arial" w:hAnsi="Arial" w:cs="Arial"/>
        </w:rPr>
        <w:t>O</w:t>
      </w:r>
      <w:r w:rsidRPr="00F844B3">
        <w:rPr>
          <w:rFonts w:ascii="Arial" w:hAnsi="Arial" w:cs="Arial"/>
          <w:vertAlign w:val="subscript"/>
        </w:rPr>
        <w:t>2</w:t>
      </w:r>
      <w:r w:rsidRPr="00F844B3">
        <w:rPr>
          <w:rFonts w:ascii="Arial" w:hAnsi="Arial" w:cs="Arial"/>
        </w:rPr>
        <w:t xml:space="preserve">) is produced by the rapid one-electron reduction of molecular oxygen, either spontaneously or through the dismutation of superoxide anion </w:t>
      </w:r>
      <w:proofErr w:type="spellStart"/>
      <w:r w:rsidRPr="00F844B3">
        <w:rPr>
          <w:rFonts w:ascii="Arial" w:hAnsi="Arial" w:cs="Arial"/>
        </w:rPr>
        <w:t>catalysed</w:t>
      </w:r>
      <w:proofErr w:type="spellEnd"/>
      <w:r w:rsidRPr="00F844B3">
        <w:rPr>
          <w:rFonts w:ascii="Arial" w:hAnsi="Arial" w:cs="Arial"/>
        </w:rPr>
        <w:t xml:space="preserve"> by superoxide dismutase (SOD) (</w:t>
      </w:r>
      <w:proofErr w:type="spellStart"/>
      <w:r w:rsidRPr="00F844B3">
        <w:rPr>
          <w:rFonts w:ascii="Arial" w:hAnsi="Arial" w:cs="Arial"/>
        </w:rPr>
        <w:t>Balakhnina</w:t>
      </w:r>
      <w:proofErr w:type="spellEnd"/>
      <w:r w:rsidRPr="00F844B3">
        <w:rPr>
          <w:rFonts w:ascii="Arial" w:hAnsi="Arial" w:cs="Arial"/>
        </w:rPr>
        <w:t xml:space="preserve"> et al. 2005; Zhang et al. 2009). Herbicides also cause an increase in the levels of ROS. Methyl viologen, also known as 1,1′-dimethyl-4,4′-bipyridinium dichloride, is an organic herbicide with broad spectrum activity that is generally referred to as paraquat (PQ) and is used in the management of weeds and grasses. It is effective and quick in flora but very dangerous to man and animals (Peacock 1978). PQ is harmful to the cells health as it disrupts the redox cycle by accepting and donating electrons (Homer et al. 1960). The chloroplasts accumulate reactive oxygen species (ROS) which damage proteins, enzymes and lipid membranes. PQ also limits the availability of NADPH, an essential ingredient for the Calvin Cycle in flora (Perales-Vela et al. </w:t>
      </w:r>
      <w:r w:rsidRPr="00F844B3">
        <w:rPr>
          <w:rFonts w:ascii="Arial" w:hAnsi="Arial" w:cs="Arial"/>
        </w:rPr>
        <w:lastRenderedPageBreak/>
        <w:t xml:space="preserve">2021). PQ blocks photosynthesis, creates a severe oxidative stress in the cells, alters the enzymatic framework, causes cell death and finally the plant death. In the present study, we investigated the changes in the activity of antioxidant enzymes and oxidative stress generated by cadmium and paraquat dichloride in the duckweed species </w:t>
      </w:r>
      <w:r w:rsidRPr="00F844B3">
        <w:rPr>
          <w:rFonts w:ascii="Arial" w:hAnsi="Arial" w:cs="Arial"/>
          <w:i/>
        </w:rPr>
        <w:t>Lemna minor</w:t>
      </w:r>
      <w:r w:rsidRPr="00F844B3">
        <w:rPr>
          <w:rFonts w:ascii="Arial" w:hAnsi="Arial" w:cs="Arial"/>
        </w:rPr>
        <w:t>, a plant used in the phytoremediation of polluted surface waters.</w:t>
      </w:r>
    </w:p>
    <w:p w14:paraId="204E9B2D" w14:textId="77777777" w:rsidR="00790ADA" w:rsidRPr="00FB3A86"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s</w:t>
      </w:r>
    </w:p>
    <w:p w14:paraId="02A3DC8D" w14:textId="77777777" w:rsidR="004E7D15" w:rsidRPr="004E7D15" w:rsidRDefault="004E7D15" w:rsidP="004E7D15">
      <w:pPr>
        <w:pStyle w:val="Body"/>
        <w:rPr>
          <w:rFonts w:ascii="Arial" w:hAnsi="Arial" w:cs="Arial"/>
          <w:b/>
        </w:rPr>
      </w:pPr>
      <w:r w:rsidRPr="004E7D15">
        <w:rPr>
          <w:rFonts w:ascii="Arial" w:hAnsi="Arial" w:cs="Arial"/>
          <w:b/>
        </w:rPr>
        <w:t xml:space="preserve">2.1. Plant material </w:t>
      </w:r>
    </w:p>
    <w:p w14:paraId="6350C079" w14:textId="77777777" w:rsidR="004E7D15" w:rsidRPr="004E7D15" w:rsidRDefault="004E7D15" w:rsidP="004E7D15">
      <w:pPr>
        <w:pStyle w:val="Body"/>
        <w:rPr>
          <w:rFonts w:ascii="Arial" w:hAnsi="Arial" w:cs="Arial"/>
        </w:rPr>
      </w:pPr>
      <w:r w:rsidRPr="004E7D15">
        <w:rPr>
          <w:rFonts w:ascii="Arial" w:hAnsi="Arial" w:cs="Arial"/>
        </w:rPr>
        <w:t xml:space="preserve">Samples of </w:t>
      </w:r>
      <w:r w:rsidRPr="004E7D15">
        <w:rPr>
          <w:rFonts w:ascii="Arial" w:hAnsi="Arial" w:cs="Arial"/>
          <w:i/>
        </w:rPr>
        <w:t>Lemna minor</w:t>
      </w:r>
      <w:r w:rsidRPr="004E7D15">
        <w:rPr>
          <w:rFonts w:ascii="Arial" w:hAnsi="Arial" w:cs="Arial"/>
        </w:rPr>
        <w:t xml:space="preserve"> were collected from the surface water of a pond of Roxburgh Botanical Garden, Department of Botany, University of Allahabad, Prayagraj, Uttar Pradesh India (25° 27’ 42.2352” N ,81°5’ 7.278” E). Plant samples were identified from Botanical Survey of India Central Regional Centre, Prayagraj, Uttar Pradesh, India. </w:t>
      </w:r>
    </w:p>
    <w:p w14:paraId="2BF4C517" w14:textId="77777777" w:rsidR="004E7D15" w:rsidRPr="004E7D15" w:rsidRDefault="004E7D15" w:rsidP="004E7D15">
      <w:pPr>
        <w:pStyle w:val="Body"/>
        <w:rPr>
          <w:rFonts w:ascii="Arial" w:hAnsi="Arial" w:cs="Arial"/>
        </w:rPr>
      </w:pPr>
      <w:r w:rsidRPr="004E7D15">
        <w:rPr>
          <w:rFonts w:ascii="Arial" w:hAnsi="Arial" w:cs="Arial"/>
        </w:rPr>
        <w:t>The plants were transferred to 250 ml flasks with half-strength Hutner's medium with 10 g sucrose after several washes to make sure that roots and fronds have been completely washed. Cultures were kept in a growth chamber at 25°C at constant cold fluorescent light (6,800 lux; ASTME.1415-91, 1999) for 24–48 h. We prepared a stock solution of 1000 ppm cadmium as CdCl</w:t>
      </w:r>
      <w:r w:rsidRPr="004E7D15">
        <w:rPr>
          <w:rFonts w:ascii="Arial" w:hAnsi="Arial" w:cs="Arial"/>
          <w:vertAlign w:val="subscript"/>
        </w:rPr>
        <w:t>2</w:t>
      </w:r>
      <w:r w:rsidRPr="004E7D15">
        <w:rPr>
          <w:rFonts w:ascii="Arial" w:hAnsi="Arial" w:cs="Arial"/>
        </w:rPr>
        <w:t xml:space="preserve"> (MW = 183.32 g mol</w:t>
      </w:r>
      <w:r w:rsidRPr="004E7D15">
        <w:rPr>
          <w:rFonts w:ascii="Arial" w:hAnsi="Arial" w:cs="Arial"/>
          <w:vertAlign w:val="superscript"/>
        </w:rPr>
        <w:t>-1</w:t>
      </w:r>
      <w:r w:rsidRPr="004E7D15">
        <w:rPr>
          <w:rFonts w:ascii="Arial" w:hAnsi="Arial" w:cs="Arial"/>
        </w:rPr>
        <w:t>; purity = 99%; Sigma Aldrich). Paraquat dichloride (24% SL) was purchased under the brand name All Clear (chemical fertilizer) from HPM Chemicals &amp; Fertilizers Ltd, Pitampura, New Delhi. From this stock solution, aliquots of different concentrations of cadmium (0.1, 0.5, 1.0, 1.5 and 2.0 mg/L) and paraquat dichloride (0.5, 1.0, 1.5, 2.0 and 2.5mg/L) were filled in flasks. Then the flasks with the plants were kept in a plant growth chamber for 4 days.</w:t>
      </w:r>
    </w:p>
    <w:p w14:paraId="6839D9BF" w14:textId="77777777" w:rsidR="004E7D15" w:rsidRPr="004E7D15" w:rsidRDefault="004E7D15" w:rsidP="004E7D15">
      <w:pPr>
        <w:pStyle w:val="Body"/>
        <w:rPr>
          <w:rFonts w:ascii="Arial" w:hAnsi="Arial" w:cs="Arial"/>
        </w:rPr>
      </w:pPr>
    </w:p>
    <w:p w14:paraId="0E635ECA" w14:textId="77777777" w:rsidR="004E7D15" w:rsidRPr="004E7D15" w:rsidRDefault="004E7D15" w:rsidP="004E7D15">
      <w:pPr>
        <w:pStyle w:val="Body"/>
        <w:rPr>
          <w:rFonts w:ascii="Arial" w:hAnsi="Arial" w:cs="Arial"/>
          <w:b/>
        </w:rPr>
      </w:pPr>
      <w:r w:rsidRPr="004E7D15">
        <w:rPr>
          <w:rFonts w:ascii="Arial" w:hAnsi="Arial" w:cs="Arial"/>
          <w:b/>
        </w:rPr>
        <w:t xml:space="preserve">2.2. Oxidative stress </w:t>
      </w:r>
    </w:p>
    <w:p w14:paraId="15381C2A" w14:textId="77777777" w:rsidR="004E7D15" w:rsidRPr="004E7D15" w:rsidRDefault="004E7D15" w:rsidP="004E7D15">
      <w:pPr>
        <w:pStyle w:val="Body"/>
        <w:rPr>
          <w:rFonts w:ascii="Arial" w:hAnsi="Arial" w:cs="Arial"/>
          <w:b/>
        </w:rPr>
      </w:pPr>
      <w:r w:rsidRPr="004E7D15">
        <w:rPr>
          <w:rFonts w:ascii="Arial" w:hAnsi="Arial" w:cs="Arial"/>
          <w:b/>
        </w:rPr>
        <w:t>2.2.1. Lipid peroxidation assay</w:t>
      </w:r>
    </w:p>
    <w:p w14:paraId="249D3440" w14:textId="77777777" w:rsidR="004E7D15" w:rsidRPr="004E7D15" w:rsidRDefault="004E7D15" w:rsidP="004E7D15">
      <w:pPr>
        <w:pStyle w:val="Body"/>
        <w:rPr>
          <w:rFonts w:ascii="Arial" w:hAnsi="Arial" w:cs="Arial"/>
        </w:rPr>
      </w:pPr>
      <w:r w:rsidRPr="004E7D15">
        <w:rPr>
          <w:rFonts w:ascii="Arial" w:hAnsi="Arial" w:cs="Arial"/>
        </w:rPr>
        <w:t>Lipid peroxidation was evaluated as malondialdehyde (MDA) equivalents according to the method of Heath and Packer (1968). One hundred milligrams of plant material were ground into fine powder and extracted in 1 mL of 0.1% trichloroacetic acid (TCA). The extract was centrifuged in an Eppendorf centrifuge 5920 R for 15 min at 10,000 × g at 4 °C. The supernatant was then mixed with 0.5% TBA and 20% TCA. The mixture was heated at 95°C for 30 min and then quickly cooled on ice. Absorbance at 532 and 600nm was measured using UV-VIS spectrophotometer (</w:t>
      </w:r>
      <w:proofErr w:type="spellStart"/>
      <w:r w:rsidRPr="004E7D15">
        <w:rPr>
          <w:rFonts w:ascii="Arial" w:hAnsi="Arial" w:cs="Arial"/>
        </w:rPr>
        <w:t>Schimadzu</w:t>
      </w:r>
      <w:proofErr w:type="spellEnd"/>
      <w:r w:rsidRPr="004E7D15">
        <w:rPr>
          <w:rFonts w:ascii="Arial" w:hAnsi="Arial" w:cs="Arial"/>
        </w:rPr>
        <w:t>, Japan). Concentration of MDA equivalents was calculated using an extinction coefficient of 155 mM</w:t>
      </w:r>
      <w:r w:rsidRPr="004E7D15">
        <w:rPr>
          <w:rFonts w:ascii="Arial" w:hAnsi="Arial" w:cs="Arial"/>
          <w:vertAlign w:val="superscript"/>
        </w:rPr>
        <w:t>-1</w:t>
      </w:r>
      <w:r w:rsidRPr="004E7D15">
        <w:rPr>
          <w:rFonts w:ascii="Arial" w:hAnsi="Arial" w:cs="Arial"/>
        </w:rPr>
        <w:t xml:space="preserve"> cm</w:t>
      </w:r>
      <w:r w:rsidRPr="004E7D15">
        <w:rPr>
          <w:rFonts w:ascii="Arial" w:hAnsi="Arial" w:cs="Arial"/>
          <w:vertAlign w:val="superscript"/>
        </w:rPr>
        <w:t>-1</w:t>
      </w:r>
      <w:r w:rsidRPr="004E7D15">
        <w:rPr>
          <w:rFonts w:ascii="Arial" w:hAnsi="Arial" w:cs="Arial"/>
        </w:rPr>
        <w:t xml:space="preserve"> and expressed as nmol g</w:t>
      </w:r>
      <w:r w:rsidRPr="004E7D15">
        <w:rPr>
          <w:rFonts w:ascii="Arial" w:hAnsi="Arial" w:cs="Arial"/>
          <w:vertAlign w:val="superscript"/>
        </w:rPr>
        <w:t>-1</w:t>
      </w:r>
      <w:r w:rsidRPr="004E7D15">
        <w:rPr>
          <w:rFonts w:ascii="Arial" w:hAnsi="Arial" w:cs="Arial"/>
        </w:rPr>
        <w:t xml:space="preserve"> FW.</w:t>
      </w:r>
    </w:p>
    <w:p w14:paraId="3DEA4F8B" w14:textId="77777777" w:rsidR="004E7D15" w:rsidRPr="004E7D15" w:rsidRDefault="004E7D15" w:rsidP="004E7D15">
      <w:pPr>
        <w:pStyle w:val="Body"/>
        <w:rPr>
          <w:rFonts w:ascii="Arial" w:hAnsi="Arial" w:cs="Arial"/>
          <w:b/>
        </w:rPr>
      </w:pPr>
      <w:r w:rsidRPr="004E7D15">
        <w:rPr>
          <w:rFonts w:ascii="Arial" w:hAnsi="Arial" w:cs="Arial"/>
          <w:b/>
        </w:rPr>
        <w:t xml:space="preserve">2.3. Antioxidant enzyme activity </w:t>
      </w:r>
    </w:p>
    <w:p w14:paraId="60FA6E99" w14:textId="77777777" w:rsidR="00790ADA" w:rsidRPr="00FB3A86" w:rsidRDefault="004E7D15" w:rsidP="004E7D15">
      <w:pPr>
        <w:pStyle w:val="Body"/>
        <w:spacing w:after="0"/>
        <w:rPr>
          <w:rFonts w:ascii="Arial" w:hAnsi="Arial" w:cs="Arial"/>
        </w:rPr>
      </w:pPr>
      <w:r w:rsidRPr="004E7D15">
        <w:rPr>
          <w:rFonts w:ascii="Arial" w:hAnsi="Arial" w:cs="Arial"/>
        </w:rPr>
        <w:t xml:space="preserve">Superoxide dismutase activity (SOD; EC 1.15.1.1) was estimated by measuring the inhibition in the reduction of nitro blue </w:t>
      </w:r>
      <w:proofErr w:type="spellStart"/>
      <w:r w:rsidRPr="004E7D15">
        <w:rPr>
          <w:rFonts w:ascii="Arial" w:hAnsi="Arial" w:cs="Arial"/>
        </w:rPr>
        <w:t>tetrazoliumchloride</w:t>
      </w:r>
      <w:proofErr w:type="spellEnd"/>
      <w:r w:rsidRPr="004E7D15">
        <w:rPr>
          <w:rFonts w:ascii="Arial" w:hAnsi="Arial" w:cs="Arial"/>
        </w:rPr>
        <w:t xml:space="preserve"> (NBT) by the method described by </w:t>
      </w:r>
      <w:proofErr w:type="spellStart"/>
      <w:r w:rsidRPr="004E7D15">
        <w:rPr>
          <w:rFonts w:ascii="Arial" w:hAnsi="Arial" w:cs="Arial"/>
        </w:rPr>
        <w:t>Giannopolitis</w:t>
      </w:r>
      <w:proofErr w:type="spellEnd"/>
      <w:r w:rsidRPr="004E7D15">
        <w:rPr>
          <w:rFonts w:ascii="Arial" w:hAnsi="Arial" w:cs="Arial"/>
        </w:rPr>
        <w:t xml:space="preserve"> and Ries</w:t>
      </w:r>
      <w:r w:rsidR="00C84A9C">
        <w:rPr>
          <w:rFonts w:ascii="Arial" w:hAnsi="Arial" w:cs="Arial"/>
        </w:rPr>
        <w:t xml:space="preserve"> (</w:t>
      </w:r>
      <w:r w:rsidRPr="004E7D15">
        <w:rPr>
          <w:rFonts w:ascii="Arial" w:hAnsi="Arial" w:cs="Arial"/>
        </w:rPr>
        <w:t>1977</w:t>
      </w:r>
      <w:r w:rsidR="00C84A9C">
        <w:rPr>
          <w:rFonts w:ascii="Arial" w:hAnsi="Arial" w:cs="Arial"/>
        </w:rPr>
        <w:t>)</w:t>
      </w:r>
      <w:r w:rsidRPr="004E7D15">
        <w:rPr>
          <w:rFonts w:ascii="Arial" w:hAnsi="Arial" w:cs="Arial"/>
        </w:rPr>
        <w:t>. Catalase (CAT; EC 1.11.1.6) activity was measured by the method of Aebi (1984). The catalase activity of the samples was measured by homogenizing 100 mg of plant material with 1 mL of 50 mM PPB (Potassium Phosphate Buffer) and 1 mM EDTA. Peroxidase (POD; EC 1.11.1.7) activity was measured according to the method of Zhang (1992) with the extinction coefficient 25.5 Mm</w:t>
      </w:r>
      <w:r w:rsidRPr="004E7D15">
        <w:rPr>
          <w:rFonts w:ascii="Arial" w:hAnsi="Arial" w:cs="Arial"/>
          <w:vertAlign w:val="superscript"/>
        </w:rPr>
        <w:t>-1</w:t>
      </w:r>
      <w:r w:rsidRPr="004E7D15">
        <w:rPr>
          <w:rFonts w:ascii="Arial" w:hAnsi="Arial" w:cs="Arial"/>
        </w:rPr>
        <w:t xml:space="preserve"> cm</w:t>
      </w:r>
      <w:r w:rsidRPr="004E7D15">
        <w:rPr>
          <w:rFonts w:ascii="Arial" w:hAnsi="Arial" w:cs="Arial"/>
          <w:vertAlign w:val="superscript"/>
        </w:rPr>
        <w:t>-1</w:t>
      </w:r>
      <w:r w:rsidRPr="004E7D15">
        <w:rPr>
          <w:rFonts w:ascii="Arial" w:hAnsi="Arial" w:cs="Arial"/>
        </w:rPr>
        <w:t>. One unit of POD activity is defined as the amount of enzyme oxidizing 1 nmol of guaiacol min</w:t>
      </w:r>
      <w:r w:rsidRPr="004E7D15">
        <w:rPr>
          <w:rFonts w:ascii="Arial" w:hAnsi="Arial" w:cs="Arial"/>
          <w:vertAlign w:val="superscript"/>
        </w:rPr>
        <w:t>-1</w:t>
      </w:r>
      <w:r w:rsidRPr="004E7D15">
        <w:rPr>
          <w:rFonts w:ascii="Arial" w:hAnsi="Arial" w:cs="Arial"/>
        </w:rPr>
        <w:t xml:space="preserve">. The activity of ascorbate peroxidase (APX) was calculated using the extinction coefficient (ε=2.8 mM </w:t>
      </w:r>
      <w:r w:rsidRPr="004E7D15">
        <w:rPr>
          <w:rFonts w:ascii="Arial" w:hAnsi="Arial" w:cs="Arial"/>
          <w:vertAlign w:val="superscript"/>
        </w:rPr>
        <w:t>-1</w:t>
      </w:r>
      <w:r w:rsidRPr="004E7D15">
        <w:rPr>
          <w:rFonts w:ascii="Arial" w:hAnsi="Arial" w:cs="Arial"/>
        </w:rPr>
        <w:t xml:space="preserve"> cm </w:t>
      </w:r>
      <w:r w:rsidRPr="004E7D15">
        <w:rPr>
          <w:rFonts w:ascii="Arial" w:hAnsi="Arial" w:cs="Arial"/>
          <w:vertAlign w:val="superscript"/>
        </w:rPr>
        <w:t>-1</w:t>
      </w:r>
      <w:r w:rsidRPr="004E7D15">
        <w:rPr>
          <w:rFonts w:ascii="Arial" w:hAnsi="Arial" w:cs="Arial"/>
        </w:rPr>
        <w:t xml:space="preserve">). One unit of APX activity is defined as the amount of enzyme oxidizing 1 nmol of ascorbate min </w:t>
      </w:r>
      <w:r w:rsidRPr="004E7D15">
        <w:rPr>
          <w:rFonts w:ascii="Arial" w:hAnsi="Arial" w:cs="Arial"/>
          <w:vertAlign w:val="superscript"/>
        </w:rPr>
        <w:t>-1</w:t>
      </w:r>
      <w:r w:rsidRPr="004E7D15">
        <w:rPr>
          <w:rFonts w:ascii="Arial" w:hAnsi="Arial" w:cs="Arial"/>
        </w:rPr>
        <w:t xml:space="preserve"> (Nakano and Asada, 1981). The activity of glutathione reductase (GR; EC 1.6.4.2) was determined as described by </w:t>
      </w:r>
      <w:proofErr w:type="spellStart"/>
      <w:r w:rsidRPr="004E7D15">
        <w:rPr>
          <w:rFonts w:ascii="Arial" w:hAnsi="Arial" w:cs="Arial"/>
        </w:rPr>
        <w:t>Schaedle</w:t>
      </w:r>
      <w:proofErr w:type="spellEnd"/>
      <w:r w:rsidRPr="004E7D15">
        <w:rPr>
          <w:rFonts w:ascii="Arial" w:hAnsi="Arial" w:cs="Arial"/>
        </w:rPr>
        <w:t xml:space="preserve"> and Bassham (1977). The GR activity was calculated </w:t>
      </w:r>
      <w:r w:rsidRPr="004E7D15">
        <w:rPr>
          <w:rFonts w:ascii="Arial" w:hAnsi="Arial" w:cs="Arial"/>
        </w:rPr>
        <w:lastRenderedPageBreak/>
        <w:t>using an extinction coefficient of 6.2 mM</w:t>
      </w:r>
      <w:r w:rsidRPr="004E7D15">
        <w:rPr>
          <w:rFonts w:ascii="Arial" w:hAnsi="Arial" w:cs="Arial"/>
          <w:vertAlign w:val="superscript"/>
        </w:rPr>
        <w:t>-1</w:t>
      </w:r>
      <w:r w:rsidRPr="004E7D15">
        <w:rPr>
          <w:rFonts w:ascii="Arial" w:hAnsi="Arial" w:cs="Arial"/>
        </w:rPr>
        <w:t>cm</w:t>
      </w:r>
      <w:r w:rsidRPr="004E7D15">
        <w:rPr>
          <w:rFonts w:ascii="Arial" w:hAnsi="Arial" w:cs="Arial"/>
          <w:vertAlign w:val="superscript"/>
        </w:rPr>
        <w:t>-1</w:t>
      </w:r>
      <w:r w:rsidRPr="004E7D15">
        <w:rPr>
          <w:rFonts w:ascii="Arial" w:hAnsi="Arial" w:cs="Arial"/>
        </w:rPr>
        <w:t>. 1 unit of activity is the amount of enzyme catalyzing the oxidation of 1 nmol NADPH min</w:t>
      </w:r>
      <w:r w:rsidRPr="004E7D15">
        <w:rPr>
          <w:rFonts w:ascii="Arial" w:hAnsi="Arial" w:cs="Arial"/>
          <w:vertAlign w:val="superscript"/>
        </w:rPr>
        <w:t>-1</w:t>
      </w:r>
      <w:r w:rsidRPr="004E7D15">
        <w:rPr>
          <w:rFonts w:ascii="Arial" w:hAnsi="Arial" w:cs="Arial"/>
        </w:rPr>
        <w:t>.</w:t>
      </w:r>
    </w:p>
    <w:p w14:paraId="0271BB07" w14:textId="77777777" w:rsidR="00C84A9C" w:rsidRDefault="00C84A9C" w:rsidP="00441B6F">
      <w:pPr>
        <w:pStyle w:val="Head1"/>
        <w:spacing w:after="0"/>
        <w:jc w:val="both"/>
        <w:rPr>
          <w:rFonts w:ascii="Arial" w:hAnsi="Arial" w:cs="Arial"/>
        </w:rPr>
      </w:pPr>
    </w:p>
    <w:p w14:paraId="6020AE0B"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60C1C62C" w14:textId="77777777" w:rsidR="00C84A9C" w:rsidRDefault="00C84A9C" w:rsidP="004E7D15">
      <w:pPr>
        <w:tabs>
          <w:tab w:val="left" w:pos="90"/>
        </w:tabs>
        <w:spacing w:line="276" w:lineRule="auto"/>
        <w:jc w:val="both"/>
        <w:rPr>
          <w:rFonts w:ascii="Arial" w:hAnsi="Arial" w:cs="Arial"/>
          <w:b/>
        </w:rPr>
      </w:pPr>
    </w:p>
    <w:p w14:paraId="04DC5F3A" w14:textId="77777777" w:rsidR="004E7D15" w:rsidRPr="005E7EFF" w:rsidRDefault="004E7D15" w:rsidP="004E7D15">
      <w:pPr>
        <w:tabs>
          <w:tab w:val="left" w:pos="90"/>
        </w:tabs>
        <w:spacing w:line="276" w:lineRule="auto"/>
        <w:jc w:val="both"/>
        <w:rPr>
          <w:rFonts w:ascii="Arial" w:hAnsi="Arial" w:cs="Arial"/>
          <w:b/>
        </w:rPr>
      </w:pPr>
      <w:r>
        <w:rPr>
          <w:rFonts w:ascii="Arial" w:hAnsi="Arial" w:cs="Arial"/>
          <w:b/>
        </w:rPr>
        <w:t xml:space="preserve">3. </w:t>
      </w:r>
      <w:r w:rsidRPr="005E7EFF">
        <w:rPr>
          <w:rFonts w:ascii="Arial" w:hAnsi="Arial" w:cs="Arial"/>
          <w:b/>
        </w:rPr>
        <w:t xml:space="preserve">Result </w:t>
      </w:r>
    </w:p>
    <w:p w14:paraId="153DF45D" w14:textId="77777777" w:rsidR="004E7D15" w:rsidRPr="005E7EFF" w:rsidRDefault="004E7D15" w:rsidP="004E7D15">
      <w:pPr>
        <w:tabs>
          <w:tab w:val="left" w:pos="90"/>
        </w:tabs>
        <w:spacing w:line="276" w:lineRule="auto"/>
        <w:jc w:val="both"/>
        <w:rPr>
          <w:rFonts w:ascii="Arial" w:hAnsi="Arial" w:cs="Arial"/>
          <w:b/>
        </w:rPr>
      </w:pPr>
      <w:r w:rsidRPr="005E7EFF">
        <w:rPr>
          <w:rFonts w:ascii="Arial" w:hAnsi="Arial" w:cs="Arial"/>
          <w:b/>
        </w:rPr>
        <w:t xml:space="preserve">3.1. Oxidative stress </w:t>
      </w:r>
    </w:p>
    <w:p w14:paraId="04D4416C" w14:textId="77777777" w:rsidR="004E7D15" w:rsidRPr="005E7EFF" w:rsidRDefault="004E7D15" w:rsidP="004E7D15">
      <w:pPr>
        <w:tabs>
          <w:tab w:val="left" w:pos="90"/>
        </w:tabs>
        <w:spacing w:line="276" w:lineRule="auto"/>
        <w:jc w:val="both"/>
        <w:rPr>
          <w:rFonts w:ascii="Arial" w:hAnsi="Arial" w:cs="Arial"/>
          <w:b/>
        </w:rPr>
      </w:pPr>
      <w:r w:rsidRPr="005E7EFF">
        <w:rPr>
          <w:rFonts w:ascii="Arial" w:hAnsi="Arial" w:cs="Arial"/>
          <w:b/>
        </w:rPr>
        <w:t>3.1.1. Lipid peroxidation</w:t>
      </w:r>
    </w:p>
    <w:p w14:paraId="5DDE7119" w14:textId="77777777" w:rsidR="004E7D15" w:rsidRPr="005E7EFF" w:rsidRDefault="004E7D15" w:rsidP="004E7D15">
      <w:pPr>
        <w:spacing w:line="276" w:lineRule="auto"/>
        <w:jc w:val="both"/>
        <w:rPr>
          <w:rFonts w:ascii="Arial" w:hAnsi="Arial" w:cs="Arial"/>
        </w:rPr>
      </w:pPr>
      <w:r w:rsidRPr="005E7EFF">
        <w:rPr>
          <w:rFonts w:ascii="Arial" w:hAnsi="Arial" w:cs="Arial"/>
        </w:rPr>
        <w:t xml:space="preserve">We measured the malondialdehyde (MDA) equivalents in the duckweed species </w:t>
      </w:r>
      <w:r w:rsidRPr="005E7EFF">
        <w:rPr>
          <w:rFonts w:ascii="Arial" w:hAnsi="Arial" w:cs="Arial"/>
          <w:i/>
        </w:rPr>
        <w:t xml:space="preserve">Lemna minor </w:t>
      </w:r>
      <w:r w:rsidRPr="005E7EFF">
        <w:rPr>
          <w:rFonts w:ascii="Arial" w:hAnsi="Arial" w:cs="Arial"/>
        </w:rPr>
        <w:t xml:space="preserve">to determine the amount of ROS induced lipid peroxidation. Duckweed was exposed to various concentrations of cadmium for 96 h (Figure (1A)). After 96 h treatment, the MDA equivalent content in </w:t>
      </w:r>
      <w:r w:rsidRPr="005E7EFF">
        <w:rPr>
          <w:rFonts w:ascii="Arial" w:hAnsi="Arial" w:cs="Arial"/>
          <w:i/>
        </w:rPr>
        <w:t>Lemna minor</w:t>
      </w:r>
      <w:r w:rsidRPr="005E7EFF">
        <w:rPr>
          <w:rFonts w:ascii="Arial" w:hAnsi="Arial" w:cs="Arial"/>
        </w:rPr>
        <w:t xml:space="preserve"> increased with the increasing cadmium amount. Content of MDA equivalents of </w:t>
      </w:r>
      <w:r w:rsidRPr="005E7EFF">
        <w:rPr>
          <w:rFonts w:ascii="Arial" w:hAnsi="Arial" w:cs="Arial"/>
          <w:i/>
        </w:rPr>
        <w:t xml:space="preserve">Lemna minor </w:t>
      </w:r>
      <w:r w:rsidRPr="005E7EFF">
        <w:rPr>
          <w:rFonts w:ascii="Arial" w:hAnsi="Arial" w:cs="Arial"/>
        </w:rPr>
        <w:t>increased by 42%, 67%, 79.17%, 100% and 121% in the presence of cadmium levels of 0.1, 0.5, 1.0, 1.5 and 2 mg/</w:t>
      </w:r>
      <w:r w:rsidR="00A62FEC">
        <w:rPr>
          <w:rFonts w:ascii="Arial" w:hAnsi="Arial" w:cs="Arial"/>
        </w:rPr>
        <w:t>L</w:t>
      </w:r>
      <w:r w:rsidRPr="005E7EFF">
        <w:rPr>
          <w:rFonts w:ascii="Arial" w:hAnsi="Arial" w:cs="Arial"/>
        </w:rPr>
        <w:t xml:space="preserve"> respectively. Figure(1B) showed a rise in MDA equivalent content in </w:t>
      </w:r>
      <w:r w:rsidRPr="005E7EFF">
        <w:rPr>
          <w:rFonts w:ascii="Arial" w:hAnsi="Arial" w:cs="Arial"/>
          <w:i/>
        </w:rPr>
        <w:t>Lemna minor</w:t>
      </w:r>
      <w:r w:rsidRPr="005E7EFF">
        <w:rPr>
          <w:rFonts w:ascii="Arial" w:hAnsi="Arial" w:cs="Arial"/>
        </w:rPr>
        <w:t xml:space="preserve"> after 96 hours exposure to the herbicide Paraquat dichloride (0 mg/L to 2.5 mg/L). The content of MDA equivalents in </w:t>
      </w:r>
      <w:r w:rsidRPr="005E7EFF">
        <w:rPr>
          <w:rFonts w:ascii="Arial" w:hAnsi="Arial" w:cs="Arial"/>
          <w:i/>
        </w:rPr>
        <w:t>Lemna minor</w:t>
      </w:r>
      <w:r w:rsidRPr="005E7EFF">
        <w:rPr>
          <w:rFonts w:ascii="Arial" w:hAnsi="Arial" w:cs="Arial"/>
        </w:rPr>
        <w:t xml:space="preserve"> increased by 28%, 96%, 175%, 196% and 200% at the concentrations of paraquat dichloride 0.5mg/L, 1mg/L, 1.5mg/L, 2 mg/l and 2.5 mg/l, respectively. </w:t>
      </w:r>
    </w:p>
    <w:p w14:paraId="39A5B402" w14:textId="77777777" w:rsidR="004E7D15" w:rsidRPr="005E7EFF" w:rsidRDefault="00A62FEC" w:rsidP="004E7D15">
      <w:pPr>
        <w:spacing w:line="276" w:lineRule="auto"/>
        <w:jc w:val="both"/>
        <w:rPr>
          <w:rFonts w:ascii="Arial" w:hAnsi="Arial" w:cs="Arial"/>
        </w:rPr>
      </w:pPr>
      <w:r w:rsidRPr="005E7EFF">
        <w:rPr>
          <w:rFonts w:ascii="Arial" w:hAnsi="Arial" w:cs="Arial"/>
          <w:noProof/>
          <w:sz w:val="24"/>
          <w:szCs w:val="24"/>
        </w:rPr>
        <w:drawing>
          <wp:anchor distT="0" distB="0" distL="114300" distR="114300" simplePos="0" relativeHeight="251660800" behindDoc="1" locked="0" layoutInCell="1" allowOverlap="1" wp14:anchorId="67333455" wp14:editId="123E942F">
            <wp:simplePos x="0" y="0"/>
            <wp:positionH relativeFrom="column">
              <wp:posOffset>-746760</wp:posOffset>
            </wp:positionH>
            <wp:positionV relativeFrom="paragraph">
              <wp:posOffset>35560</wp:posOffset>
            </wp:positionV>
            <wp:extent cx="6458585" cy="1949450"/>
            <wp:effectExtent l="0" t="0" r="0" b="0"/>
            <wp:wrapTight wrapText="bothSides">
              <wp:wrapPolygon edited="0">
                <wp:start x="0" y="0"/>
                <wp:lineTo x="0" y="21319"/>
                <wp:lineTo x="21534" y="21319"/>
                <wp:lineTo x="2153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58585" cy="1949450"/>
                    </a:xfrm>
                    <a:prstGeom prst="rect">
                      <a:avLst/>
                    </a:prstGeom>
                    <a:noFill/>
                  </pic:spPr>
                </pic:pic>
              </a:graphicData>
            </a:graphic>
          </wp:anchor>
        </w:drawing>
      </w:r>
      <w:r w:rsidR="006658A9">
        <w:rPr>
          <w:rFonts w:ascii="Arial" w:hAnsi="Arial" w:cs="Arial"/>
          <w:b/>
          <w:noProof/>
          <w:lang w:val="en-IN"/>
        </w:rPr>
        <mc:AlternateContent>
          <mc:Choice Requires="wps">
            <w:drawing>
              <wp:anchor distT="0" distB="0" distL="114300" distR="114300" simplePos="0" relativeHeight="251657728" behindDoc="0" locked="0" layoutInCell="1" allowOverlap="1" wp14:anchorId="05C79549" wp14:editId="54B6CC90">
                <wp:simplePos x="0" y="0"/>
                <wp:positionH relativeFrom="column">
                  <wp:posOffset>3270250</wp:posOffset>
                </wp:positionH>
                <wp:positionV relativeFrom="paragraph">
                  <wp:posOffset>2999740</wp:posOffset>
                </wp:positionV>
                <wp:extent cx="260350" cy="260350"/>
                <wp:effectExtent l="0" t="0" r="0" b="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26035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49435D09" w14:textId="77777777" w:rsidR="004E7D15" w:rsidRPr="00517CD0" w:rsidRDefault="004E7D15" w:rsidP="004E7D15">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C79549" id="Rectangle 16" o:spid="_x0000_s1026" style="position:absolute;left:0;text-align:left;margin-left:257.5pt;margin-top:236.2pt;width:20.5pt;height:2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" filled="f" stroked="f" strokeweight="2pt">
                <v:textbox>
                  <w:txbxContent>
                    <w:p w14:paraId="49435D09" w14:textId="77777777" w:rsidR="004E7D15" w:rsidRPr="00517CD0" w:rsidRDefault="004E7D15" w:rsidP="004E7D15">
                      <w:pPr>
                        <w:jc w:val="center"/>
                        <w:rPr>
                          <w:b/>
                        </w:rPr>
                      </w:pPr>
                    </w:p>
                  </w:txbxContent>
                </v:textbox>
              </v:rect>
            </w:pict>
          </mc:Fallback>
        </mc:AlternateContent>
      </w:r>
      <w:r w:rsidR="004E7D15" w:rsidRPr="005E7EFF">
        <w:rPr>
          <w:rFonts w:ascii="Arial" w:hAnsi="Arial" w:cs="Arial"/>
          <w:b/>
        </w:rPr>
        <w:t xml:space="preserve">Figure. 1 </w:t>
      </w:r>
      <w:r w:rsidR="004E7D15" w:rsidRPr="005E7EFF">
        <w:rPr>
          <w:rFonts w:ascii="Arial" w:hAnsi="Arial" w:cs="Arial"/>
        </w:rPr>
        <w:t xml:space="preserve">Malondialdehyde (MDA) Activity in </w:t>
      </w:r>
      <w:r w:rsidR="004E7D15" w:rsidRPr="005E7EFF">
        <w:rPr>
          <w:rFonts w:ascii="Arial" w:hAnsi="Arial" w:cs="Arial"/>
          <w:i/>
        </w:rPr>
        <w:t>Lemna minor</w:t>
      </w:r>
      <w:r w:rsidR="004E7D15" w:rsidRPr="005E7EFF">
        <w:rPr>
          <w:rFonts w:ascii="Arial" w:hAnsi="Arial" w:cs="Arial"/>
        </w:rPr>
        <w:t xml:space="preserve"> under heavy metal cadmium stress (A) and </w:t>
      </w:r>
      <w:r w:rsidR="004E7D15" w:rsidRPr="005E7EFF">
        <w:rPr>
          <w:rFonts w:ascii="Arial" w:hAnsi="Arial" w:cs="Arial"/>
          <w:bCs/>
        </w:rPr>
        <w:t xml:space="preserve">herbicide </w:t>
      </w:r>
      <w:r w:rsidR="004E7D15" w:rsidRPr="005E7EFF">
        <w:rPr>
          <w:rFonts w:ascii="Arial" w:hAnsi="Arial" w:cs="Arial"/>
        </w:rPr>
        <w:t xml:space="preserve">paraquat dichloride (B) stress. MDA Activity is measured in </w:t>
      </w:r>
      <w:r w:rsidR="004E7D15" w:rsidRPr="005E7EFF">
        <w:rPr>
          <w:rFonts w:ascii="Arial" w:hAnsi="Arial" w:cs="Arial"/>
          <w:bCs/>
        </w:rPr>
        <w:t>nmol/gm FW (Fresh weight) after 4</w:t>
      </w:r>
      <w:r w:rsidR="004E7D15" w:rsidRPr="005E7EFF">
        <w:rPr>
          <w:rFonts w:ascii="Arial" w:hAnsi="Arial" w:cs="Arial"/>
          <w:bCs/>
          <w:vertAlign w:val="superscript"/>
        </w:rPr>
        <w:t>th</w:t>
      </w:r>
      <w:r w:rsidR="004E7D15" w:rsidRPr="005E7EFF">
        <w:rPr>
          <w:rFonts w:ascii="Arial" w:hAnsi="Arial" w:cs="Arial"/>
          <w:bCs/>
        </w:rPr>
        <w:t xml:space="preserve"> day of treatment.</w:t>
      </w:r>
    </w:p>
    <w:p w14:paraId="24F78818" w14:textId="77777777" w:rsidR="004E7D15" w:rsidRPr="005E7EFF" w:rsidRDefault="004E7D15" w:rsidP="004E7D15">
      <w:pPr>
        <w:spacing w:line="276" w:lineRule="auto"/>
        <w:jc w:val="both"/>
        <w:rPr>
          <w:rFonts w:ascii="Arial" w:hAnsi="Arial" w:cs="Arial"/>
        </w:rPr>
      </w:pPr>
    </w:p>
    <w:p w14:paraId="472CD29E" w14:textId="77777777" w:rsidR="004E7D15" w:rsidRPr="005E7EFF" w:rsidRDefault="004E7D15" w:rsidP="004E7D15">
      <w:pPr>
        <w:spacing w:line="276" w:lineRule="auto"/>
        <w:jc w:val="both"/>
        <w:rPr>
          <w:rFonts w:ascii="Arial" w:hAnsi="Arial" w:cs="Arial"/>
          <w:b/>
        </w:rPr>
      </w:pPr>
      <w:r w:rsidRPr="005E7EFF">
        <w:rPr>
          <w:rFonts w:ascii="Arial" w:hAnsi="Arial" w:cs="Arial"/>
          <w:b/>
        </w:rPr>
        <w:t>3.2.</w:t>
      </w:r>
      <w:r>
        <w:rPr>
          <w:rFonts w:ascii="Arial" w:hAnsi="Arial" w:cs="Arial"/>
          <w:b/>
        </w:rPr>
        <w:t xml:space="preserve"> </w:t>
      </w:r>
      <w:r w:rsidRPr="005E7EFF">
        <w:rPr>
          <w:rFonts w:ascii="Arial" w:hAnsi="Arial" w:cs="Arial"/>
          <w:b/>
        </w:rPr>
        <w:t xml:space="preserve">Antioxidant activity </w:t>
      </w:r>
    </w:p>
    <w:p w14:paraId="1D98BF55" w14:textId="77777777" w:rsidR="004E7D15" w:rsidRPr="005E7EFF" w:rsidRDefault="004E7D15" w:rsidP="004E7D15">
      <w:pPr>
        <w:spacing w:line="276" w:lineRule="auto"/>
        <w:jc w:val="both"/>
        <w:rPr>
          <w:rFonts w:ascii="Arial" w:hAnsi="Arial" w:cs="Arial"/>
          <w:b/>
        </w:rPr>
      </w:pPr>
    </w:p>
    <w:p w14:paraId="07F0E1BF" w14:textId="77777777" w:rsidR="004E7D15" w:rsidRPr="005E7EFF" w:rsidRDefault="004E7D15" w:rsidP="004E7D15">
      <w:pPr>
        <w:spacing w:line="276" w:lineRule="auto"/>
        <w:jc w:val="both"/>
        <w:rPr>
          <w:rFonts w:ascii="Arial" w:hAnsi="Arial" w:cs="Arial"/>
        </w:rPr>
      </w:pPr>
      <w:r w:rsidRPr="005E7EFF">
        <w:rPr>
          <w:rFonts w:ascii="Arial" w:hAnsi="Arial" w:cs="Arial"/>
          <w:b/>
        </w:rPr>
        <w:t>3.2.1.</w:t>
      </w:r>
      <w:r>
        <w:rPr>
          <w:rFonts w:ascii="Arial" w:hAnsi="Arial" w:cs="Arial"/>
          <w:b/>
        </w:rPr>
        <w:t xml:space="preserve"> </w:t>
      </w:r>
      <w:r w:rsidRPr="005E7EFF">
        <w:rPr>
          <w:rFonts w:ascii="Arial" w:hAnsi="Arial" w:cs="Arial"/>
          <w:b/>
        </w:rPr>
        <w:t>Superoxide dismutase (SOD) activity</w:t>
      </w:r>
    </w:p>
    <w:p w14:paraId="3F1102E6" w14:textId="77777777" w:rsidR="004E7D15" w:rsidRPr="005E7EFF" w:rsidRDefault="004E7D15" w:rsidP="004E7D15">
      <w:pPr>
        <w:spacing w:line="276" w:lineRule="auto"/>
        <w:jc w:val="both"/>
        <w:rPr>
          <w:rFonts w:ascii="Arial" w:hAnsi="Arial" w:cs="Arial"/>
          <w:sz w:val="24"/>
          <w:szCs w:val="24"/>
        </w:rPr>
      </w:pPr>
      <w:r w:rsidRPr="005E7EFF">
        <w:rPr>
          <w:rFonts w:ascii="Arial" w:hAnsi="Arial" w:cs="Arial"/>
        </w:rPr>
        <w:t xml:space="preserve">Figure (2A) shows the results of the SOD activity test on the duckweed species </w:t>
      </w:r>
      <w:r w:rsidRPr="005E7EFF">
        <w:rPr>
          <w:rFonts w:ascii="Arial" w:hAnsi="Arial" w:cs="Arial"/>
          <w:i/>
        </w:rPr>
        <w:t>Lemna minor</w:t>
      </w:r>
      <w:r w:rsidRPr="005E7EFF">
        <w:rPr>
          <w:rFonts w:ascii="Arial" w:hAnsi="Arial" w:cs="Arial"/>
        </w:rPr>
        <w:t xml:space="preserve"> after 96 hours of exposure to different levels of cadmium. SOD activity in </w:t>
      </w:r>
      <w:r w:rsidRPr="005E7EFF">
        <w:rPr>
          <w:rFonts w:ascii="Arial" w:hAnsi="Arial" w:cs="Arial"/>
          <w:i/>
        </w:rPr>
        <w:t>Lemna minor</w:t>
      </w:r>
      <w:r w:rsidRPr="005E7EFF">
        <w:rPr>
          <w:rFonts w:ascii="Arial" w:hAnsi="Arial" w:cs="Arial"/>
        </w:rPr>
        <w:t xml:space="preserve"> rose by 43.08%, 51.28%, 59.45%, 66.37%, and 78.20% at cadmium (Cd) levels of 0.1, 0.5, 1, 1.5, and 2 mg/L, respectively, within the 0 to 2 mg/L range. After 96 hours of treatment with different amounts of the herbicide Paraquat dichloride, </w:t>
      </w:r>
      <w:r w:rsidRPr="005E7EFF">
        <w:rPr>
          <w:rFonts w:ascii="Arial" w:hAnsi="Arial" w:cs="Arial"/>
          <w:i/>
        </w:rPr>
        <w:t>Lemna minor</w:t>
      </w:r>
      <w:r w:rsidRPr="005E7EFF">
        <w:rPr>
          <w:rFonts w:ascii="Arial" w:hAnsi="Arial" w:cs="Arial"/>
        </w:rPr>
        <w:t xml:space="preserve"> shows higher SOD activity, as shown in Figure (2B). At Paraquat dichloride concentrations of 0.5, 1, 1.5, 2, and 2.5 mg/L, SOD activity in </w:t>
      </w:r>
      <w:r w:rsidRPr="005E7EFF">
        <w:rPr>
          <w:rFonts w:ascii="Arial" w:hAnsi="Arial" w:cs="Arial"/>
          <w:i/>
        </w:rPr>
        <w:t>Lemna minor</w:t>
      </w:r>
      <w:r w:rsidRPr="005E7EFF">
        <w:rPr>
          <w:rFonts w:ascii="Arial" w:hAnsi="Arial" w:cs="Arial"/>
        </w:rPr>
        <w:t xml:space="preserve"> went up by 6.25%, 9.37%, 34.37%, 31.25%, and 47%, respectively</w:t>
      </w:r>
      <w:r w:rsidRPr="005E7EFF">
        <w:rPr>
          <w:rFonts w:ascii="Arial" w:hAnsi="Arial" w:cs="Arial"/>
          <w:sz w:val="24"/>
          <w:szCs w:val="24"/>
        </w:rPr>
        <w:t>.</w:t>
      </w:r>
    </w:p>
    <w:p w14:paraId="0AA91955" w14:textId="77777777" w:rsidR="004E7D15" w:rsidRPr="005E7EFF" w:rsidRDefault="004E7D15" w:rsidP="004E7D15">
      <w:pPr>
        <w:tabs>
          <w:tab w:val="left" w:pos="90"/>
        </w:tabs>
        <w:spacing w:line="276" w:lineRule="auto"/>
        <w:jc w:val="both"/>
        <w:rPr>
          <w:rFonts w:ascii="Arial" w:hAnsi="Arial" w:cs="Arial"/>
          <w:b/>
          <w:sz w:val="24"/>
          <w:szCs w:val="24"/>
        </w:rPr>
      </w:pPr>
    </w:p>
    <w:p w14:paraId="143D9B50" w14:textId="77777777" w:rsidR="004E7D15" w:rsidRPr="005E7EFF" w:rsidRDefault="00D779CE" w:rsidP="004E7D15">
      <w:pPr>
        <w:tabs>
          <w:tab w:val="left" w:pos="90"/>
        </w:tabs>
        <w:spacing w:line="276" w:lineRule="auto"/>
        <w:jc w:val="both"/>
        <w:rPr>
          <w:rFonts w:ascii="Arial" w:hAnsi="Arial" w:cs="Arial"/>
          <w:b/>
          <w:sz w:val="24"/>
          <w:szCs w:val="24"/>
        </w:rPr>
      </w:pPr>
      <w:r w:rsidRPr="005E7EFF">
        <w:rPr>
          <w:rFonts w:ascii="Arial" w:hAnsi="Arial" w:cs="Arial"/>
          <w:b/>
          <w:noProof/>
          <w:sz w:val="24"/>
          <w:szCs w:val="24"/>
        </w:rPr>
        <w:lastRenderedPageBreak/>
        <w:drawing>
          <wp:anchor distT="0" distB="0" distL="114300" distR="114300" simplePos="0" relativeHeight="251659776" behindDoc="1" locked="0" layoutInCell="1" allowOverlap="1" wp14:anchorId="6201C2FC" wp14:editId="03D28F40">
            <wp:simplePos x="0" y="0"/>
            <wp:positionH relativeFrom="column">
              <wp:posOffset>-175260</wp:posOffset>
            </wp:positionH>
            <wp:positionV relativeFrom="paragraph">
              <wp:posOffset>198755</wp:posOffset>
            </wp:positionV>
            <wp:extent cx="5468620" cy="2255520"/>
            <wp:effectExtent l="0" t="0" r="0" b="0"/>
            <wp:wrapTight wrapText="bothSides">
              <wp:wrapPolygon edited="0">
                <wp:start x="0" y="0"/>
                <wp:lineTo x="0" y="21345"/>
                <wp:lineTo x="21520" y="21345"/>
                <wp:lineTo x="2152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68620" cy="2255520"/>
                    </a:xfrm>
                    <a:prstGeom prst="rect">
                      <a:avLst/>
                    </a:prstGeom>
                    <a:noFill/>
                  </pic:spPr>
                </pic:pic>
              </a:graphicData>
            </a:graphic>
          </wp:anchor>
        </w:drawing>
      </w:r>
    </w:p>
    <w:p w14:paraId="1A7BFFD7" w14:textId="77777777" w:rsidR="004E7D15" w:rsidRPr="00D779CE" w:rsidRDefault="004E7D15" w:rsidP="00D779CE">
      <w:pPr>
        <w:tabs>
          <w:tab w:val="left" w:pos="90"/>
        </w:tabs>
        <w:spacing w:line="276" w:lineRule="auto"/>
        <w:jc w:val="both"/>
        <w:rPr>
          <w:rFonts w:ascii="Arial" w:hAnsi="Arial" w:cs="Arial"/>
          <w:b/>
          <w:sz w:val="24"/>
          <w:szCs w:val="24"/>
        </w:rPr>
      </w:pPr>
      <w:r w:rsidRPr="005E7EFF">
        <w:rPr>
          <w:rFonts w:ascii="Arial" w:hAnsi="Arial" w:cs="Arial"/>
          <w:b/>
        </w:rPr>
        <w:t>Figure. 2</w:t>
      </w:r>
      <w:r w:rsidRPr="005E7EFF">
        <w:rPr>
          <w:rFonts w:ascii="Arial" w:hAnsi="Arial" w:cs="Arial"/>
        </w:rPr>
        <w:t xml:space="preserve"> Superoxide dismutase (SOD) Activity in </w:t>
      </w:r>
      <w:r w:rsidRPr="005E7EFF">
        <w:rPr>
          <w:rFonts w:ascii="Arial" w:hAnsi="Arial" w:cs="Arial"/>
          <w:i/>
        </w:rPr>
        <w:t>Lemna minor</w:t>
      </w:r>
      <w:r w:rsidRPr="005E7EFF">
        <w:rPr>
          <w:rFonts w:ascii="Arial" w:hAnsi="Arial" w:cs="Arial"/>
        </w:rPr>
        <w:t xml:space="preserve"> under heavy metal cadmium stress (A) and herbicide paraquat dichloride (B) stress. SOD Activity is measured in </w:t>
      </w:r>
      <w:r w:rsidRPr="005E7EFF">
        <w:rPr>
          <w:rFonts w:ascii="Arial" w:hAnsi="Arial" w:cs="Arial"/>
          <w:bCs/>
        </w:rPr>
        <w:t xml:space="preserve">units/mg FW (fresh weight </w:t>
      </w:r>
      <w:r w:rsidRPr="005E7EFF">
        <w:rPr>
          <w:rFonts w:ascii="Arial" w:hAnsi="Arial" w:cs="Arial"/>
        </w:rPr>
        <w:t>after 4</w:t>
      </w:r>
      <w:r w:rsidRPr="005E7EFF">
        <w:rPr>
          <w:rFonts w:ascii="Arial" w:hAnsi="Arial" w:cs="Arial"/>
          <w:vertAlign w:val="superscript"/>
        </w:rPr>
        <w:t>th</w:t>
      </w:r>
      <w:r w:rsidRPr="005E7EFF">
        <w:rPr>
          <w:rFonts w:ascii="Arial" w:hAnsi="Arial" w:cs="Arial"/>
        </w:rPr>
        <w:t xml:space="preserve"> day of treatment</w:t>
      </w:r>
      <w:r w:rsidRPr="005E7EFF">
        <w:rPr>
          <w:rFonts w:ascii="Arial" w:hAnsi="Arial" w:cs="Arial"/>
          <w:sz w:val="24"/>
          <w:szCs w:val="24"/>
        </w:rPr>
        <w:t>.</w:t>
      </w:r>
    </w:p>
    <w:p w14:paraId="2212A24A" w14:textId="77777777" w:rsidR="004E7D15" w:rsidRPr="005E7EFF" w:rsidRDefault="004E7D15" w:rsidP="004E7D15">
      <w:pPr>
        <w:tabs>
          <w:tab w:val="left" w:pos="90"/>
        </w:tabs>
        <w:spacing w:line="276" w:lineRule="auto"/>
        <w:jc w:val="both"/>
        <w:rPr>
          <w:rFonts w:ascii="Arial" w:hAnsi="Arial" w:cs="Arial"/>
          <w:b/>
          <w:sz w:val="24"/>
          <w:szCs w:val="24"/>
        </w:rPr>
      </w:pPr>
    </w:p>
    <w:p w14:paraId="3FE8B9CA" w14:textId="77777777" w:rsidR="004E7D15" w:rsidRPr="005E7EFF" w:rsidRDefault="004E7D15" w:rsidP="004E7D15">
      <w:pPr>
        <w:tabs>
          <w:tab w:val="left" w:pos="90"/>
        </w:tabs>
        <w:spacing w:line="276" w:lineRule="auto"/>
        <w:jc w:val="both"/>
        <w:rPr>
          <w:rFonts w:ascii="Arial" w:hAnsi="Arial" w:cs="Arial"/>
          <w:b/>
        </w:rPr>
      </w:pPr>
      <w:r w:rsidRPr="005E7EFF">
        <w:rPr>
          <w:rFonts w:ascii="Arial" w:hAnsi="Arial" w:cs="Arial"/>
          <w:b/>
        </w:rPr>
        <w:t>3.2.2.</w:t>
      </w:r>
      <w:r>
        <w:rPr>
          <w:rFonts w:ascii="Arial" w:hAnsi="Arial" w:cs="Arial"/>
          <w:b/>
        </w:rPr>
        <w:t xml:space="preserve"> </w:t>
      </w:r>
      <w:r w:rsidRPr="005E7EFF">
        <w:rPr>
          <w:rFonts w:ascii="Arial" w:hAnsi="Arial" w:cs="Arial"/>
          <w:b/>
        </w:rPr>
        <w:t>Peroxidase (POD) activity</w:t>
      </w:r>
    </w:p>
    <w:p w14:paraId="5E2C4A1B" w14:textId="77777777" w:rsidR="004E7D15" w:rsidRPr="005E7EFF" w:rsidRDefault="004E7D15" w:rsidP="004E7D15">
      <w:pPr>
        <w:spacing w:line="276" w:lineRule="auto"/>
        <w:jc w:val="both"/>
        <w:rPr>
          <w:rFonts w:ascii="Arial" w:hAnsi="Arial" w:cs="Arial"/>
        </w:rPr>
      </w:pPr>
      <w:r w:rsidRPr="005E7EFF">
        <w:rPr>
          <w:rFonts w:ascii="Arial" w:hAnsi="Arial" w:cs="Arial"/>
        </w:rPr>
        <w:t xml:space="preserve">Figure (3A) shows the data on POD activity. It shows that different levels of cadmium in the duckweed species </w:t>
      </w:r>
      <w:r w:rsidRPr="005E7EFF">
        <w:rPr>
          <w:rFonts w:ascii="Arial" w:hAnsi="Arial" w:cs="Arial"/>
          <w:i/>
        </w:rPr>
        <w:t>Lemna minor</w:t>
      </w:r>
      <w:r w:rsidRPr="005E7EFF">
        <w:rPr>
          <w:rFonts w:ascii="Arial" w:hAnsi="Arial" w:cs="Arial"/>
        </w:rPr>
        <w:t xml:space="preserve"> after 96 hours of treatment led to a big rise in POD activity. </w:t>
      </w:r>
      <w:r w:rsidRPr="005E7EFF">
        <w:rPr>
          <w:rFonts w:ascii="Arial" w:hAnsi="Arial" w:cs="Arial"/>
          <w:i/>
        </w:rPr>
        <w:t>Lemna minor</w:t>
      </w:r>
      <w:r w:rsidRPr="005E7EFF">
        <w:rPr>
          <w:rFonts w:ascii="Arial" w:hAnsi="Arial" w:cs="Arial"/>
        </w:rPr>
        <w:t xml:space="preserve"> has shown an increase in cadmium concentration (0 mg/L to 2 mg/L), with growth rates of 0.21%, 57.46%, 75%, 92.28%, and 97.54% at concentrations of 0.1, 0.5, 1, 1.5, and 2 mg/L, respectively. Figure (3B) shows that different amounts of the herbicide paraquat dichloride in the duckweed species </w:t>
      </w:r>
      <w:r w:rsidRPr="005E7EFF">
        <w:rPr>
          <w:rFonts w:ascii="Arial" w:hAnsi="Arial" w:cs="Arial"/>
          <w:i/>
        </w:rPr>
        <w:t>Lemna minor</w:t>
      </w:r>
      <w:r w:rsidRPr="005E7EFF">
        <w:rPr>
          <w:rFonts w:ascii="Arial" w:hAnsi="Arial" w:cs="Arial"/>
        </w:rPr>
        <w:t xml:space="preserve"> after 96 hours of treatment led to higher POD activity. At higher concentrations i.e., 2 and 2.5 mg/L, POD activity rose significantly in </w:t>
      </w:r>
      <w:r w:rsidRPr="005E7EFF">
        <w:rPr>
          <w:rFonts w:ascii="Arial" w:hAnsi="Arial" w:cs="Arial"/>
          <w:i/>
        </w:rPr>
        <w:t xml:space="preserve">Lemna </w:t>
      </w:r>
      <w:proofErr w:type="spellStart"/>
      <w:r w:rsidRPr="005E7EFF">
        <w:rPr>
          <w:rFonts w:ascii="Arial" w:hAnsi="Arial" w:cs="Arial"/>
          <w:i/>
        </w:rPr>
        <w:t>minor</w:t>
      </w:r>
      <w:r w:rsidRPr="005E7EFF">
        <w:rPr>
          <w:rFonts w:ascii="Arial" w:hAnsi="Arial" w:cs="Arial"/>
        </w:rPr>
        <w:t>.POD</w:t>
      </w:r>
      <w:proofErr w:type="spellEnd"/>
      <w:r w:rsidRPr="005E7EFF">
        <w:rPr>
          <w:rFonts w:ascii="Arial" w:hAnsi="Arial" w:cs="Arial"/>
        </w:rPr>
        <w:t xml:space="preserve"> activity in </w:t>
      </w:r>
      <w:r w:rsidRPr="005E7EFF">
        <w:rPr>
          <w:rFonts w:ascii="Arial" w:hAnsi="Arial" w:cs="Arial"/>
          <w:i/>
        </w:rPr>
        <w:t>Lemna minor</w:t>
      </w:r>
      <w:r w:rsidRPr="005E7EFF">
        <w:rPr>
          <w:rFonts w:ascii="Arial" w:hAnsi="Arial" w:cs="Arial"/>
        </w:rPr>
        <w:t xml:space="preserve"> increased by 3%,4.01%, 8.40%, 27% and 41.44% at the concentration of paraquat dichloride was 0.5mg/L,1mg/L, 1.5mg/L 2 mg/L and 2.5 mg/L, respectively.</w:t>
      </w:r>
    </w:p>
    <w:p w14:paraId="6423D1D6" w14:textId="77777777" w:rsidR="004E7D15" w:rsidRPr="005E7EFF" w:rsidRDefault="004E7D15" w:rsidP="004E7D15">
      <w:pPr>
        <w:spacing w:line="276" w:lineRule="auto"/>
        <w:jc w:val="both"/>
        <w:rPr>
          <w:rFonts w:ascii="Arial" w:hAnsi="Arial" w:cs="Arial"/>
          <w:b/>
        </w:rPr>
      </w:pPr>
      <w:r w:rsidRPr="005E7EFF">
        <w:rPr>
          <w:rFonts w:ascii="Arial" w:hAnsi="Arial" w:cs="Arial"/>
          <w:noProof/>
        </w:rPr>
        <w:drawing>
          <wp:anchor distT="0" distB="0" distL="114300" distR="114300" simplePos="0" relativeHeight="251658752" behindDoc="1" locked="0" layoutInCell="1" allowOverlap="1" wp14:anchorId="01D1AFD1" wp14:editId="3FCE430C">
            <wp:simplePos x="0" y="0"/>
            <wp:positionH relativeFrom="column">
              <wp:posOffset>-238760</wp:posOffset>
            </wp:positionH>
            <wp:positionV relativeFrom="paragraph">
              <wp:posOffset>196850</wp:posOffset>
            </wp:positionV>
            <wp:extent cx="5731510" cy="1812529"/>
            <wp:effectExtent l="0" t="0" r="0" b="0"/>
            <wp:wrapTight wrapText="bothSides">
              <wp:wrapPolygon edited="0">
                <wp:start x="0" y="0"/>
                <wp:lineTo x="0" y="20889"/>
                <wp:lineTo x="9979" y="21343"/>
                <wp:lineTo x="21538" y="21343"/>
                <wp:lineTo x="2153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1812529"/>
                    </a:xfrm>
                    <a:prstGeom prst="rect">
                      <a:avLst/>
                    </a:prstGeom>
                    <a:noFill/>
                    <a:ln>
                      <a:noFill/>
                    </a:ln>
                  </pic:spPr>
                </pic:pic>
              </a:graphicData>
            </a:graphic>
          </wp:anchor>
        </w:drawing>
      </w:r>
    </w:p>
    <w:p w14:paraId="4D35EB63" w14:textId="77777777" w:rsidR="004E7D15" w:rsidRPr="005E7EFF" w:rsidRDefault="004E7D15" w:rsidP="004E7D15">
      <w:pPr>
        <w:spacing w:line="276" w:lineRule="auto"/>
        <w:jc w:val="both"/>
        <w:rPr>
          <w:rFonts w:ascii="Arial" w:hAnsi="Arial" w:cs="Arial"/>
          <w:b/>
        </w:rPr>
      </w:pPr>
      <w:r w:rsidRPr="005E7EFF">
        <w:rPr>
          <w:rFonts w:ascii="Arial" w:hAnsi="Arial" w:cs="Arial"/>
          <w:b/>
        </w:rPr>
        <w:t xml:space="preserve">Figure. 3 </w:t>
      </w:r>
      <w:r w:rsidRPr="005E7EFF">
        <w:rPr>
          <w:rFonts w:ascii="Arial" w:hAnsi="Arial" w:cs="Arial"/>
        </w:rPr>
        <w:t xml:space="preserve">POD (Peroxidase) Activity in </w:t>
      </w:r>
      <w:r w:rsidRPr="005E7EFF">
        <w:rPr>
          <w:rFonts w:ascii="Arial" w:hAnsi="Arial" w:cs="Arial"/>
          <w:i/>
        </w:rPr>
        <w:t>Lemna minor</w:t>
      </w:r>
      <w:r w:rsidRPr="005E7EFF">
        <w:rPr>
          <w:rFonts w:ascii="Arial" w:hAnsi="Arial" w:cs="Arial"/>
        </w:rPr>
        <w:t xml:space="preserve"> under heavy metal cadmium stress (A) and herbicide paraquat dichloride (B) stress. POD Activity is measured in </w:t>
      </w:r>
      <w:r w:rsidRPr="005E7EFF">
        <w:rPr>
          <w:rFonts w:ascii="Arial" w:hAnsi="Arial" w:cs="Arial"/>
          <w:bCs/>
        </w:rPr>
        <w:t>units/gm FW (fresh weight) after 4</w:t>
      </w:r>
      <w:r w:rsidRPr="005E7EFF">
        <w:rPr>
          <w:rFonts w:ascii="Arial" w:hAnsi="Arial" w:cs="Arial"/>
          <w:bCs/>
          <w:vertAlign w:val="superscript"/>
        </w:rPr>
        <w:t>th</w:t>
      </w:r>
      <w:r w:rsidRPr="005E7EFF">
        <w:rPr>
          <w:rFonts w:ascii="Arial" w:hAnsi="Arial" w:cs="Arial"/>
          <w:bCs/>
        </w:rPr>
        <w:t xml:space="preserve"> day.</w:t>
      </w:r>
    </w:p>
    <w:p w14:paraId="28941D57" w14:textId="77777777" w:rsidR="004E7D15" w:rsidRPr="005E7EFF" w:rsidRDefault="004E7D15" w:rsidP="004E7D15">
      <w:pPr>
        <w:spacing w:line="276" w:lineRule="auto"/>
        <w:jc w:val="both"/>
        <w:rPr>
          <w:rFonts w:ascii="Arial" w:hAnsi="Arial" w:cs="Arial"/>
          <w:b/>
        </w:rPr>
      </w:pPr>
      <w:r w:rsidRPr="005E7EFF">
        <w:rPr>
          <w:rFonts w:ascii="Arial" w:hAnsi="Arial" w:cs="Arial"/>
          <w:b/>
        </w:rPr>
        <w:t xml:space="preserve">3.2.3. Catalase (CAT) activity </w:t>
      </w:r>
    </w:p>
    <w:p w14:paraId="55366D6B" w14:textId="77777777" w:rsidR="004E7D15" w:rsidRPr="005E7EFF" w:rsidRDefault="004E7D15" w:rsidP="004E7D15">
      <w:pPr>
        <w:spacing w:line="276" w:lineRule="auto"/>
        <w:jc w:val="both"/>
        <w:rPr>
          <w:rFonts w:ascii="Arial" w:hAnsi="Arial" w:cs="Arial"/>
        </w:rPr>
      </w:pPr>
      <w:r w:rsidRPr="005E7EFF">
        <w:rPr>
          <w:rFonts w:ascii="Arial" w:hAnsi="Arial" w:cs="Arial"/>
          <w:b/>
          <w:noProof/>
        </w:rPr>
        <w:lastRenderedPageBreak/>
        <w:drawing>
          <wp:anchor distT="0" distB="0" distL="114300" distR="114300" simplePos="0" relativeHeight="251655680" behindDoc="1" locked="0" layoutInCell="1" allowOverlap="1" wp14:anchorId="4E600818" wp14:editId="66EEF10F">
            <wp:simplePos x="0" y="0"/>
            <wp:positionH relativeFrom="column">
              <wp:posOffset>-196850</wp:posOffset>
            </wp:positionH>
            <wp:positionV relativeFrom="paragraph">
              <wp:posOffset>1783715</wp:posOffset>
            </wp:positionV>
            <wp:extent cx="5930900" cy="2025650"/>
            <wp:effectExtent l="0" t="0" r="0" b="0"/>
            <wp:wrapTight wrapText="bothSides">
              <wp:wrapPolygon edited="0">
                <wp:start x="0" y="0"/>
                <wp:lineTo x="0" y="21329"/>
                <wp:lineTo x="21507" y="21329"/>
                <wp:lineTo x="2150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0900" cy="2025650"/>
                    </a:xfrm>
                    <a:prstGeom prst="rect">
                      <a:avLst/>
                    </a:prstGeom>
                    <a:noFill/>
                  </pic:spPr>
                </pic:pic>
              </a:graphicData>
            </a:graphic>
          </wp:anchor>
        </w:drawing>
      </w:r>
      <w:r w:rsidRPr="005E7EFF">
        <w:rPr>
          <w:rFonts w:ascii="Arial" w:hAnsi="Arial" w:cs="Arial"/>
        </w:rPr>
        <w:t xml:space="preserve">Figure (4A) shows the results of the CAT activity in the duckweed species </w:t>
      </w:r>
      <w:r w:rsidRPr="005E7EFF">
        <w:rPr>
          <w:rFonts w:ascii="Arial" w:hAnsi="Arial" w:cs="Arial"/>
          <w:i/>
        </w:rPr>
        <w:t>Lemna minor</w:t>
      </w:r>
      <w:r w:rsidRPr="005E7EFF">
        <w:rPr>
          <w:rFonts w:ascii="Arial" w:hAnsi="Arial" w:cs="Arial"/>
        </w:rPr>
        <w:t xml:space="preserve"> after 96 hours of treatment with different amounts of cadmium. The results indicated that cadmium concentrations of 0.1, 0.5, 1, 1.5, and 2 mg/L in </w:t>
      </w:r>
      <w:r w:rsidRPr="005E7EFF">
        <w:rPr>
          <w:rFonts w:ascii="Arial" w:hAnsi="Arial" w:cs="Arial"/>
          <w:i/>
        </w:rPr>
        <w:t>Lemna minor</w:t>
      </w:r>
      <w:r w:rsidRPr="005E7EFF">
        <w:rPr>
          <w:rFonts w:ascii="Arial" w:hAnsi="Arial" w:cs="Arial"/>
        </w:rPr>
        <w:t xml:space="preserve"> exhibited increased activity; however, a concentration of 2 mg/L resulted in a decline in activity. At cadmium concentrations of 0.1, 0.5, 1, 1.5, and 2 mg/L in </w:t>
      </w:r>
      <w:r w:rsidRPr="005E7EFF">
        <w:rPr>
          <w:rFonts w:ascii="Arial" w:hAnsi="Arial" w:cs="Arial"/>
          <w:i/>
        </w:rPr>
        <w:t>Lemna minor,</w:t>
      </w:r>
      <w:r w:rsidRPr="005E7EFF">
        <w:rPr>
          <w:rFonts w:ascii="Arial" w:hAnsi="Arial" w:cs="Arial"/>
        </w:rPr>
        <w:t xml:space="preserve"> activity increased by 12%, 71%, 85%, and 86.45%, but then dropped by 25%. Figure (4B) shows that the duckweed species </w:t>
      </w:r>
      <w:r w:rsidRPr="005E7EFF">
        <w:rPr>
          <w:rFonts w:ascii="Arial" w:hAnsi="Arial" w:cs="Arial"/>
          <w:i/>
        </w:rPr>
        <w:t>Lemna minor</w:t>
      </w:r>
      <w:r w:rsidRPr="005E7EFF">
        <w:rPr>
          <w:rFonts w:ascii="Arial" w:hAnsi="Arial" w:cs="Arial"/>
        </w:rPr>
        <w:t xml:space="preserve"> had higher CAT activity after being exposed to different amounts of the herbicide Paraquat dichloride for 96 hours. The findings demonstrate that at Paraquat dichloride concentrations of 0.5 mg/L, 1 mg/L, 1.5 mg/L, 2 mg/L, and 2.5 mg/L in </w:t>
      </w:r>
      <w:r w:rsidRPr="005E7EFF">
        <w:rPr>
          <w:rFonts w:ascii="Arial" w:hAnsi="Arial" w:cs="Arial"/>
          <w:i/>
        </w:rPr>
        <w:t>Lemna minor,</w:t>
      </w:r>
      <w:r w:rsidRPr="005E7EFF">
        <w:rPr>
          <w:rFonts w:ascii="Arial" w:hAnsi="Arial" w:cs="Arial"/>
        </w:rPr>
        <w:t xml:space="preserve"> the activity escalated by 16.39%, 18%, 52.05%, 80.44% and 85%, respectively.</w:t>
      </w:r>
    </w:p>
    <w:p w14:paraId="24108168" w14:textId="77777777" w:rsidR="004E7D15" w:rsidRPr="005E7EFF" w:rsidRDefault="004E7D15" w:rsidP="004E7D15">
      <w:pPr>
        <w:spacing w:line="276" w:lineRule="auto"/>
        <w:jc w:val="both"/>
        <w:rPr>
          <w:rFonts w:ascii="Arial" w:hAnsi="Arial" w:cs="Arial"/>
          <w:b/>
        </w:rPr>
      </w:pPr>
      <w:r w:rsidRPr="005E7EFF">
        <w:rPr>
          <w:rFonts w:ascii="Arial" w:hAnsi="Arial" w:cs="Arial"/>
          <w:b/>
        </w:rPr>
        <w:t xml:space="preserve">Figure. 4 </w:t>
      </w:r>
      <w:r w:rsidRPr="005E7EFF">
        <w:rPr>
          <w:rFonts w:ascii="Arial" w:hAnsi="Arial" w:cs="Arial"/>
        </w:rPr>
        <w:t xml:space="preserve">Catalase (CAT) Activity in </w:t>
      </w:r>
      <w:r w:rsidRPr="005E7EFF">
        <w:rPr>
          <w:rFonts w:ascii="Arial" w:hAnsi="Arial" w:cs="Arial"/>
          <w:i/>
        </w:rPr>
        <w:t>Lemna minor</w:t>
      </w:r>
      <w:r w:rsidRPr="005E7EFF">
        <w:rPr>
          <w:rFonts w:ascii="Arial" w:hAnsi="Arial" w:cs="Arial"/>
        </w:rPr>
        <w:t xml:space="preserve"> under heavy metal cadmium stress (A) and herbicide paraquat dichloride stress (B). CAT Activity is measured in </w:t>
      </w:r>
      <w:r w:rsidRPr="005E7EFF">
        <w:rPr>
          <w:rFonts w:ascii="Arial" w:hAnsi="Arial" w:cs="Arial"/>
          <w:bCs/>
        </w:rPr>
        <w:t>units/gm FW (fresh weight) after 4</w:t>
      </w:r>
      <w:r w:rsidRPr="005E7EFF">
        <w:rPr>
          <w:rFonts w:ascii="Arial" w:hAnsi="Arial" w:cs="Arial"/>
          <w:bCs/>
          <w:vertAlign w:val="superscript"/>
        </w:rPr>
        <w:t>th</w:t>
      </w:r>
      <w:r w:rsidRPr="005E7EFF">
        <w:rPr>
          <w:rFonts w:ascii="Arial" w:hAnsi="Arial" w:cs="Arial"/>
          <w:bCs/>
        </w:rPr>
        <w:t xml:space="preserve"> day of treatment</w:t>
      </w:r>
    </w:p>
    <w:p w14:paraId="28413CF6" w14:textId="77777777" w:rsidR="004E7D15" w:rsidRPr="005E7EFF" w:rsidRDefault="004E7D15" w:rsidP="004E7D15">
      <w:pPr>
        <w:spacing w:line="276" w:lineRule="auto"/>
        <w:jc w:val="both"/>
        <w:rPr>
          <w:rFonts w:ascii="Arial" w:hAnsi="Arial" w:cs="Arial"/>
          <w:b/>
        </w:rPr>
      </w:pPr>
      <w:r w:rsidRPr="005E7EFF">
        <w:rPr>
          <w:rFonts w:ascii="Arial" w:hAnsi="Arial" w:cs="Arial"/>
          <w:b/>
        </w:rPr>
        <w:t xml:space="preserve">3.2.4. Ascorbate peroxidase (APX) activity </w:t>
      </w:r>
    </w:p>
    <w:p w14:paraId="69CC7C76" w14:textId="77777777" w:rsidR="004E7D15" w:rsidRPr="005E7EFF" w:rsidRDefault="006658A9" w:rsidP="004E7D15">
      <w:pPr>
        <w:spacing w:line="276" w:lineRule="auto"/>
        <w:jc w:val="both"/>
        <w:rPr>
          <w:rFonts w:ascii="Arial" w:hAnsi="Arial" w:cs="Arial"/>
        </w:rPr>
      </w:pPr>
      <w:r w:rsidRPr="005E7EFF">
        <w:rPr>
          <w:rFonts w:ascii="Arial" w:hAnsi="Arial" w:cs="Arial"/>
          <w:b/>
          <w:noProof/>
          <w:sz w:val="24"/>
          <w:szCs w:val="24"/>
        </w:rPr>
        <w:drawing>
          <wp:anchor distT="0" distB="0" distL="114300" distR="114300" simplePos="0" relativeHeight="251656704" behindDoc="1" locked="0" layoutInCell="1" allowOverlap="1" wp14:anchorId="489DCE63" wp14:editId="77A2B426">
            <wp:simplePos x="0" y="0"/>
            <wp:positionH relativeFrom="column">
              <wp:posOffset>-410210</wp:posOffset>
            </wp:positionH>
            <wp:positionV relativeFrom="paragraph">
              <wp:posOffset>1752600</wp:posOffset>
            </wp:positionV>
            <wp:extent cx="5753100" cy="1924050"/>
            <wp:effectExtent l="0" t="0" r="0" b="0"/>
            <wp:wrapTight wrapText="bothSides">
              <wp:wrapPolygon edited="0">
                <wp:start x="0" y="0"/>
                <wp:lineTo x="0" y="21386"/>
                <wp:lineTo x="21528" y="21386"/>
                <wp:lineTo x="21528"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3100" cy="1924050"/>
                    </a:xfrm>
                    <a:prstGeom prst="rect">
                      <a:avLst/>
                    </a:prstGeom>
                    <a:noFill/>
                  </pic:spPr>
                </pic:pic>
              </a:graphicData>
            </a:graphic>
          </wp:anchor>
        </w:drawing>
      </w:r>
      <w:r w:rsidR="004E7D15" w:rsidRPr="005E7EFF">
        <w:rPr>
          <w:rFonts w:ascii="Arial" w:hAnsi="Arial" w:cs="Arial"/>
        </w:rPr>
        <w:t xml:space="preserve">Figure (5A) shows the results of the APX activity in duckweed species. Changes in the amount of cadmium have a big effect on </w:t>
      </w:r>
      <w:r w:rsidR="004E7D15" w:rsidRPr="005E7EFF">
        <w:rPr>
          <w:rFonts w:ascii="Arial" w:hAnsi="Arial" w:cs="Arial"/>
          <w:i/>
        </w:rPr>
        <w:t>Lemna minor</w:t>
      </w:r>
      <w:r w:rsidR="004E7D15" w:rsidRPr="005E7EFF">
        <w:rPr>
          <w:rFonts w:ascii="Arial" w:hAnsi="Arial" w:cs="Arial"/>
        </w:rPr>
        <w:t xml:space="preserve">. The concentration of cadmium in </w:t>
      </w:r>
      <w:r w:rsidR="004E7D15" w:rsidRPr="005E7EFF">
        <w:rPr>
          <w:rFonts w:ascii="Arial" w:hAnsi="Arial" w:cs="Arial"/>
          <w:i/>
        </w:rPr>
        <w:t>Lemna minor</w:t>
      </w:r>
      <w:r w:rsidR="004E7D15" w:rsidRPr="005E7EFF">
        <w:rPr>
          <w:rFonts w:ascii="Arial" w:hAnsi="Arial" w:cs="Arial"/>
        </w:rPr>
        <w:t xml:space="preserve">, which ranges from 0 mg/L to 2 mg/L, shows that the plant becomes more active as the cadmium levels rise. After 96 hours of treatment, there was a significant increase of 6.26%, 7%, 40.29%, 49.27%, and 64.16% at concentrations of 0.1, 0.5, 1, 1.5, and 2 mg/L, respectively. A similar upward trend was observed in </w:t>
      </w:r>
      <w:r w:rsidR="004E7D15" w:rsidRPr="005E7EFF">
        <w:rPr>
          <w:rFonts w:ascii="Arial" w:hAnsi="Arial" w:cs="Arial"/>
          <w:i/>
        </w:rPr>
        <w:t>Lemna minor</w:t>
      </w:r>
      <w:r w:rsidR="004E7D15" w:rsidRPr="005E7EFF">
        <w:rPr>
          <w:rFonts w:ascii="Arial" w:hAnsi="Arial" w:cs="Arial"/>
        </w:rPr>
        <w:t xml:space="preserve"> when exposed to Paraquat dichloride concentrations between 0 mg/L and 2.5 mg/L, suggesting that activity increased with higher Paraquat dichloride concentrations shown in Figure (5B). After 96 hours of </w:t>
      </w:r>
      <w:r w:rsidR="004E7D15" w:rsidRPr="005E7EFF">
        <w:rPr>
          <w:rFonts w:ascii="Arial" w:hAnsi="Arial" w:cs="Arial"/>
        </w:rPr>
        <w:lastRenderedPageBreak/>
        <w:t>treatment, there was a significant increase of 5.09%, 40%, 46%, 68%, and 99% at concentrations of 0.5, 1, 1.5, 2, and 2.5 mg/L, respectively</w:t>
      </w:r>
      <w:r w:rsidR="004E7D15">
        <w:rPr>
          <w:rFonts w:ascii="Arial" w:hAnsi="Arial" w:cs="Arial"/>
        </w:rPr>
        <w:t>.</w:t>
      </w:r>
    </w:p>
    <w:p w14:paraId="64CFA590" w14:textId="77777777" w:rsidR="004E7D15" w:rsidRPr="005E7EFF" w:rsidRDefault="004E7D15" w:rsidP="004E7D15">
      <w:pPr>
        <w:spacing w:line="276" w:lineRule="auto"/>
        <w:jc w:val="both"/>
        <w:rPr>
          <w:rFonts w:ascii="Arial" w:hAnsi="Arial" w:cs="Arial"/>
          <w:b/>
        </w:rPr>
      </w:pPr>
      <w:r w:rsidRPr="005E7EFF">
        <w:rPr>
          <w:rFonts w:ascii="Arial" w:hAnsi="Arial" w:cs="Arial"/>
          <w:b/>
        </w:rPr>
        <w:t xml:space="preserve">Figure 5 </w:t>
      </w:r>
      <w:r w:rsidRPr="005E7EFF">
        <w:rPr>
          <w:rFonts w:ascii="Arial" w:hAnsi="Arial" w:cs="Arial"/>
          <w:b/>
          <w:bCs/>
        </w:rPr>
        <w:t>–</w:t>
      </w:r>
      <w:r w:rsidRPr="005E7EFF">
        <w:rPr>
          <w:rFonts w:ascii="Arial" w:hAnsi="Arial" w:cs="Arial"/>
          <w:bCs/>
        </w:rPr>
        <w:t xml:space="preserve"> Ascorbate peroxidase (APX) Activity in </w:t>
      </w:r>
      <w:r w:rsidRPr="005E7EFF">
        <w:rPr>
          <w:rFonts w:ascii="Arial" w:hAnsi="Arial" w:cs="Arial"/>
          <w:bCs/>
          <w:i/>
        </w:rPr>
        <w:t>Lemna minor</w:t>
      </w:r>
      <w:r w:rsidRPr="005E7EFF">
        <w:rPr>
          <w:rFonts w:ascii="Arial" w:hAnsi="Arial" w:cs="Arial"/>
          <w:bCs/>
        </w:rPr>
        <w:t xml:space="preserve"> under heavy metal cadmium stress (A) and herbicide paraquat dichloride stress (B). APX Activity is measured in nmol H</w:t>
      </w:r>
      <w:r w:rsidRPr="005E7EFF">
        <w:rPr>
          <w:rFonts w:ascii="Arial" w:hAnsi="Arial" w:cs="Arial"/>
          <w:bCs/>
          <w:vertAlign w:val="subscript"/>
        </w:rPr>
        <w:t>2</w:t>
      </w:r>
      <w:r w:rsidRPr="005E7EFF">
        <w:rPr>
          <w:rFonts w:ascii="Arial" w:hAnsi="Arial" w:cs="Arial"/>
          <w:bCs/>
        </w:rPr>
        <w:t>O</w:t>
      </w:r>
      <w:r w:rsidRPr="005E7EFF">
        <w:rPr>
          <w:rFonts w:ascii="Arial" w:hAnsi="Arial" w:cs="Arial"/>
          <w:bCs/>
          <w:vertAlign w:val="subscript"/>
        </w:rPr>
        <w:t>2</w:t>
      </w:r>
      <w:r w:rsidRPr="005E7EFF">
        <w:rPr>
          <w:rFonts w:ascii="Arial" w:hAnsi="Arial" w:cs="Arial"/>
          <w:bCs/>
        </w:rPr>
        <w:t xml:space="preserve"> decomposed/gm (fresh weight) FW/min *10</w:t>
      </w:r>
      <w:r w:rsidRPr="005E7EFF">
        <w:rPr>
          <w:rFonts w:ascii="Arial" w:hAnsi="Arial" w:cs="Arial"/>
          <w:bCs/>
          <w:vertAlign w:val="superscript"/>
        </w:rPr>
        <w:t>3</w:t>
      </w:r>
      <w:r w:rsidRPr="005E7EFF">
        <w:rPr>
          <w:rFonts w:ascii="Arial" w:hAnsi="Arial" w:cs="Arial"/>
          <w:bCs/>
        </w:rPr>
        <w:t xml:space="preserve"> after 4</w:t>
      </w:r>
      <w:r w:rsidRPr="005E7EFF">
        <w:rPr>
          <w:rFonts w:ascii="Arial" w:hAnsi="Arial" w:cs="Arial"/>
          <w:bCs/>
          <w:vertAlign w:val="superscript"/>
        </w:rPr>
        <w:t>th</w:t>
      </w:r>
      <w:r w:rsidRPr="005E7EFF">
        <w:rPr>
          <w:rFonts w:ascii="Arial" w:hAnsi="Arial" w:cs="Arial"/>
          <w:bCs/>
        </w:rPr>
        <w:t xml:space="preserve"> day of treatment</w:t>
      </w:r>
    </w:p>
    <w:p w14:paraId="0D0F7855" w14:textId="77777777" w:rsidR="006658A9" w:rsidRDefault="006658A9" w:rsidP="004E7D15">
      <w:pPr>
        <w:spacing w:line="276" w:lineRule="auto"/>
        <w:jc w:val="both"/>
        <w:rPr>
          <w:rFonts w:ascii="Arial" w:hAnsi="Arial" w:cs="Arial"/>
          <w:b/>
        </w:rPr>
      </w:pPr>
    </w:p>
    <w:p w14:paraId="25880163" w14:textId="77777777" w:rsidR="004E7D15" w:rsidRPr="00986523" w:rsidRDefault="004E7D15" w:rsidP="004E7D15">
      <w:pPr>
        <w:spacing w:line="276" w:lineRule="auto"/>
        <w:jc w:val="both"/>
        <w:rPr>
          <w:rFonts w:ascii="Arial" w:hAnsi="Arial" w:cs="Arial"/>
          <w:b/>
        </w:rPr>
      </w:pPr>
      <w:r w:rsidRPr="00986523">
        <w:rPr>
          <w:rFonts w:ascii="Arial" w:hAnsi="Arial" w:cs="Arial"/>
          <w:b/>
        </w:rPr>
        <w:t>3.2.5. Glutathione reductase (GR) Activity</w:t>
      </w:r>
    </w:p>
    <w:p w14:paraId="6DAA08C1" w14:textId="77777777" w:rsidR="004E7D15" w:rsidRPr="005E7EFF" w:rsidRDefault="004E7D15" w:rsidP="004E7D15">
      <w:pPr>
        <w:spacing w:line="276" w:lineRule="auto"/>
        <w:jc w:val="both"/>
        <w:rPr>
          <w:rFonts w:ascii="Arial" w:hAnsi="Arial" w:cs="Arial"/>
        </w:rPr>
      </w:pPr>
      <w:r w:rsidRPr="005E7EFF">
        <w:rPr>
          <w:rFonts w:ascii="Arial" w:hAnsi="Arial" w:cs="Arial"/>
          <w:noProof/>
        </w:rPr>
        <w:drawing>
          <wp:anchor distT="0" distB="0" distL="114300" distR="114300" simplePos="0" relativeHeight="251654656" behindDoc="1" locked="0" layoutInCell="1" allowOverlap="1" wp14:anchorId="48EE8D76" wp14:editId="37E5FEA1">
            <wp:simplePos x="0" y="0"/>
            <wp:positionH relativeFrom="column">
              <wp:posOffset>-111760</wp:posOffset>
            </wp:positionH>
            <wp:positionV relativeFrom="paragraph">
              <wp:posOffset>1937385</wp:posOffset>
            </wp:positionV>
            <wp:extent cx="5581650" cy="1924050"/>
            <wp:effectExtent l="0" t="0" r="0" b="0"/>
            <wp:wrapTight wrapText="bothSides">
              <wp:wrapPolygon edited="0">
                <wp:start x="0" y="0"/>
                <wp:lineTo x="0" y="21386"/>
                <wp:lineTo x="21526" y="21386"/>
                <wp:lineTo x="2152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81650" cy="1924050"/>
                    </a:xfrm>
                    <a:prstGeom prst="rect">
                      <a:avLst/>
                    </a:prstGeom>
                    <a:noFill/>
                  </pic:spPr>
                </pic:pic>
              </a:graphicData>
            </a:graphic>
          </wp:anchor>
        </w:drawing>
      </w:r>
      <w:r w:rsidRPr="005E7EFF">
        <w:rPr>
          <w:rFonts w:ascii="Arial" w:hAnsi="Arial" w:cs="Arial"/>
        </w:rPr>
        <w:t xml:space="preserve">Figure (6A) shows the results of the GR activity in the duckweed species </w:t>
      </w:r>
      <w:r w:rsidRPr="005E7EFF">
        <w:rPr>
          <w:rFonts w:ascii="Arial" w:hAnsi="Arial" w:cs="Arial"/>
          <w:i/>
        </w:rPr>
        <w:t>Lemna minor.</w:t>
      </w:r>
      <w:r w:rsidRPr="005E7EFF">
        <w:rPr>
          <w:rFonts w:ascii="Arial" w:hAnsi="Arial" w:cs="Arial"/>
        </w:rPr>
        <w:t xml:space="preserve"> Different amounts of cadmium have a big effect on </w:t>
      </w:r>
      <w:r w:rsidRPr="005E7EFF">
        <w:rPr>
          <w:rFonts w:ascii="Arial" w:hAnsi="Arial" w:cs="Arial"/>
          <w:i/>
        </w:rPr>
        <w:t>Lemna minor</w:t>
      </w:r>
      <w:r w:rsidRPr="005E7EFF">
        <w:rPr>
          <w:rFonts w:ascii="Arial" w:hAnsi="Arial" w:cs="Arial"/>
        </w:rPr>
        <w:t xml:space="preserve">. The concentration of cadmium in </w:t>
      </w:r>
      <w:r w:rsidRPr="005E7EFF">
        <w:rPr>
          <w:rFonts w:ascii="Arial" w:hAnsi="Arial" w:cs="Arial"/>
          <w:i/>
        </w:rPr>
        <w:t xml:space="preserve">Lemna minor, </w:t>
      </w:r>
      <w:r w:rsidRPr="005E7EFF">
        <w:rPr>
          <w:rFonts w:ascii="Arial" w:hAnsi="Arial" w:cs="Arial"/>
        </w:rPr>
        <w:t xml:space="preserve">which ranges from 0 mg/L to 2 mg/L, shows that the plant becomes more active as the levels of cadmium rise. After 96 hours of treatment, there was a significant increase of 23%, 25.02%, 35.38%, 38%, and 64% at concentrations of 0.1, 0.5, 1, 1.5, and 2 mg/L, respectively. </w:t>
      </w:r>
      <w:r w:rsidRPr="005E7EFF">
        <w:rPr>
          <w:rFonts w:ascii="Arial" w:hAnsi="Arial" w:cs="Arial"/>
          <w:i/>
        </w:rPr>
        <w:t>Lemna minor</w:t>
      </w:r>
      <w:r w:rsidRPr="005E7EFF">
        <w:rPr>
          <w:rFonts w:ascii="Arial" w:hAnsi="Arial" w:cs="Arial"/>
        </w:rPr>
        <w:t xml:space="preserve"> exhibited a comparable upward trend when subjected to herbicide exposure shown in Figure(6B). The concentration of paraquat dichloride (0 mg/L to 2.5 mg/L) in </w:t>
      </w:r>
      <w:r w:rsidRPr="005E7EFF">
        <w:rPr>
          <w:rFonts w:ascii="Arial" w:hAnsi="Arial" w:cs="Arial"/>
          <w:i/>
        </w:rPr>
        <w:t>Lemna minor</w:t>
      </w:r>
      <w:r w:rsidRPr="005E7EFF">
        <w:rPr>
          <w:rFonts w:ascii="Arial" w:hAnsi="Arial" w:cs="Arial"/>
        </w:rPr>
        <w:t xml:space="preserve"> indicates heightened activity with increasing paraquat dichloride levels. After 96 hours of treatment, there was a significant increase of 6.11%,10.29%, 25%, 49% and 51.12% at concentrations of 0.5mg/L, 1mg/L, 1.5mg/L, 2mg/Land 2.5 mg/L, respectively.</w:t>
      </w:r>
    </w:p>
    <w:p w14:paraId="2F1ED37E" w14:textId="77777777" w:rsidR="004E7D15" w:rsidRPr="005E7EFF" w:rsidRDefault="004E7D15" w:rsidP="004E7D15">
      <w:pPr>
        <w:spacing w:line="276" w:lineRule="auto"/>
        <w:jc w:val="both"/>
        <w:rPr>
          <w:rFonts w:ascii="Arial" w:hAnsi="Arial" w:cs="Arial"/>
          <w:bCs/>
        </w:rPr>
      </w:pPr>
      <w:r w:rsidRPr="005E7EFF">
        <w:rPr>
          <w:rFonts w:ascii="Arial" w:hAnsi="Arial" w:cs="Arial"/>
          <w:b/>
        </w:rPr>
        <w:t xml:space="preserve">Figure 6 - </w:t>
      </w:r>
      <w:r w:rsidRPr="005E7EFF">
        <w:rPr>
          <w:rFonts w:ascii="Arial" w:hAnsi="Arial" w:cs="Arial"/>
        </w:rPr>
        <w:t xml:space="preserve">Glutathione Reductase (GR) Activity in </w:t>
      </w:r>
      <w:r w:rsidRPr="005E7EFF">
        <w:rPr>
          <w:rFonts w:ascii="Arial" w:hAnsi="Arial" w:cs="Arial"/>
          <w:i/>
        </w:rPr>
        <w:t xml:space="preserve">Lemna minor </w:t>
      </w:r>
      <w:r w:rsidRPr="005E7EFF">
        <w:rPr>
          <w:rFonts w:ascii="Arial" w:hAnsi="Arial" w:cs="Arial"/>
        </w:rPr>
        <w:t xml:space="preserve">under cadmium stress (A) and herbicide paraquat dichloride stress (B). GR Activity is measured in </w:t>
      </w:r>
      <w:r w:rsidRPr="005E7EFF">
        <w:rPr>
          <w:rFonts w:ascii="Arial" w:hAnsi="Arial" w:cs="Arial"/>
          <w:bCs/>
        </w:rPr>
        <w:t>units/mg FW (fresh weight) after 4</w:t>
      </w:r>
      <w:r w:rsidRPr="005E7EFF">
        <w:rPr>
          <w:rFonts w:ascii="Arial" w:hAnsi="Arial" w:cs="Arial"/>
          <w:bCs/>
          <w:vertAlign w:val="superscript"/>
        </w:rPr>
        <w:t>th</w:t>
      </w:r>
      <w:r w:rsidRPr="005E7EFF">
        <w:rPr>
          <w:rFonts w:ascii="Arial" w:hAnsi="Arial" w:cs="Arial"/>
          <w:bCs/>
        </w:rPr>
        <w:t xml:space="preserve"> day of treatment.</w:t>
      </w:r>
    </w:p>
    <w:p w14:paraId="4CA45A85" w14:textId="77777777" w:rsidR="00C84A9C" w:rsidRDefault="00C84A9C" w:rsidP="00C84A9C">
      <w:pPr>
        <w:spacing w:line="276" w:lineRule="auto"/>
        <w:rPr>
          <w:rFonts w:ascii="Arial" w:hAnsi="Arial" w:cs="Arial"/>
          <w:b/>
        </w:rPr>
      </w:pPr>
    </w:p>
    <w:p w14:paraId="583180AC" w14:textId="77777777" w:rsidR="004E7D15" w:rsidRPr="005E7EFF" w:rsidRDefault="004E7D15" w:rsidP="00C84A9C">
      <w:pPr>
        <w:spacing w:line="276" w:lineRule="auto"/>
        <w:rPr>
          <w:rFonts w:ascii="Arial" w:hAnsi="Arial" w:cs="Arial"/>
          <w:b/>
        </w:rPr>
      </w:pPr>
      <w:r w:rsidRPr="005E7EFF">
        <w:rPr>
          <w:rFonts w:ascii="Arial" w:hAnsi="Arial" w:cs="Arial"/>
          <w:b/>
        </w:rPr>
        <w:t xml:space="preserve">Table 1. </w:t>
      </w:r>
      <w:r w:rsidRPr="005E7EFF">
        <w:rPr>
          <w:rFonts w:ascii="Arial" w:hAnsi="Arial" w:cs="Arial"/>
        </w:rPr>
        <w:t xml:space="preserve">Cadmium stress on </w:t>
      </w:r>
      <w:r w:rsidRPr="005E7EFF">
        <w:rPr>
          <w:rFonts w:ascii="Arial" w:hAnsi="Arial" w:cs="Arial"/>
          <w:i/>
        </w:rPr>
        <w:t xml:space="preserve">Lemna minor </w:t>
      </w:r>
      <w:r w:rsidRPr="005E7EFF">
        <w:rPr>
          <w:rFonts w:ascii="Arial" w:hAnsi="Arial" w:cs="Arial"/>
        </w:rPr>
        <w:t>antioxidant activity and oxidative stress</w:t>
      </w:r>
    </w:p>
    <w:p w14:paraId="7E2236F3" w14:textId="77777777" w:rsidR="004E7D15" w:rsidRPr="005E7EFF" w:rsidRDefault="004E7D15" w:rsidP="004E7D15">
      <w:pPr>
        <w:spacing w:line="276" w:lineRule="auto"/>
        <w:jc w:val="center"/>
        <w:rPr>
          <w:rFonts w:ascii="Arial" w:hAnsi="Arial" w:cs="Arial"/>
          <w:b/>
        </w:rPr>
      </w:pPr>
    </w:p>
    <w:tbl>
      <w:tblPr>
        <w:tblStyle w:val="TableGrid"/>
        <w:tblW w:w="9740" w:type="dxa"/>
        <w:tblInd w:w="-522" w:type="dxa"/>
        <w:tblLook w:val="04A0" w:firstRow="1" w:lastRow="0" w:firstColumn="1" w:lastColumn="0" w:noHBand="0" w:noVBand="1"/>
      </w:tblPr>
      <w:tblGrid>
        <w:gridCol w:w="1572"/>
        <w:gridCol w:w="1306"/>
        <w:gridCol w:w="1506"/>
        <w:gridCol w:w="1039"/>
        <w:gridCol w:w="1273"/>
        <w:gridCol w:w="1328"/>
        <w:gridCol w:w="1839"/>
      </w:tblGrid>
      <w:tr w:rsidR="00A62FEC" w:rsidRPr="00C84A9C" w14:paraId="37339977" w14:textId="77777777" w:rsidTr="00A62FEC">
        <w:tc>
          <w:tcPr>
            <w:tcW w:w="2230" w:type="dxa"/>
            <w:tcBorders>
              <w:left w:val="nil"/>
              <w:bottom w:val="single" w:sz="4" w:space="0" w:color="auto"/>
              <w:right w:val="nil"/>
            </w:tcBorders>
          </w:tcPr>
          <w:p w14:paraId="01A2FAC6" w14:textId="77777777" w:rsidR="004E7D15" w:rsidRPr="00C84A9C" w:rsidRDefault="004E7D15" w:rsidP="009853EC">
            <w:pPr>
              <w:spacing w:line="276" w:lineRule="auto"/>
              <w:jc w:val="center"/>
              <w:rPr>
                <w:rFonts w:ascii="Arial" w:hAnsi="Arial" w:cs="Arial"/>
                <w:b/>
                <w:sz w:val="20"/>
                <w:szCs w:val="20"/>
              </w:rPr>
            </w:pPr>
            <w:r w:rsidRPr="00C84A9C">
              <w:rPr>
                <w:rFonts w:ascii="Arial" w:hAnsi="Arial" w:cs="Arial"/>
                <w:b/>
                <w:sz w:val="20"/>
                <w:szCs w:val="20"/>
              </w:rPr>
              <w:t>Concentration</w:t>
            </w:r>
          </w:p>
          <w:p w14:paraId="647B2005"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b/>
                <w:sz w:val="20"/>
                <w:szCs w:val="20"/>
              </w:rPr>
              <w:t>(mg/L)</w:t>
            </w:r>
          </w:p>
        </w:tc>
        <w:tc>
          <w:tcPr>
            <w:tcW w:w="1251" w:type="dxa"/>
            <w:tcBorders>
              <w:left w:val="nil"/>
              <w:right w:val="nil"/>
            </w:tcBorders>
          </w:tcPr>
          <w:p w14:paraId="62885275" w14:textId="77777777" w:rsidR="004E7D15" w:rsidRPr="00C84A9C" w:rsidRDefault="00A62FEC" w:rsidP="009853EC">
            <w:pPr>
              <w:spacing w:line="276" w:lineRule="auto"/>
              <w:jc w:val="center"/>
              <w:rPr>
                <w:rFonts w:ascii="Arial" w:hAnsi="Arial" w:cs="Arial"/>
                <w:b/>
                <w:sz w:val="20"/>
                <w:szCs w:val="20"/>
              </w:rPr>
            </w:pPr>
            <w:r w:rsidRPr="00C84A9C">
              <w:rPr>
                <w:rFonts w:ascii="Arial" w:hAnsi="Arial" w:cs="Arial"/>
                <w:b/>
                <w:bCs/>
                <w:sz w:val="20"/>
                <w:szCs w:val="20"/>
                <w:lang w:bidi="hi-IN"/>
              </w:rPr>
              <w:t>Superoxide dismutase (</w:t>
            </w:r>
            <w:r w:rsidR="004E7D15" w:rsidRPr="00C84A9C">
              <w:rPr>
                <w:rFonts w:ascii="Arial" w:hAnsi="Arial" w:cs="Arial"/>
                <w:b/>
                <w:bCs/>
                <w:sz w:val="20"/>
                <w:szCs w:val="20"/>
                <w:lang w:bidi="hi-IN"/>
              </w:rPr>
              <w:t>SOD</w:t>
            </w:r>
            <w:r w:rsidRPr="00C84A9C">
              <w:rPr>
                <w:rFonts w:ascii="Arial" w:hAnsi="Arial" w:cs="Arial"/>
                <w:b/>
                <w:bCs/>
                <w:sz w:val="20"/>
                <w:szCs w:val="20"/>
                <w:lang w:bidi="hi-IN"/>
              </w:rPr>
              <w:t>) Activity</w:t>
            </w:r>
            <w:r w:rsidR="004E7D15" w:rsidRPr="00C84A9C">
              <w:rPr>
                <w:rFonts w:ascii="Arial" w:hAnsi="Arial" w:cs="Arial"/>
                <w:b/>
                <w:bCs/>
                <w:sz w:val="20"/>
                <w:szCs w:val="20"/>
                <w:lang w:bidi="hi-IN"/>
              </w:rPr>
              <w:t xml:space="preserve"> (units/mg FW)</w:t>
            </w:r>
          </w:p>
        </w:tc>
        <w:tc>
          <w:tcPr>
            <w:tcW w:w="1154" w:type="dxa"/>
            <w:tcBorders>
              <w:left w:val="nil"/>
              <w:right w:val="nil"/>
            </w:tcBorders>
            <w:vAlign w:val="center"/>
          </w:tcPr>
          <w:p w14:paraId="22D0345D" w14:textId="77777777" w:rsidR="004E7D15" w:rsidRPr="00C84A9C" w:rsidRDefault="00A62FEC" w:rsidP="00A62FEC">
            <w:pPr>
              <w:spacing w:line="276" w:lineRule="auto"/>
              <w:rPr>
                <w:rFonts w:ascii="Arial" w:hAnsi="Arial" w:cs="Arial"/>
                <w:b/>
                <w:i/>
                <w:sz w:val="20"/>
                <w:szCs w:val="20"/>
              </w:rPr>
            </w:pPr>
            <w:r w:rsidRPr="00C84A9C">
              <w:rPr>
                <w:rFonts w:ascii="Arial" w:hAnsi="Arial" w:cs="Arial"/>
                <w:b/>
                <w:bCs/>
                <w:sz w:val="20"/>
                <w:szCs w:val="20"/>
                <w:lang w:bidi="hi-IN"/>
              </w:rPr>
              <w:t>Peroxidase (</w:t>
            </w:r>
            <w:r w:rsidR="004E7D15" w:rsidRPr="00C84A9C">
              <w:rPr>
                <w:rFonts w:ascii="Arial" w:hAnsi="Arial" w:cs="Arial"/>
                <w:b/>
                <w:bCs/>
                <w:sz w:val="20"/>
                <w:szCs w:val="20"/>
                <w:lang w:bidi="hi-IN"/>
              </w:rPr>
              <w:t>POD</w:t>
            </w:r>
            <w:r w:rsidRPr="00C84A9C">
              <w:rPr>
                <w:rFonts w:ascii="Arial" w:hAnsi="Arial" w:cs="Arial"/>
                <w:b/>
                <w:bCs/>
                <w:sz w:val="20"/>
                <w:szCs w:val="20"/>
                <w:lang w:bidi="hi-IN"/>
              </w:rPr>
              <w:t>)Activity</w:t>
            </w:r>
            <w:r w:rsidR="004E7D15" w:rsidRPr="00C84A9C">
              <w:rPr>
                <w:rFonts w:ascii="Arial" w:hAnsi="Arial" w:cs="Arial"/>
                <w:b/>
                <w:bCs/>
                <w:sz w:val="20"/>
                <w:szCs w:val="20"/>
                <w:lang w:bidi="hi-IN"/>
              </w:rPr>
              <w:t xml:space="preserve"> (units/g FW)</w:t>
            </w:r>
          </w:p>
        </w:tc>
        <w:tc>
          <w:tcPr>
            <w:tcW w:w="1150" w:type="dxa"/>
            <w:tcBorders>
              <w:left w:val="nil"/>
              <w:right w:val="nil"/>
            </w:tcBorders>
            <w:vAlign w:val="center"/>
          </w:tcPr>
          <w:p w14:paraId="28758FCE" w14:textId="77777777" w:rsidR="004E7D15" w:rsidRPr="00C84A9C" w:rsidRDefault="00A62FEC" w:rsidP="009853EC">
            <w:pPr>
              <w:spacing w:line="276" w:lineRule="auto"/>
              <w:jc w:val="center"/>
              <w:rPr>
                <w:rFonts w:ascii="Arial" w:hAnsi="Arial" w:cs="Arial"/>
                <w:b/>
                <w:i/>
                <w:sz w:val="20"/>
                <w:szCs w:val="20"/>
              </w:rPr>
            </w:pPr>
            <w:r w:rsidRPr="00C84A9C">
              <w:rPr>
                <w:rFonts w:ascii="Arial" w:hAnsi="Arial" w:cs="Arial"/>
                <w:b/>
                <w:bCs/>
                <w:sz w:val="20"/>
                <w:szCs w:val="20"/>
                <w:lang w:bidi="hi-IN"/>
              </w:rPr>
              <w:t>Catalase (</w:t>
            </w:r>
            <w:r w:rsidR="004E7D15" w:rsidRPr="00C84A9C">
              <w:rPr>
                <w:rFonts w:ascii="Arial" w:hAnsi="Arial" w:cs="Arial"/>
                <w:b/>
                <w:bCs/>
                <w:sz w:val="20"/>
                <w:szCs w:val="20"/>
                <w:lang w:bidi="hi-IN"/>
              </w:rPr>
              <w:t>CAT</w:t>
            </w:r>
            <w:r w:rsidRPr="00C84A9C">
              <w:rPr>
                <w:rFonts w:ascii="Arial" w:hAnsi="Arial" w:cs="Arial"/>
                <w:b/>
                <w:bCs/>
                <w:sz w:val="20"/>
                <w:szCs w:val="20"/>
                <w:lang w:bidi="hi-IN"/>
              </w:rPr>
              <w:t>) Activity</w:t>
            </w:r>
            <w:r w:rsidR="004E7D15" w:rsidRPr="00C84A9C">
              <w:rPr>
                <w:rFonts w:ascii="Arial" w:hAnsi="Arial" w:cs="Arial"/>
                <w:b/>
                <w:bCs/>
                <w:sz w:val="20"/>
                <w:szCs w:val="20"/>
                <w:lang w:bidi="hi-IN"/>
              </w:rPr>
              <w:t xml:space="preserve"> (units/g FW)</w:t>
            </w:r>
          </w:p>
        </w:tc>
        <w:tc>
          <w:tcPr>
            <w:tcW w:w="1192" w:type="dxa"/>
            <w:tcBorders>
              <w:left w:val="nil"/>
              <w:right w:val="nil"/>
            </w:tcBorders>
            <w:vAlign w:val="center"/>
          </w:tcPr>
          <w:p w14:paraId="411A9845" w14:textId="77777777" w:rsidR="004E7D15" w:rsidRPr="00C84A9C" w:rsidRDefault="00A62FEC" w:rsidP="009853EC">
            <w:pPr>
              <w:spacing w:line="276" w:lineRule="auto"/>
              <w:jc w:val="center"/>
              <w:rPr>
                <w:rFonts w:ascii="Arial" w:hAnsi="Arial" w:cs="Arial"/>
                <w:b/>
                <w:i/>
                <w:sz w:val="20"/>
                <w:szCs w:val="20"/>
              </w:rPr>
            </w:pPr>
            <w:r w:rsidRPr="00C84A9C">
              <w:rPr>
                <w:rFonts w:ascii="Arial" w:hAnsi="Arial" w:cs="Arial"/>
                <w:b/>
                <w:bCs/>
                <w:sz w:val="20"/>
                <w:szCs w:val="20"/>
                <w:lang w:bidi="hi-IN"/>
              </w:rPr>
              <w:t>Ascorbate peroxidase (</w:t>
            </w:r>
            <w:r w:rsidR="004E7D15" w:rsidRPr="00C84A9C">
              <w:rPr>
                <w:rFonts w:ascii="Arial" w:hAnsi="Arial" w:cs="Arial"/>
                <w:b/>
                <w:bCs/>
                <w:sz w:val="20"/>
                <w:szCs w:val="20"/>
                <w:lang w:bidi="hi-IN"/>
              </w:rPr>
              <w:t>APX</w:t>
            </w:r>
            <w:r w:rsidRPr="00C84A9C">
              <w:rPr>
                <w:rFonts w:ascii="Arial" w:hAnsi="Arial" w:cs="Arial"/>
                <w:b/>
                <w:bCs/>
                <w:sz w:val="20"/>
                <w:szCs w:val="20"/>
                <w:lang w:bidi="hi-IN"/>
              </w:rPr>
              <w:t>) Activity</w:t>
            </w:r>
            <w:r w:rsidR="004E7D15" w:rsidRPr="00C84A9C">
              <w:rPr>
                <w:rFonts w:ascii="Arial" w:hAnsi="Arial" w:cs="Arial"/>
                <w:b/>
                <w:bCs/>
                <w:sz w:val="20"/>
                <w:szCs w:val="20"/>
                <w:lang w:bidi="hi-IN"/>
              </w:rPr>
              <w:t xml:space="preserve"> (nmol H</w:t>
            </w:r>
            <w:r w:rsidR="004E7D15" w:rsidRPr="00C84A9C">
              <w:rPr>
                <w:rFonts w:ascii="Cambria Math" w:hAnsi="Cambria Math" w:cs="Cambria Math"/>
                <w:b/>
                <w:bCs/>
                <w:sz w:val="20"/>
                <w:szCs w:val="20"/>
                <w:lang w:bidi="hi-IN"/>
              </w:rPr>
              <w:t>₂</w:t>
            </w:r>
            <w:r w:rsidR="004E7D15" w:rsidRPr="00C84A9C">
              <w:rPr>
                <w:rFonts w:ascii="Arial" w:hAnsi="Arial" w:cs="Arial"/>
                <w:b/>
                <w:bCs/>
                <w:sz w:val="20"/>
                <w:szCs w:val="20"/>
                <w:lang w:bidi="hi-IN"/>
              </w:rPr>
              <w:t>O</w:t>
            </w:r>
            <w:r w:rsidR="004E7D15" w:rsidRPr="00C84A9C">
              <w:rPr>
                <w:rFonts w:ascii="Cambria Math" w:hAnsi="Cambria Math" w:cs="Cambria Math"/>
                <w:b/>
                <w:bCs/>
                <w:sz w:val="20"/>
                <w:szCs w:val="20"/>
                <w:lang w:bidi="hi-IN"/>
              </w:rPr>
              <w:t>₂</w:t>
            </w:r>
            <w:r w:rsidR="004E7D15" w:rsidRPr="00C84A9C">
              <w:rPr>
                <w:rFonts w:ascii="Arial" w:hAnsi="Arial" w:cs="Arial"/>
                <w:b/>
                <w:bCs/>
                <w:sz w:val="20"/>
                <w:szCs w:val="20"/>
                <w:lang w:bidi="hi-IN"/>
              </w:rPr>
              <w:t>/g FW/min ×10³)</w:t>
            </w:r>
          </w:p>
        </w:tc>
        <w:tc>
          <w:tcPr>
            <w:tcW w:w="1733" w:type="dxa"/>
            <w:tcBorders>
              <w:left w:val="nil"/>
              <w:right w:val="nil"/>
            </w:tcBorders>
            <w:vAlign w:val="center"/>
          </w:tcPr>
          <w:p w14:paraId="34505F04"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b/>
                <w:bCs/>
                <w:sz w:val="20"/>
                <w:szCs w:val="20"/>
                <w:lang w:bidi="hi-IN"/>
              </w:rPr>
              <w:t xml:space="preserve">Glutathione Reductase </w:t>
            </w:r>
            <w:r w:rsidR="00A62FEC" w:rsidRPr="00C84A9C">
              <w:rPr>
                <w:rFonts w:ascii="Arial" w:hAnsi="Arial" w:cs="Arial"/>
                <w:b/>
                <w:bCs/>
                <w:sz w:val="20"/>
                <w:szCs w:val="20"/>
                <w:lang w:bidi="hi-IN"/>
              </w:rPr>
              <w:t xml:space="preserve">(GR) </w:t>
            </w:r>
            <w:r w:rsidRPr="00C84A9C">
              <w:rPr>
                <w:rFonts w:ascii="Arial" w:hAnsi="Arial" w:cs="Arial"/>
                <w:b/>
                <w:bCs/>
                <w:sz w:val="20"/>
                <w:szCs w:val="20"/>
                <w:lang w:bidi="hi-IN"/>
              </w:rPr>
              <w:t>Activity (Units/mg FW)</w:t>
            </w:r>
          </w:p>
        </w:tc>
        <w:tc>
          <w:tcPr>
            <w:tcW w:w="1030" w:type="dxa"/>
            <w:tcBorders>
              <w:left w:val="nil"/>
              <w:right w:val="nil"/>
            </w:tcBorders>
          </w:tcPr>
          <w:p w14:paraId="0A59EF07" w14:textId="77777777" w:rsidR="004E7D15" w:rsidRPr="00C84A9C" w:rsidRDefault="00A62FEC" w:rsidP="009853EC">
            <w:pPr>
              <w:spacing w:line="276" w:lineRule="auto"/>
              <w:jc w:val="center"/>
              <w:rPr>
                <w:rFonts w:ascii="Arial" w:hAnsi="Arial" w:cs="Arial"/>
                <w:b/>
                <w:bCs/>
                <w:sz w:val="20"/>
                <w:szCs w:val="20"/>
                <w:lang w:bidi="hi-IN"/>
              </w:rPr>
            </w:pPr>
            <w:r w:rsidRPr="00C84A9C">
              <w:rPr>
                <w:rFonts w:ascii="Arial" w:hAnsi="Arial" w:cs="Arial"/>
                <w:b/>
                <w:bCs/>
                <w:sz w:val="20"/>
                <w:szCs w:val="20"/>
                <w:lang w:bidi="hi-IN"/>
              </w:rPr>
              <w:t xml:space="preserve">Malondialdehyde </w:t>
            </w:r>
            <w:r w:rsidR="004E7D15" w:rsidRPr="00C84A9C">
              <w:rPr>
                <w:rFonts w:ascii="Arial" w:hAnsi="Arial" w:cs="Arial"/>
                <w:b/>
                <w:bCs/>
                <w:sz w:val="20"/>
                <w:szCs w:val="20"/>
                <w:lang w:bidi="hi-IN"/>
              </w:rPr>
              <w:t>MDA (nmol/g FW)</w:t>
            </w:r>
          </w:p>
        </w:tc>
      </w:tr>
      <w:tr w:rsidR="00A62FEC" w:rsidRPr="00C84A9C" w14:paraId="10DE6E39" w14:textId="77777777" w:rsidTr="00A62FEC">
        <w:tc>
          <w:tcPr>
            <w:tcW w:w="2230" w:type="dxa"/>
            <w:tcBorders>
              <w:top w:val="single" w:sz="4" w:space="0" w:color="auto"/>
              <w:left w:val="nil"/>
              <w:right w:val="nil"/>
            </w:tcBorders>
          </w:tcPr>
          <w:p w14:paraId="51932D5E"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b/>
                <w:i/>
                <w:sz w:val="20"/>
                <w:szCs w:val="20"/>
              </w:rPr>
              <w:t>0</w:t>
            </w:r>
          </w:p>
        </w:tc>
        <w:tc>
          <w:tcPr>
            <w:tcW w:w="1251" w:type="dxa"/>
            <w:tcBorders>
              <w:left w:val="nil"/>
              <w:right w:val="nil"/>
            </w:tcBorders>
            <w:vAlign w:val="center"/>
          </w:tcPr>
          <w:p w14:paraId="16403F66"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0.040</w:t>
            </w:r>
          </w:p>
          <w:p w14:paraId="39CCF423"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±0.01</w:t>
            </w:r>
          </w:p>
        </w:tc>
        <w:tc>
          <w:tcPr>
            <w:tcW w:w="1154" w:type="dxa"/>
            <w:tcBorders>
              <w:left w:val="nil"/>
              <w:right w:val="nil"/>
            </w:tcBorders>
            <w:vAlign w:val="center"/>
          </w:tcPr>
          <w:p w14:paraId="06BEB284"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2037.47</w:t>
            </w:r>
          </w:p>
          <w:p w14:paraId="5CD33696"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±5.30</w:t>
            </w:r>
          </w:p>
        </w:tc>
        <w:tc>
          <w:tcPr>
            <w:tcW w:w="1150" w:type="dxa"/>
            <w:tcBorders>
              <w:left w:val="nil"/>
              <w:right w:val="nil"/>
            </w:tcBorders>
            <w:vAlign w:val="center"/>
          </w:tcPr>
          <w:p w14:paraId="2DE20105"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1124.0</w:t>
            </w:r>
          </w:p>
          <w:p w14:paraId="524DDF34"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±18.84</w:t>
            </w:r>
          </w:p>
        </w:tc>
        <w:tc>
          <w:tcPr>
            <w:tcW w:w="1192" w:type="dxa"/>
            <w:tcBorders>
              <w:left w:val="nil"/>
              <w:right w:val="nil"/>
            </w:tcBorders>
            <w:vAlign w:val="center"/>
          </w:tcPr>
          <w:p w14:paraId="1078A52F"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17.492</w:t>
            </w:r>
          </w:p>
          <w:p w14:paraId="7F65C700"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±0.10</w:t>
            </w:r>
          </w:p>
        </w:tc>
        <w:tc>
          <w:tcPr>
            <w:tcW w:w="1733" w:type="dxa"/>
            <w:tcBorders>
              <w:left w:val="nil"/>
              <w:right w:val="nil"/>
            </w:tcBorders>
            <w:vAlign w:val="center"/>
          </w:tcPr>
          <w:p w14:paraId="7E903D69"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0.144</w:t>
            </w:r>
          </w:p>
          <w:p w14:paraId="7E90F36E"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sz w:val="20"/>
                <w:szCs w:val="20"/>
                <w:lang w:bidi="hi-IN"/>
              </w:rPr>
              <w:t>±0.01</w:t>
            </w:r>
          </w:p>
        </w:tc>
        <w:tc>
          <w:tcPr>
            <w:tcW w:w="1030" w:type="dxa"/>
            <w:tcBorders>
              <w:left w:val="nil"/>
              <w:right w:val="nil"/>
            </w:tcBorders>
            <w:vAlign w:val="center"/>
          </w:tcPr>
          <w:p w14:paraId="19D7C0C5" w14:textId="77777777" w:rsidR="004E7D15" w:rsidRPr="00C84A9C" w:rsidRDefault="004E7D15" w:rsidP="009853EC">
            <w:pPr>
              <w:spacing w:line="276" w:lineRule="auto"/>
              <w:jc w:val="center"/>
              <w:rPr>
                <w:rFonts w:ascii="Arial" w:hAnsi="Arial" w:cs="Arial"/>
                <w:sz w:val="20"/>
                <w:szCs w:val="20"/>
                <w:lang w:bidi="hi-IN"/>
              </w:rPr>
            </w:pPr>
            <w:r w:rsidRPr="00C84A9C">
              <w:rPr>
                <w:rFonts w:ascii="Arial" w:hAnsi="Arial" w:cs="Arial"/>
                <w:sz w:val="20"/>
                <w:szCs w:val="20"/>
                <w:lang w:bidi="hi-IN"/>
              </w:rPr>
              <w:t>51.6</w:t>
            </w:r>
          </w:p>
          <w:p w14:paraId="050AF826"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sz w:val="20"/>
                <w:szCs w:val="20"/>
                <w:lang w:bidi="hi-IN"/>
              </w:rPr>
              <w:t xml:space="preserve"> </w:t>
            </w:r>
            <w:r w:rsidRPr="00C84A9C">
              <w:rPr>
                <w:rFonts w:ascii="Arial" w:hAnsi="Arial" w:cs="Arial"/>
                <w:color w:val="000000"/>
                <w:sz w:val="20"/>
                <w:szCs w:val="20"/>
              </w:rPr>
              <w:t>±3.73</w:t>
            </w:r>
          </w:p>
        </w:tc>
      </w:tr>
      <w:tr w:rsidR="00A62FEC" w:rsidRPr="00C84A9C" w14:paraId="66DA9E59" w14:textId="77777777" w:rsidTr="00A62FEC">
        <w:tc>
          <w:tcPr>
            <w:tcW w:w="2230" w:type="dxa"/>
            <w:tcBorders>
              <w:left w:val="nil"/>
              <w:right w:val="nil"/>
            </w:tcBorders>
          </w:tcPr>
          <w:p w14:paraId="40373ED3"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b/>
                <w:i/>
                <w:sz w:val="20"/>
                <w:szCs w:val="20"/>
              </w:rPr>
              <w:lastRenderedPageBreak/>
              <w:t>0.1</w:t>
            </w:r>
          </w:p>
        </w:tc>
        <w:tc>
          <w:tcPr>
            <w:tcW w:w="1251" w:type="dxa"/>
            <w:tcBorders>
              <w:left w:val="nil"/>
              <w:right w:val="nil"/>
            </w:tcBorders>
            <w:vAlign w:val="center"/>
          </w:tcPr>
          <w:p w14:paraId="2271EE62"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0.058</w:t>
            </w:r>
          </w:p>
          <w:p w14:paraId="07D2F541"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±0.01</w:t>
            </w:r>
          </w:p>
        </w:tc>
        <w:tc>
          <w:tcPr>
            <w:tcW w:w="1154" w:type="dxa"/>
            <w:tcBorders>
              <w:left w:val="nil"/>
              <w:right w:val="nil"/>
            </w:tcBorders>
            <w:vAlign w:val="center"/>
          </w:tcPr>
          <w:p w14:paraId="43177550"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2041</w:t>
            </w:r>
          </w:p>
          <w:p w14:paraId="75FC4877"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±7.98</w:t>
            </w:r>
          </w:p>
        </w:tc>
        <w:tc>
          <w:tcPr>
            <w:tcW w:w="1150" w:type="dxa"/>
            <w:tcBorders>
              <w:left w:val="nil"/>
              <w:right w:val="nil"/>
            </w:tcBorders>
            <w:vAlign w:val="center"/>
          </w:tcPr>
          <w:p w14:paraId="6A74E53B"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1255.4</w:t>
            </w:r>
          </w:p>
          <w:p w14:paraId="218AE6C5"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±3.38</w:t>
            </w:r>
          </w:p>
        </w:tc>
        <w:tc>
          <w:tcPr>
            <w:tcW w:w="1192" w:type="dxa"/>
            <w:tcBorders>
              <w:left w:val="nil"/>
              <w:right w:val="nil"/>
            </w:tcBorders>
            <w:vAlign w:val="center"/>
          </w:tcPr>
          <w:p w14:paraId="68C3E157"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18.111</w:t>
            </w:r>
          </w:p>
          <w:p w14:paraId="3DA8B546"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±0.27</w:t>
            </w:r>
          </w:p>
        </w:tc>
        <w:tc>
          <w:tcPr>
            <w:tcW w:w="1733" w:type="dxa"/>
            <w:tcBorders>
              <w:left w:val="nil"/>
              <w:right w:val="nil"/>
            </w:tcBorders>
          </w:tcPr>
          <w:p w14:paraId="0C3F2323"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0.177</w:t>
            </w:r>
          </w:p>
          <w:p w14:paraId="6D33ADFC"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sz w:val="20"/>
                <w:szCs w:val="20"/>
                <w:lang w:bidi="hi-IN"/>
              </w:rPr>
              <w:t>±0.02</w:t>
            </w:r>
          </w:p>
        </w:tc>
        <w:tc>
          <w:tcPr>
            <w:tcW w:w="1030" w:type="dxa"/>
            <w:tcBorders>
              <w:left w:val="nil"/>
              <w:right w:val="nil"/>
            </w:tcBorders>
            <w:vAlign w:val="center"/>
          </w:tcPr>
          <w:p w14:paraId="72A68631"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73.1</w:t>
            </w:r>
          </w:p>
          <w:p w14:paraId="79770A7F"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±2.15</w:t>
            </w:r>
          </w:p>
        </w:tc>
      </w:tr>
      <w:tr w:rsidR="00A62FEC" w:rsidRPr="00C84A9C" w14:paraId="5A4AB30A" w14:textId="77777777" w:rsidTr="00A62FEC">
        <w:tc>
          <w:tcPr>
            <w:tcW w:w="2230" w:type="dxa"/>
            <w:tcBorders>
              <w:left w:val="nil"/>
              <w:right w:val="nil"/>
            </w:tcBorders>
          </w:tcPr>
          <w:p w14:paraId="6BF9B20B"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b/>
                <w:i/>
                <w:sz w:val="20"/>
                <w:szCs w:val="20"/>
              </w:rPr>
              <w:t>0.5</w:t>
            </w:r>
          </w:p>
        </w:tc>
        <w:tc>
          <w:tcPr>
            <w:tcW w:w="1251" w:type="dxa"/>
            <w:tcBorders>
              <w:left w:val="nil"/>
              <w:right w:val="nil"/>
            </w:tcBorders>
            <w:vAlign w:val="center"/>
          </w:tcPr>
          <w:p w14:paraId="6530378C"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0.061</w:t>
            </w:r>
          </w:p>
          <w:p w14:paraId="05CFD0E7"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±0.01</w:t>
            </w:r>
          </w:p>
        </w:tc>
        <w:tc>
          <w:tcPr>
            <w:tcW w:w="1154" w:type="dxa"/>
            <w:tcBorders>
              <w:left w:val="nil"/>
              <w:right w:val="nil"/>
            </w:tcBorders>
            <w:vAlign w:val="center"/>
          </w:tcPr>
          <w:p w14:paraId="108DD5A2"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3208.71</w:t>
            </w:r>
          </w:p>
          <w:p w14:paraId="2C4965AB"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±4.61</w:t>
            </w:r>
          </w:p>
        </w:tc>
        <w:tc>
          <w:tcPr>
            <w:tcW w:w="1150" w:type="dxa"/>
            <w:tcBorders>
              <w:left w:val="nil"/>
              <w:right w:val="nil"/>
            </w:tcBorders>
            <w:vAlign w:val="center"/>
          </w:tcPr>
          <w:p w14:paraId="16CE2558"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1918.7</w:t>
            </w:r>
          </w:p>
          <w:p w14:paraId="7D7B5ABC"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±15.50</w:t>
            </w:r>
          </w:p>
        </w:tc>
        <w:tc>
          <w:tcPr>
            <w:tcW w:w="1192" w:type="dxa"/>
            <w:tcBorders>
              <w:left w:val="nil"/>
              <w:right w:val="nil"/>
            </w:tcBorders>
            <w:vAlign w:val="center"/>
          </w:tcPr>
          <w:p w14:paraId="0054E03A"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18.650</w:t>
            </w:r>
          </w:p>
          <w:p w14:paraId="532AC359"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±0.14</w:t>
            </w:r>
          </w:p>
        </w:tc>
        <w:tc>
          <w:tcPr>
            <w:tcW w:w="1733" w:type="dxa"/>
            <w:tcBorders>
              <w:left w:val="nil"/>
              <w:right w:val="nil"/>
            </w:tcBorders>
            <w:vAlign w:val="center"/>
          </w:tcPr>
          <w:p w14:paraId="2A95029B"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0.181</w:t>
            </w:r>
          </w:p>
          <w:p w14:paraId="3191AAEF"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sz w:val="20"/>
                <w:szCs w:val="20"/>
                <w:lang w:bidi="hi-IN"/>
              </w:rPr>
              <w:t>±0.02</w:t>
            </w:r>
          </w:p>
        </w:tc>
        <w:tc>
          <w:tcPr>
            <w:tcW w:w="1030" w:type="dxa"/>
            <w:tcBorders>
              <w:left w:val="nil"/>
              <w:right w:val="nil"/>
            </w:tcBorders>
          </w:tcPr>
          <w:p w14:paraId="3C575643"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86.00</w:t>
            </w:r>
          </w:p>
          <w:p w14:paraId="7D950E18"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±2.15</w:t>
            </w:r>
          </w:p>
        </w:tc>
      </w:tr>
      <w:tr w:rsidR="00A62FEC" w:rsidRPr="00C84A9C" w14:paraId="5DD8B3C7" w14:textId="77777777" w:rsidTr="00A62FEC">
        <w:tc>
          <w:tcPr>
            <w:tcW w:w="2230" w:type="dxa"/>
            <w:tcBorders>
              <w:left w:val="nil"/>
              <w:right w:val="nil"/>
            </w:tcBorders>
          </w:tcPr>
          <w:p w14:paraId="7EC37E71"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b/>
                <w:i/>
                <w:sz w:val="20"/>
                <w:szCs w:val="20"/>
              </w:rPr>
              <w:t>1.0</w:t>
            </w:r>
          </w:p>
        </w:tc>
        <w:tc>
          <w:tcPr>
            <w:tcW w:w="1251" w:type="dxa"/>
            <w:tcBorders>
              <w:left w:val="nil"/>
              <w:right w:val="nil"/>
            </w:tcBorders>
            <w:vAlign w:val="center"/>
          </w:tcPr>
          <w:p w14:paraId="2CD69FE6"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0.064</w:t>
            </w:r>
          </w:p>
          <w:p w14:paraId="40C1154B"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±0.02</w:t>
            </w:r>
          </w:p>
        </w:tc>
        <w:tc>
          <w:tcPr>
            <w:tcW w:w="1154" w:type="dxa"/>
            <w:tcBorders>
              <w:left w:val="nil"/>
              <w:right w:val="nil"/>
            </w:tcBorders>
            <w:vAlign w:val="center"/>
          </w:tcPr>
          <w:p w14:paraId="4A5AB6D0"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3557.298</w:t>
            </w:r>
          </w:p>
          <w:p w14:paraId="152417DE"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±11.42</w:t>
            </w:r>
          </w:p>
        </w:tc>
        <w:tc>
          <w:tcPr>
            <w:tcW w:w="1150" w:type="dxa"/>
            <w:tcBorders>
              <w:left w:val="nil"/>
              <w:right w:val="nil"/>
            </w:tcBorders>
            <w:vAlign w:val="center"/>
          </w:tcPr>
          <w:p w14:paraId="24B44C02"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2074.4</w:t>
            </w:r>
          </w:p>
          <w:p w14:paraId="33D4B095"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±16.14</w:t>
            </w:r>
          </w:p>
        </w:tc>
        <w:tc>
          <w:tcPr>
            <w:tcW w:w="1192" w:type="dxa"/>
            <w:tcBorders>
              <w:left w:val="nil"/>
              <w:right w:val="nil"/>
            </w:tcBorders>
            <w:vAlign w:val="center"/>
          </w:tcPr>
          <w:p w14:paraId="01872564"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24.539</w:t>
            </w:r>
          </w:p>
          <w:p w14:paraId="38B217F7"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±0.29</w:t>
            </w:r>
          </w:p>
        </w:tc>
        <w:tc>
          <w:tcPr>
            <w:tcW w:w="1733" w:type="dxa"/>
            <w:tcBorders>
              <w:left w:val="nil"/>
              <w:right w:val="nil"/>
            </w:tcBorders>
            <w:vAlign w:val="center"/>
          </w:tcPr>
          <w:p w14:paraId="234E1FC5"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0.196</w:t>
            </w:r>
          </w:p>
          <w:p w14:paraId="0725A0FC"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sz w:val="20"/>
                <w:szCs w:val="20"/>
                <w:lang w:bidi="hi-IN"/>
              </w:rPr>
              <w:t>±0.01</w:t>
            </w:r>
          </w:p>
        </w:tc>
        <w:tc>
          <w:tcPr>
            <w:tcW w:w="1030" w:type="dxa"/>
            <w:tcBorders>
              <w:left w:val="nil"/>
              <w:right w:val="nil"/>
            </w:tcBorders>
            <w:vAlign w:val="center"/>
          </w:tcPr>
          <w:p w14:paraId="499DA3E9"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92.45</w:t>
            </w:r>
          </w:p>
          <w:p w14:paraId="3FA5FC9C"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±2.15</w:t>
            </w:r>
          </w:p>
        </w:tc>
      </w:tr>
      <w:tr w:rsidR="00A62FEC" w:rsidRPr="00C84A9C" w14:paraId="76EF1457" w14:textId="77777777" w:rsidTr="00A62FEC">
        <w:tc>
          <w:tcPr>
            <w:tcW w:w="2230" w:type="dxa"/>
            <w:tcBorders>
              <w:left w:val="nil"/>
              <w:right w:val="nil"/>
            </w:tcBorders>
          </w:tcPr>
          <w:p w14:paraId="5D75C197"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b/>
                <w:i/>
                <w:sz w:val="20"/>
                <w:szCs w:val="20"/>
              </w:rPr>
              <w:t>1.5</w:t>
            </w:r>
          </w:p>
        </w:tc>
        <w:tc>
          <w:tcPr>
            <w:tcW w:w="1251" w:type="dxa"/>
            <w:tcBorders>
              <w:left w:val="nil"/>
              <w:right w:val="nil"/>
            </w:tcBorders>
            <w:vAlign w:val="center"/>
          </w:tcPr>
          <w:p w14:paraId="0990B811"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0.067</w:t>
            </w:r>
          </w:p>
          <w:p w14:paraId="0FF22178"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±0.01</w:t>
            </w:r>
          </w:p>
        </w:tc>
        <w:tc>
          <w:tcPr>
            <w:tcW w:w="1154" w:type="dxa"/>
            <w:tcBorders>
              <w:left w:val="nil"/>
              <w:right w:val="nil"/>
            </w:tcBorders>
            <w:vAlign w:val="center"/>
          </w:tcPr>
          <w:p w14:paraId="56FAC266"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color w:val="000000"/>
                <w:sz w:val="20"/>
                <w:szCs w:val="20"/>
              </w:rPr>
              <w:t>3918.08</w:t>
            </w:r>
          </w:p>
          <w:p w14:paraId="6D0099AB"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±2.30</w:t>
            </w:r>
          </w:p>
        </w:tc>
        <w:tc>
          <w:tcPr>
            <w:tcW w:w="1150" w:type="dxa"/>
            <w:tcBorders>
              <w:left w:val="nil"/>
              <w:right w:val="nil"/>
            </w:tcBorders>
            <w:vAlign w:val="center"/>
          </w:tcPr>
          <w:p w14:paraId="4B14346D"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2094.7</w:t>
            </w:r>
          </w:p>
          <w:p w14:paraId="612C0473"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±11.84</w:t>
            </w:r>
          </w:p>
        </w:tc>
        <w:tc>
          <w:tcPr>
            <w:tcW w:w="1192" w:type="dxa"/>
            <w:tcBorders>
              <w:left w:val="nil"/>
              <w:right w:val="nil"/>
            </w:tcBorders>
            <w:vAlign w:val="center"/>
          </w:tcPr>
          <w:p w14:paraId="70B39B39"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26.111</w:t>
            </w:r>
          </w:p>
          <w:p w14:paraId="3556C5AE"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±0.29</w:t>
            </w:r>
          </w:p>
        </w:tc>
        <w:tc>
          <w:tcPr>
            <w:tcW w:w="1733" w:type="dxa"/>
            <w:tcBorders>
              <w:left w:val="nil"/>
              <w:right w:val="nil"/>
            </w:tcBorders>
            <w:vAlign w:val="center"/>
          </w:tcPr>
          <w:p w14:paraId="5CEA744F"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0.197</w:t>
            </w:r>
          </w:p>
          <w:p w14:paraId="297CDB35"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sz w:val="20"/>
                <w:szCs w:val="20"/>
                <w:lang w:bidi="hi-IN"/>
              </w:rPr>
              <w:t>±0.02</w:t>
            </w:r>
          </w:p>
        </w:tc>
        <w:tc>
          <w:tcPr>
            <w:tcW w:w="1030" w:type="dxa"/>
            <w:tcBorders>
              <w:left w:val="nil"/>
              <w:right w:val="nil"/>
            </w:tcBorders>
          </w:tcPr>
          <w:p w14:paraId="35F2584C"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103.2</w:t>
            </w:r>
          </w:p>
          <w:p w14:paraId="2D321F7F"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±3.72</w:t>
            </w:r>
          </w:p>
        </w:tc>
      </w:tr>
      <w:tr w:rsidR="00A62FEC" w:rsidRPr="00C84A9C" w14:paraId="285C9694" w14:textId="77777777" w:rsidTr="00A62FEC">
        <w:tc>
          <w:tcPr>
            <w:tcW w:w="2230" w:type="dxa"/>
            <w:tcBorders>
              <w:left w:val="nil"/>
              <w:bottom w:val="single" w:sz="4" w:space="0" w:color="auto"/>
              <w:right w:val="nil"/>
            </w:tcBorders>
          </w:tcPr>
          <w:p w14:paraId="4CEC3934"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b/>
                <w:i/>
                <w:sz w:val="20"/>
                <w:szCs w:val="20"/>
              </w:rPr>
              <w:t>2.0</w:t>
            </w:r>
          </w:p>
        </w:tc>
        <w:tc>
          <w:tcPr>
            <w:tcW w:w="1251" w:type="dxa"/>
            <w:tcBorders>
              <w:left w:val="nil"/>
              <w:bottom w:val="single" w:sz="4" w:space="0" w:color="auto"/>
              <w:right w:val="nil"/>
            </w:tcBorders>
            <w:vAlign w:val="center"/>
          </w:tcPr>
          <w:p w14:paraId="1D5B5370"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0.072</w:t>
            </w:r>
          </w:p>
          <w:p w14:paraId="539CB778"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color w:val="000000"/>
                <w:sz w:val="20"/>
                <w:szCs w:val="20"/>
              </w:rPr>
              <w:t>±0.01</w:t>
            </w:r>
          </w:p>
        </w:tc>
        <w:tc>
          <w:tcPr>
            <w:tcW w:w="1154" w:type="dxa"/>
            <w:tcBorders>
              <w:left w:val="nil"/>
              <w:bottom w:val="single" w:sz="4" w:space="0" w:color="auto"/>
              <w:right w:val="nil"/>
            </w:tcBorders>
            <w:vAlign w:val="center"/>
          </w:tcPr>
          <w:p w14:paraId="3E3750E2"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4025.27</w:t>
            </w:r>
          </w:p>
          <w:p w14:paraId="6B26C338"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±7.13</w:t>
            </w:r>
          </w:p>
        </w:tc>
        <w:tc>
          <w:tcPr>
            <w:tcW w:w="1150" w:type="dxa"/>
            <w:tcBorders>
              <w:left w:val="nil"/>
              <w:bottom w:val="single" w:sz="4" w:space="0" w:color="auto"/>
              <w:right w:val="nil"/>
            </w:tcBorders>
            <w:vAlign w:val="center"/>
          </w:tcPr>
          <w:p w14:paraId="491C225F"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846.02</w:t>
            </w:r>
          </w:p>
          <w:p w14:paraId="575F670F"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±6.77</w:t>
            </w:r>
          </w:p>
        </w:tc>
        <w:tc>
          <w:tcPr>
            <w:tcW w:w="1192" w:type="dxa"/>
            <w:tcBorders>
              <w:left w:val="nil"/>
              <w:bottom w:val="single" w:sz="4" w:space="0" w:color="auto"/>
              <w:right w:val="nil"/>
            </w:tcBorders>
            <w:vAlign w:val="center"/>
          </w:tcPr>
          <w:p w14:paraId="02018E68"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28.714</w:t>
            </w:r>
          </w:p>
          <w:p w14:paraId="10C0EB19"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±0.25</w:t>
            </w:r>
          </w:p>
        </w:tc>
        <w:tc>
          <w:tcPr>
            <w:tcW w:w="1733" w:type="dxa"/>
            <w:tcBorders>
              <w:left w:val="nil"/>
              <w:bottom w:val="single" w:sz="4" w:space="0" w:color="auto"/>
              <w:right w:val="nil"/>
            </w:tcBorders>
            <w:vAlign w:val="center"/>
          </w:tcPr>
          <w:p w14:paraId="5407E437"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0.237</w:t>
            </w:r>
          </w:p>
          <w:p w14:paraId="4DCB036C"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sz w:val="20"/>
                <w:szCs w:val="20"/>
                <w:lang w:bidi="hi-IN"/>
              </w:rPr>
              <w:t>±0.01</w:t>
            </w:r>
          </w:p>
        </w:tc>
        <w:tc>
          <w:tcPr>
            <w:tcW w:w="1030" w:type="dxa"/>
            <w:tcBorders>
              <w:left w:val="nil"/>
              <w:bottom w:val="single" w:sz="4" w:space="0" w:color="auto"/>
              <w:right w:val="nil"/>
            </w:tcBorders>
          </w:tcPr>
          <w:p w14:paraId="004F203A" w14:textId="77777777" w:rsidR="004E7D15" w:rsidRPr="00C84A9C" w:rsidRDefault="004E7D15" w:rsidP="009853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113.95</w:t>
            </w:r>
          </w:p>
          <w:p w14:paraId="76940A50" w14:textId="77777777" w:rsidR="004E7D15" w:rsidRPr="00C84A9C" w:rsidRDefault="004E7D15" w:rsidP="009853EC">
            <w:pPr>
              <w:spacing w:line="276" w:lineRule="auto"/>
              <w:jc w:val="center"/>
              <w:rPr>
                <w:rFonts w:ascii="Arial" w:hAnsi="Arial" w:cs="Arial"/>
                <w:b/>
                <w:i/>
                <w:sz w:val="20"/>
                <w:szCs w:val="20"/>
              </w:rPr>
            </w:pPr>
            <w:r w:rsidRPr="00C84A9C">
              <w:rPr>
                <w:rFonts w:ascii="Arial" w:hAnsi="Arial" w:cs="Arial"/>
                <w:color w:val="000000"/>
                <w:sz w:val="20"/>
                <w:szCs w:val="20"/>
              </w:rPr>
              <w:t>±2.15</w:t>
            </w:r>
          </w:p>
        </w:tc>
      </w:tr>
    </w:tbl>
    <w:p w14:paraId="030962D8" w14:textId="77777777" w:rsidR="00C84A9C" w:rsidRDefault="00C84A9C" w:rsidP="00C84A9C">
      <w:pPr>
        <w:spacing w:line="276" w:lineRule="auto"/>
        <w:rPr>
          <w:rFonts w:ascii="Arial" w:hAnsi="Arial" w:cs="Arial"/>
          <w:b/>
        </w:rPr>
      </w:pPr>
    </w:p>
    <w:p w14:paraId="1A2198FE" w14:textId="77777777" w:rsidR="004E7D15" w:rsidRPr="00C84A9C" w:rsidRDefault="004E7D15" w:rsidP="00C84A9C">
      <w:pPr>
        <w:spacing w:line="276" w:lineRule="auto"/>
        <w:rPr>
          <w:rFonts w:ascii="Arial" w:hAnsi="Arial" w:cs="Arial"/>
          <w:b/>
        </w:rPr>
      </w:pPr>
      <w:r w:rsidRPr="00C84A9C">
        <w:rPr>
          <w:rFonts w:ascii="Arial" w:hAnsi="Arial" w:cs="Arial"/>
          <w:b/>
        </w:rPr>
        <w:t xml:space="preserve">Table2 </w:t>
      </w:r>
      <w:bookmarkStart w:id="1" w:name="_Hlk211453303"/>
      <w:r w:rsidRPr="00C84A9C">
        <w:rPr>
          <w:rFonts w:ascii="Arial" w:hAnsi="Arial" w:cs="Arial"/>
        </w:rPr>
        <w:t xml:space="preserve">Paraquat dichloride stress on </w:t>
      </w:r>
      <w:r w:rsidRPr="00C84A9C">
        <w:rPr>
          <w:rFonts w:ascii="Arial" w:hAnsi="Arial" w:cs="Arial"/>
          <w:i/>
        </w:rPr>
        <w:t xml:space="preserve">Lemna minor </w:t>
      </w:r>
      <w:r w:rsidRPr="00C84A9C">
        <w:rPr>
          <w:rFonts w:ascii="Arial" w:hAnsi="Arial" w:cs="Arial"/>
        </w:rPr>
        <w:t>antioxidant activity and oxidative stress</w:t>
      </w:r>
      <w:r w:rsidRPr="00C84A9C">
        <w:rPr>
          <w:rFonts w:ascii="Arial" w:hAnsi="Arial" w:cs="Arial"/>
          <w:b/>
          <w:i/>
        </w:rPr>
        <w:t xml:space="preserve"> </w:t>
      </w:r>
      <w:bookmarkEnd w:id="1"/>
    </w:p>
    <w:p w14:paraId="15F6F550" w14:textId="77777777" w:rsidR="004E7D15" w:rsidRPr="00C84A9C" w:rsidRDefault="004E7D15" w:rsidP="004E7D15">
      <w:pPr>
        <w:spacing w:line="276" w:lineRule="auto"/>
        <w:jc w:val="center"/>
        <w:rPr>
          <w:rFonts w:ascii="Arial" w:hAnsi="Arial" w:cs="Arial"/>
          <w:b/>
          <w:i/>
        </w:rPr>
      </w:pPr>
    </w:p>
    <w:tbl>
      <w:tblPr>
        <w:tblStyle w:val="TableGrid"/>
        <w:tblW w:w="9718" w:type="dxa"/>
        <w:tblLook w:val="04A0" w:firstRow="1" w:lastRow="0" w:firstColumn="1" w:lastColumn="0" w:noHBand="0" w:noVBand="1"/>
      </w:tblPr>
      <w:tblGrid>
        <w:gridCol w:w="1572"/>
        <w:gridCol w:w="1306"/>
        <w:gridCol w:w="1506"/>
        <w:gridCol w:w="1051"/>
        <w:gridCol w:w="1273"/>
        <w:gridCol w:w="1328"/>
        <w:gridCol w:w="1839"/>
      </w:tblGrid>
      <w:tr w:rsidR="00A62FEC" w:rsidRPr="00C84A9C" w14:paraId="1496633A" w14:textId="77777777" w:rsidTr="00A62FEC">
        <w:tc>
          <w:tcPr>
            <w:tcW w:w="1708" w:type="dxa"/>
            <w:tcBorders>
              <w:left w:val="nil"/>
              <w:bottom w:val="single" w:sz="4" w:space="0" w:color="auto"/>
              <w:right w:val="nil"/>
            </w:tcBorders>
          </w:tcPr>
          <w:p w14:paraId="3E2DA88C" w14:textId="77777777" w:rsidR="00A62FEC" w:rsidRPr="00C84A9C" w:rsidRDefault="00A62FEC" w:rsidP="00A62FEC">
            <w:pPr>
              <w:spacing w:line="276" w:lineRule="auto"/>
              <w:jc w:val="center"/>
              <w:rPr>
                <w:rFonts w:ascii="Arial" w:hAnsi="Arial" w:cs="Arial"/>
                <w:b/>
                <w:sz w:val="20"/>
                <w:szCs w:val="20"/>
              </w:rPr>
            </w:pPr>
            <w:r w:rsidRPr="00C84A9C">
              <w:rPr>
                <w:rFonts w:ascii="Arial" w:hAnsi="Arial" w:cs="Arial"/>
                <w:b/>
                <w:sz w:val="20"/>
                <w:szCs w:val="20"/>
              </w:rPr>
              <w:t>Concentration</w:t>
            </w:r>
          </w:p>
          <w:p w14:paraId="78A7DC52"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b/>
                <w:sz w:val="20"/>
                <w:szCs w:val="20"/>
              </w:rPr>
              <w:t>(mg/L)</w:t>
            </w:r>
          </w:p>
        </w:tc>
        <w:tc>
          <w:tcPr>
            <w:tcW w:w="1415" w:type="dxa"/>
            <w:tcBorders>
              <w:left w:val="nil"/>
              <w:right w:val="nil"/>
            </w:tcBorders>
          </w:tcPr>
          <w:p w14:paraId="5ABC3158" w14:textId="77777777" w:rsidR="00A62FEC" w:rsidRPr="00C84A9C" w:rsidRDefault="00A62FEC" w:rsidP="00A62FEC">
            <w:pPr>
              <w:spacing w:line="276" w:lineRule="auto"/>
              <w:jc w:val="center"/>
              <w:rPr>
                <w:rFonts w:ascii="Arial" w:hAnsi="Arial" w:cs="Arial"/>
                <w:b/>
                <w:sz w:val="20"/>
                <w:szCs w:val="20"/>
              </w:rPr>
            </w:pPr>
            <w:r w:rsidRPr="00C84A9C">
              <w:rPr>
                <w:rFonts w:ascii="Arial" w:hAnsi="Arial" w:cs="Arial"/>
                <w:b/>
                <w:bCs/>
                <w:sz w:val="20"/>
                <w:szCs w:val="20"/>
                <w:lang w:bidi="hi-IN"/>
              </w:rPr>
              <w:t>Superoxide dismutase (SOD) Activity (units/mg FW)</w:t>
            </w:r>
          </w:p>
        </w:tc>
        <w:tc>
          <w:tcPr>
            <w:tcW w:w="1634" w:type="dxa"/>
            <w:tcBorders>
              <w:left w:val="nil"/>
              <w:right w:val="nil"/>
            </w:tcBorders>
            <w:vAlign w:val="center"/>
          </w:tcPr>
          <w:p w14:paraId="00BDEB0B" w14:textId="77777777" w:rsidR="00A62FEC" w:rsidRPr="00C84A9C" w:rsidRDefault="00A62FEC" w:rsidP="00C84A9C">
            <w:pPr>
              <w:spacing w:line="276" w:lineRule="auto"/>
              <w:rPr>
                <w:rFonts w:ascii="Arial" w:hAnsi="Arial" w:cs="Arial"/>
                <w:b/>
                <w:i/>
                <w:sz w:val="20"/>
                <w:szCs w:val="20"/>
              </w:rPr>
            </w:pPr>
            <w:r w:rsidRPr="00C84A9C">
              <w:rPr>
                <w:rFonts w:ascii="Arial" w:hAnsi="Arial" w:cs="Arial"/>
                <w:b/>
                <w:bCs/>
                <w:sz w:val="20"/>
                <w:szCs w:val="20"/>
                <w:lang w:bidi="hi-IN"/>
              </w:rPr>
              <w:t>Peroxidase (POD)Activity (units/g FW)</w:t>
            </w:r>
          </w:p>
        </w:tc>
        <w:tc>
          <w:tcPr>
            <w:tcW w:w="1134" w:type="dxa"/>
            <w:tcBorders>
              <w:left w:val="nil"/>
              <w:right w:val="nil"/>
            </w:tcBorders>
            <w:vAlign w:val="center"/>
          </w:tcPr>
          <w:p w14:paraId="10EEB1F5"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b/>
                <w:bCs/>
                <w:sz w:val="20"/>
                <w:szCs w:val="20"/>
                <w:lang w:bidi="hi-IN"/>
              </w:rPr>
              <w:t>Catalase (CAT) Activity (units/g FW)</w:t>
            </w:r>
          </w:p>
        </w:tc>
        <w:tc>
          <w:tcPr>
            <w:tcW w:w="1378" w:type="dxa"/>
            <w:tcBorders>
              <w:left w:val="nil"/>
              <w:right w:val="nil"/>
            </w:tcBorders>
            <w:vAlign w:val="center"/>
          </w:tcPr>
          <w:p w14:paraId="302DB6E2"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b/>
                <w:bCs/>
                <w:sz w:val="20"/>
                <w:szCs w:val="20"/>
                <w:lang w:bidi="hi-IN"/>
              </w:rPr>
              <w:t>Ascorbate peroxidase (APX) Activity (nmol H</w:t>
            </w:r>
            <w:r w:rsidRPr="00C84A9C">
              <w:rPr>
                <w:rFonts w:ascii="Cambria Math" w:hAnsi="Cambria Math" w:cs="Cambria Math"/>
                <w:b/>
                <w:bCs/>
                <w:sz w:val="20"/>
                <w:szCs w:val="20"/>
                <w:lang w:bidi="hi-IN"/>
              </w:rPr>
              <w:t>₂</w:t>
            </w:r>
            <w:r w:rsidRPr="00C84A9C">
              <w:rPr>
                <w:rFonts w:ascii="Arial" w:hAnsi="Arial" w:cs="Arial"/>
                <w:b/>
                <w:bCs/>
                <w:sz w:val="20"/>
                <w:szCs w:val="20"/>
                <w:lang w:bidi="hi-IN"/>
              </w:rPr>
              <w:t>O</w:t>
            </w:r>
            <w:r w:rsidRPr="00C84A9C">
              <w:rPr>
                <w:rFonts w:ascii="Cambria Math" w:hAnsi="Cambria Math" w:cs="Cambria Math"/>
                <w:b/>
                <w:bCs/>
                <w:sz w:val="20"/>
                <w:szCs w:val="20"/>
                <w:lang w:bidi="hi-IN"/>
              </w:rPr>
              <w:t>₂</w:t>
            </w:r>
            <w:r w:rsidRPr="00C84A9C">
              <w:rPr>
                <w:rFonts w:ascii="Arial" w:hAnsi="Arial" w:cs="Arial"/>
                <w:b/>
                <w:bCs/>
                <w:sz w:val="20"/>
                <w:szCs w:val="20"/>
                <w:lang w:bidi="hi-IN"/>
              </w:rPr>
              <w:t>/g FW/min ×10³)</w:t>
            </w:r>
          </w:p>
        </w:tc>
        <w:tc>
          <w:tcPr>
            <w:tcW w:w="1439" w:type="dxa"/>
            <w:tcBorders>
              <w:left w:val="nil"/>
              <w:right w:val="nil"/>
            </w:tcBorders>
            <w:vAlign w:val="center"/>
          </w:tcPr>
          <w:p w14:paraId="64CDC7E4"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b/>
                <w:bCs/>
                <w:sz w:val="20"/>
                <w:szCs w:val="20"/>
                <w:lang w:bidi="hi-IN"/>
              </w:rPr>
              <w:t>Glutathione Reductase (GR) Activity (Units/mg FW)</w:t>
            </w:r>
          </w:p>
        </w:tc>
        <w:tc>
          <w:tcPr>
            <w:tcW w:w="1010" w:type="dxa"/>
            <w:tcBorders>
              <w:left w:val="nil"/>
              <w:right w:val="nil"/>
            </w:tcBorders>
          </w:tcPr>
          <w:p w14:paraId="457A5879" w14:textId="77777777" w:rsidR="00A62FEC" w:rsidRPr="00C84A9C" w:rsidRDefault="00A62FEC" w:rsidP="00A62FEC">
            <w:pPr>
              <w:spacing w:line="276" w:lineRule="auto"/>
              <w:rPr>
                <w:rFonts w:ascii="Arial" w:hAnsi="Arial" w:cs="Arial"/>
                <w:b/>
                <w:bCs/>
                <w:sz w:val="20"/>
                <w:szCs w:val="20"/>
                <w:lang w:bidi="hi-IN"/>
              </w:rPr>
            </w:pPr>
            <w:r w:rsidRPr="00C84A9C">
              <w:rPr>
                <w:rFonts w:ascii="Arial" w:hAnsi="Arial" w:cs="Arial"/>
                <w:b/>
                <w:bCs/>
                <w:sz w:val="20"/>
                <w:szCs w:val="20"/>
                <w:lang w:bidi="hi-IN"/>
              </w:rPr>
              <w:t xml:space="preserve">Malondialdehyde    </w:t>
            </w:r>
            <w:proofErr w:type="gramStart"/>
            <w:r w:rsidRPr="00C84A9C">
              <w:rPr>
                <w:rFonts w:ascii="Arial" w:hAnsi="Arial" w:cs="Arial"/>
                <w:b/>
                <w:bCs/>
                <w:sz w:val="20"/>
                <w:szCs w:val="20"/>
                <w:lang w:bidi="hi-IN"/>
              </w:rPr>
              <w:t xml:space="preserve">   (</w:t>
            </w:r>
            <w:proofErr w:type="gramEnd"/>
            <w:r w:rsidRPr="00C84A9C">
              <w:rPr>
                <w:rFonts w:ascii="Arial" w:hAnsi="Arial" w:cs="Arial"/>
                <w:b/>
                <w:bCs/>
                <w:sz w:val="20"/>
                <w:szCs w:val="20"/>
                <w:lang w:bidi="hi-IN"/>
              </w:rPr>
              <w:t xml:space="preserve">MDA) </w:t>
            </w:r>
          </w:p>
          <w:p w14:paraId="01A0E5A4" w14:textId="77777777" w:rsidR="00A62FEC" w:rsidRPr="00C84A9C" w:rsidRDefault="00A62FEC" w:rsidP="00A62FEC">
            <w:pPr>
              <w:spacing w:line="276" w:lineRule="auto"/>
              <w:rPr>
                <w:rFonts w:ascii="Arial" w:hAnsi="Arial" w:cs="Arial"/>
                <w:b/>
                <w:bCs/>
                <w:sz w:val="20"/>
                <w:szCs w:val="20"/>
                <w:lang w:bidi="hi-IN"/>
              </w:rPr>
            </w:pPr>
            <w:r w:rsidRPr="00C84A9C">
              <w:rPr>
                <w:rFonts w:ascii="Arial" w:hAnsi="Arial" w:cs="Arial"/>
                <w:b/>
                <w:bCs/>
                <w:sz w:val="20"/>
                <w:szCs w:val="20"/>
                <w:lang w:bidi="hi-IN"/>
              </w:rPr>
              <w:t>(nmol/g FW)</w:t>
            </w:r>
          </w:p>
        </w:tc>
      </w:tr>
      <w:tr w:rsidR="00A62FEC" w:rsidRPr="00C84A9C" w14:paraId="777B8A07" w14:textId="77777777" w:rsidTr="00A62FEC">
        <w:tc>
          <w:tcPr>
            <w:tcW w:w="1708" w:type="dxa"/>
            <w:tcBorders>
              <w:top w:val="single" w:sz="4" w:space="0" w:color="auto"/>
              <w:left w:val="nil"/>
              <w:right w:val="nil"/>
            </w:tcBorders>
          </w:tcPr>
          <w:p w14:paraId="686966B6"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b/>
                <w:i/>
                <w:sz w:val="20"/>
                <w:szCs w:val="20"/>
              </w:rPr>
              <w:t>0</w:t>
            </w:r>
          </w:p>
        </w:tc>
        <w:tc>
          <w:tcPr>
            <w:tcW w:w="1415" w:type="dxa"/>
            <w:tcBorders>
              <w:left w:val="nil"/>
              <w:right w:val="nil"/>
            </w:tcBorders>
            <w:vAlign w:val="center"/>
          </w:tcPr>
          <w:p w14:paraId="2E9633C4"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0.026</w:t>
            </w:r>
          </w:p>
          <w:p w14:paraId="534CA7B1"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±0.002</w:t>
            </w:r>
          </w:p>
        </w:tc>
        <w:tc>
          <w:tcPr>
            <w:tcW w:w="1634" w:type="dxa"/>
            <w:tcBorders>
              <w:left w:val="nil"/>
              <w:right w:val="nil"/>
            </w:tcBorders>
            <w:vAlign w:val="center"/>
          </w:tcPr>
          <w:p w14:paraId="3ECA01B3"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2626.58</w:t>
            </w:r>
          </w:p>
          <w:p w14:paraId="66B0060B"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±4.611</w:t>
            </w:r>
          </w:p>
        </w:tc>
        <w:tc>
          <w:tcPr>
            <w:tcW w:w="1134" w:type="dxa"/>
            <w:tcBorders>
              <w:left w:val="nil"/>
              <w:right w:val="nil"/>
            </w:tcBorders>
            <w:vAlign w:val="center"/>
          </w:tcPr>
          <w:p w14:paraId="09E4C1EB"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2879.865</w:t>
            </w:r>
          </w:p>
          <w:p w14:paraId="27F019C2"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±16.141</w:t>
            </w:r>
          </w:p>
        </w:tc>
        <w:tc>
          <w:tcPr>
            <w:tcW w:w="1378" w:type="dxa"/>
            <w:tcBorders>
              <w:left w:val="nil"/>
              <w:right w:val="nil"/>
            </w:tcBorders>
            <w:vAlign w:val="center"/>
          </w:tcPr>
          <w:p w14:paraId="4118E298"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17.142</w:t>
            </w:r>
          </w:p>
          <w:p w14:paraId="72B9C71E"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±0.164</w:t>
            </w:r>
          </w:p>
        </w:tc>
        <w:tc>
          <w:tcPr>
            <w:tcW w:w="1439" w:type="dxa"/>
            <w:tcBorders>
              <w:left w:val="nil"/>
              <w:right w:val="nil"/>
            </w:tcBorders>
            <w:vAlign w:val="center"/>
          </w:tcPr>
          <w:p w14:paraId="5C18CB4C"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0.177</w:t>
            </w:r>
          </w:p>
          <w:p w14:paraId="3E3C1720"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±0.001</w:t>
            </w:r>
          </w:p>
        </w:tc>
        <w:tc>
          <w:tcPr>
            <w:tcW w:w="1010" w:type="dxa"/>
            <w:tcBorders>
              <w:left w:val="nil"/>
              <w:right w:val="nil"/>
            </w:tcBorders>
            <w:vAlign w:val="center"/>
          </w:tcPr>
          <w:p w14:paraId="224FEB69" w14:textId="77777777" w:rsidR="00A62FEC" w:rsidRPr="00C84A9C" w:rsidRDefault="00A62FEC" w:rsidP="00A62FEC">
            <w:pPr>
              <w:pStyle w:val="NoSpacing"/>
              <w:spacing w:line="276" w:lineRule="auto"/>
              <w:jc w:val="center"/>
              <w:rPr>
                <w:rFonts w:ascii="Arial" w:hAnsi="Arial" w:cs="Arial"/>
                <w:color w:val="000000"/>
                <w:sz w:val="20"/>
                <w:szCs w:val="20"/>
              </w:rPr>
            </w:pPr>
            <w:r w:rsidRPr="00C84A9C">
              <w:rPr>
                <w:rFonts w:ascii="Arial" w:hAnsi="Arial" w:cs="Arial"/>
                <w:color w:val="000000"/>
                <w:sz w:val="20"/>
                <w:szCs w:val="20"/>
              </w:rPr>
              <w:t>53.75</w:t>
            </w:r>
          </w:p>
          <w:p w14:paraId="6F06EB3E"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±2.15</w:t>
            </w:r>
          </w:p>
        </w:tc>
      </w:tr>
      <w:tr w:rsidR="00A62FEC" w:rsidRPr="00C84A9C" w14:paraId="5E6A3DB5" w14:textId="77777777" w:rsidTr="00A62FEC">
        <w:tc>
          <w:tcPr>
            <w:tcW w:w="1708" w:type="dxa"/>
            <w:tcBorders>
              <w:left w:val="nil"/>
              <w:right w:val="nil"/>
            </w:tcBorders>
          </w:tcPr>
          <w:p w14:paraId="596B2CF2"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b/>
                <w:i/>
                <w:sz w:val="20"/>
                <w:szCs w:val="20"/>
              </w:rPr>
              <w:t>0.5</w:t>
            </w:r>
          </w:p>
        </w:tc>
        <w:tc>
          <w:tcPr>
            <w:tcW w:w="1415" w:type="dxa"/>
            <w:tcBorders>
              <w:left w:val="nil"/>
              <w:right w:val="nil"/>
            </w:tcBorders>
            <w:vAlign w:val="center"/>
          </w:tcPr>
          <w:p w14:paraId="7FA82A3C"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0.027</w:t>
            </w:r>
          </w:p>
          <w:p w14:paraId="71693655"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±0.000</w:t>
            </w:r>
          </w:p>
        </w:tc>
        <w:tc>
          <w:tcPr>
            <w:tcW w:w="1634" w:type="dxa"/>
            <w:tcBorders>
              <w:left w:val="nil"/>
              <w:right w:val="nil"/>
            </w:tcBorders>
            <w:vAlign w:val="center"/>
          </w:tcPr>
          <w:p w14:paraId="6C564281"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2698.039</w:t>
            </w:r>
          </w:p>
          <w:p w14:paraId="444230CB"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±10.884</w:t>
            </w:r>
          </w:p>
        </w:tc>
        <w:tc>
          <w:tcPr>
            <w:tcW w:w="1134" w:type="dxa"/>
            <w:tcBorders>
              <w:left w:val="nil"/>
              <w:right w:val="nil"/>
            </w:tcBorders>
            <w:vAlign w:val="center"/>
          </w:tcPr>
          <w:p w14:paraId="3A56C52C"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3351.95</w:t>
            </w:r>
          </w:p>
          <w:p w14:paraId="2DD6F244"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±11.844</w:t>
            </w:r>
          </w:p>
        </w:tc>
        <w:tc>
          <w:tcPr>
            <w:tcW w:w="1378" w:type="dxa"/>
            <w:tcBorders>
              <w:left w:val="nil"/>
              <w:right w:val="nil"/>
            </w:tcBorders>
            <w:vAlign w:val="center"/>
          </w:tcPr>
          <w:p w14:paraId="2A18E6E8"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18.015</w:t>
            </w:r>
          </w:p>
          <w:p w14:paraId="185F21B5"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±0.057</w:t>
            </w:r>
          </w:p>
        </w:tc>
        <w:tc>
          <w:tcPr>
            <w:tcW w:w="1439" w:type="dxa"/>
            <w:tcBorders>
              <w:left w:val="nil"/>
              <w:right w:val="nil"/>
            </w:tcBorders>
          </w:tcPr>
          <w:p w14:paraId="149CE4EA"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0.187</w:t>
            </w:r>
          </w:p>
          <w:p w14:paraId="62069569"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±0.001</w:t>
            </w:r>
          </w:p>
        </w:tc>
        <w:tc>
          <w:tcPr>
            <w:tcW w:w="1010" w:type="dxa"/>
            <w:tcBorders>
              <w:left w:val="nil"/>
              <w:right w:val="nil"/>
            </w:tcBorders>
            <w:vAlign w:val="center"/>
          </w:tcPr>
          <w:p w14:paraId="319EC406"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69.000</w:t>
            </w:r>
          </w:p>
          <w:p w14:paraId="32D2DCB8"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±2.15</w:t>
            </w:r>
          </w:p>
        </w:tc>
      </w:tr>
      <w:tr w:rsidR="00A62FEC" w:rsidRPr="00C84A9C" w14:paraId="1E0330C0" w14:textId="77777777" w:rsidTr="00A62FEC">
        <w:tc>
          <w:tcPr>
            <w:tcW w:w="1708" w:type="dxa"/>
            <w:tcBorders>
              <w:left w:val="nil"/>
              <w:right w:val="nil"/>
            </w:tcBorders>
          </w:tcPr>
          <w:p w14:paraId="2CCE31CE"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b/>
                <w:i/>
                <w:sz w:val="20"/>
                <w:szCs w:val="20"/>
              </w:rPr>
              <w:t>1.0</w:t>
            </w:r>
          </w:p>
        </w:tc>
        <w:tc>
          <w:tcPr>
            <w:tcW w:w="1415" w:type="dxa"/>
            <w:tcBorders>
              <w:left w:val="nil"/>
              <w:right w:val="nil"/>
            </w:tcBorders>
            <w:vAlign w:val="center"/>
          </w:tcPr>
          <w:p w14:paraId="7D5978A2"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0.028</w:t>
            </w:r>
          </w:p>
          <w:p w14:paraId="6C75E605"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±0.002</w:t>
            </w:r>
          </w:p>
        </w:tc>
        <w:tc>
          <w:tcPr>
            <w:tcW w:w="1634" w:type="dxa"/>
            <w:tcBorders>
              <w:left w:val="nil"/>
              <w:right w:val="nil"/>
            </w:tcBorders>
            <w:vAlign w:val="center"/>
          </w:tcPr>
          <w:p w14:paraId="020641BC"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2732.026</w:t>
            </w:r>
          </w:p>
          <w:p w14:paraId="45147CC6"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±12.354</w:t>
            </w:r>
          </w:p>
        </w:tc>
        <w:tc>
          <w:tcPr>
            <w:tcW w:w="1134" w:type="dxa"/>
            <w:tcBorders>
              <w:left w:val="nil"/>
              <w:right w:val="nil"/>
            </w:tcBorders>
            <w:vAlign w:val="center"/>
          </w:tcPr>
          <w:p w14:paraId="3E03899B"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3390.86</w:t>
            </w:r>
          </w:p>
          <w:p w14:paraId="28C2C957"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±8.792</w:t>
            </w:r>
          </w:p>
        </w:tc>
        <w:tc>
          <w:tcPr>
            <w:tcW w:w="1378" w:type="dxa"/>
            <w:tcBorders>
              <w:left w:val="nil"/>
              <w:right w:val="nil"/>
            </w:tcBorders>
            <w:vAlign w:val="center"/>
          </w:tcPr>
          <w:p w14:paraId="53B2D3C3"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23.984</w:t>
            </w:r>
          </w:p>
          <w:p w14:paraId="0E72D2C8"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±0.183</w:t>
            </w:r>
          </w:p>
        </w:tc>
        <w:tc>
          <w:tcPr>
            <w:tcW w:w="1439" w:type="dxa"/>
            <w:tcBorders>
              <w:left w:val="nil"/>
              <w:right w:val="nil"/>
            </w:tcBorders>
          </w:tcPr>
          <w:p w14:paraId="660D0E8E"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0.195</w:t>
            </w:r>
          </w:p>
          <w:p w14:paraId="1DF45DDE"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±0.001</w:t>
            </w:r>
          </w:p>
        </w:tc>
        <w:tc>
          <w:tcPr>
            <w:tcW w:w="1010" w:type="dxa"/>
            <w:tcBorders>
              <w:left w:val="nil"/>
              <w:right w:val="nil"/>
            </w:tcBorders>
          </w:tcPr>
          <w:p w14:paraId="42C1BFED"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105.35</w:t>
            </w:r>
          </w:p>
          <w:p w14:paraId="1DECBC5E"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±5.688</w:t>
            </w:r>
          </w:p>
        </w:tc>
      </w:tr>
      <w:tr w:rsidR="00A62FEC" w:rsidRPr="00C84A9C" w14:paraId="58F3C33A" w14:textId="77777777" w:rsidTr="00A62FEC">
        <w:tc>
          <w:tcPr>
            <w:tcW w:w="1708" w:type="dxa"/>
            <w:tcBorders>
              <w:left w:val="nil"/>
              <w:right w:val="nil"/>
            </w:tcBorders>
          </w:tcPr>
          <w:p w14:paraId="7B71FDFA"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b/>
                <w:i/>
                <w:sz w:val="20"/>
                <w:szCs w:val="20"/>
              </w:rPr>
              <w:t>1.5</w:t>
            </w:r>
          </w:p>
        </w:tc>
        <w:tc>
          <w:tcPr>
            <w:tcW w:w="1415" w:type="dxa"/>
            <w:tcBorders>
              <w:left w:val="nil"/>
              <w:right w:val="nil"/>
            </w:tcBorders>
            <w:vAlign w:val="center"/>
          </w:tcPr>
          <w:p w14:paraId="5F2963EB"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0.035</w:t>
            </w:r>
          </w:p>
          <w:p w14:paraId="51EB1133"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±0.003</w:t>
            </w:r>
          </w:p>
        </w:tc>
        <w:tc>
          <w:tcPr>
            <w:tcW w:w="1634" w:type="dxa"/>
            <w:tcBorders>
              <w:left w:val="nil"/>
              <w:right w:val="nil"/>
            </w:tcBorders>
            <w:vAlign w:val="center"/>
          </w:tcPr>
          <w:p w14:paraId="41FFC1C5"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2847.059</w:t>
            </w:r>
          </w:p>
          <w:p w14:paraId="0BB98028"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±90.448</w:t>
            </w:r>
          </w:p>
        </w:tc>
        <w:tc>
          <w:tcPr>
            <w:tcW w:w="1134" w:type="dxa"/>
            <w:tcBorders>
              <w:left w:val="nil"/>
              <w:right w:val="nil"/>
            </w:tcBorders>
            <w:vAlign w:val="center"/>
          </w:tcPr>
          <w:p w14:paraId="66762CFC"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4379.02</w:t>
            </w:r>
          </w:p>
          <w:p w14:paraId="5EA8B110"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±22.383</w:t>
            </w:r>
          </w:p>
        </w:tc>
        <w:tc>
          <w:tcPr>
            <w:tcW w:w="1378" w:type="dxa"/>
            <w:tcBorders>
              <w:left w:val="nil"/>
              <w:right w:val="nil"/>
            </w:tcBorders>
            <w:vAlign w:val="center"/>
          </w:tcPr>
          <w:p w14:paraId="089D93C6"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25.333</w:t>
            </w:r>
          </w:p>
          <w:p w14:paraId="203AC80E"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±0.072</w:t>
            </w:r>
          </w:p>
        </w:tc>
        <w:tc>
          <w:tcPr>
            <w:tcW w:w="1439" w:type="dxa"/>
            <w:tcBorders>
              <w:left w:val="nil"/>
              <w:right w:val="nil"/>
            </w:tcBorders>
            <w:vAlign w:val="center"/>
          </w:tcPr>
          <w:p w14:paraId="0A19929D"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0.220</w:t>
            </w:r>
          </w:p>
          <w:p w14:paraId="121A3621"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±0.001</w:t>
            </w:r>
          </w:p>
        </w:tc>
        <w:tc>
          <w:tcPr>
            <w:tcW w:w="1010" w:type="dxa"/>
            <w:tcBorders>
              <w:left w:val="nil"/>
              <w:right w:val="nil"/>
            </w:tcBorders>
          </w:tcPr>
          <w:p w14:paraId="129B4018"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148.35</w:t>
            </w:r>
          </w:p>
          <w:p w14:paraId="68F6A3B8"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±14.098</w:t>
            </w:r>
          </w:p>
        </w:tc>
      </w:tr>
      <w:tr w:rsidR="00A62FEC" w:rsidRPr="00C84A9C" w14:paraId="5EA83A9F" w14:textId="77777777" w:rsidTr="00A62FEC">
        <w:tc>
          <w:tcPr>
            <w:tcW w:w="1708" w:type="dxa"/>
            <w:tcBorders>
              <w:left w:val="nil"/>
              <w:right w:val="nil"/>
            </w:tcBorders>
          </w:tcPr>
          <w:p w14:paraId="1A956BCD"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b/>
                <w:i/>
                <w:sz w:val="20"/>
                <w:szCs w:val="20"/>
              </w:rPr>
              <w:t>2.0</w:t>
            </w:r>
          </w:p>
        </w:tc>
        <w:tc>
          <w:tcPr>
            <w:tcW w:w="1415" w:type="dxa"/>
            <w:tcBorders>
              <w:left w:val="nil"/>
              <w:right w:val="nil"/>
            </w:tcBorders>
            <w:vAlign w:val="center"/>
          </w:tcPr>
          <w:p w14:paraId="7155683E"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0.034</w:t>
            </w:r>
          </w:p>
          <w:p w14:paraId="748D0B61"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±0.001</w:t>
            </w:r>
          </w:p>
        </w:tc>
        <w:tc>
          <w:tcPr>
            <w:tcW w:w="1634" w:type="dxa"/>
            <w:tcBorders>
              <w:left w:val="nil"/>
              <w:right w:val="nil"/>
            </w:tcBorders>
            <w:vAlign w:val="center"/>
          </w:tcPr>
          <w:p w14:paraId="61FA87FD"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3323.747</w:t>
            </w:r>
          </w:p>
          <w:p w14:paraId="633FE992"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±174.345</w:t>
            </w:r>
          </w:p>
        </w:tc>
        <w:tc>
          <w:tcPr>
            <w:tcW w:w="1134" w:type="dxa"/>
            <w:tcBorders>
              <w:left w:val="nil"/>
              <w:right w:val="nil"/>
            </w:tcBorders>
            <w:vAlign w:val="center"/>
          </w:tcPr>
          <w:p w14:paraId="25F07F20"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5196.277</w:t>
            </w:r>
          </w:p>
          <w:p w14:paraId="1649B67C"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±4.476</w:t>
            </w:r>
          </w:p>
        </w:tc>
        <w:tc>
          <w:tcPr>
            <w:tcW w:w="1378" w:type="dxa"/>
            <w:tcBorders>
              <w:left w:val="nil"/>
              <w:right w:val="nil"/>
            </w:tcBorders>
            <w:vAlign w:val="center"/>
          </w:tcPr>
          <w:p w14:paraId="24EA6DF1"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28.777</w:t>
            </w:r>
          </w:p>
          <w:p w14:paraId="5088878C"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±0.082</w:t>
            </w:r>
          </w:p>
        </w:tc>
        <w:tc>
          <w:tcPr>
            <w:tcW w:w="1439" w:type="dxa"/>
            <w:tcBorders>
              <w:left w:val="nil"/>
              <w:right w:val="nil"/>
            </w:tcBorders>
            <w:vAlign w:val="center"/>
          </w:tcPr>
          <w:p w14:paraId="20C4ED43"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0.263</w:t>
            </w:r>
          </w:p>
          <w:p w14:paraId="3DCEF04B"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±0.001</w:t>
            </w:r>
          </w:p>
        </w:tc>
        <w:tc>
          <w:tcPr>
            <w:tcW w:w="1010" w:type="dxa"/>
            <w:tcBorders>
              <w:left w:val="nil"/>
              <w:right w:val="nil"/>
            </w:tcBorders>
          </w:tcPr>
          <w:p w14:paraId="46E535A0"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159.1</w:t>
            </w:r>
          </w:p>
          <w:p w14:paraId="624726CC"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±5.688</w:t>
            </w:r>
          </w:p>
        </w:tc>
      </w:tr>
      <w:tr w:rsidR="00A62FEC" w:rsidRPr="00C84A9C" w14:paraId="6F306772" w14:textId="77777777" w:rsidTr="00A62FEC">
        <w:tc>
          <w:tcPr>
            <w:tcW w:w="1708" w:type="dxa"/>
            <w:tcBorders>
              <w:left w:val="nil"/>
              <w:bottom w:val="single" w:sz="4" w:space="0" w:color="auto"/>
              <w:right w:val="nil"/>
            </w:tcBorders>
          </w:tcPr>
          <w:p w14:paraId="76DDCFC8"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b/>
                <w:i/>
                <w:sz w:val="20"/>
                <w:szCs w:val="20"/>
              </w:rPr>
              <w:t>2.5</w:t>
            </w:r>
          </w:p>
        </w:tc>
        <w:tc>
          <w:tcPr>
            <w:tcW w:w="1415" w:type="dxa"/>
            <w:tcBorders>
              <w:left w:val="nil"/>
              <w:bottom w:val="single" w:sz="4" w:space="0" w:color="auto"/>
              <w:right w:val="nil"/>
            </w:tcBorders>
            <w:vAlign w:val="center"/>
          </w:tcPr>
          <w:p w14:paraId="36792CAF"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0.038</w:t>
            </w:r>
          </w:p>
          <w:p w14:paraId="61B40752"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±0.003</w:t>
            </w:r>
          </w:p>
        </w:tc>
        <w:tc>
          <w:tcPr>
            <w:tcW w:w="1634" w:type="dxa"/>
            <w:tcBorders>
              <w:left w:val="nil"/>
              <w:bottom w:val="single" w:sz="4" w:space="0" w:color="auto"/>
              <w:right w:val="nil"/>
            </w:tcBorders>
            <w:vAlign w:val="center"/>
          </w:tcPr>
          <w:p w14:paraId="5289B525"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3715.033</w:t>
            </w:r>
          </w:p>
          <w:p w14:paraId="07F73CEA"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±5.442</w:t>
            </w:r>
          </w:p>
        </w:tc>
        <w:tc>
          <w:tcPr>
            <w:tcW w:w="1134" w:type="dxa"/>
            <w:tcBorders>
              <w:left w:val="nil"/>
              <w:bottom w:val="single" w:sz="4" w:space="0" w:color="auto"/>
              <w:right w:val="nil"/>
            </w:tcBorders>
            <w:vAlign w:val="center"/>
          </w:tcPr>
          <w:p w14:paraId="32E882C6"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5323.181</w:t>
            </w:r>
          </w:p>
          <w:p w14:paraId="1CEDAE63"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±19.948</w:t>
            </w:r>
          </w:p>
        </w:tc>
        <w:tc>
          <w:tcPr>
            <w:tcW w:w="1378" w:type="dxa"/>
            <w:tcBorders>
              <w:left w:val="nil"/>
              <w:bottom w:val="single" w:sz="4" w:space="0" w:color="auto"/>
              <w:right w:val="nil"/>
            </w:tcBorders>
            <w:vAlign w:val="center"/>
          </w:tcPr>
          <w:p w14:paraId="6547D83D"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34.063</w:t>
            </w:r>
          </w:p>
          <w:p w14:paraId="103F98EB"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±0.082</w:t>
            </w:r>
          </w:p>
        </w:tc>
        <w:tc>
          <w:tcPr>
            <w:tcW w:w="1439" w:type="dxa"/>
            <w:tcBorders>
              <w:left w:val="nil"/>
              <w:bottom w:val="single" w:sz="4" w:space="0" w:color="auto"/>
              <w:right w:val="nil"/>
            </w:tcBorders>
          </w:tcPr>
          <w:p w14:paraId="72DA3367"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0.267</w:t>
            </w:r>
          </w:p>
          <w:p w14:paraId="37F2F3EC"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±0.002</w:t>
            </w:r>
          </w:p>
        </w:tc>
        <w:tc>
          <w:tcPr>
            <w:tcW w:w="1010" w:type="dxa"/>
            <w:tcBorders>
              <w:left w:val="nil"/>
              <w:bottom w:val="single" w:sz="4" w:space="0" w:color="auto"/>
              <w:right w:val="nil"/>
            </w:tcBorders>
          </w:tcPr>
          <w:p w14:paraId="7E848829"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161.25</w:t>
            </w:r>
          </w:p>
          <w:p w14:paraId="3D688E85"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±9.852</w:t>
            </w:r>
          </w:p>
        </w:tc>
      </w:tr>
    </w:tbl>
    <w:p w14:paraId="2EFD662B" w14:textId="77777777" w:rsidR="004E7D15" w:rsidRPr="005E7EFF" w:rsidRDefault="004E7D15" w:rsidP="004E7D15">
      <w:pPr>
        <w:spacing w:line="276" w:lineRule="auto"/>
        <w:jc w:val="both"/>
        <w:rPr>
          <w:rFonts w:ascii="Arial" w:hAnsi="Arial" w:cs="Arial"/>
          <w:bCs/>
        </w:rPr>
      </w:pPr>
    </w:p>
    <w:p w14:paraId="4A454CDF" w14:textId="77777777" w:rsidR="004E7D15" w:rsidRPr="005E7EFF" w:rsidRDefault="004E7D15" w:rsidP="004E7D15">
      <w:pPr>
        <w:spacing w:line="276" w:lineRule="auto"/>
        <w:jc w:val="both"/>
        <w:rPr>
          <w:rFonts w:ascii="Arial" w:hAnsi="Arial" w:cs="Arial"/>
          <w:b/>
        </w:rPr>
      </w:pPr>
      <w:r w:rsidRPr="005E7EFF">
        <w:rPr>
          <w:rFonts w:ascii="Arial" w:hAnsi="Arial" w:cs="Arial"/>
          <w:b/>
        </w:rPr>
        <w:t xml:space="preserve">Discussion </w:t>
      </w:r>
    </w:p>
    <w:p w14:paraId="5FA2EB44" w14:textId="77777777" w:rsidR="004E7D15" w:rsidRPr="005E7EFF" w:rsidRDefault="004E7D15" w:rsidP="004E7D15">
      <w:pPr>
        <w:spacing w:line="276" w:lineRule="auto"/>
        <w:jc w:val="both"/>
        <w:rPr>
          <w:rFonts w:ascii="Arial" w:hAnsi="Arial" w:cs="Arial"/>
        </w:rPr>
      </w:pPr>
      <w:r w:rsidRPr="005E7EFF">
        <w:rPr>
          <w:rFonts w:ascii="Arial" w:hAnsi="Arial" w:cs="Arial"/>
        </w:rPr>
        <w:t xml:space="preserve">The present study demonstrates that both cadmium (Cd) and paraquat dichloride (PQ) induce dose-dependent enzymatic response in </w:t>
      </w:r>
      <w:r w:rsidRPr="005E7EFF">
        <w:rPr>
          <w:rFonts w:ascii="Arial" w:hAnsi="Arial" w:cs="Arial"/>
          <w:i/>
          <w:iCs/>
        </w:rPr>
        <w:t>Lemna minor</w:t>
      </w:r>
      <w:r w:rsidRPr="005E7EFF">
        <w:rPr>
          <w:rFonts w:ascii="Arial" w:hAnsi="Arial" w:cs="Arial"/>
        </w:rPr>
        <w:t>. Heavy metals cause large amounts of lipid peroxidation that can be initiated by reactive oxygen species (O•</w:t>
      </w:r>
      <w:r w:rsidRPr="005E7EFF">
        <w:rPr>
          <w:rFonts w:ascii="Arial" w:hAnsi="Arial" w:cs="Arial"/>
          <w:vertAlign w:val="superscript"/>
        </w:rPr>
        <w:t>−2</w:t>
      </w:r>
      <w:r w:rsidRPr="005E7EFF">
        <w:rPr>
          <w:rFonts w:ascii="Arial" w:hAnsi="Arial" w:cs="Arial"/>
        </w:rPr>
        <w:t>, OH• and</w:t>
      </w:r>
      <w:r w:rsidRPr="005E7EFF">
        <w:rPr>
          <w:rFonts w:ascii="Arial" w:hAnsi="Arial" w:cs="Arial"/>
          <w:vertAlign w:val="superscript"/>
        </w:rPr>
        <w:t xml:space="preserve"> 1</w:t>
      </w:r>
      <w:r w:rsidRPr="005E7EFF">
        <w:rPr>
          <w:rFonts w:ascii="Arial" w:hAnsi="Arial" w:cs="Arial"/>
        </w:rPr>
        <w:t>O</w:t>
      </w:r>
      <w:r w:rsidRPr="005E7EFF">
        <w:rPr>
          <w:rFonts w:ascii="Arial" w:hAnsi="Arial" w:cs="Arial"/>
          <w:vertAlign w:val="subscript"/>
        </w:rPr>
        <w:t>2</w:t>
      </w:r>
      <w:r w:rsidRPr="005E7EFF">
        <w:rPr>
          <w:rFonts w:ascii="Arial" w:hAnsi="Arial" w:cs="Arial"/>
        </w:rPr>
        <w:t xml:space="preserve">) or lipoxygenase (Singh et al. 2006). The highest MDA content was observed in </w:t>
      </w:r>
      <w:r w:rsidRPr="005E7EFF">
        <w:rPr>
          <w:rFonts w:ascii="Arial" w:hAnsi="Arial" w:cs="Arial"/>
          <w:i/>
        </w:rPr>
        <w:t>Lemna</w:t>
      </w:r>
      <w:r w:rsidRPr="005E7EFF">
        <w:rPr>
          <w:rFonts w:ascii="Arial" w:hAnsi="Arial" w:cs="Arial"/>
        </w:rPr>
        <w:t xml:space="preserve"> plants treated with Cd on 4th day of experiment. This indicates that the metal caused oxidate damage. Cd toxicity leads to oxidative stress, as has been previously reported (Singh et al. 2006; </w:t>
      </w:r>
      <w:proofErr w:type="spellStart"/>
      <w:r w:rsidRPr="005E7EFF">
        <w:rPr>
          <w:rFonts w:ascii="Arial" w:hAnsi="Arial" w:cs="Arial"/>
        </w:rPr>
        <w:t>Gratão</w:t>
      </w:r>
      <w:proofErr w:type="spellEnd"/>
      <w:r w:rsidRPr="005E7EFF">
        <w:rPr>
          <w:rFonts w:ascii="Arial" w:hAnsi="Arial" w:cs="Arial"/>
        </w:rPr>
        <w:t xml:space="preserve"> et al. 2008; Tkalec et al, 2008). The marked increase in MDA equivalents observed here after exposure to paraquat suggests the possibility of oxidative modes of phytotoxicity for these herbicides (2008). Increased MDA levels are an indicator of membrane damage, which can lead to functional impairment of the cell, arrest of growth and potentially plant death should antioxidant defenses be overwhelmed (</w:t>
      </w:r>
      <w:proofErr w:type="spellStart"/>
      <w:r w:rsidRPr="005E7EFF">
        <w:rPr>
          <w:rFonts w:ascii="Arial" w:hAnsi="Arial" w:cs="Arial"/>
        </w:rPr>
        <w:t>HaroGirón</w:t>
      </w:r>
      <w:proofErr w:type="spellEnd"/>
      <w:r w:rsidRPr="005E7EFF">
        <w:rPr>
          <w:rFonts w:ascii="Arial" w:hAnsi="Arial" w:cs="Arial"/>
        </w:rPr>
        <w:t xml:space="preserve"> et al., 2023). Monitoring </w:t>
      </w:r>
      <w:r w:rsidRPr="005E7EFF">
        <w:rPr>
          <w:rFonts w:ascii="Arial" w:hAnsi="Arial" w:cs="Arial"/>
        </w:rPr>
        <w:lastRenderedPageBreak/>
        <w:t xml:space="preserve">of MDA level may help in assessment of risk of environment and effect of agrochemicals on aquatic ecosystems through oxidative stress. The plant response towards ROS were govern by various pathways via various antioxidant enzymes. Superoxide </w:t>
      </w:r>
      <w:proofErr w:type="spellStart"/>
      <w:r w:rsidRPr="005E7EFF">
        <w:rPr>
          <w:rFonts w:ascii="Arial" w:hAnsi="Arial" w:cs="Arial"/>
        </w:rPr>
        <w:t>dismutases</w:t>
      </w:r>
      <w:proofErr w:type="spellEnd"/>
      <w:r w:rsidRPr="005E7EFF">
        <w:rPr>
          <w:rFonts w:ascii="Arial" w:hAnsi="Arial" w:cs="Arial"/>
        </w:rPr>
        <w:t xml:space="preserve"> (SODs) catalyze the dismutation of superoxide (O</w:t>
      </w:r>
      <w:r w:rsidRPr="005E7EFF">
        <w:rPr>
          <w:rFonts w:ascii="Arial" w:hAnsi="Arial" w:cs="Arial"/>
          <w:vertAlign w:val="subscript"/>
        </w:rPr>
        <w:t>2</w:t>
      </w:r>
      <w:r w:rsidRPr="005E7EFF">
        <w:rPr>
          <w:rFonts w:ascii="Arial" w:hAnsi="Arial" w:cs="Arial"/>
        </w:rPr>
        <w:t xml:space="preserve">•−) to molecular oxygen and hydrogen peroxide, protecting cells against superoxide toxicity (Cakmak, 2005). In </w:t>
      </w:r>
      <w:r w:rsidRPr="005E7EFF">
        <w:rPr>
          <w:rFonts w:ascii="Arial" w:hAnsi="Arial" w:cs="Arial"/>
          <w:i/>
        </w:rPr>
        <w:t>Lemna minor</w:t>
      </w:r>
      <w:r w:rsidRPr="005E7EFF">
        <w:rPr>
          <w:rFonts w:ascii="Arial" w:hAnsi="Arial" w:cs="Arial"/>
        </w:rPr>
        <w:t>, short-term Cd exposure strongly inhibits CAT relative to other antioxidant enzymes, and total antioxidative potential collapses at higher Cd levels, consistent with a transition from compensated to decompensated oxidative stress. Microalgae and other aquatic plants show comparable trends: initial upregulation of CAT followed by suppression as Cd accumulates and cellular damage progresses (Farias et al.2024; Razinger et al.2008). Catalases (CAT) and peroxidases (APX and GPX) decompose H</w:t>
      </w:r>
      <w:r w:rsidRPr="005E7EFF">
        <w:rPr>
          <w:rFonts w:ascii="Arial" w:hAnsi="Arial" w:cs="Arial"/>
          <w:vertAlign w:val="subscript"/>
        </w:rPr>
        <w:t>2</w:t>
      </w:r>
      <w:r w:rsidRPr="005E7EFF">
        <w:rPr>
          <w:rFonts w:ascii="Arial" w:hAnsi="Arial" w:cs="Arial"/>
        </w:rPr>
        <w:t>O</w:t>
      </w:r>
      <w:r w:rsidRPr="005E7EFF">
        <w:rPr>
          <w:rFonts w:ascii="Arial" w:hAnsi="Arial" w:cs="Arial"/>
          <w:vertAlign w:val="subscript"/>
        </w:rPr>
        <w:t>2</w:t>
      </w:r>
      <w:r w:rsidRPr="005E7EFF">
        <w:rPr>
          <w:rFonts w:ascii="Arial" w:hAnsi="Arial" w:cs="Arial"/>
        </w:rPr>
        <w:t xml:space="preserve"> to H</w:t>
      </w:r>
      <w:r w:rsidRPr="005E7EFF">
        <w:rPr>
          <w:rFonts w:ascii="Arial" w:hAnsi="Arial" w:cs="Arial"/>
          <w:vertAlign w:val="subscript"/>
        </w:rPr>
        <w:t>2</w:t>
      </w:r>
      <w:r w:rsidRPr="005E7EFF">
        <w:rPr>
          <w:rFonts w:ascii="Arial" w:hAnsi="Arial" w:cs="Arial"/>
        </w:rPr>
        <w:t>O and O</w:t>
      </w:r>
      <w:r w:rsidRPr="005E7EFF">
        <w:rPr>
          <w:rFonts w:ascii="Arial" w:hAnsi="Arial" w:cs="Arial"/>
          <w:vertAlign w:val="subscript"/>
        </w:rPr>
        <w:t>2</w:t>
      </w:r>
      <w:r w:rsidRPr="005E7EFF">
        <w:rPr>
          <w:rFonts w:ascii="Arial" w:hAnsi="Arial" w:cs="Arial"/>
        </w:rPr>
        <w:t xml:space="preserve">.  GR activity was significantly increased at high Cd concentrations, in agreement with recent data in duckweed and other aquatic plants, where GR activity is strongly enhanced as part of a general antioxidative response. The ability of the plant to cope with acute oxidative stress caused by metals is associated with increased GR activity (Li et al. 2018; Yang et al. 2023; </w:t>
      </w:r>
      <w:proofErr w:type="spellStart"/>
      <w:r w:rsidRPr="005E7EFF">
        <w:rPr>
          <w:rFonts w:ascii="Arial" w:hAnsi="Arial" w:cs="Arial"/>
        </w:rPr>
        <w:t>Moravčíková</w:t>
      </w:r>
      <w:proofErr w:type="spellEnd"/>
      <w:r w:rsidRPr="005E7EFF">
        <w:rPr>
          <w:rFonts w:ascii="Arial" w:hAnsi="Arial" w:cs="Arial"/>
        </w:rPr>
        <w:t xml:space="preserve"> &amp; </w:t>
      </w:r>
      <w:proofErr w:type="spellStart"/>
      <w:r w:rsidRPr="005E7EFF">
        <w:rPr>
          <w:rFonts w:ascii="Arial" w:hAnsi="Arial" w:cs="Arial"/>
        </w:rPr>
        <w:t>Žiarovská</w:t>
      </w:r>
      <w:proofErr w:type="spellEnd"/>
      <w:r w:rsidRPr="005E7EFF">
        <w:rPr>
          <w:rFonts w:ascii="Arial" w:hAnsi="Arial" w:cs="Arial"/>
        </w:rPr>
        <w:t xml:space="preserve"> 2023). The dose-dependent increase in the activities of antioxidant enzymes indicates that </w:t>
      </w:r>
      <w:r w:rsidRPr="005E7EFF">
        <w:rPr>
          <w:rFonts w:ascii="Arial" w:hAnsi="Arial" w:cs="Arial"/>
          <w:i/>
          <w:iCs/>
        </w:rPr>
        <w:t>Lemna minor</w:t>
      </w:r>
      <w:r w:rsidRPr="005E7EFF">
        <w:rPr>
          <w:rFonts w:ascii="Arial" w:hAnsi="Arial" w:cs="Arial"/>
        </w:rPr>
        <w:t xml:space="preserve"> is efficient in scavenging reactive oxygen species (ROS). The high elevation of SOD in </w:t>
      </w:r>
      <w:r w:rsidRPr="005E7EFF">
        <w:rPr>
          <w:rFonts w:ascii="Arial" w:hAnsi="Arial" w:cs="Arial"/>
          <w:i/>
          <w:iCs/>
        </w:rPr>
        <w:t>Lemna minor</w:t>
      </w:r>
      <w:r w:rsidRPr="005E7EFF">
        <w:rPr>
          <w:rFonts w:ascii="Arial" w:hAnsi="Arial" w:cs="Arial"/>
        </w:rPr>
        <w:t xml:space="preserve"> confirms its role as a sensitive biomarker of herbicide toxicity (Manna et al., 2020). Paraquat induces oxidative stress through redox cycling and reactive oxygen species (ROS) generation (Donaher and Van den, 2023). The process was observed for an increase in SOD activity from 6.25% to 47%. This is compatible with the sensitivity of aquatic plants (EC50 = 28–280 </w:t>
      </w:r>
      <w:proofErr w:type="spellStart"/>
      <w:r w:rsidRPr="005E7EFF">
        <w:rPr>
          <w:rFonts w:ascii="Arial" w:hAnsi="Arial" w:cs="Arial"/>
        </w:rPr>
        <w:t>μg</w:t>
      </w:r>
      <w:proofErr w:type="spellEnd"/>
      <w:r w:rsidRPr="005E7EFF">
        <w:rPr>
          <w:rFonts w:ascii="Arial" w:hAnsi="Arial" w:cs="Arial"/>
        </w:rPr>
        <w:t xml:space="preserve">/L). High SOD response at low concentrations of paraquat (0.5-2.5 mg/L) is an indicator of high toxicity of this chemical (Donaher and Van den, 2023). At higher concentrations of paraquat (2 and 2.5 mg/L) significant increases in POD activity of </w:t>
      </w:r>
      <w:r w:rsidRPr="005E7EFF">
        <w:rPr>
          <w:rFonts w:ascii="Arial" w:hAnsi="Arial" w:cs="Arial"/>
          <w:i/>
          <w:iCs/>
        </w:rPr>
        <w:t>Lemna minor</w:t>
      </w:r>
      <w:r w:rsidRPr="005E7EFF">
        <w:rPr>
          <w:rFonts w:ascii="Arial" w:hAnsi="Arial" w:cs="Arial"/>
        </w:rPr>
        <w:t xml:space="preserve"> were observed indicating an active antioxidant response to reduce the cellular damage caused by reactive oxygen species (ROS). The increase in the activity of POD is probably an attempt to protect the body from the oxidative damage caused by paraquat. As the concentration of paraquat dichloride increased, the CAT activity of </w:t>
      </w:r>
      <w:r w:rsidRPr="005E7EFF">
        <w:rPr>
          <w:rFonts w:ascii="Arial" w:hAnsi="Arial" w:cs="Arial"/>
          <w:i/>
          <w:iCs/>
        </w:rPr>
        <w:t>Lemna minor</w:t>
      </w:r>
      <w:r w:rsidRPr="005E7EFF">
        <w:rPr>
          <w:rFonts w:ascii="Arial" w:hAnsi="Arial" w:cs="Arial"/>
        </w:rPr>
        <w:t xml:space="preserve"> increased significantly (16.39%-85%). According to Tagun (2014), the increase in CAT activity is a common self-protection method of plants. It catalyzes the breakdown of hydrogen peroxide, a by-product of reactive oxygen species (ROS), to protect cells from oxidative damage. </w:t>
      </w:r>
      <w:r w:rsidRPr="005E7EFF">
        <w:rPr>
          <w:rFonts w:ascii="Arial" w:hAnsi="Arial" w:cs="Arial"/>
          <w:i/>
          <w:iCs/>
        </w:rPr>
        <w:t>Lemna minor</w:t>
      </w:r>
      <w:r w:rsidRPr="005E7EFF">
        <w:rPr>
          <w:rFonts w:ascii="Arial" w:hAnsi="Arial" w:cs="Arial"/>
        </w:rPr>
        <w:t xml:space="preserve"> has been found to be very sensitive to paraquat and its growth is quickly inhibited with the occurrence of physiological changes (Tagun, 2014). Increasing the concentration of paraquat dichloride exposure to </w:t>
      </w:r>
      <w:r w:rsidRPr="005E7EFF">
        <w:rPr>
          <w:rFonts w:ascii="Arial" w:hAnsi="Arial" w:cs="Arial"/>
          <w:i/>
          <w:iCs/>
        </w:rPr>
        <w:t>Lemna minor</w:t>
      </w:r>
      <w:r w:rsidRPr="005E7EFF">
        <w:rPr>
          <w:rFonts w:ascii="Arial" w:hAnsi="Arial" w:cs="Arial"/>
        </w:rPr>
        <w:t xml:space="preserve"> increased the ascorbate peroxidase (APX) activity. APX expression is differentially regulated during normal plant growth and development and in response to environmental stresses (Pandey et al., 2017). Stress in a cell causes a rapid disturbance of the redox balance and accumulation of reactive oxygen species (Halliwell, 2006). The level of APX expression (Tang et al. 2006) is directly related to the time and intensity of stress and different types of stress. GR plays a very important role in the cellular scavenging system to eliminate the reactive oxygen species (ROS) in plants. It uses NADPH as an electron donor to reduce oxidized glutathione or glutathione disulfide (GSSG) to reduced glutathione (GSH). This process is required to maintain the cellular redox levels by keeping the GSH/GSSG ratio low in cells under normal or oxidative stress (Anjuma et al. 2012). The present study suggests an increase in GR activity which is in line with the findings of other studies.</w:t>
      </w:r>
    </w:p>
    <w:p w14:paraId="08286AE5" w14:textId="77777777" w:rsidR="00790ADA" w:rsidRPr="00FB3A86" w:rsidRDefault="00790ADA" w:rsidP="00441B6F">
      <w:pPr>
        <w:pStyle w:val="Body"/>
        <w:spacing w:after="0"/>
        <w:rPr>
          <w:rFonts w:ascii="Arial" w:hAnsi="Arial" w:cs="Arial"/>
        </w:rPr>
      </w:pPr>
    </w:p>
    <w:p w14:paraId="119988D8" w14:textId="77777777" w:rsidR="00B01FCD" w:rsidRDefault="00D779CE" w:rsidP="00441B6F">
      <w:pPr>
        <w:pStyle w:val="ConcHead"/>
        <w:spacing w:after="0"/>
        <w:jc w:val="both"/>
        <w:rPr>
          <w:rFonts w:ascii="Arial" w:hAnsi="Arial" w:cs="Arial"/>
        </w:rPr>
      </w:pPr>
      <w:r>
        <w:rPr>
          <w:rFonts w:ascii="Arial" w:hAnsi="Arial" w:cs="Arial"/>
        </w:rPr>
        <w:lastRenderedPageBreak/>
        <w:t>4</w:t>
      </w:r>
      <w:r w:rsidR="00000F8F">
        <w:rPr>
          <w:rFonts w:ascii="Arial" w:hAnsi="Arial" w:cs="Arial"/>
        </w:rPr>
        <w:t xml:space="preserve">. </w:t>
      </w:r>
      <w:r w:rsidR="00B01FCD" w:rsidRPr="00FB3A86">
        <w:rPr>
          <w:rFonts w:ascii="Arial" w:hAnsi="Arial" w:cs="Arial"/>
        </w:rPr>
        <w:t>Conclusion</w:t>
      </w:r>
    </w:p>
    <w:p w14:paraId="4A237C0B" w14:textId="77777777" w:rsidR="00790ADA" w:rsidRPr="00FB3A86" w:rsidRDefault="00790ADA" w:rsidP="00441B6F">
      <w:pPr>
        <w:pStyle w:val="ConcHead"/>
        <w:spacing w:after="0"/>
        <w:jc w:val="both"/>
        <w:rPr>
          <w:rFonts w:ascii="Arial" w:hAnsi="Arial" w:cs="Arial"/>
        </w:rPr>
      </w:pPr>
    </w:p>
    <w:p w14:paraId="4E5A86F7" w14:textId="77777777" w:rsidR="00790ADA" w:rsidRPr="00FB3A86" w:rsidRDefault="00D779CE" w:rsidP="00441B6F">
      <w:pPr>
        <w:pStyle w:val="Body"/>
        <w:spacing w:after="0"/>
        <w:rPr>
          <w:rFonts w:ascii="Arial" w:hAnsi="Arial" w:cs="Arial"/>
        </w:rPr>
      </w:pPr>
      <w:r w:rsidRPr="00D779CE">
        <w:rPr>
          <w:rFonts w:ascii="Arial" w:hAnsi="Arial" w:cs="Arial"/>
        </w:rPr>
        <w:t xml:space="preserve">Present study demonstrates that exposure to cadmium and paraquat markedly induces oxidative stress in </w:t>
      </w:r>
      <w:r w:rsidRPr="00D779CE">
        <w:rPr>
          <w:rFonts w:ascii="Arial" w:hAnsi="Arial" w:cs="Arial"/>
          <w:i/>
        </w:rPr>
        <w:t>Lemna minor</w:t>
      </w:r>
      <w:r w:rsidRPr="00D779CE">
        <w:rPr>
          <w:rFonts w:ascii="Arial" w:hAnsi="Arial" w:cs="Arial"/>
        </w:rPr>
        <w:t xml:space="preserve">, as evidenced by elevated lipid peroxidation and alterations in antioxidant enzyme activity. The elevated malondialdehyde (MDA) levels noted in response to cadmium and paraquat treatments signify considerable membrane impairment resulting from the accumulation of reactive oxygen species (ROS). A significant increase in the levels of antioxidant enzymes like SOD, CAT, APX, POD, and GR exhibits that </w:t>
      </w:r>
      <w:r w:rsidRPr="00D779CE">
        <w:rPr>
          <w:rFonts w:ascii="Arial" w:hAnsi="Arial" w:cs="Arial"/>
          <w:i/>
        </w:rPr>
        <w:t>Lemna minor</w:t>
      </w:r>
      <w:r w:rsidRPr="00D779CE">
        <w:rPr>
          <w:rFonts w:ascii="Arial" w:hAnsi="Arial" w:cs="Arial"/>
        </w:rPr>
        <w:t xml:space="preserve"> is trying to mitigate oxidative problems under contaminant induced stress. SOD is necessary for the dismutation of superoxide radicals, while CAT and peroxidases (APX, GPX, and POD) help break down hydrogen peroxide, which keeps redox homeostasis. The high level of GR activity helps keep the pools of reduced glutathione intact, which are important for protecting cells. </w:t>
      </w:r>
      <w:r w:rsidRPr="00D779CE">
        <w:rPr>
          <w:rFonts w:ascii="Arial" w:hAnsi="Arial" w:cs="Arial"/>
          <w:i/>
        </w:rPr>
        <w:t>Lemna minor</w:t>
      </w:r>
      <w:r w:rsidRPr="00D779CE">
        <w:rPr>
          <w:rFonts w:ascii="Arial" w:hAnsi="Arial" w:cs="Arial"/>
        </w:rPr>
        <w:t xml:space="preserve"> exhibits a coordinated antioxidative mechanism in response to heavy metal and herbicide stress, validating its sensitivity and potential as a bioindicator for evaluating oxidative damage and environmental toxicity in aquatic ecosystems.</w:t>
      </w:r>
    </w:p>
    <w:p w14:paraId="01F88AD3" w14:textId="77777777" w:rsidR="006658A9" w:rsidRDefault="006658A9" w:rsidP="00441B6F">
      <w:pPr>
        <w:pStyle w:val="AcknHead"/>
        <w:spacing w:after="0"/>
        <w:jc w:val="both"/>
        <w:rPr>
          <w:rFonts w:ascii="Arial" w:hAnsi="Arial" w:cs="Arial"/>
        </w:rPr>
      </w:pPr>
    </w:p>
    <w:p w14:paraId="68D00D7F"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10A2C28B" w14:textId="77777777" w:rsidR="00371FB6" w:rsidRDefault="00D779CE" w:rsidP="00441B6F">
      <w:pPr>
        <w:pStyle w:val="ReferHead"/>
        <w:spacing w:after="0"/>
        <w:jc w:val="both"/>
        <w:rPr>
          <w:rFonts w:ascii="Arial" w:hAnsi="Arial" w:cs="Arial"/>
          <w:b w:val="0"/>
          <w:caps w:val="0"/>
          <w:sz w:val="20"/>
        </w:rPr>
      </w:pPr>
      <w:r w:rsidRPr="00D779CE">
        <w:rPr>
          <w:rFonts w:ascii="Arial" w:hAnsi="Arial" w:cs="Arial"/>
          <w:b w:val="0"/>
          <w:caps w:val="0"/>
          <w:sz w:val="20"/>
        </w:rPr>
        <w:t>The authors have no relevant financial or non-financial interests to disclose.</w:t>
      </w:r>
    </w:p>
    <w:p w14:paraId="4F0DF635" w14:textId="77777777" w:rsidR="006658A9" w:rsidRDefault="006658A9" w:rsidP="00441B6F">
      <w:pPr>
        <w:pStyle w:val="ReferHead"/>
        <w:spacing w:after="0"/>
        <w:jc w:val="both"/>
        <w:rPr>
          <w:rFonts w:ascii="Arial" w:hAnsi="Arial" w:cs="Arial"/>
          <w:bCs/>
        </w:rPr>
      </w:pPr>
    </w:p>
    <w:p w14:paraId="73E0FD8A" w14:textId="0B58A52F" w:rsidR="002B685A" w:rsidRDefault="002B685A" w:rsidP="00441B6F">
      <w:pPr>
        <w:pStyle w:val="ReferHead"/>
        <w:spacing w:after="0"/>
        <w:jc w:val="both"/>
        <w:rPr>
          <w:rFonts w:ascii="Arial" w:hAnsi="Arial" w:cs="Arial"/>
          <w:b w:val="0"/>
          <w:caps w:val="0"/>
          <w:sz w:val="20"/>
        </w:rPr>
      </w:pPr>
    </w:p>
    <w:p w14:paraId="196B9DA2" w14:textId="77777777" w:rsidR="006658A9" w:rsidRDefault="006658A9" w:rsidP="00441B6F">
      <w:pPr>
        <w:pStyle w:val="ReferHead"/>
        <w:spacing w:after="0"/>
        <w:jc w:val="both"/>
        <w:rPr>
          <w:rFonts w:ascii="Arial" w:hAnsi="Arial" w:cs="Arial"/>
          <w:bCs/>
        </w:rPr>
      </w:pPr>
    </w:p>
    <w:p w14:paraId="508B0520" w14:textId="77777777" w:rsidR="002B685A" w:rsidRDefault="002B685A" w:rsidP="00441B6F">
      <w:pPr>
        <w:pStyle w:val="ReferHead"/>
        <w:spacing w:after="0"/>
        <w:jc w:val="both"/>
        <w:rPr>
          <w:rFonts w:ascii="Arial" w:hAnsi="Arial" w:cs="Arial"/>
          <w:bCs/>
        </w:rPr>
      </w:pPr>
      <w:r w:rsidRPr="002B685A">
        <w:rPr>
          <w:rFonts w:ascii="Arial" w:hAnsi="Arial" w:cs="Arial"/>
          <w:bCs/>
        </w:rPr>
        <w:t>Consent</w:t>
      </w:r>
      <w:r>
        <w:rPr>
          <w:rFonts w:ascii="Arial" w:hAnsi="Arial" w:cs="Arial"/>
          <w:bCs/>
        </w:rPr>
        <w:t xml:space="preserve"> </w:t>
      </w:r>
    </w:p>
    <w:p w14:paraId="00507C16" w14:textId="77777777" w:rsidR="00D779CE" w:rsidRPr="00986523" w:rsidRDefault="00D779CE" w:rsidP="00D779CE">
      <w:pPr>
        <w:spacing w:line="276" w:lineRule="auto"/>
        <w:jc w:val="both"/>
        <w:rPr>
          <w:rFonts w:ascii="Arial" w:hAnsi="Arial" w:cs="Arial"/>
        </w:rPr>
      </w:pPr>
      <w:r w:rsidRPr="00986523">
        <w:rPr>
          <w:rFonts w:ascii="Arial" w:hAnsi="Arial" w:cs="Arial"/>
        </w:rPr>
        <w:t>Not applicable.</w:t>
      </w:r>
    </w:p>
    <w:p w14:paraId="2AB51B34" w14:textId="77777777" w:rsidR="006658A9" w:rsidRDefault="006658A9" w:rsidP="00441B6F">
      <w:pPr>
        <w:pStyle w:val="ReferHead"/>
        <w:spacing w:after="0"/>
        <w:jc w:val="both"/>
        <w:rPr>
          <w:rFonts w:ascii="Arial" w:hAnsi="Arial" w:cs="Arial"/>
          <w:bCs/>
        </w:rPr>
      </w:pPr>
    </w:p>
    <w:p w14:paraId="00E1711D" w14:textId="77777777" w:rsidR="005C784C" w:rsidRDefault="005C784C" w:rsidP="00441B6F">
      <w:pPr>
        <w:pStyle w:val="ReferHead"/>
        <w:spacing w:after="0"/>
        <w:jc w:val="both"/>
        <w:rPr>
          <w:rFonts w:ascii="Arial" w:hAnsi="Arial" w:cs="Arial"/>
          <w:bCs/>
        </w:rPr>
      </w:pPr>
      <w:r>
        <w:rPr>
          <w:rFonts w:ascii="Arial" w:hAnsi="Arial" w:cs="Arial"/>
          <w:bCs/>
        </w:rPr>
        <w:t xml:space="preserve">Ethical approval </w:t>
      </w:r>
    </w:p>
    <w:p w14:paraId="63BD1184" w14:textId="77777777" w:rsidR="00860000" w:rsidRDefault="00D779CE" w:rsidP="00441B6F">
      <w:pPr>
        <w:pStyle w:val="ReferHead"/>
        <w:spacing w:after="0"/>
        <w:jc w:val="both"/>
        <w:rPr>
          <w:rFonts w:ascii="Arial" w:hAnsi="Arial" w:cs="Arial"/>
        </w:rPr>
      </w:pPr>
      <w:r>
        <w:rPr>
          <w:rFonts w:ascii="Arial" w:hAnsi="Arial" w:cs="Arial"/>
          <w:b w:val="0"/>
          <w:caps w:val="0"/>
          <w:sz w:val="20"/>
        </w:rPr>
        <w:t xml:space="preserve">Not required </w:t>
      </w:r>
    </w:p>
    <w:p w14:paraId="6755E6B2" w14:textId="77777777" w:rsidR="006658A9" w:rsidRDefault="006658A9" w:rsidP="00441B6F">
      <w:pPr>
        <w:pStyle w:val="ReferHead"/>
        <w:spacing w:after="0"/>
        <w:jc w:val="both"/>
        <w:rPr>
          <w:rFonts w:ascii="Arial" w:hAnsi="Arial" w:cs="Arial"/>
        </w:rPr>
      </w:pPr>
    </w:p>
    <w:p w14:paraId="41EBBBF3" w14:textId="77777777" w:rsidR="00956123" w:rsidRPr="000839CE" w:rsidRDefault="00956123" w:rsidP="00956123">
      <w:pPr>
        <w:rPr>
          <w:rFonts w:ascii="Times New Roman" w:hAnsi="Times New Roman"/>
          <w:b/>
        </w:rPr>
      </w:pPr>
      <w:r w:rsidRPr="000839CE">
        <w:rPr>
          <w:rFonts w:ascii="Times New Roman" w:hAnsi="Times New Roman"/>
          <w:b/>
        </w:rPr>
        <w:t>Declaration of AI Use</w:t>
      </w:r>
    </w:p>
    <w:p w14:paraId="0B9629FB" w14:textId="77777777" w:rsidR="00956123" w:rsidRPr="000839CE" w:rsidRDefault="00956123" w:rsidP="00956123">
      <w:pPr>
        <w:rPr>
          <w:rFonts w:ascii="Times New Roman" w:hAnsi="Times New Roman"/>
        </w:rPr>
      </w:pPr>
    </w:p>
    <w:p w14:paraId="1AD5275A" w14:textId="77777777" w:rsidR="00956123" w:rsidRPr="000839CE" w:rsidRDefault="00956123" w:rsidP="00956123">
      <w:pPr>
        <w:jc w:val="both"/>
        <w:rPr>
          <w:rFonts w:ascii="Times New Roman" w:hAnsi="Times New Roman"/>
        </w:rPr>
      </w:pPr>
      <w:r w:rsidRPr="00C56790">
        <w:rPr>
          <w:rFonts w:ascii="Times New Roman" w:hAnsi="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7DA5A703" w14:textId="77777777" w:rsidR="00956123" w:rsidRDefault="00956123" w:rsidP="00441B6F">
      <w:pPr>
        <w:pStyle w:val="ReferHead"/>
        <w:spacing w:after="0"/>
        <w:jc w:val="both"/>
        <w:rPr>
          <w:rFonts w:ascii="Arial" w:hAnsi="Arial" w:cs="Arial"/>
        </w:rPr>
      </w:pPr>
    </w:p>
    <w:p w14:paraId="658015A0"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7DCA8897" w14:textId="77777777" w:rsidR="00D779CE" w:rsidRPr="00D779CE" w:rsidRDefault="00D779CE" w:rsidP="00D779CE">
      <w:pPr>
        <w:pStyle w:val="DefAcrHead"/>
        <w:jc w:val="both"/>
        <w:rPr>
          <w:b w:val="0"/>
          <w:caps w:val="0"/>
          <w:sz w:val="20"/>
        </w:rPr>
      </w:pPr>
      <w:r w:rsidRPr="00D779CE">
        <w:rPr>
          <w:b w:val="0"/>
          <w:caps w:val="0"/>
          <w:sz w:val="20"/>
        </w:rPr>
        <w:t xml:space="preserve">Aebi H (1984) Catalase in vitro. Methods </w:t>
      </w:r>
      <w:proofErr w:type="spellStart"/>
      <w:r w:rsidRPr="00D779CE">
        <w:rPr>
          <w:b w:val="0"/>
          <w:caps w:val="0"/>
          <w:sz w:val="20"/>
        </w:rPr>
        <w:t>Enzymol</w:t>
      </w:r>
      <w:proofErr w:type="spellEnd"/>
      <w:r w:rsidRPr="00D779CE">
        <w:rPr>
          <w:b w:val="0"/>
          <w:caps w:val="0"/>
          <w:sz w:val="20"/>
        </w:rPr>
        <w:t xml:space="preserve"> 105: 121—126. </w:t>
      </w:r>
    </w:p>
    <w:p w14:paraId="5DE71784" w14:textId="77777777" w:rsidR="00D779CE" w:rsidRPr="00D779CE" w:rsidRDefault="00D779CE" w:rsidP="00D779CE">
      <w:pPr>
        <w:pStyle w:val="DefAcrHead"/>
        <w:jc w:val="both"/>
        <w:rPr>
          <w:b w:val="0"/>
          <w:caps w:val="0"/>
          <w:sz w:val="20"/>
        </w:rPr>
      </w:pPr>
      <w:r w:rsidRPr="00D779CE">
        <w:rPr>
          <w:b w:val="0"/>
          <w:caps w:val="0"/>
          <w:sz w:val="20"/>
        </w:rPr>
        <w:t xml:space="preserve">Afonso, T. F., Demarco, C. F., Pieniz, S., Camargo, F. A., Quadro, M. S., &amp; </w:t>
      </w:r>
      <w:proofErr w:type="spellStart"/>
      <w:r w:rsidRPr="00D779CE">
        <w:rPr>
          <w:b w:val="0"/>
          <w:caps w:val="0"/>
          <w:sz w:val="20"/>
        </w:rPr>
        <w:t>Andreazza</w:t>
      </w:r>
      <w:proofErr w:type="spellEnd"/>
      <w:r w:rsidRPr="00D779CE">
        <w:rPr>
          <w:b w:val="0"/>
          <w:caps w:val="0"/>
          <w:sz w:val="20"/>
        </w:rPr>
        <w:t xml:space="preserve">, R. (2019). Potential of Solanum </w:t>
      </w:r>
      <w:proofErr w:type="spellStart"/>
      <w:r w:rsidRPr="00D779CE">
        <w:rPr>
          <w:b w:val="0"/>
          <w:caps w:val="0"/>
          <w:sz w:val="20"/>
        </w:rPr>
        <w:t>viarum</w:t>
      </w:r>
      <w:proofErr w:type="spellEnd"/>
      <w:r w:rsidRPr="00D779CE">
        <w:rPr>
          <w:b w:val="0"/>
          <w:caps w:val="0"/>
          <w:sz w:val="20"/>
        </w:rPr>
        <w:t xml:space="preserve"> </w:t>
      </w:r>
      <w:proofErr w:type="spellStart"/>
      <w:r w:rsidRPr="00D779CE">
        <w:rPr>
          <w:b w:val="0"/>
          <w:caps w:val="0"/>
          <w:sz w:val="20"/>
        </w:rPr>
        <w:t>Dunal</w:t>
      </w:r>
      <w:proofErr w:type="spellEnd"/>
      <w:r w:rsidRPr="00D779CE">
        <w:rPr>
          <w:b w:val="0"/>
          <w:caps w:val="0"/>
          <w:sz w:val="20"/>
        </w:rPr>
        <w:t xml:space="preserve"> in use for phytoremediation of heavy metals to </w:t>
      </w:r>
      <w:r w:rsidRPr="00D779CE">
        <w:rPr>
          <w:b w:val="0"/>
          <w:caps w:val="0"/>
          <w:sz w:val="20"/>
        </w:rPr>
        <w:lastRenderedPageBreak/>
        <w:t>mining areas, southern Brazil. Environmental Science and Pollution Research, 26(23), 24132-24142.</w:t>
      </w:r>
    </w:p>
    <w:p w14:paraId="057E1D2A" w14:textId="77777777" w:rsidR="00D779CE" w:rsidRPr="00D779CE" w:rsidRDefault="00D779CE" w:rsidP="00D779CE">
      <w:pPr>
        <w:pStyle w:val="DefAcrHead"/>
        <w:jc w:val="both"/>
        <w:rPr>
          <w:b w:val="0"/>
          <w:caps w:val="0"/>
          <w:sz w:val="20"/>
        </w:rPr>
      </w:pPr>
      <w:r w:rsidRPr="00D779CE">
        <w:rPr>
          <w:b w:val="0"/>
          <w:caps w:val="0"/>
          <w:sz w:val="20"/>
        </w:rPr>
        <w:t xml:space="preserve">Andreazza, R., Okeke, B. C., Pieniz, S., </w:t>
      </w:r>
      <w:proofErr w:type="spellStart"/>
      <w:r w:rsidRPr="00D779CE">
        <w:rPr>
          <w:b w:val="0"/>
          <w:caps w:val="0"/>
          <w:sz w:val="20"/>
        </w:rPr>
        <w:t>Brandelli</w:t>
      </w:r>
      <w:proofErr w:type="spellEnd"/>
      <w:r w:rsidRPr="00D779CE">
        <w:rPr>
          <w:b w:val="0"/>
          <w:caps w:val="0"/>
          <w:sz w:val="20"/>
        </w:rPr>
        <w:t xml:space="preserve">, A., </w:t>
      </w:r>
      <w:proofErr w:type="spellStart"/>
      <w:r w:rsidRPr="00D779CE">
        <w:rPr>
          <w:b w:val="0"/>
          <w:caps w:val="0"/>
          <w:sz w:val="20"/>
        </w:rPr>
        <w:t>Lambais</w:t>
      </w:r>
      <w:proofErr w:type="spellEnd"/>
      <w:r w:rsidRPr="00D779CE">
        <w:rPr>
          <w:b w:val="0"/>
          <w:caps w:val="0"/>
          <w:sz w:val="20"/>
        </w:rPr>
        <w:t xml:space="preserve">, M. R., &amp; Camargo, F. A. (2011). </w:t>
      </w:r>
      <w:proofErr w:type="spellStart"/>
      <w:r w:rsidRPr="00D779CE">
        <w:rPr>
          <w:b w:val="0"/>
          <w:caps w:val="0"/>
          <w:sz w:val="20"/>
        </w:rPr>
        <w:t>Bioreduction</w:t>
      </w:r>
      <w:proofErr w:type="spellEnd"/>
      <w:r w:rsidRPr="00D779CE">
        <w:rPr>
          <w:b w:val="0"/>
          <w:caps w:val="0"/>
          <w:sz w:val="20"/>
        </w:rPr>
        <w:t xml:space="preserve"> of Cu (II) by cell-free copper reductase from a copper resistant Pseudomonas sp. NA. Biological trace element research, 143(2), 1182-1192.</w:t>
      </w:r>
    </w:p>
    <w:p w14:paraId="5231918C" w14:textId="77777777" w:rsidR="00D779CE" w:rsidRPr="00D779CE" w:rsidRDefault="00D779CE" w:rsidP="00D779CE">
      <w:pPr>
        <w:pStyle w:val="DefAcrHead"/>
        <w:jc w:val="both"/>
        <w:rPr>
          <w:b w:val="0"/>
          <w:caps w:val="0"/>
          <w:sz w:val="20"/>
        </w:rPr>
      </w:pPr>
      <w:r w:rsidRPr="00D779CE">
        <w:rPr>
          <w:b w:val="0"/>
          <w:caps w:val="0"/>
          <w:sz w:val="20"/>
        </w:rPr>
        <w:t xml:space="preserve">Anjum, N. A., Ahmad, I., </w:t>
      </w:r>
      <w:proofErr w:type="spellStart"/>
      <w:r w:rsidRPr="00D779CE">
        <w:rPr>
          <w:b w:val="0"/>
          <w:caps w:val="0"/>
          <w:sz w:val="20"/>
        </w:rPr>
        <w:t>Mohmood</w:t>
      </w:r>
      <w:proofErr w:type="spellEnd"/>
      <w:r w:rsidRPr="00D779CE">
        <w:rPr>
          <w:b w:val="0"/>
          <w:caps w:val="0"/>
          <w:sz w:val="20"/>
        </w:rPr>
        <w:t>, I., Pacheco, M., Duarte, A. C., Pereira, E., ... &amp; Prasad, M. N. V. (2012). Modulation of glutathione and its related enzymes in plants’ responses to toxic metals and metalloids—a review. Environmental and Experimental Botany, 75, 307-324.</w:t>
      </w:r>
    </w:p>
    <w:p w14:paraId="52A99807" w14:textId="77777777" w:rsidR="00D779CE" w:rsidRPr="00D779CE" w:rsidRDefault="00D779CE" w:rsidP="00D779CE">
      <w:pPr>
        <w:pStyle w:val="DefAcrHead"/>
        <w:jc w:val="both"/>
        <w:rPr>
          <w:b w:val="0"/>
          <w:caps w:val="0"/>
          <w:sz w:val="20"/>
        </w:rPr>
      </w:pPr>
      <w:r w:rsidRPr="00D779CE">
        <w:rPr>
          <w:b w:val="0"/>
          <w:caps w:val="0"/>
          <w:sz w:val="20"/>
        </w:rPr>
        <w:t>Arora, N. K., Fatima, T., Mishra, I., Verma, M., Mishra, J., &amp; Mishra, V. (2018). Environmental sustainability: challenges and viable solutions. Environmental Sustainability, 1(4), 309-340.</w:t>
      </w:r>
    </w:p>
    <w:p w14:paraId="4F3A1B29" w14:textId="77777777" w:rsidR="00D779CE" w:rsidRPr="00D779CE" w:rsidRDefault="00D779CE" w:rsidP="00D779CE">
      <w:pPr>
        <w:pStyle w:val="DefAcrHead"/>
        <w:jc w:val="both"/>
        <w:rPr>
          <w:b w:val="0"/>
          <w:caps w:val="0"/>
          <w:sz w:val="20"/>
        </w:rPr>
      </w:pPr>
      <w:proofErr w:type="spellStart"/>
      <w:r w:rsidRPr="00D779CE">
        <w:rPr>
          <w:b w:val="0"/>
          <w:caps w:val="0"/>
          <w:sz w:val="20"/>
        </w:rPr>
        <w:t>Astm</w:t>
      </w:r>
      <w:proofErr w:type="spellEnd"/>
      <w:r w:rsidRPr="00D779CE">
        <w:rPr>
          <w:b w:val="0"/>
          <w:caps w:val="0"/>
          <w:sz w:val="20"/>
        </w:rPr>
        <w:t xml:space="preserve">, E. (1999). 1415-91 Standard Guide for Conducting Static Toxicity Tests with Lemna </w:t>
      </w:r>
      <w:proofErr w:type="spellStart"/>
      <w:r w:rsidRPr="00D779CE">
        <w:rPr>
          <w:b w:val="0"/>
          <w:caps w:val="0"/>
          <w:sz w:val="20"/>
        </w:rPr>
        <w:t>gibba</w:t>
      </w:r>
      <w:proofErr w:type="spellEnd"/>
      <w:r w:rsidRPr="00D779CE">
        <w:rPr>
          <w:b w:val="0"/>
          <w:caps w:val="0"/>
          <w:sz w:val="20"/>
        </w:rPr>
        <w:t xml:space="preserve"> G3. American Society for Testing and Materials, West Conshohocken, PA, USA.</w:t>
      </w:r>
    </w:p>
    <w:p w14:paraId="0330CCD7" w14:textId="77777777" w:rsidR="00D779CE" w:rsidRPr="00D779CE" w:rsidRDefault="00D779CE" w:rsidP="00D779CE">
      <w:pPr>
        <w:pStyle w:val="DefAcrHead"/>
        <w:jc w:val="both"/>
        <w:rPr>
          <w:b w:val="0"/>
          <w:caps w:val="0"/>
          <w:sz w:val="20"/>
        </w:rPr>
      </w:pPr>
      <w:proofErr w:type="spellStart"/>
      <w:r w:rsidRPr="00D779CE">
        <w:rPr>
          <w:b w:val="0"/>
          <w:caps w:val="0"/>
          <w:sz w:val="20"/>
        </w:rPr>
        <w:t>Balakhnina</w:t>
      </w:r>
      <w:proofErr w:type="spellEnd"/>
      <w:r w:rsidRPr="00D779CE">
        <w:rPr>
          <w:b w:val="0"/>
          <w:caps w:val="0"/>
          <w:sz w:val="20"/>
        </w:rPr>
        <w:t xml:space="preserve">, T. I., </w:t>
      </w:r>
      <w:proofErr w:type="spellStart"/>
      <w:r w:rsidRPr="00D779CE">
        <w:rPr>
          <w:b w:val="0"/>
          <w:caps w:val="0"/>
          <w:sz w:val="20"/>
        </w:rPr>
        <w:t>Kosobryukhov</w:t>
      </w:r>
      <w:proofErr w:type="spellEnd"/>
      <w:r w:rsidRPr="00D779CE">
        <w:rPr>
          <w:b w:val="0"/>
          <w:caps w:val="0"/>
          <w:sz w:val="20"/>
        </w:rPr>
        <w:t xml:space="preserve">, A. A., Ivanov, A. A., &amp; </w:t>
      </w:r>
      <w:proofErr w:type="spellStart"/>
      <w:r w:rsidRPr="00D779CE">
        <w:rPr>
          <w:b w:val="0"/>
          <w:caps w:val="0"/>
          <w:sz w:val="20"/>
        </w:rPr>
        <w:t>Kreslavskii</w:t>
      </w:r>
      <w:proofErr w:type="spellEnd"/>
      <w:r w:rsidRPr="00D779CE">
        <w:rPr>
          <w:b w:val="0"/>
          <w:caps w:val="0"/>
          <w:sz w:val="20"/>
        </w:rPr>
        <w:t>, V. D. (2005). The effect of cadmium on CO2 exchange, variable fluorescence of chlorophyll, and the level of antioxidant enzymes in pea leaves. Russian Journal of Plant Physiology, 52(1), 15-20.</w:t>
      </w:r>
    </w:p>
    <w:p w14:paraId="022EF886" w14:textId="77777777" w:rsidR="00D779CE" w:rsidRPr="00D779CE" w:rsidRDefault="00D779CE" w:rsidP="00D779CE">
      <w:pPr>
        <w:pStyle w:val="DefAcrHead"/>
        <w:jc w:val="both"/>
        <w:rPr>
          <w:b w:val="0"/>
          <w:caps w:val="0"/>
          <w:sz w:val="20"/>
        </w:rPr>
      </w:pPr>
      <w:r w:rsidRPr="00D779CE">
        <w:rPr>
          <w:b w:val="0"/>
          <w:caps w:val="0"/>
          <w:sz w:val="20"/>
        </w:rPr>
        <w:t>Bianconi, D., Pietrini, F., Massacci, A., &amp; Iannelli, M. A. (2013). Uptake of Cadmium by Lemna minor, a (</w:t>
      </w:r>
      <w:proofErr w:type="gramStart"/>
      <w:r w:rsidRPr="00D779CE">
        <w:rPr>
          <w:b w:val="0"/>
          <w:caps w:val="0"/>
          <w:sz w:val="20"/>
        </w:rPr>
        <w:t>hyper?-</w:t>
      </w:r>
      <w:proofErr w:type="gramEnd"/>
      <w:r w:rsidRPr="00D779CE">
        <w:rPr>
          <w:b w:val="0"/>
          <w:caps w:val="0"/>
          <w:sz w:val="20"/>
        </w:rPr>
        <w:t>) accumulator plant involved in phytoremediation applications. In E3S Web of conferences (Vol. 1, p. 13002). EDP Sciences.</w:t>
      </w:r>
    </w:p>
    <w:p w14:paraId="5F00EACC" w14:textId="77777777" w:rsidR="00D779CE" w:rsidRPr="00D779CE" w:rsidRDefault="00D779CE" w:rsidP="00D779CE">
      <w:pPr>
        <w:pStyle w:val="DefAcrHead"/>
        <w:jc w:val="both"/>
        <w:rPr>
          <w:b w:val="0"/>
          <w:caps w:val="0"/>
          <w:sz w:val="20"/>
        </w:rPr>
      </w:pPr>
      <w:r w:rsidRPr="00D779CE">
        <w:rPr>
          <w:b w:val="0"/>
          <w:caps w:val="0"/>
          <w:sz w:val="20"/>
        </w:rPr>
        <w:t xml:space="preserve">Blanco-Ayala, T., </w:t>
      </w:r>
      <w:proofErr w:type="spellStart"/>
      <w:r w:rsidRPr="00D779CE">
        <w:rPr>
          <w:b w:val="0"/>
          <w:caps w:val="0"/>
          <w:sz w:val="20"/>
        </w:rPr>
        <w:t>Andérica</w:t>
      </w:r>
      <w:proofErr w:type="spellEnd"/>
      <w:r w:rsidRPr="00D779CE">
        <w:rPr>
          <w:b w:val="0"/>
          <w:caps w:val="0"/>
          <w:sz w:val="20"/>
        </w:rPr>
        <w:t>-Romero, A. C., &amp; Pedraza-Chaverri, J. (2014). New insights into antioxidant strategies against paraquat toxicity. Free radical research, 48(6), 623-640.</w:t>
      </w:r>
    </w:p>
    <w:p w14:paraId="413C74D6" w14:textId="77777777" w:rsidR="00D779CE" w:rsidRPr="00D779CE" w:rsidRDefault="00D779CE" w:rsidP="00D779CE">
      <w:pPr>
        <w:pStyle w:val="DefAcrHead"/>
        <w:jc w:val="both"/>
        <w:rPr>
          <w:b w:val="0"/>
          <w:caps w:val="0"/>
          <w:sz w:val="20"/>
        </w:rPr>
      </w:pPr>
      <w:r w:rsidRPr="00D779CE">
        <w:rPr>
          <w:b w:val="0"/>
          <w:caps w:val="0"/>
          <w:sz w:val="20"/>
        </w:rPr>
        <w:t>Bus, J. S., &amp; Gibson, J. E. (1984). Paraquat: model for oxidant-initiated toxicity. Environmental health perspectives, 55, 37.</w:t>
      </w:r>
    </w:p>
    <w:p w14:paraId="475B1B0C" w14:textId="77777777" w:rsidR="00D779CE" w:rsidRPr="00D779CE" w:rsidRDefault="00D779CE" w:rsidP="00D779CE">
      <w:pPr>
        <w:pStyle w:val="DefAcrHead"/>
        <w:jc w:val="both"/>
        <w:rPr>
          <w:b w:val="0"/>
          <w:caps w:val="0"/>
          <w:sz w:val="20"/>
        </w:rPr>
      </w:pPr>
      <w:proofErr w:type="spellStart"/>
      <w:r w:rsidRPr="00D779CE">
        <w:rPr>
          <w:b w:val="0"/>
          <w:caps w:val="0"/>
          <w:sz w:val="20"/>
        </w:rPr>
        <w:t>Changfang</w:t>
      </w:r>
      <w:proofErr w:type="spellEnd"/>
      <w:r w:rsidRPr="00D779CE">
        <w:rPr>
          <w:b w:val="0"/>
          <w:caps w:val="0"/>
          <w:sz w:val="20"/>
        </w:rPr>
        <w:t xml:space="preserve">, Z., </w:t>
      </w:r>
      <w:proofErr w:type="spellStart"/>
      <w:r w:rsidRPr="00D779CE">
        <w:rPr>
          <w:b w:val="0"/>
          <w:caps w:val="0"/>
          <w:sz w:val="20"/>
        </w:rPr>
        <w:t>Guorong</w:t>
      </w:r>
      <w:proofErr w:type="spellEnd"/>
      <w:r w:rsidRPr="00D779CE">
        <w:rPr>
          <w:b w:val="0"/>
          <w:caps w:val="0"/>
          <w:sz w:val="20"/>
        </w:rPr>
        <w:t xml:space="preserve">, W., </w:t>
      </w:r>
      <w:proofErr w:type="spellStart"/>
      <w:r w:rsidRPr="00D779CE">
        <w:rPr>
          <w:b w:val="0"/>
          <w:caps w:val="0"/>
          <w:sz w:val="20"/>
        </w:rPr>
        <w:t>Guoxin</w:t>
      </w:r>
      <w:proofErr w:type="spellEnd"/>
      <w:r w:rsidRPr="00D779CE">
        <w:rPr>
          <w:b w:val="0"/>
          <w:caps w:val="0"/>
          <w:sz w:val="20"/>
        </w:rPr>
        <w:t xml:space="preserve">, S., </w:t>
      </w:r>
      <w:proofErr w:type="spellStart"/>
      <w:r w:rsidRPr="00D779CE">
        <w:rPr>
          <w:b w:val="0"/>
          <w:caps w:val="0"/>
          <w:sz w:val="20"/>
        </w:rPr>
        <w:t>Changmei</w:t>
      </w:r>
      <w:proofErr w:type="spellEnd"/>
      <w:r w:rsidRPr="00D779CE">
        <w:rPr>
          <w:b w:val="0"/>
          <w:caps w:val="0"/>
          <w:sz w:val="20"/>
        </w:rPr>
        <w:t xml:space="preserve">, L., </w:t>
      </w:r>
      <w:proofErr w:type="spellStart"/>
      <w:r w:rsidRPr="00D779CE">
        <w:rPr>
          <w:b w:val="0"/>
          <w:caps w:val="0"/>
          <w:sz w:val="20"/>
        </w:rPr>
        <w:t>Gongping</w:t>
      </w:r>
      <w:proofErr w:type="spellEnd"/>
      <w:r w:rsidRPr="00D779CE">
        <w:rPr>
          <w:b w:val="0"/>
          <w:caps w:val="0"/>
          <w:sz w:val="20"/>
        </w:rPr>
        <w:t xml:space="preserve">, G., </w:t>
      </w:r>
      <w:proofErr w:type="spellStart"/>
      <w:r w:rsidRPr="00D779CE">
        <w:rPr>
          <w:b w:val="0"/>
          <w:caps w:val="0"/>
          <w:sz w:val="20"/>
        </w:rPr>
        <w:t>Xueming</w:t>
      </w:r>
      <w:proofErr w:type="spellEnd"/>
      <w:r w:rsidRPr="00D779CE">
        <w:rPr>
          <w:b w:val="0"/>
          <w:caps w:val="0"/>
          <w:sz w:val="20"/>
        </w:rPr>
        <w:t>, Z., &amp; Jincheng, W. (2001). The role of antioxidant systems in Cu</w:t>
      </w:r>
      <w:proofErr w:type="gramStart"/>
      <w:r w:rsidRPr="00D779CE">
        <w:rPr>
          <w:b w:val="0"/>
          <w:caps w:val="0"/>
          <w:sz w:val="20"/>
        </w:rPr>
        <w:t>~(</w:t>
      </w:r>
      <w:proofErr w:type="gramEnd"/>
      <w:r w:rsidRPr="00D779CE">
        <w:rPr>
          <w:b w:val="0"/>
          <w:caps w:val="0"/>
          <w:sz w:val="20"/>
        </w:rPr>
        <w:t xml:space="preserve">2+) stress resistance in Alternanthera </w:t>
      </w:r>
      <w:proofErr w:type="spellStart"/>
      <w:r w:rsidRPr="00D779CE">
        <w:rPr>
          <w:b w:val="0"/>
          <w:caps w:val="0"/>
          <w:sz w:val="20"/>
        </w:rPr>
        <w:t>philoxeroides</w:t>
      </w:r>
      <w:proofErr w:type="spellEnd"/>
      <w:r w:rsidRPr="00D779CE">
        <w:rPr>
          <w:b w:val="0"/>
          <w:caps w:val="0"/>
          <w:sz w:val="20"/>
        </w:rPr>
        <w:t>. Acta botanica sinica, 43(4), 389-394.</w:t>
      </w:r>
    </w:p>
    <w:p w14:paraId="0D296504" w14:textId="77777777" w:rsidR="00D779CE" w:rsidRPr="00D779CE" w:rsidRDefault="00D779CE" w:rsidP="00D779CE">
      <w:pPr>
        <w:pStyle w:val="DefAcrHead"/>
        <w:jc w:val="both"/>
        <w:rPr>
          <w:b w:val="0"/>
          <w:caps w:val="0"/>
          <w:sz w:val="20"/>
        </w:rPr>
      </w:pPr>
      <w:r w:rsidRPr="00D779CE">
        <w:rPr>
          <w:b w:val="0"/>
          <w:caps w:val="0"/>
          <w:sz w:val="20"/>
        </w:rPr>
        <w:t>Chibuike, G. U., &amp; Obiora, S. C. (2014). Heavy metal polluted soils: effect on plants and bioremediation methods. Applied and environmental soil science, 2014(1), 752708.</w:t>
      </w:r>
    </w:p>
    <w:p w14:paraId="08151323" w14:textId="77777777" w:rsidR="00D779CE" w:rsidRPr="00D779CE" w:rsidRDefault="00D779CE" w:rsidP="00D779CE">
      <w:pPr>
        <w:pStyle w:val="DefAcrHead"/>
        <w:jc w:val="both"/>
        <w:rPr>
          <w:b w:val="0"/>
          <w:caps w:val="0"/>
          <w:sz w:val="20"/>
        </w:rPr>
      </w:pPr>
      <w:r w:rsidRPr="00D779CE">
        <w:rPr>
          <w:b w:val="0"/>
          <w:caps w:val="0"/>
          <w:sz w:val="20"/>
        </w:rPr>
        <w:t xml:space="preserve">Demarco, C. F., Bonemann, D. H., Ribeiro, A. S., Cadaval Jr, T. R. S. A., Gelesky, M. A., Godinho, M., ... &amp; </w:t>
      </w:r>
      <w:proofErr w:type="spellStart"/>
      <w:r w:rsidRPr="00D779CE">
        <w:rPr>
          <w:b w:val="0"/>
          <w:caps w:val="0"/>
          <w:sz w:val="20"/>
        </w:rPr>
        <w:t>Andreazza</w:t>
      </w:r>
      <w:proofErr w:type="spellEnd"/>
      <w:r w:rsidRPr="00D779CE">
        <w:rPr>
          <w:b w:val="0"/>
          <w:caps w:val="0"/>
          <w:sz w:val="20"/>
        </w:rPr>
        <w:t xml:space="preserve">, R. (2023). Resistance mechanisms of </w:t>
      </w:r>
      <w:proofErr w:type="spellStart"/>
      <w:r w:rsidRPr="00D779CE">
        <w:rPr>
          <w:b w:val="0"/>
          <w:caps w:val="0"/>
          <w:sz w:val="20"/>
        </w:rPr>
        <w:t>Hydrocotyle</w:t>
      </w:r>
      <w:proofErr w:type="spellEnd"/>
      <w:r w:rsidRPr="00D779CE">
        <w:rPr>
          <w:b w:val="0"/>
          <w:caps w:val="0"/>
          <w:sz w:val="20"/>
        </w:rPr>
        <w:t xml:space="preserve"> </w:t>
      </w:r>
      <w:proofErr w:type="spellStart"/>
      <w:r w:rsidRPr="00D779CE">
        <w:rPr>
          <w:b w:val="0"/>
          <w:caps w:val="0"/>
          <w:sz w:val="20"/>
        </w:rPr>
        <w:t>ranunculoides</w:t>
      </w:r>
      <w:proofErr w:type="spellEnd"/>
      <w:r w:rsidRPr="00D779CE">
        <w:rPr>
          <w:b w:val="0"/>
          <w:caps w:val="0"/>
          <w:sz w:val="20"/>
        </w:rPr>
        <w:t xml:space="preserve"> to Cr (VI): A </w:t>
      </w:r>
      <w:proofErr w:type="spellStart"/>
      <w:r w:rsidRPr="00D779CE">
        <w:rPr>
          <w:b w:val="0"/>
          <w:caps w:val="0"/>
          <w:sz w:val="20"/>
        </w:rPr>
        <w:t>biolfilter</w:t>
      </w:r>
      <w:proofErr w:type="spellEnd"/>
      <w:r w:rsidRPr="00D779CE">
        <w:rPr>
          <w:b w:val="0"/>
          <w:caps w:val="0"/>
          <w:sz w:val="20"/>
        </w:rPr>
        <w:t xml:space="preserve"> plant. Journal of Cleaner Production, 405, 136721.</w:t>
      </w:r>
    </w:p>
    <w:p w14:paraId="2B8BE089" w14:textId="77777777" w:rsidR="00D779CE" w:rsidRPr="00D779CE" w:rsidRDefault="00D779CE" w:rsidP="00D779CE">
      <w:pPr>
        <w:pStyle w:val="DefAcrHead"/>
        <w:jc w:val="both"/>
        <w:rPr>
          <w:b w:val="0"/>
          <w:caps w:val="0"/>
          <w:sz w:val="20"/>
        </w:rPr>
      </w:pPr>
      <w:r w:rsidRPr="00D779CE">
        <w:rPr>
          <w:b w:val="0"/>
          <w:caps w:val="0"/>
          <w:sz w:val="20"/>
        </w:rPr>
        <w:t>Donaher, S. E., &amp; Van den Hurk, P. (2023). Ecotoxicology of the herbicide paraquat: effects on wildlife and knowledge gaps. Ecotoxicology, 32(9), 1187-1199.</w:t>
      </w:r>
    </w:p>
    <w:p w14:paraId="3031B1CD" w14:textId="77777777" w:rsidR="00D779CE" w:rsidRPr="00D779CE" w:rsidRDefault="00D779CE" w:rsidP="00D779CE">
      <w:pPr>
        <w:pStyle w:val="DefAcrHead"/>
        <w:jc w:val="both"/>
        <w:rPr>
          <w:b w:val="0"/>
          <w:caps w:val="0"/>
          <w:sz w:val="20"/>
        </w:rPr>
      </w:pPr>
      <w:r w:rsidRPr="00D779CE">
        <w:rPr>
          <w:b w:val="0"/>
          <w:caps w:val="0"/>
          <w:sz w:val="20"/>
        </w:rPr>
        <w:t xml:space="preserve">Farias, J. P., Okeke, B. C., Demarco, C. F., Carlos, F. S., da Silva, R. F., da Silva, M. A., ... &amp; </w:t>
      </w:r>
      <w:proofErr w:type="spellStart"/>
      <w:r w:rsidRPr="00D779CE">
        <w:rPr>
          <w:b w:val="0"/>
          <w:caps w:val="0"/>
          <w:sz w:val="20"/>
        </w:rPr>
        <w:t>Andreazza</w:t>
      </w:r>
      <w:proofErr w:type="spellEnd"/>
      <w:r w:rsidRPr="00D779CE">
        <w:rPr>
          <w:b w:val="0"/>
          <w:caps w:val="0"/>
          <w:sz w:val="20"/>
        </w:rPr>
        <w:t>, R. (2024). Cadmium contamination in aquatic environments: detoxification mechanisms and phytoremediation approach. Sustainability, 16(22), 10072.</w:t>
      </w:r>
    </w:p>
    <w:p w14:paraId="7D7ECAA1" w14:textId="77777777" w:rsidR="00D779CE" w:rsidRPr="00D779CE" w:rsidRDefault="00D779CE" w:rsidP="00D779CE">
      <w:pPr>
        <w:pStyle w:val="DefAcrHead"/>
        <w:jc w:val="both"/>
        <w:rPr>
          <w:b w:val="0"/>
          <w:caps w:val="0"/>
          <w:sz w:val="20"/>
        </w:rPr>
      </w:pPr>
      <w:r w:rsidRPr="00D779CE">
        <w:rPr>
          <w:b w:val="0"/>
          <w:caps w:val="0"/>
          <w:sz w:val="20"/>
        </w:rPr>
        <w:t xml:space="preserve">Folgar, S., Torres, E., Pérez-Rama, M., Cid, A., Herrero, C., &amp; Abalde, J. (2009). </w:t>
      </w:r>
      <w:proofErr w:type="spellStart"/>
      <w:r w:rsidRPr="00D779CE">
        <w:rPr>
          <w:b w:val="0"/>
          <w:caps w:val="0"/>
          <w:sz w:val="20"/>
        </w:rPr>
        <w:t>Dunaliella</w:t>
      </w:r>
      <w:proofErr w:type="spellEnd"/>
      <w:r w:rsidRPr="00D779CE">
        <w:rPr>
          <w:b w:val="0"/>
          <w:caps w:val="0"/>
          <w:sz w:val="20"/>
        </w:rPr>
        <w:t xml:space="preserve"> salina as marine microalga highly tolerant to but a poor remover of cadmium. Journal of Hazardous Materials, 165(1-3), 486-493.</w:t>
      </w:r>
    </w:p>
    <w:p w14:paraId="0430756F" w14:textId="77777777" w:rsidR="00D779CE" w:rsidRPr="00D779CE" w:rsidRDefault="00D779CE" w:rsidP="00D779CE">
      <w:pPr>
        <w:pStyle w:val="DefAcrHead"/>
        <w:jc w:val="both"/>
        <w:rPr>
          <w:b w:val="0"/>
          <w:caps w:val="0"/>
          <w:sz w:val="20"/>
        </w:rPr>
      </w:pPr>
      <w:proofErr w:type="spellStart"/>
      <w:r w:rsidRPr="00D779CE">
        <w:rPr>
          <w:b w:val="0"/>
          <w:caps w:val="0"/>
          <w:sz w:val="20"/>
        </w:rPr>
        <w:lastRenderedPageBreak/>
        <w:t>Giannopolitis</w:t>
      </w:r>
      <w:proofErr w:type="spellEnd"/>
      <w:r w:rsidRPr="00D779CE">
        <w:rPr>
          <w:b w:val="0"/>
          <w:caps w:val="0"/>
          <w:sz w:val="20"/>
        </w:rPr>
        <w:t xml:space="preserve">, C. N., &amp; Ries, S. K. (1977). Superoxide </w:t>
      </w:r>
      <w:proofErr w:type="spellStart"/>
      <w:r w:rsidRPr="00D779CE">
        <w:rPr>
          <w:b w:val="0"/>
          <w:caps w:val="0"/>
          <w:sz w:val="20"/>
        </w:rPr>
        <w:t>dismutases</w:t>
      </w:r>
      <w:proofErr w:type="spellEnd"/>
      <w:r w:rsidRPr="00D779CE">
        <w:rPr>
          <w:b w:val="0"/>
          <w:caps w:val="0"/>
          <w:sz w:val="20"/>
        </w:rPr>
        <w:t>: I. Occurrence in higher plants. Plant physiology, 59(2), 309-314.</w:t>
      </w:r>
    </w:p>
    <w:p w14:paraId="5215C903" w14:textId="77777777" w:rsidR="00D779CE" w:rsidRPr="00D779CE" w:rsidRDefault="00D779CE" w:rsidP="00D779CE">
      <w:pPr>
        <w:pStyle w:val="DefAcrHead"/>
        <w:jc w:val="both"/>
        <w:rPr>
          <w:b w:val="0"/>
          <w:caps w:val="0"/>
          <w:sz w:val="20"/>
        </w:rPr>
      </w:pPr>
      <w:proofErr w:type="spellStart"/>
      <w:r w:rsidRPr="00D779CE">
        <w:rPr>
          <w:b w:val="0"/>
          <w:caps w:val="0"/>
          <w:sz w:val="20"/>
        </w:rPr>
        <w:t>Gratão</w:t>
      </w:r>
      <w:proofErr w:type="spellEnd"/>
      <w:r w:rsidRPr="00D779CE">
        <w:rPr>
          <w:b w:val="0"/>
          <w:caps w:val="0"/>
          <w:sz w:val="20"/>
        </w:rPr>
        <w:t>, P. L., Monteiro, C. C., Antunes, A. M., Peres, L. E. P., &amp; Azevedo, R. A. (2008). Acquired tolerance of tomato (Lycopersicon esculentum cv. Micro</w:t>
      </w:r>
      <w:r w:rsidRPr="00D779CE">
        <w:rPr>
          <w:rFonts w:ascii="Cambria Math" w:hAnsi="Cambria Math" w:cs="Cambria Math"/>
          <w:b w:val="0"/>
          <w:caps w:val="0"/>
          <w:sz w:val="20"/>
        </w:rPr>
        <w:t>‐</w:t>
      </w:r>
      <w:r w:rsidRPr="00D779CE">
        <w:rPr>
          <w:b w:val="0"/>
          <w:caps w:val="0"/>
          <w:sz w:val="20"/>
        </w:rPr>
        <w:t>Tom) plants to cadmium</w:t>
      </w:r>
      <w:r w:rsidRPr="00D779CE">
        <w:rPr>
          <w:rFonts w:ascii="Cambria Math" w:hAnsi="Cambria Math" w:cs="Cambria Math"/>
          <w:b w:val="0"/>
          <w:caps w:val="0"/>
          <w:sz w:val="20"/>
        </w:rPr>
        <w:t>‐</w:t>
      </w:r>
      <w:r w:rsidRPr="00D779CE">
        <w:rPr>
          <w:b w:val="0"/>
          <w:caps w:val="0"/>
          <w:sz w:val="20"/>
        </w:rPr>
        <w:t>induced stress. Annals of applied biology, 153(3), 321-333.</w:t>
      </w:r>
    </w:p>
    <w:p w14:paraId="28CD5FF1" w14:textId="77777777" w:rsidR="00D779CE" w:rsidRPr="00D779CE" w:rsidRDefault="00D779CE" w:rsidP="00D779CE">
      <w:pPr>
        <w:pStyle w:val="DefAcrHead"/>
        <w:jc w:val="both"/>
        <w:rPr>
          <w:b w:val="0"/>
          <w:caps w:val="0"/>
          <w:sz w:val="20"/>
        </w:rPr>
      </w:pPr>
      <w:r w:rsidRPr="00D779CE">
        <w:rPr>
          <w:b w:val="0"/>
          <w:caps w:val="0"/>
          <w:sz w:val="20"/>
        </w:rPr>
        <w:t xml:space="preserve">Halliwell, B. (2006). Oxidative stress and neurodegeneration: where are we </w:t>
      </w:r>
      <w:proofErr w:type="gramStart"/>
      <w:r w:rsidRPr="00D779CE">
        <w:rPr>
          <w:b w:val="0"/>
          <w:caps w:val="0"/>
          <w:sz w:val="20"/>
        </w:rPr>
        <w:t>now?.</w:t>
      </w:r>
      <w:proofErr w:type="gramEnd"/>
      <w:r w:rsidRPr="00D779CE">
        <w:rPr>
          <w:b w:val="0"/>
          <w:caps w:val="0"/>
          <w:sz w:val="20"/>
        </w:rPr>
        <w:t xml:space="preserve"> Journal of neurochemistry, 97(6), 1634-1658.</w:t>
      </w:r>
    </w:p>
    <w:p w14:paraId="69E670F2" w14:textId="77777777" w:rsidR="00D779CE" w:rsidRPr="00D779CE" w:rsidRDefault="00D779CE" w:rsidP="00D779CE">
      <w:pPr>
        <w:pStyle w:val="DefAcrHead"/>
        <w:jc w:val="both"/>
        <w:rPr>
          <w:b w:val="0"/>
          <w:caps w:val="0"/>
          <w:sz w:val="20"/>
        </w:rPr>
      </w:pPr>
      <w:r w:rsidRPr="00D779CE">
        <w:rPr>
          <w:b w:val="0"/>
          <w:caps w:val="0"/>
          <w:sz w:val="20"/>
        </w:rPr>
        <w:t xml:space="preserve">Haro Girón, S., Monserrat Sanz, J., Ortega, M. A., Garcia-Montero, C., Fraile-Martínez, O., Gómez-Lahoz, A. M., ... &amp; Álvarez-Mon, M. (2023). Prognostic value of malondialdehyde </w:t>
      </w:r>
      <w:r w:rsidRPr="00D779CE">
        <w:rPr>
          <w:b w:val="0"/>
          <w:caps w:val="0"/>
          <w:sz w:val="20"/>
        </w:rPr>
        <w:lastRenderedPageBreak/>
        <w:t>(MDA) in the temporal progression of chronic spinal cord injury. Journal of Personalized Medicine, 13(4), 626.</w:t>
      </w:r>
    </w:p>
    <w:p w14:paraId="4887F04B" w14:textId="77777777" w:rsidR="00D779CE" w:rsidRPr="00D779CE" w:rsidRDefault="00D779CE" w:rsidP="00D779CE">
      <w:pPr>
        <w:pStyle w:val="DefAcrHead"/>
        <w:jc w:val="both"/>
        <w:rPr>
          <w:b w:val="0"/>
          <w:caps w:val="0"/>
          <w:sz w:val="20"/>
        </w:rPr>
      </w:pPr>
      <w:r w:rsidRPr="00D779CE">
        <w:rPr>
          <w:b w:val="0"/>
          <w:caps w:val="0"/>
          <w:sz w:val="20"/>
        </w:rPr>
        <w:t xml:space="preserve">Heath, R. L., &amp; Packer, L. (1968). </w:t>
      </w:r>
      <w:proofErr w:type="spellStart"/>
      <w:r w:rsidRPr="00D779CE">
        <w:rPr>
          <w:b w:val="0"/>
          <w:caps w:val="0"/>
          <w:sz w:val="20"/>
        </w:rPr>
        <w:t>Photoperoxidation</w:t>
      </w:r>
      <w:proofErr w:type="spellEnd"/>
      <w:r w:rsidRPr="00D779CE">
        <w:rPr>
          <w:b w:val="0"/>
          <w:caps w:val="0"/>
          <w:sz w:val="20"/>
        </w:rPr>
        <w:t xml:space="preserve"> in isolated chloroplasts: I. Kinetics and stoichiometry of fatty acid peroxidation. Archives of biochemistry and biophysics, 125(1), 189-198.</w:t>
      </w:r>
    </w:p>
    <w:p w14:paraId="221A5B2B" w14:textId="77777777" w:rsidR="00D779CE" w:rsidRPr="00D779CE" w:rsidRDefault="00D779CE" w:rsidP="00D779CE">
      <w:pPr>
        <w:pStyle w:val="DefAcrHead"/>
        <w:jc w:val="both"/>
        <w:rPr>
          <w:b w:val="0"/>
          <w:caps w:val="0"/>
          <w:sz w:val="20"/>
        </w:rPr>
      </w:pPr>
      <w:r w:rsidRPr="00D779CE">
        <w:rPr>
          <w:b w:val="0"/>
          <w:caps w:val="0"/>
          <w:sz w:val="20"/>
        </w:rPr>
        <w:t>Homer, R. F., Mees, G. C., &amp; Tomlinson, T. E. (1960). Mode of action of dipyridyl quaternary salts as herbicides. Journal of the Science of Food and Agriculture, 11(6), 309-315.</w:t>
      </w:r>
    </w:p>
    <w:p w14:paraId="68284601" w14:textId="77777777" w:rsidR="00D779CE" w:rsidRPr="00D779CE" w:rsidRDefault="00D779CE" w:rsidP="00D779CE">
      <w:pPr>
        <w:pStyle w:val="DefAcrHead"/>
        <w:jc w:val="both"/>
        <w:rPr>
          <w:b w:val="0"/>
          <w:caps w:val="0"/>
          <w:sz w:val="20"/>
        </w:rPr>
      </w:pPr>
      <w:r w:rsidRPr="00D779CE">
        <w:rPr>
          <w:b w:val="0"/>
          <w:caps w:val="0"/>
          <w:sz w:val="20"/>
        </w:rPr>
        <w:t>Cakmak, I. (2000). Tansley Review No. 111 Possible roles of zinc in protecting plant cells from damage by reactive oxygen species. The New Phytologist, 146(2), 185-205.</w:t>
      </w:r>
    </w:p>
    <w:p w14:paraId="6C1275D8" w14:textId="77777777" w:rsidR="00D779CE" w:rsidRPr="00D779CE" w:rsidRDefault="00D779CE" w:rsidP="00D779CE">
      <w:pPr>
        <w:pStyle w:val="DefAcrHead"/>
        <w:jc w:val="both"/>
        <w:rPr>
          <w:b w:val="0"/>
          <w:caps w:val="0"/>
          <w:sz w:val="20"/>
        </w:rPr>
      </w:pPr>
      <w:r w:rsidRPr="00D779CE">
        <w:rPr>
          <w:b w:val="0"/>
          <w:caps w:val="0"/>
          <w:sz w:val="20"/>
        </w:rPr>
        <w:t>Fouzia Ishaq, F. I., &amp; Amir Khan, A. K. (2013). Heavy metal analysis of River Yamuna and their relation with some physicochemical parameters.</w:t>
      </w:r>
    </w:p>
    <w:p w14:paraId="1B3FC560" w14:textId="77777777" w:rsidR="00D779CE" w:rsidRPr="00D779CE" w:rsidRDefault="00D779CE" w:rsidP="00D779CE">
      <w:pPr>
        <w:pStyle w:val="DefAcrHead"/>
        <w:jc w:val="both"/>
        <w:rPr>
          <w:b w:val="0"/>
          <w:caps w:val="0"/>
          <w:sz w:val="20"/>
        </w:rPr>
      </w:pPr>
      <w:r w:rsidRPr="00D779CE">
        <w:rPr>
          <w:b w:val="0"/>
          <w:caps w:val="0"/>
          <w:sz w:val="20"/>
        </w:rPr>
        <w:t>Islam, F., Yasmeen, T., Ali, Q., Ali, S., Arif, M. S., Hussain, S., &amp; Rizvi, H. (2014). Influence of Pseudomonas aeruginosa as PGPR on oxidative stress tolerance in wheat under Zn stress. Ecotoxicology and Environmental Safety, 104, 285-293.</w:t>
      </w:r>
    </w:p>
    <w:p w14:paraId="7883A88C" w14:textId="77777777" w:rsidR="00D779CE" w:rsidRPr="00D779CE" w:rsidRDefault="00D779CE" w:rsidP="00D779CE">
      <w:pPr>
        <w:pStyle w:val="DefAcrHead"/>
        <w:jc w:val="both"/>
        <w:rPr>
          <w:b w:val="0"/>
          <w:caps w:val="0"/>
          <w:sz w:val="20"/>
        </w:rPr>
      </w:pPr>
      <w:r w:rsidRPr="00D779CE">
        <w:rPr>
          <w:b w:val="0"/>
          <w:caps w:val="0"/>
          <w:sz w:val="20"/>
        </w:rPr>
        <w:t xml:space="preserve">Jayasri, M. A., &amp; </w:t>
      </w:r>
      <w:proofErr w:type="spellStart"/>
      <w:r w:rsidRPr="00D779CE">
        <w:rPr>
          <w:b w:val="0"/>
          <w:caps w:val="0"/>
          <w:sz w:val="20"/>
        </w:rPr>
        <w:t>Suthindhiran</w:t>
      </w:r>
      <w:proofErr w:type="spellEnd"/>
      <w:r w:rsidRPr="00D779CE">
        <w:rPr>
          <w:b w:val="0"/>
          <w:caps w:val="0"/>
          <w:sz w:val="20"/>
        </w:rPr>
        <w:t>, K. (2017). Effect of zinc and lead on the physiological and biochemical properties of aquatic plant Lemna minor: its potential role in phytoremediation. Applied Water Science, 7(3), 1247-1253.</w:t>
      </w:r>
    </w:p>
    <w:p w14:paraId="6DE5F74C" w14:textId="77777777" w:rsidR="00D779CE" w:rsidRPr="00D779CE" w:rsidRDefault="00D779CE" w:rsidP="00D779CE">
      <w:pPr>
        <w:pStyle w:val="DefAcrHead"/>
        <w:jc w:val="both"/>
        <w:rPr>
          <w:b w:val="0"/>
          <w:caps w:val="0"/>
          <w:sz w:val="20"/>
        </w:rPr>
      </w:pPr>
      <w:r w:rsidRPr="00D779CE">
        <w:rPr>
          <w:b w:val="0"/>
          <w:caps w:val="0"/>
          <w:sz w:val="20"/>
        </w:rPr>
        <w:t xml:space="preserve">Kolarova, N., &amp; </w:t>
      </w:r>
      <w:proofErr w:type="spellStart"/>
      <w:r w:rsidRPr="00D779CE">
        <w:rPr>
          <w:b w:val="0"/>
          <w:caps w:val="0"/>
          <w:sz w:val="20"/>
        </w:rPr>
        <w:t>Napiórkowski</w:t>
      </w:r>
      <w:proofErr w:type="spellEnd"/>
      <w:r w:rsidRPr="00D779CE">
        <w:rPr>
          <w:b w:val="0"/>
          <w:caps w:val="0"/>
          <w:sz w:val="20"/>
        </w:rPr>
        <w:t>, P. (2021). Trace elements in aquatic environment. Origin, distribution, assessment and toxicity effect for the aquatic biota. Ecohydrology &amp; Hydrobiology, 21(4), 655-668.</w:t>
      </w:r>
    </w:p>
    <w:p w14:paraId="2A4D02F1" w14:textId="77777777" w:rsidR="00D779CE" w:rsidRPr="00D779CE" w:rsidRDefault="00D779CE" w:rsidP="00D779CE">
      <w:pPr>
        <w:pStyle w:val="DefAcrHead"/>
        <w:jc w:val="both"/>
        <w:rPr>
          <w:b w:val="0"/>
          <w:caps w:val="0"/>
          <w:sz w:val="20"/>
        </w:rPr>
      </w:pPr>
      <w:r w:rsidRPr="00D779CE">
        <w:rPr>
          <w:b w:val="0"/>
          <w:caps w:val="0"/>
          <w:sz w:val="20"/>
        </w:rPr>
        <w:t xml:space="preserve">Kumar, D., Bharti, S. K., Anand, S., &amp; Kumar, N. (2018). Bioaccumulation and biochemical responses of </w:t>
      </w:r>
      <w:proofErr w:type="spellStart"/>
      <w:r w:rsidRPr="00D779CE">
        <w:rPr>
          <w:b w:val="0"/>
          <w:caps w:val="0"/>
          <w:sz w:val="20"/>
        </w:rPr>
        <w:t>Vetiveria</w:t>
      </w:r>
      <w:proofErr w:type="spellEnd"/>
      <w:r w:rsidRPr="00D779CE">
        <w:rPr>
          <w:b w:val="0"/>
          <w:caps w:val="0"/>
          <w:sz w:val="20"/>
        </w:rPr>
        <w:t xml:space="preserve"> </w:t>
      </w:r>
      <w:proofErr w:type="spellStart"/>
      <w:r w:rsidRPr="00D779CE">
        <w:rPr>
          <w:b w:val="0"/>
          <w:caps w:val="0"/>
          <w:sz w:val="20"/>
        </w:rPr>
        <w:t>zizanioides</w:t>
      </w:r>
      <w:proofErr w:type="spellEnd"/>
      <w:r w:rsidRPr="00D779CE">
        <w:rPr>
          <w:b w:val="0"/>
          <w:caps w:val="0"/>
          <w:sz w:val="20"/>
        </w:rPr>
        <w:t xml:space="preserve"> grown under cadmium and copper stresses. Environmental Sustainability, 1(2), 133-139.</w:t>
      </w:r>
    </w:p>
    <w:p w14:paraId="6776936B" w14:textId="77777777" w:rsidR="00D779CE" w:rsidRPr="00D779CE" w:rsidRDefault="00D779CE" w:rsidP="00D779CE">
      <w:pPr>
        <w:pStyle w:val="DefAcrHead"/>
        <w:jc w:val="both"/>
        <w:rPr>
          <w:b w:val="0"/>
          <w:caps w:val="0"/>
          <w:sz w:val="20"/>
        </w:rPr>
      </w:pPr>
      <w:r w:rsidRPr="00D779CE">
        <w:rPr>
          <w:b w:val="0"/>
          <w:caps w:val="0"/>
          <w:sz w:val="20"/>
        </w:rPr>
        <w:t>Kumar, D., Singh, D. P., Barman, S. C., &amp; Kumar, N. (2016). Heavy metal and their regulation in plant system: an overview. Plant responses to xenobiotics, 19-38.</w:t>
      </w:r>
    </w:p>
    <w:p w14:paraId="4B024EBB" w14:textId="77777777" w:rsidR="00D779CE" w:rsidRPr="00D779CE" w:rsidRDefault="00D779CE" w:rsidP="00D779CE">
      <w:pPr>
        <w:pStyle w:val="DefAcrHead"/>
        <w:jc w:val="both"/>
        <w:rPr>
          <w:b w:val="0"/>
          <w:caps w:val="0"/>
          <w:sz w:val="20"/>
        </w:rPr>
      </w:pPr>
      <w:r w:rsidRPr="00D779CE">
        <w:rPr>
          <w:b w:val="0"/>
          <w:caps w:val="0"/>
          <w:sz w:val="20"/>
        </w:rPr>
        <w:t>Kumar, N., Kulsoom, M., Shukla, V., Kumar, D., Priyanka, Kumar, S., ... &amp; Dwivedi, N. (2018). Profiling of heavy metal and pesticide residues in medicinal plants. Environmental Science and Pollution Research, 25(29), 29505-29510.</w:t>
      </w:r>
    </w:p>
    <w:p w14:paraId="32933420" w14:textId="77777777" w:rsidR="00D779CE" w:rsidRPr="00D779CE" w:rsidRDefault="00D779CE" w:rsidP="00D779CE">
      <w:pPr>
        <w:pStyle w:val="DefAcrHead"/>
        <w:jc w:val="both"/>
        <w:rPr>
          <w:b w:val="0"/>
          <w:caps w:val="0"/>
          <w:sz w:val="20"/>
        </w:rPr>
      </w:pPr>
      <w:r w:rsidRPr="00D779CE">
        <w:rPr>
          <w:b w:val="0"/>
          <w:caps w:val="0"/>
          <w:sz w:val="20"/>
        </w:rPr>
        <w:t>Li, B., Gu, B., Yang, Z., &amp; Zhang, T. (2018). The role of submerged macrophytes in phytoremediation of arsenic from contaminated water: A case study on Vallisneria natans (</w:t>
      </w:r>
      <w:proofErr w:type="spellStart"/>
      <w:r w:rsidRPr="00D779CE">
        <w:rPr>
          <w:b w:val="0"/>
          <w:caps w:val="0"/>
          <w:sz w:val="20"/>
        </w:rPr>
        <w:t>Lour</w:t>
      </w:r>
      <w:proofErr w:type="spellEnd"/>
      <w:r w:rsidRPr="00D779CE">
        <w:rPr>
          <w:b w:val="0"/>
          <w:caps w:val="0"/>
          <w:sz w:val="20"/>
        </w:rPr>
        <w:t>.) Hara. Ecotoxicology and environmental safety, 165, 224-231.</w:t>
      </w:r>
    </w:p>
    <w:p w14:paraId="54438172" w14:textId="77777777" w:rsidR="00D779CE" w:rsidRPr="00D779CE" w:rsidRDefault="00D779CE" w:rsidP="00D779CE">
      <w:pPr>
        <w:pStyle w:val="DefAcrHead"/>
        <w:jc w:val="both"/>
        <w:rPr>
          <w:b w:val="0"/>
          <w:caps w:val="0"/>
          <w:sz w:val="20"/>
        </w:rPr>
      </w:pPr>
      <w:r w:rsidRPr="00D779CE">
        <w:rPr>
          <w:b w:val="0"/>
          <w:caps w:val="0"/>
          <w:sz w:val="20"/>
        </w:rPr>
        <w:t xml:space="preserve">Lu, Y., Li, X., He, M., Zhao, X., Liu, Y., Cui, Y., ... &amp; Tan, H. (2010). Seedlings growth and antioxidative enzymes activities in leaves under heavy metal stress differ between two desert </w:t>
      </w:r>
      <w:r w:rsidRPr="00D779CE">
        <w:rPr>
          <w:b w:val="0"/>
          <w:caps w:val="0"/>
          <w:sz w:val="20"/>
        </w:rPr>
        <w:lastRenderedPageBreak/>
        <w:t>plants: a perennial (</w:t>
      </w:r>
      <w:proofErr w:type="spellStart"/>
      <w:r w:rsidRPr="00D779CE">
        <w:rPr>
          <w:b w:val="0"/>
          <w:caps w:val="0"/>
          <w:sz w:val="20"/>
        </w:rPr>
        <w:t>Peganum</w:t>
      </w:r>
      <w:proofErr w:type="spellEnd"/>
      <w:r w:rsidRPr="00D779CE">
        <w:rPr>
          <w:b w:val="0"/>
          <w:caps w:val="0"/>
          <w:sz w:val="20"/>
        </w:rPr>
        <w:t xml:space="preserve"> harmala) and an annual (Halogeton </w:t>
      </w:r>
      <w:proofErr w:type="spellStart"/>
      <w:r w:rsidRPr="00D779CE">
        <w:rPr>
          <w:b w:val="0"/>
          <w:caps w:val="0"/>
          <w:sz w:val="20"/>
        </w:rPr>
        <w:t>glomeratus</w:t>
      </w:r>
      <w:proofErr w:type="spellEnd"/>
      <w:r w:rsidRPr="00D779CE">
        <w:rPr>
          <w:b w:val="0"/>
          <w:caps w:val="0"/>
          <w:sz w:val="20"/>
        </w:rPr>
        <w:t xml:space="preserve">) grass. Acta </w:t>
      </w:r>
      <w:proofErr w:type="spellStart"/>
      <w:r w:rsidRPr="00D779CE">
        <w:rPr>
          <w:b w:val="0"/>
          <w:caps w:val="0"/>
          <w:sz w:val="20"/>
        </w:rPr>
        <w:t>Physiologiae</w:t>
      </w:r>
      <w:proofErr w:type="spellEnd"/>
      <w:r w:rsidRPr="00D779CE">
        <w:rPr>
          <w:b w:val="0"/>
          <w:caps w:val="0"/>
          <w:sz w:val="20"/>
        </w:rPr>
        <w:t xml:space="preserve"> Plantarum, 32(3), 583-590.</w:t>
      </w:r>
    </w:p>
    <w:p w14:paraId="3CC9D9BE" w14:textId="77777777" w:rsidR="00D779CE" w:rsidRPr="00D779CE" w:rsidRDefault="00D779CE" w:rsidP="00D779CE">
      <w:pPr>
        <w:pStyle w:val="DefAcrHead"/>
        <w:jc w:val="both"/>
        <w:rPr>
          <w:b w:val="0"/>
          <w:caps w:val="0"/>
          <w:sz w:val="20"/>
        </w:rPr>
      </w:pPr>
      <w:r w:rsidRPr="00D779CE">
        <w:rPr>
          <w:b w:val="0"/>
          <w:caps w:val="0"/>
          <w:sz w:val="20"/>
        </w:rPr>
        <w:t>Manna, B., Dutta, S. M., Dalapati, S., &amp; Maiti, S. (2020). Oxidative stress-induced toxicity and DNA stability in some Agri-field based livestock/insect by widely used pesticides. Combinatorial Chemistry &amp; High Throughput Screening, 23(9), 972-980.</w:t>
      </w:r>
    </w:p>
    <w:p w14:paraId="26B31402" w14:textId="77777777" w:rsidR="00D779CE" w:rsidRPr="00D779CE" w:rsidRDefault="00D779CE" w:rsidP="00D779CE">
      <w:pPr>
        <w:pStyle w:val="DefAcrHead"/>
        <w:jc w:val="both"/>
        <w:rPr>
          <w:b w:val="0"/>
          <w:caps w:val="0"/>
          <w:sz w:val="20"/>
        </w:rPr>
      </w:pPr>
      <w:r w:rsidRPr="00D779CE">
        <w:rPr>
          <w:b w:val="0"/>
          <w:caps w:val="0"/>
          <w:sz w:val="20"/>
        </w:rPr>
        <w:t>Marron, N. (2015). Agronomic and environmental effects of land application of residues in short-rotation tree plantations: A literature review. Biomass and bioenergy, 81, 378-400.</w:t>
      </w:r>
    </w:p>
    <w:p w14:paraId="3F135D3B" w14:textId="77777777" w:rsidR="00D779CE" w:rsidRPr="00D779CE" w:rsidRDefault="00D779CE" w:rsidP="00D779CE">
      <w:pPr>
        <w:pStyle w:val="DefAcrHead"/>
        <w:jc w:val="both"/>
        <w:rPr>
          <w:b w:val="0"/>
          <w:caps w:val="0"/>
          <w:sz w:val="20"/>
        </w:rPr>
      </w:pPr>
      <w:r w:rsidRPr="00D779CE">
        <w:rPr>
          <w:b w:val="0"/>
          <w:caps w:val="0"/>
          <w:sz w:val="20"/>
        </w:rPr>
        <w:t>Martín-</w:t>
      </w:r>
      <w:proofErr w:type="spellStart"/>
      <w:r w:rsidRPr="00D779CE">
        <w:rPr>
          <w:b w:val="0"/>
          <w:caps w:val="0"/>
          <w:sz w:val="20"/>
        </w:rPr>
        <w:t>Closas</w:t>
      </w:r>
      <w:proofErr w:type="spellEnd"/>
      <w:r w:rsidRPr="00D779CE">
        <w:rPr>
          <w:b w:val="0"/>
          <w:caps w:val="0"/>
          <w:sz w:val="20"/>
        </w:rPr>
        <w:t xml:space="preserve">, L., Costa, J., &amp; </w:t>
      </w:r>
      <w:proofErr w:type="spellStart"/>
      <w:r w:rsidRPr="00D779CE">
        <w:rPr>
          <w:b w:val="0"/>
          <w:caps w:val="0"/>
          <w:sz w:val="20"/>
        </w:rPr>
        <w:t>Pelacho</w:t>
      </w:r>
      <w:proofErr w:type="spellEnd"/>
      <w:r w:rsidRPr="00D779CE">
        <w:rPr>
          <w:b w:val="0"/>
          <w:caps w:val="0"/>
          <w:sz w:val="20"/>
        </w:rPr>
        <w:t>, A. M. (2017). Agronomic effects of biodegradable films on crop and field environment. In Soil degradable bioplastics for a sustainable modern agriculture (pp. 67-104). Berlin, Heidelberg: Springer Berlin Heidelberg.</w:t>
      </w:r>
    </w:p>
    <w:p w14:paraId="64EC655E" w14:textId="77777777" w:rsidR="00D779CE" w:rsidRPr="00D779CE" w:rsidRDefault="00D779CE" w:rsidP="00D779CE">
      <w:pPr>
        <w:pStyle w:val="DefAcrHead"/>
        <w:jc w:val="both"/>
        <w:rPr>
          <w:b w:val="0"/>
          <w:caps w:val="0"/>
          <w:sz w:val="20"/>
        </w:rPr>
      </w:pPr>
      <w:r w:rsidRPr="00D779CE">
        <w:rPr>
          <w:b w:val="0"/>
          <w:caps w:val="0"/>
          <w:sz w:val="20"/>
        </w:rPr>
        <w:t xml:space="preserve"> Miretzky, P., Saralegui, A., &amp; Cirelli, A. F. (2004). Aquatic macrophytes potential for the simultaneous removal of heavy metals (Buenos Aires, Argentina). Chemosphere, 57(8), 997-1005.</w:t>
      </w:r>
    </w:p>
    <w:p w14:paraId="5BF9A52F" w14:textId="77777777" w:rsidR="00D779CE" w:rsidRPr="00D779CE" w:rsidRDefault="00D779CE" w:rsidP="00D779CE">
      <w:pPr>
        <w:pStyle w:val="DefAcrHead"/>
        <w:jc w:val="both"/>
        <w:rPr>
          <w:b w:val="0"/>
          <w:caps w:val="0"/>
          <w:sz w:val="20"/>
        </w:rPr>
      </w:pPr>
      <w:proofErr w:type="spellStart"/>
      <w:r w:rsidRPr="00D779CE">
        <w:rPr>
          <w:b w:val="0"/>
          <w:caps w:val="0"/>
          <w:sz w:val="20"/>
        </w:rPr>
        <w:t>Moravčíková</w:t>
      </w:r>
      <w:proofErr w:type="spellEnd"/>
      <w:r w:rsidRPr="00D779CE">
        <w:rPr>
          <w:b w:val="0"/>
          <w:caps w:val="0"/>
          <w:sz w:val="20"/>
        </w:rPr>
        <w:t xml:space="preserve">, D., &amp; </w:t>
      </w:r>
      <w:proofErr w:type="spellStart"/>
      <w:r w:rsidRPr="00D779CE">
        <w:rPr>
          <w:b w:val="0"/>
          <w:caps w:val="0"/>
          <w:sz w:val="20"/>
        </w:rPr>
        <w:t>Žiarovská</w:t>
      </w:r>
      <w:proofErr w:type="spellEnd"/>
      <w:r w:rsidRPr="00D779CE">
        <w:rPr>
          <w:b w:val="0"/>
          <w:caps w:val="0"/>
          <w:sz w:val="20"/>
        </w:rPr>
        <w:t>, J. (2023). The effect of cadmium on plants in terms of the response of gene expression level and activity. Plants, 12(9), 1848.</w:t>
      </w:r>
    </w:p>
    <w:p w14:paraId="1342D458" w14:textId="77777777" w:rsidR="00D779CE" w:rsidRPr="00D779CE" w:rsidRDefault="00D779CE" w:rsidP="00D779CE">
      <w:pPr>
        <w:pStyle w:val="DefAcrHead"/>
        <w:jc w:val="both"/>
        <w:rPr>
          <w:b w:val="0"/>
          <w:caps w:val="0"/>
          <w:sz w:val="20"/>
        </w:rPr>
      </w:pPr>
      <w:proofErr w:type="spellStart"/>
      <w:r w:rsidRPr="00D779CE">
        <w:rPr>
          <w:b w:val="0"/>
          <w:caps w:val="0"/>
          <w:sz w:val="20"/>
        </w:rPr>
        <w:t>Nagajyoti</w:t>
      </w:r>
      <w:proofErr w:type="spellEnd"/>
      <w:r w:rsidRPr="00D779CE">
        <w:rPr>
          <w:b w:val="0"/>
          <w:caps w:val="0"/>
          <w:sz w:val="20"/>
        </w:rPr>
        <w:t>, P. C., Lee, K. D., &amp; Sreekanth, T. V. M. (2010). Heavy metals, occurrence and toxicity for plants: a review. Environmental chemistry letters, 8(3), 199-216.</w:t>
      </w:r>
    </w:p>
    <w:p w14:paraId="05D8E666" w14:textId="77777777" w:rsidR="00D779CE" w:rsidRPr="00D779CE" w:rsidRDefault="00D779CE" w:rsidP="00D779CE">
      <w:pPr>
        <w:pStyle w:val="DefAcrHead"/>
        <w:jc w:val="both"/>
        <w:rPr>
          <w:b w:val="0"/>
          <w:caps w:val="0"/>
          <w:sz w:val="20"/>
        </w:rPr>
      </w:pPr>
      <w:r w:rsidRPr="00D779CE">
        <w:rPr>
          <w:b w:val="0"/>
          <w:caps w:val="0"/>
          <w:sz w:val="20"/>
        </w:rPr>
        <w:t>Nakano, Y., &amp; Asada, K. (1981). Hydrogen peroxide is scavenged by ascorbate-specific peroxidase in spinach chloroplasts. Plant and cell physiology, 22(5), 867-880.</w:t>
      </w:r>
    </w:p>
    <w:p w14:paraId="6D0B93E5" w14:textId="77777777" w:rsidR="00D779CE" w:rsidRPr="00D779CE" w:rsidRDefault="00D779CE" w:rsidP="00D779CE">
      <w:pPr>
        <w:pStyle w:val="DefAcrHead"/>
        <w:jc w:val="both"/>
        <w:rPr>
          <w:b w:val="0"/>
          <w:caps w:val="0"/>
          <w:sz w:val="20"/>
        </w:rPr>
      </w:pPr>
      <w:r w:rsidRPr="00D779CE">
        <w:rPr>
          <w:b w:val="0"/>
          <w:caps w:val="0"/>
          <w:sz w:val="20"/>
        </w:rPr>
        <w:t xml:space="preserve">Novoselov, A. A., Hodson, M. E., Tapia-Gatica, J., </w:t>
      </w:r>
      <w:proofErr w:type="spellStart"/>
      <w:r w:rsidRPr="00D779CE">
        <w:rPr>
          <w:b w:val="0"/>
          <w:caps w:val="0"/>
          <w:sz w:val="20"/>
        </w:rPr>
        <w:t>Dovletyarova</w:t>
      </w:r>
      <w:proofErr w:type="spellEnd"/>
      <w:r w:rsidRPr="00D779CE">
        <w:rPr>
          <w:b w:val="0"/>
          <w:caps w:val="0"/>
          <w:sz w:val="20"/>
        </w:rPr>
        <w:t>, E. A., Yáñez, C., &amp; Neaman, A. (2022). The effect of rock lithology on the background concentrations of trace elements in alluvial soils: Implications for environmental regulation. Applied Geochemistry, 146, 105440.</w:t>
      </w:r>
    </w:p>
    <w:p w14:paraId="7035A4E9" w14:textId="77777777" w:rsidR="00D779CE" w:rsidRPr="00D779CE" w:rsidRDefault="00D779CE" w:rsidP="00D779CE">
      <w:pPr>
        <w:pStyle w:val="DefAcrHead"/>
        <w:jc w:val="both"/>
        <w:rPr>
          <w:b w:val="0"/>
          <w:caps w:val="0"/>
          <w:sz w:val="20"/>
        </w:rPr>
      </w:pPr>
      <w:r w:rsidRPr="00D779CE">
        <w:rPr>
          <w:b w:val="0"/>
          <w:caps w:val="0"/>
          <w:sz w:val="20"/>
        </w:rPr>
        <w:t xml:space="preserve">Peacock, F. C. (Ed.). (1978). </w:t>
      </w:r>
      <w:proofErr w:type="spellStart"/>
      <w:r w:rsidRPr="00D779CE">
        <w:rPr>
          <w:b w:val="0"/>
          <w:caps w:val="0"/>
          <w:sz w:val="20"/>
        </w:rPr>
        <w:t>Jealott's</w:t>
      </w:r>
      <w:proofErr w:type="spellEnd"/>
      <w:r w:rsidRPr="00D779CE">
        <w:rPr>
          <w:b w:val="0"/>
          <w:caps w:val="0"/>
          <w:sz w:val="20"/>
        </w:rPr>
        <w:t xml:space="preserve"> Hill. Fifty years of agricultural research 1928-1978 (pp. 160-pp).</w:t>
      </w:r>
    </w:p>
    <w:p w14:paraId="55046E10" w14:textId="77777777" w:rsidR="00D779CE" w:rsidRPr="00D779CE" w:rsidRDefault="00D779CE" w:rsidP="00D779CE">
      <w:pPr>
        <w:pStyle w:val="DefAcrHead"/>
        <w:jc w:val="both"/>
        <w:rPr>
          <w:b w:val="0"/>
          <w:caps w:val="0"/>
          <w:sz w:val="20"/>
        </w:rPr>
      </w:pPr>
      <w:r w:rsidRPr="00D779CE">
        <w:rPr>
          <w:b w:val="0"/>
          <w:caps w:val="0"/>
          <w:sz w:val="20"/>
        </w:rPr>
        <w:t>Perales-Vela, H. V., Salcedo-Álvarez, M. O., Parra-Marcelo, R., Gaviria-González, L. C., &amp; de Jesús Martínez-Roldán, A. (2021). Growth and metabolic responses to methyl viologen (1, 1′-dimethyl-4, 4′-bipyridinium dichloride) on Chlorella vulgaris. Chemosphere, 281, 130750.</w:t>
      </w:r>
    </w:p>
    <w:p w14:paraId="25FF398D" w14:textId="77777777" w:rsidR="00D779CE" w:rsidRPr="00D779CE" w:rsidRDefault="00D779CE" w:rsidP="00D779CE">
      <w:pPr>
        <w:pStyle w:val="DefAcrHead"/>
        <w:jc w:val="both"/>
        <w:rPr>
          <w:b w:val="0"/>
          <w:caps w:val="0"/>
          <w:sz w:val="20"/>
        </w:rPr>
      </w:pPr>
      <w:r w:rsidRPr="00D779CE">
        <w:rPr>
          <w:b w:val="0"/>
          <w:caps w:val="0"/>
          <w:sz w:val="20"/>
        </w:rPr>
        <w:t>Prasad R (2011) Aerobic rice systems. Adv Agron 111:207–247</w:t>
      </w:r>
    </w:p>
    <w:p w14:paraId="4B4F929D" w14:textId="77777777" w:rsidR="00D779CE" w:rsidRPr="00D779CE" w:rsidRDefault="00D779CE" w:rsidP="00D779CE">
      <w:pPr>
        <w:pStyle w:val="DefAcrHead"/>
        <w:jc w:val="both"/>
        <w:rPr>
          <w:b w:val="0"/>
          <w:caps w:val="0"/>
          <w:sz w:val="20"/>
        </w:rPr>
      </w:pPr>
      <w:r w:rsidRPr="00D779CE">
        <w:rPr>
          <w:b w:val="0"/>
          <w:caps w:val="0"/>
          <w:sz w:val="20"/>
        </w:rPr>
        <w:t>Rai, P. K. (2009). Heavy metal phytoremediation from aquatic ecosystems with special reference to macrophytes. Critical Reviews in Environmental Science and Technology, 39(9), 697-753.</w:t>
      </w:r>
    </w:p>
    <w:p w14:paraId="46B87A4F" w14:textId="77777777" w:rsidR="00D779CE" w:rsidRPr="00D779CE" w:rsidRDefault="00D779CE" w:rsidP="00D779CE">
      <w:pPr>
        <w:pStyle w:val="DefAcrHead"/>
        <w:jc w:val="both"/>
        <w:rPr>
          <w:b w:val="0"/>
          <w:caps w:val="0"/>
          <w:sz w:val="20"/>
        </w:rPr>
      </w:pPr>
      <w:r w:rsidRPr="00D779CE">
        <w:rPr>
          <w:b w:val="0"/>
          <w:caps w:val="0"/>
          <w:sz w:val="20"/>
        </w:rPr>
        <w:t>Rai, R., Agrawal, M., &amp; Agrawal, S. B. (2016). Impact of heavy metals on physiological processes of plants: with special reference to photosynthetic system. In Plant responses to xenobiotics (pp. 127-140). Singapore: Springer Singapore.</w:t>
      </w:r>
    </w:p>
    <w:p w14:paraId="2E390A68" w14:textId="77777777" w:rsidR="00D779CE" w:rsidRPr="00D779CE" w:rsidRDefault="00D779CE" w:rsidP="00D779CE">
      <w:pPr>
        <w:pStyle w:val="DefAcrHead"/>
        <w:jc w:val="both"/>
        <w:rPr>
          <w:b w:val="0"/>
          <w:caps w:val="0"/>
          <w:sz w:val="20"/>
        </w:rPr>
      </w:pPr>
      <w:r w:rsidRPr="00D779CE">
        <w:rPr>
          <w:b w:val="0"/>
          <w:caps w:val="0"/>
          <w:sz w:val="20"/>
        </w:rPr>
        <w:t xml:space="preserve">Razinger, J., </w:t>
      </w:r>
      <w:proofErr w:type="spellStart"/>
      <w:r w:rsidRPr="00D779CE">
        <w:rPr>
          <w:b w:val="0"/>
          <w:caps w:val="0"/>
          <w:sz w:val="20"/>
        </w:rPr>
        <w:t>Dermastia</w:t>
      </w:r>
      <w:proofErr w:type="spellEnd"/>
      <w:r w:rsidRPr="00D779CE">
        <w:rPr>
          <w:b w:val="0"/>
          <w:caps w:val="0"/>
          <w:sz w:val="20"/>
        </w:rPr>
        <w:t xml:space="preserve">, M., </w:t>
      </w:r>
      <w:proofErr w:type="spellStart"/>
      <w:r w:rsidRPr="00D779CE">
        <w:rPr>
          <w:b w:val="0"/>
          <w:caps w:val="0"/>
          <w:sz w:val="20"/>
        </w:rPr>
        <w:t>Koce</w:t>
      </w:r>
      <w:proofErr w:type="spellEnd"/>
      <w:r w:rsidRPr="00D779CE">
        <w:rPr>
          <w:b w:val="0"/>
          <w:caps w:val="0"/>
          <w:sz w:val="20"/>
        </w:rPr>
        <w:t xml:space="preserve">, J. D., &amp; </w:t>
      </w:r>
      <w:proofErr w:type="spellStart"/>
      <w:r w:rsidRPr="00D779CE">
        <w:rPr>
          <w:b w:val="0"/>
          <w:caps w:val="0"/>
          <w:sz w:val="20"/>
        </w:rPr>
        <w:t>Zrimec</w:t>
      </w:r>
      <w:proofErr w:type="spellEnd"/>
      <w:r w:rsidRPr="00D779CE">
        <w:rPr>
          <w:b w:val="0"/>
          <w:caps w:val="0"/>
          <w:sz w:val="20"/>
        </w:rPr>
        <w:t>, A. (2008). Oxidative stress in duckweed (Lemna minor L.) caused by short-term cadmium exposure. Environmental pollution, 153(3), 687-694.</w:t>
      </w:r>
    </w:p>
    <w:p w14:paraId="5D510C39" w14:textId="77777777" w:rsidR="00D779CE" w:rsidRPr="00D779CE" w:rsidRDefault="00D779CE" w:rsidP="00D779CE">
      <w:pPr>
        <w:pStyle w:val="DefAcrHead"/>
        <w:jc w:val="both"/>
        <w:rPr>
          <w:b w:val="0"/>
          <w:caps w:val="0"/>
          <w:sz w:val="20"/>
        </w:rPr>
      </w:pPr>
      <w:r w:rsidRPr="00D779CE">
        <w:rPr>
          <w:b w:val="0"/>
          <w:caps w:val="0"/>
          <w:sz w:val="20"/>
        </w:rPr>
        <w:lastRenderedPageBreak/>
        <w:t xml:space="preserve">Rezania, S., Ponraj, M., Fadhil Md Din, M., </w:t>
      </w:r>
      <w:proofErr w:type="spellStart"/>
      <w:r w:rsidRPr="00D779CE">
        <w:rPr>
          <w:b w:val="0"/>
          <w:caps w:val="0"/>
          <w:sz w:val="20"/>
        </w:rPr>
        <w:t>Chelliapan</w:t>
      </w:r>
      <w:proofErr w:type="spellEnd"/>
      <w:r w:rsidRPr="00D779CE">
        <w:rPr>
          <w:b w:val="0"/>
          <w:caps w:val="0"/>
          <w:sz w:val="20"/>
        </w:rPr>
        <w:t>, S., &amp; Md Sairan, F. (2016). Effectiveness of Eichhornia crassipes in nutrient removal from domestic wastewater based on its optimal growth rate. Desalination and water treatment, 57(1), 360-365.</w:t>
      </w:r>
    </w:p>
    <w:p w14:paraId="094EDBC0" w14:textId="77777777" w:rsidR="00D779CE" w:rsidRPr="00D779CE" w:rsidRDefault="00D779CE" w:rsidP="00D779CE">
      <w:pPr>
        <w:pStyle w:val="DefAcrHead"/>
        <w:jc w:val="both"/>
        <w:rPr>
          <w:b w:val="0"/>
          <w:caps w:val="0"/>
          <w:sz w:val="20"/>
        </w:rPr>
      </w:pPr>
      <w:r w:rsidRPr="00D779CE">
        <w:rPr>
          <w:b w:val="0"/>
          <w:caps w:val="0"/>
          <w:sz w:val="20"/>
        </w:rPr>
        <w:t xml:space="preserve">Sarkar, S., Yadav, P., &amp; Bhatnagar, D. (1998). Lipid peroxidative damage on cadmium exposure and alterations in </w:t>
      </w:r>
      <w:proofErr w:type="spellStart"/>
      <w:r w:rsidRPr="00D779CE">
        <w:rPr>
          <w:b w:val="0"/>
          <w:caps w:val="0"/>
          <w:sz w:val="20"/>
        </w:rPr>
        <w:t>antioxidantsystem</w:t>
      </w:r>
      <w:proofErr w:type="spellEnd"/>
      <w:r w:rsidRPr="00D779CE">
        <w:rPr>
          <w:b w:val="0"/>
          <w:caps w:val="0"/>
          <w:sz w:val="20"/>
        </w:rPr>
        <w:t xml:space="preserve"> in rat erythrocytes: A study with relation to time. </w:t>
      </w:r>
      <w:proofErr w:type="spellStart"/>
      <w:r w:rsidRPr="00D779CE">
        <w:rPr>
          <w:b w:val="0"/>
          <w:caps w:val="0"/>
          <w:sz w:val="20"/>
        </w:rPr>
        <w:t>Biometals</w:t>
      </w:r>
      <w:proofErr w:type="spellEnd"/>
      <w:r w:rsidRPr="00D779CE">
        <w:rPr>
          <w:b w:val="0"/>
          <w:caps w:val="0"/>
          <w:sz w:val="20"/>
        </w:rPr>
        <w:t>, 11(2), 153-157.</w:t>
      </w:r>
    </w:p>
    <w:p w14:paraId="3150FD96" w14:textId="77777777" w:rsidR="00D779CE" w:rsidRPr="00D779CE" w:rsidRDefault="00D779CE" w:rsidP="00D779CE">
      <w:pPr>
        <w:pStyle w:val="DefAcrHead"/>
        <w:jc w:val="both"/>
        <w:rPr>
          <w:b w:val="0"/>
          <w:caps w:val="0"/>
          <w:sz w:val="20"/>
        </w:rPr>
      </w:pPr>
      <w:r w:rsidRPr="00D779CE">
        <w:rPr>
          <w:b w:val="0"/>
          <w:caps w:val="0"/>
          <w:sz w:val="20"/>
        </w:rPr>
        <w:t xml:space="preserve">Pandey, S., </w:t>
      </w:r>
      <w:proofErr w:type="spellStart"/>
      <w:r w:rsidRPr="00D779CE">
        <w:rPr>
          <w:b w:val="0"/>
          <w:caps w:val="0"/>
          <w:sz w:val="20"/>
        </w:rPr>
        <w:t>Fartyal</w:t>
      </w:r>
      <w:proofErr w:type="spellEnd"/>
      <w:r w:rsidRPr="00D779CE">
        <w:rPr>
          <w:b w:val="0"/>
          <w:caps w:val="0"/>
          <w:sz w:val="20"/>
        </w:rPr>
        <w:t>, D., Agarwal, A., Shukla, T., James, D., Kaul, T., ... &amp; Reddy, M. K. (2017). Abiotic stress tolerance in plants: myriad roles of ascorbate peroxidase. Frontiers in plant science, 8, 581.</w:t>
      </w:r>
    </w:p>
    <w:p w14:paraId="0B1D3D1C" w14:textId="77777777" w:rsidR="00D779CE" w:rsidRPr="00D779CE" w:rsidRDefault="00D779CE" w:rsidP="00D779CE">
      <w:pPr>
        <w:pStyle w:val="DefAcrHead"/>
        <w:jc w:val="both"/>
        <w:rPr>
          <w:b w:val="0"/>
          <w:caps w:val="0"/>
          <w:sz w:val="20"/>
        </w:rPr>
      </w:pPr>
      <w:r w:rsidRPr="00D779CE">
        <w:rPr>
          <w:b w:val="0"/>
          <w:caps w:val="0"/>
          <w:sz w:val="20"/>
        </w:rPr>
        <w:t xml:space="preserve">Schadle M, Bassham JA (1977) Chloroplast glutathione reductase. Plant </w:t>
      </w:r>
      <w:proofErr w:type="spellStart"/>
      <w:r w:rsidRPr="00D779CE">
        <w:rPr>
          <w:b w:val="0"/>
          <w:caps w:val="0"/>
          <w:sz w:val="20"/>
        </w:rPr>
        <w:t>Physiol</w:t>
      </w:r>
      <w:proofErr w:type="spellEnd"/>
      <w:r w:rsidRPr="00D779CE">
        <w:rPr>
          <w:b w:val="0"/>
          <w:caps w:val="0"/>
          <w:sz w:val="20"/>
        </w:rPr>
        <w:t xml:space="preserve"> 59: 1011—1012.</w:t>
      </w:r>
    </w:p>
    <w:p w14:paraId="7BBE17EF" w14:textId="77777777" w:rsidR="00D779CE" w:rsidRPr="00D779CE" w:rsidRDefault="00D779CE" w:rsidP="00D779CE">
      <w:pPr>
        <w:pStyle w:val="DefAcrHead"/>
        <w:jc w:val="both"/>
        <w:rPr>
          <w:b w:val="0"/>
          <w:caps w:val="0"/>
          <w:sz w:val="20"/>
        </w:rPr>
      </w:pPr>
      <w:r w:rsidRPr="00D779CE">
        <w:rPr>
          <w:b w:val="0"/>
          <w:caps w:val="0"/>
          <w:sz w:val="20"/>
        </w:rPr>
        <w:t>Shahzad, A., Zahra, A., Li, H. Y., Qin, M., Wu, H., Wen, M. Q., ... &amp; Zafar, S. (2024). Modern perspectives of heavy metals alleviation from oil contaminated soil: A review. Ecotoxicology and Environmental Safety, 282, 116698.</w:t>
      </w:r>
    </w:p>
    <w:p w14:paraId="46A937F1" w14:textId="77777777" w:rsidR="00D779CE" w:rsidRPr="00D779CE" w:rsidRDefault="00D779CE" w:rsidP="00D779CE">
      <w:pPr>
        <w:pStyle w:val="DefAcrHead"/>
        <w:jc w:val="both"/>
        <w:rPr>
          <w:b w:val="0"/>
          <w:caps w:val="0"/>
          <w:sz w:val="20"/>
        </w:rPr>
      </w:pPr>
      <w:r w:rsidRPr="00D779CE">
        <w:rPr>
          <w:b w:val="0"/>
          <w:caps w:val="0"/>
          <w:sz w:val="20"/>
        </w:rPr>
        <w:t xml:space="preserve">Singh, S., Eapen, S., &amp; D’souza, S. F. (2006). Cadmium accumulation and its influence on lipid peroxidation and antioxidative system in an aquatic plant, Bacopa </w:t>
      </w:r>
      <w:proofErr w:type="spellStart"/>
      <w:r w:rsidRPr="00D779CE">
        <w:rPr>
          <w:b w:val="0"/>
          <w:caps w:val="0"/>
          <w:sz w:val="20"/>
        </w:rPr>
        <w:t>monnieri</w:t>
      </w:r>
      <w:proofErr w:type="spellEnd"/>
      <w:r w:rsidRPr="00D779CE">
        <w:rPr>
          <w:b w:val="0"/>
          <w:caps w:val="0"/>
          <w:sz w:val="20"/>
        </w:rPr>
        <w:t xml:space="preserve"> L. Chemosphere, 62(2), 233-246.</w:t>
      </w:r>
    </w:p>
    <w:p w14:paraId="64D3E5CD" w14:textId="77777777" w:rsidR="00D779CE" w:rsidRPr="00D779CE" w:rsidRDefault="00D779CE" w:rsidP="00D779CE">
      <w:pPr>
        <w:pStyle w:val="DefAcrHead"/>
        <w:jc w:val="both"/>
        <w:rPr>
          <w:b w:val="0"/>
          <w:caps w:val="0"/>
          <w:sz w:val="20"/>
        </w:rPr>
      </w:pPr>
      <w:r w:rsidRPr="00D779CE">
        <w:rPr>
          <w:b w:val="0"/>
          <w:caps w:val="0"/>
          <w:sz w:val="20"/>
        </w:rPr>
        <w:t xml:space="preserve">Substance Priority </w:t>
      </w:r>
      <w:proofErr w:type="spellStart"/>
      <w:r w:rsidRPr="00D779CE">
        <w:rPr>
          <w:b w:val="0"/>
          <w:caps w:val="0"/>
          <w:sz w:val="20"/>
        </w:rPr>
        <w:t>List|ATSDR</w:t>
      </w:r>
      <w:proofErr w:type="spellEnd"/>
      <w:r w:rsidRPr="00D779CE">
        <w:rPr>
          <w:b w:val="0"/>
          <w:caps w:val="0"/>
          <w:sz w:val="20"/>
        </w:rPr>
        <w:t>. Available online: https://www.atsdr.cdc.gov/programs/substance-priority-list.html (accessed on 3 September 2024)</w:t>
      </w:r>
    </w:p>
    <w:p w14:paraId="3023CDBA" w14:textId="77777777" w:rsidR="00D779CE" w:rsidRPr="00D779CE" w:rsidRDefault="00D779CE" w:rsidP="00D779CE">
      <w:pPr>
        <w:pStyle w:val="DefAcrHead"/>
        <w:jc w:val="both"/>
        <w:rPr>
          <w:b w:val="0"/>
          <w:caps w:val="0"/>
          <w:sz w:val="20"/>
        </w:rPr>
      </w:pPr>
      <w:r w:rsidRPr="00D779CE">
        <w:rPr>
          <w:b w:val="0"/>
          <w:caps w:val="0"/>
          <w:sz w:val="20"/>
        </w:rPr>
        <w:t>Tagun, R. (2014). The Effects of mixtures of pesticides, in use in Thailand, on the aquatic macrophyte Lemna minor (Doctoral dissertation, University of York).</w:t>
      </w:r>
    </w:p>
    <w:p w14:paraId="689833C2" w14:textId="77777777" w:rsidR="00D779CE" w:rsidRPr="00D779CE" w:rsidRDefault="00D779CE" w:rsidP="00D779CE">
      <w:pPr>
        <w:pStyle w:val="DefAcrHead"/>
        <w:jc w:val="both"/>
        <w:rPr>
          <w:b w:val="0"/>
          <w:caps w:val="0"/>
          <w:sz w:val="20"/>
        </w:rPr>
      </w:pPr>
      <w:r w:rsidRPr="00D779CE">
        <w:rPr>
          <w:b w:val="0"/>
          <w:caps w:val="0"/>
          <w:sz w:val="20"/>
        </w:rPr>
        <w:t xml:space="preserve">Tang, L., Kwon, S. Y., Kim, S. H., Kim, J. S., Choi, J. S., Cho, K. Y., ... &amp; Lee, H. S. (2006). Enhanced tolerance of transgenic potato plants expressing both superoxide dismutase and </w:t>
      </w:r>
      <w:r w:rsidRPr="00D779CE">
        <w:rPr>
          <w:b w:val="0"/>
          <w:caps w:val="0"/>
          <w:sz w:val="20"/>
        </w:rPr>
        <w:lastRenderedPageBreak/>
        <w:t>ascorbate peroxidase in chloroplasts against oxidative stress and high temperature. Plant Cell Reports, 25(12), 1380-1386.</w:t>
      </w:r>
    </w:p>
    <w:p w14:paraId="3206757D" w14:textId="77777777" w:rsidR="00D779CE" w:rsidRPr="00D779CE" w:rsidRDefault="00D779CE" w:rsidP="00D779CE">
      <w:pPr>
        <w:pStyle w:val="DefAcrHead"/>
        <w:jc w:val="both"/>
        <w:rPr>
          <w:b w:val="0"/>
          <w:caps w:val="0"/>
          <w:sz w:val="20"/>
        </w:rPr>
      </w:pPr>
      <w:r w:rsidRPr="00D779CE">
        <w:rPr>
          <w:b w:val="0"/>
          <w:caps w:val="0"/>
          <w:sz w:val="20"/>
        </w:rPr>
        <w:t xml:space="preserve">Tkalec, M., </w:t>
      </w:r>
      <w:proofErr w:type="spellStart"/>
      <w:r w:rsidRPr="00D779CE">
        <w:rPr>
          <w:b w:val="0"/>
          <w:caps w:val="0"/>
          <w:sz w:val="20"/>
        </w:rPr>
        <w:t>Prebeg</w:t>
      </w:r>
      <w:proofErr w:type="spellEnd"/>
      <w:r w:rsidRPr="00D779CE">
        <w:rPr>
          <w:b w:val="0"/>
          <w:caps w:val="0"/>
          <w:sz w:val="20"/>
        </w:rPr>
        <w:t xml:space="preserve">, T., </w:t>
      </w:r>
      <w:proofErr w:type="spellStart"/>
      <w:r w:rsidRPr="00D779CE">
        <w:rPr>
          <w:b w:val="0"/>
          <w:caps w:val="0"/>
          <w:sz w:val="20"/>
        </w:rPr>
        <w:t>Roje</w:t>
      </w:r>
      <w:proofErr w:type="spellEnd"/>
      <w:r w:rsidRPr="00D779CE">
        <w:rPr>
          <w:b w:val="0"/>
          <w:caps w:val="0"/>
          <w:sz w:val="20"/>
        </w:rPr>
        <w:t>, V., Pevalek-</w:t>
      </w:r>
      <w:proofErr w:type="spellStart"/>
      <w:r w:rsidRPr="00D779CE">
        <w:rPr>
          <w:b w:val="0"/>
          <w:caps w:val="0"/>
          <w:sz w:val="20"/>
        </w:rPr>
        <w:t>Kozlina</w:t>
      </w:r>
      <w:proofErr w:type="spellEnd"/>
      <w:r w:rsidRPr="00D779CE">
        <w:rPr>
          <w:b w:val="0"/>
          <w:caps w:val="0"/>
          <w:sz w:val="20"/>
        </w:rPr>
        <w:t xml:space="preserve">, B., &amp; </w:t>
      </w:r>
      <w:proofErr w:type="spellStart"/>
      <w:r w:rsidRPr="00D779CE">
        <w:rPr>
          <w:b w:val="0"/>
          <w:caps w:val="0"/>
          <w:sz w:val="20"/>
        </w:rPr>
        <w:t>Ljubešić</w:t>
      </w:r>
      <w:proofErr w:type="spellEnd"/>
      <w:r w:rsidRPr="00D779CE">
        <w:rPr>
          <w:b w:val="0"/>
          <w:caps w:val="0"/>
          <w:sz w:val="20"/>
        </w:rPr>
        <w:t xml:space="preserve">, N. (2008). Cadmium-induced responses in duckweed Lemna minor L. Acta </w:t>
      </w:r>
      <w:proofErr w:type="spellStart"/>
      <w:r w:rsidRPr="00D779CE">
        <w:rPr>
          <w:b w:val="0"/>
          <w:caps w:val="0"/>
          <w:sz w:val="20"/>
        </w:rPr>
        <w:t>Physiologiae</w:t>
      </w:r>
      <w:proofErr w:type="spellEnd"/>
      <w:r w:rsidRPr="00D779CE">
        <w:rPr>
          <w:b w:val="0"/>
          <w:caps w:val="0"/>
          <w:sz w:val="20"/>
        </w:rPr>
        <w:t xml:space="preserve"> Plantarum, 30(6), 881-890.</w:t>
      </w:r>
    </w:p>
    <w:p w14:paraId="3CD61859" w14:textId="77777777" w:rsidR="00D779CE" w:rsidRPr="00D779CE" w:rsidRDefault="00D779CE" w:rsidP="00D779CE">
      <w:pPr>
        <w:pStyle w:val="DefAcrHead"/>
        <w:jc w:val="both"/>
        <w:rPr>
          <w:b w:val="0"/>
          <w:caps w:val="0"/>
          <w:sz w:val="20"/>
        </w:rPr>
      </w:pPr>
      <w:r w:rsidRPr="00D779CE">
        <w:rPr>
          <w:b w:val="0"/>
          <w:caps w:val="0"/>
          <w:sz w:val="20"/>
        </w:rPr>
        <w:t>Torres, P., Llopis, A. L., Melo, C. S., &amp; Rodrigues, A. (2023). Environmental impact of cadmium in a volcanic archipelago: research challenges related to a natural pollution source. Journal of Marine Science and Engineering, 11(1), 100.</w:t>
      </w:r>
    </w:p>
    <w:p w14:paraId="7C70E34C" w14:textId="77777777" w:rsidR="00D779CE" w:rsidRPr="00D779CE" w:rsidRDefault="00D779CE" w:rsidP="00D779CE">
      <w:pPr>
        <w:pStyle w:val="DefAcrHead"/>
        <w:jc w:val="both"/>
        <w:rPr>
          <w:b w:val="0"/>
          <w:caps w:val="0"/>
          <w:sz w:val="20"/>
        </w:rPr>
      </w:pPr>
      <w:r w:rsidRPr="00D779CE">
        <w:rPr>
          <w:b w:val="0"/>
          <w:caps w:val="0"/>
          <w:sz w:val="20"/>
        </w:rPr>
        <w:t xml:space="preserve">Weckx, J. E., &amp; Clijsters, H. M. (1996). Oxidative damage and defense mechanisms in primary leaves of Phaseolus vulgaris as a result of root assimilation of toxic amounts of copper. </w:t>
      </w:r>
      <w:proofErr w:type="spellStart"/>
      <w:r w:rsidRPr="00D779CE">
        <w:rPr>
          <w:b w:val="0"/>
          <w:caps w:val="0"/>
          <w:sz w:val="20"/>
        </w:rPr>
        <w:t>Physiologia</w:t>
      </w:r>
      <w:proofErr w:type="spellEnd"/>
      <w:r w:rsidRPr="00D779CE">
        <w:rPr>
          <w:b w:val="0"/>
          <w:caps w:val="0"/>
          <w:sz w:val="20"/>
        </w:rPr>
        <w:t xml:space="preserve"> Plantarum, 96(3), 506-512.</w:t>
      </w:r>
    </w:p>
    <w:p w14:paraId="11CCDA11" w14:textId="77777777" w:rsidR="00D779CE" w:rsidRPr="00D779CE" w:rsidRDefault="00D779CE" w:rsidP="00D779CE">
      <w:pPr>
        <w:pStyle w:val="DefAcrHead"/>
        <w:jc w:val="both"/>
        <w:rPr>
          <w:b w:val="0"/>
          <w:caps w:val="0"/>
          <w:sz w:val="20"/>
        </w:rPr>
      </w:pPr>
      <w:proofErr w:type="spellStart"/>
      <w:r w:rsidRPr="00D779CE">
        <w:rPr>
          <w:b w:val="0"/>
          <w:caps w:val="0"/>
          <w:sz w:val="20"/>
        </w:rPr>
        <w:t>Wuana</w:t>
      </w:r>
      <w:proofErr w:type="spellEnd"/>
      <w:r w:rsidRPr="00D779CE">
        <w:rPr>
          <w:b w:val="0"/>
          <w:caps w:val="0"/>
          <w:sz w:val="20"/>
        </w:rPr>
        <w:t xml:space="preserve">, R. A., &amp; </w:t>
      </w:r>
      <w:proofErr w:type="spellStart"/>
      <w:r w:rsidRPr="00D779CE">
        <w:rPr>
          <w:b w:val="0"/>
          <w:caps w:val="0"/>
          <w:sz w:val="20"/>
        </w:rPr>
        <w:t>Okieimen</w:t>
      </w:r>
      <w:proofErr w:type="spellEnd"/>
      <w:r w:rsidRPr="00D779CE">
        <w:rPr>
          <w:b w:val="0"/>
          <w:caps w:val="0"/>
          <w:sz w:val="20"/>
        </w:rPr>
        <w:t>, F. E. (2011). Heavy metals in contaminated soils: a review of sources, chemistry, risks and best available strategies for remediation. International Scholarly Research Notices, 2011(1), 402647.</w:t>
      </w:r>
    </w:p>
    <w:p w14:paraId="7AD67099" w14:textId="77777777" w:rsidR="00D779CE" w:rsidRPr="00D779CE" w:rsidRDefault="00D779CE" w:rsidP="00D779CE">
      <w:pPr>
        <w:pStyle w:val="DefAcrHead"/>
        <w:jc w:val="both"/>
        <w:rPr>
          <w:b w:val="0"/>
          <w:caps w:val="0"/>
          <w:sz w:val="20"/>
        </w:rPr>
      </w:pPr>
      <w:r w:rsidRPr="00D779CE">
        <w:rPr>
          <w:b w:val="0"/>
          <w:caps w:val="0"/>
          <w:sz w:val="20"/>
        </w:rPr>
        <w:t>Xin, J., Ma, S., Li, Y., Zhao, C., &amp; Tian, R. (2020). Pontederia cordata, an ornamental aquatic macrophyte with great potential in phytoremediation of heavy-metal-contaminated wetlands. Ecotoxicology and Environmental Safety, 203, 111024.</w:t>
      </w:r>
    </w:p>
    <w:p w14:paraId="0FAAA727" w14:textId="77777777" w:rsidR="00D779CE" w:rsidRPr="00D779CE" w:rsidRDefault="00D779CE" w:rsidP="00D779CE">
      <w:pPr>
        <w:pStyle w:val="DefAcrHead"/>
        <w:jc w:val="both"/>
        <w:rPr>
          <w:b w:val="0"/>
          <w:caps w:val="0"/>
          <w:sz w:val="20"/>
        </w:rPr>
      </w:pPr>
      <w:r w:rsidRPr="00D779CE">
        <w:rPr>
          <w:b w:val="0"/>
          <w:caps w:val="0"/>
          <w:sz w:val="20"/>
        </w:rPr>
        <w:t>Yang, G. L., Huang, L., Yang, X., Li, Z., Liao, H. M., Mao, K., ... &amp; Tan, A. J. (2023). Transcriptomic and functional analyses of two cadmium hyper-enriched duckweed strains reveal putative cadmium tolerance mechanisms. International Journal of Molecular Sciences, 24(15), 12157.</w:t>
      </w:r>
    </w:p>
    <w:p w14:paraId="20DB4987" w14:textId="77777777" w:rsidR="00D779CE" w:rsidRPr="00D779CE" w:rsidRDefault="00D779CE" w:rsidP="00D779CE">
      <w:pPr>
        <w:pStyle w:val="DefAcrHead"/>
        <w:jc w:val="both"/>
        <w:rPr>
          <w:b w:val="0"/>
          <w:caps w:val="0"/>
          <w:sz w:val="20"/>
        </w:rPr>
      </w:pPr>
      <w:r w:rsidRPr="00D779CE">
        <w:rPr>
          <w:b w:val="0"/>
          <w:caps w:val="0"/>
          <w:sz w:val="20"/>
        </w:rPr>
        <w:t>Zaynab, M., Al-</w:t>
      </w:r>
      <w:proofErr w:type="spellStart"/>
      <w:r w:rsidRPr="00D779CE">
        <w:rPr>
          <w:b w:val="0"/>
          <w:caps w:val="0"/>
          <w:sz w:val="20"/>
        </w:rPr>
        <w:t>Yahyai</w:t>
      </w:r>
      <w:proofErr w:type="spellEnd"/>
      <w:r w:rsidRPr="00D779CE">
        <w:rPr>
          <w:b w:val="0"/>
          <w:caps w:val="0"/>
          <w:sz w:val="20"/>
        </w:rPr>
        <w:t>, R., Ameen, A., Sharif, Y., Ali, L., Fatima, M., ... &amp; Li, S. (2022). Health and environmental effects of heavy metals. Journal of King Saud University-Science, 34(1), 101653.</w:t>
      </w:r>
    </w:p>
    <w:p w14:paraId="17A08907" w14:textId="77777777" w:rsidR="00D779CE" w:rsidRPr="00D779CE" w:rsidRDefault="00D779CE" w:rsidP="00D779CE">
      <w:pPr>
        <w:pStyle w:val="DefAcrHead"/>
        <w:jc w:val="both"/>
        <w:rPr>
          <w:b w:val="0"/>
          <w:caps w:val="0"/>
          <w:sz w:val="20"/>
        </w:rPr>
      </w:pPr>
      <w:r w:rsidRPr="00D779CE">
        <w:rPr>
          <w:b w:val="0"/>
          <w:caps w:val="0"/>
          <w:sz w:val="20"/>
        </w:rPr>
        <w:t>Zhang, X., Zhao, F. J., Huang, Q., Williams, P. N., Sun, G. X., &amp; Zhu, Y. G. (2009). Arsenic uptake and speciation in the rootless duckweed Wolffia globosa. New Phytologist, 182(2), 421-428.</w:t>
      </w:r>
    </w:p>
    <w:p w14:paraId="04B581E0" w14:textId="77777777" w:rsidR="00D779CE" w:rsidRPr="00D779CE" w:rsidRDefault="00D779CE" w:rsidP="00D779CE">
      <w:pPr>
        <w:pStyle w:val="DefAcrHead"/>
        <w:jc w:val="both"/>
        <w:rPr>
          <w:b w:val="0"/>
          <w:caps w:val="0"/>
          <w:sz w:val="20"/>
        </w:rPr>
      </w:pPr>
      <w:r w:rsidRPr="00D779CE">
        <w:rPr>
          <w:b w:val="0"/>
          <w:caps w:val="0"/>
          <w:sz w:val="20"/>
        </w:rPr>
        <w:t>Zhang, X. Z. (1992). The measurement and mechanism of lipid peroxidation and SOD, POD and CAT activities in biological system. Research methodology of crop physiology, 208-211.</w:t>
      </w:r>
    </w:p>
    <w:sectPr w:rsidR="00D779CE" w:rsidRPr="00D779CE" w:rsidSect="00B45506">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6BF10" w14:textId="77777777" w:rsidR="00B45525" w:rsidRDefault="00B45525" w:rsidP="00C37E61">
      <w:r>
        <w:separator/>
      </w:r>
    </w:p>
  </w:endnote>
  <w:endnote w:type="continuationSeparator" w:id="0">
    <w:p w14:paraId="4CE8E400" w14:textId="77777777" w:rsidR="00B45525" w:rsidRDefault="00B45525"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3BE2B" w14:textId="77777777" w:rsidR="00B45506" w:rsidRDefault="00B455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FE681" w14:textId="77777777" w:rsidR="00B45506" w:rsidRDefault="00B455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6BD4D" w14:textId="0B66D169" w:rsidR="00754C9A" w:rsidRPr="00B45506" w:rsidRDefault="00754C9A" w:rsidP="00B455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724BE" w14:textId="77777777" w:rsidR="00B45525" w:rsidRDefault="00B45525" w:rsidP="00C37E61">
      <w:r>
        <w:separator/>
      </w:r>
    </w:p>
  </w:footnote>
  <w:footnote w:type="continuationSeparator" w:id="0">
    <w:p w14:paraId="36B06DEC" w14:textId="77777777" w:rsidR="00B45525" w:rsidRDefault="00B45525"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8775A" w14:textId="799C284E" w:rsidR="00B45506" w:rsidRDefault="00B45506">
    <w:pPr>
      <w:pStyle w:val="Header"/>
    </w:pPr>
    <w:r>
      <w:rPr>
        <w:noProof/>
      </w:rPr>
      <w:pict w14:anchorId="35E6FD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438032"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885FB" w14:textId="1D3EC060" w:rsidR="00B45506" w:rsidRDefault="00B45506">
    <w:pPr>
      <w:pStyle w:val="Header"/>
    </w:pPr>
    <w:r>
      <w:rPr>
        <w:noProof/>
      </w:rPr>
      <w:pict w14:anchorId="4B5880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438033"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577C" w14:textId="212DD96C" w:rsidR="00296529" w:rsidRPr="00296529" w:rsidRDefault="00B45506" w:rsidP="00296529">
    <w:pPr>
      <w:ind w:left="2160"/>
      <w:jc w:val="center"/>
      <w:rPr>
        <w:rFonts w:ascii="Times New Roman" w:eastAsia="Calibri" w:hAnsi="Times New Roman"/>
        <w:i/>
        <w:sz w:val="18"/>
        <w:szCs w:val="22"/>
      </w:rPr>
    </w:pPr>
    <w:r>
      <w:rPr>
        <w:noProof/>
      </w:rPr>
      <w:pict w14:anchorId="7CA000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438031"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2745ECBE"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4097ED72"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F7CFFA3"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967E629"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1F5737C"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005C258E"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88405103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773523914">
    <w:abstractNumId w:val="15"/>
  </w:num>
  <w:num w:numId="3" w16cid:durableId="1730376669">
    <w:abstractNumId w:val="23"/>
  </w:num>
  <w:num w:numId="4" w16cid:durableId="1916428981">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617175401">
    <w:abstractNumId w:val="7"/>
  </w:num>
  <w:num w:numId="6" w16cid:durableId="275211706">
    <w:abstractNumId w:val="6"/>
  </w:num>
  <w:num w:numId="7" w16cid:durableId="897057470">
    <w:abstractNumId w:val="1"/>
  </w:num>
  <w:num w:numId="8" w16cid:durableId="363285401">
    <w:abstractNumId w:val="12"/>
  </w:num>
  <w:num w:numId="9" w16cid:durableId="488985984">
    <w:abstractNumId w:val="25"/>
  </w:num>
  <w:num w:numId="10" w16cid:durableId="1780103651">
    <w:abstractNumId w:val="2"/>
  </w:num>
  <w:num w:numId="11" w16cid:durableId="1000428931">
    <w:abstractNumId w:val="18"/>
  </w:num>
  <w:num w:numId="12" w16cid:durableId="1764374854">
    <w:abstractNumId w:val="3"/>
  </w:num>
  <w:num w:numId="13" w16cid:durableId="1505438215">
    <w:abstractNumId w:val="17"/>
  </w:num>
  <w:num w:numId="14" w16cid:durableId="57746326">
    <w:abstractNumId w:val="8"/>
  </w:num>
  <w:num w:numId="15" w16cid:durableId="501358736">
    <w:abstractNumId w:val="21"/>
  </w:num>
  <w:num w:numId="16" w16cid:durableId="1660115772">
    <w:abstractNumId w:val="5"/>
  </w:num>
  <w:num w:numId="17" w16cid:durableId="1979800264">
    <w:abstractNumId w:val="22"/>
  </w:num>
  <w:num w:numId="18" w16cid:durableId="390886125">
    <w:abstractNumId w:val="14"/>
  </w:num>
  <w:num w:numId="19" w16cid:durableId="52972265">
    <w:abstractNumId w:val="28"/>
  </w:num>
  <w:num w:numId="20" w16cid:durableId="1170756350">
    <w:abstractNumId w:val="11"/>
  </w:num>
  <w:num w:numId="21" w16cid:durableId="2030446045">
    <w:abstractNumId w:val="9"/>
  </w:num>
  <w:num w:numId="22" w16cid:durableId="1095787762">
    <w:abstractNumId w:val="13"/>
  </w:num>
  <w:num w:numId="23" w16cid:durableId="627784134">
    <w:abstractNumId w:val="19"/>
  </w:num>
  <w:num w:numId="24" w16cid:durableId="668869996">
    <w:abstractNumId w:val="26"/>
  </w:num>
  <w:num w:numId="25" w16cid:durableId="1452941324">
    <w:abstractNumId w:val="4"/>
  </w:num>
  <w:num w:numId="26" w16cid:durableId="1160540000">
    <w:abstractNumId w:val="16"/>
  </w:num>
  <w:num w:numId="27" w16cid:durableId="1161194372">
    <w:abstractNumId w:val="20"/>
  </w:num>
  <w:num w:numId="28" w16cid:durableId="799760000">
    <w:abstractNumId w:val="27"/>
  </w:num>
  <w:num w:numId="29" w16cid:durableId="173768271">
    <w:abstractNumId w:val="24"/>
  </w:num>
  <w:num w:numId="30" w16cid:durableId="989156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536EC"/>
    <w:rsid w:val="000A47FA"/>
    <w:rsid w:val="000A65D3"/>
    <w:rsid w:val="000B1E33"/>
    <w:rsid w:val="000D689F"/>
    <w:rsid w:val="000E7B7B"/>
    <w:rsid w:val="000E7D62"/>
    <w:rsid w:val="00103357"/>
    <w:rsid w:val="00123C9F"/>
    <w:rsid w:val="00126190"/>
    <w:rsid w:val="00130F17"/>
    <w:rsid w:val="001320BF"/>
    <w:rsid w:val="00135BED"/>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9726B"/>
    <w:rsid w:val="002B27FB"/>
    <w:rsid w:val="002B685A"/>
    <w:rsid w:val="002C57D2"/>
    <w:rsid w:val="002E0D56"/>
    <w:rsid w:val="00315186"/>
    <w:rsid w:val="0033343E"/>
    <w:rsid w:val="003512C2"/>
    <w:rsid w:val="00371FB6"/>
    <w:rsid w:val="003763C1"/>
    <w:rsid w:val="00376BBE"/>
    <w:rsid w:val="0039224F"/>
    <w:rsid w:val="003A43A4"/>
    <w:rsid w:val="003A7E18"/>
    <w:rsid w:val="003C4C86"/>
    <w:rsid w:val="003C6258"/>
    <w:rsid w:val="003D0516"/>
    <w:rsid w:val="003E2904"/>
    <w:rsid w:val="003F2193"/>
    <w:rsid w:val="00401927"/>
    <w:rsid w:val="0041027F"/>
    <w:rsid w:val="00412475"/>
    <w:rsid w:val="00423789"/>
    <w:rsid w:val="00440F43"/>
    <w:rsid w:val="00441B6F"/>
    <w:rsid w:val="00446221"/>
    <w:rsid w:val="00450E62"/>
    <w:rsid w:val="004539DB"/>
    <w:rsid w:val="00471A80"/>
    <w:rsid w:val="004D305E"/>
    <w:rsid w:val="004D4277"/>
    <w:rsid w:val="004E7D15"/>
    <w:rsid w:val="00502516"/>
    <w:rsid w:val="00505F06"/>
    <w:rsid w:val="00506828"/>
    <w:rsid w:val="0053056E"/>
    <w:rsid w:val="00554FDA"/>
    <w:rsid w:val="005C784C"/>
    <w:rsid w:val="005D17F6"/>
    <w:rsid w:val="005E5539"/>
    <w:rsid w:val="00602BF5"/>
    <w:rsid w:val="00617FDD"/>
    <w:rsid w:val="00633614"/>
    <w:rsid w:val="00633F68"/>
    <w:rsid w:val="00636EB2"/>
    <w:rsid w:val="006375B8"/>
    <w:rsid w:val="0066510A"/>
    <w:rsid w:val="006658A9"/>
    <w:rsid w:val="00673F9F"/>
    <w:rsid w:val="00686953"/>
    <w:rsid w:val="00687DEA"/>
    <w:rsid w:val="00687E67"/>
    <w:rsid w:val="006967F7"/>
    <w:rsid w:val="006A250C"/>
    <w:rsid w:val="006A79F1"/>
    <w:rsid w:val="006B21D3"/>
    <w:rsid w:val="006B57D0"/>
    <w:rsid w:val="006D30FF"/>
    <w:rsid w:val="006D6940"/>
    <w:rsid w:val="006F11EC"/>
    <w:rsid w:val="0070082C"/>
    <w:rsid w:val="007322A7"/>
    <w:rsid w:val="007369E6"/>
    <w:rsid w:val="00746E59"/>
    <w:rsid w:val="00754C9A"/>
    <w:rsid w:val="0075599A"/>
    <w:rsid w:val="00761D52"/>
    <w:rsid w:val="0077749E"/>
    <w:rsid w:val="00790ADA"/>
    <w:rsid w:val="007D2288"/>
    <w:rsid w:val="007E088F"/>
    <w:rsid w:val="007F7B32"/>
    <w:rsid w:val="00804BC2"/>
    <w:rsid w:val="0081431A"/>
    <w:rsid w:val="0083216F"/>
    <w:rsid w:val="00860000"/>
    <w:rsid w:val="00863BD3"/>
    <w:rsid w:val="008641ED"/>
    <w:rsid w:val="00866D66"/>
    <w:rsid w:val="008671C6"/>
    <w:rsid w:val="008672A2"/>
    <w:rsid w:val="00875803"/>
    <w:rsid w:val="008B459E"/>
    <w:rsid w:val="008E13AE"/>
    <w:rsid w:val="008E1506"/>
    <w:rsid w:val="008E710C"/>
    <w:rsid w:val="008F69D6"/>
    <w:rsid w:val="00902823"/>
    <w:rsid w:val="00915CA6"/>
    <w:rsid w:val="00927834"/>
    <w:rsid w:val="009500A6"/>
    <w:rsid w:val="00956123"/>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62FEC"/>
    <w:rsid w:val="00A94063"/>
    <w:rsid w:val="00AA6219"/>
    <w:rsid w:val="00AA74E0"/>
    <w:rsid w:val="00AB703F"/>
    <w:rsid w:val="00AC6BB8"/>
    <w:rsid w:val="00AE008F"/>
    <w:rsid w:val="00AE5DC9"/>
    <w:rsid w:val="00B01FCD"/>
    <w:rsid w:val="00B1776C"/>
    <w:rsid w:val="00B45506"/>
    <w:rsid w:val="00B45525"/>
    <w:rsid w:val="00B52583"/>
    <w:rsid w:val="00B52896"/>
    <w:rsid w:val="00B812FE"/>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4A9C"/>
    <w:rsid w:val="00C85588"/>
    <w:rsid w:val="00CD6755"/>
    <w:rsid w:val="00CD6856"/>
    <w:rsid w:val="00CE0089"/>
    <w:rsid w:val="00CE0764"/>
    <w:rsid w:val="00CE793C"/>
    <w:rsid w:val="00CF193C"/>
    <w:rsid w:val="00D173F1"/>
    <w:rsid w:val="00D74CB0"/>
    <w:rsid w:val="00D779CE"/>
    <w:rsid w:val="00D8295D"/>
    <w:rsid w:val="00DC2A65"/>
    <w:rsid w:val="00DE15F0"/>
    <w:rsid w:val="00DE1B75"/>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C6A55"/>
    <w:rsid w:val="00ED0288"/>
    <w:rsid w:val="00EE191D"/>
    <w:rsid w:val="00EE52CB"/>
    <w:rsid w:val="00EF581D"/>
    <w:rsid w:val="00EF7FD8"/>
    <w:rsid w:val="00F06F59"/>
    <w:rsid w:val="00F17988"/>
    <w:rsid w:val="00F469F0"/>
    <w:rsid w:val="00F53273"/>
    <w:rsid w:val="00F755E4"/>
    <w:rsid w:val="00F77D02"/>
    <w:rsid w:val="00F844B3"/>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12D84F"/>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Spacing">
    <w:name w:val="No Spacing"/>
    <w:uiPriority w:val="1"/>
    <w:qFormat/>
    <w:rsid w:val="004E7D15"/>
    <w:rPr>
      <w:rFonts w:asciiTheme="minorHAnsi" w:eastAsiaTheme="minorHAnsi" w:hAnsiTheme="minorHAnsi" w:cstheme="minorBidi"/>
      <w:kern w:val="2"/>
      <w:sz w:val="22"/>
      <w:szCs w:val="22"/>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08A8C-374C-43D7-9BC8-BA1F83036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8</TotalTime>
  <Pages>16</Pages>
  <Words>5992</Words>
  <Characters>34156</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40068</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10</cp:revision>
  <cp:lastPrinted>1999-07-06T11:00:00Z</cp:lastPrinted>
  <dcterms:created xsi:type="dcterms:W3CDTF">2026-08-04T15:39:00Z</dcterms:created>
  <dcterms:modified xsi:type="dcterms:W3CDTF">2026-08-05T12:45:00Z</dcterms:modified>
</cp:coreProperties>
</file>